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3.6.1; R Core Team, 2019)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0.1.1; Aust &amp; Barth, 2022)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Barth, 2022)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35" w:name="references"/>
    <w:p>
      <w:pPr>
        <w:pStyle w:val="berschrift1"/>
      </w:pPr>
      <w:r>
        <w:t xml:space="preserve">References</w:t>
      </w:r>
    </w:p>
    <w:bookmarkStart w:id="34" w:name="refs"/>
    <w:bookmarkStart w:id="29" w:name="ref-R-papaja"/>
    <w:p>
      <w:pPr>
        <w:pStyle w:val="Literaturverzeichnis"/>
      </w:pPr>
      <w:r>
        <w:t xml:space="preserve">Aust, F., &amp; Barth, M. (2022).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(2022).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bookmarkEnd w:id="33"/>
    <w:bookmarkEnd w:id="34"/>
    <w:bookmarkEnd w:id="35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2022-11-23T19:03:00Z</dcterms:created>
  <dcterms:modified xsi:type="dcterms:W3CDTF">2022-11-23T19:03:00Z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/Library/Frameworks/R.framework/Versions/3.6/Resources/library/papaja/rmd/apa6.csl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