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1F497D"/>
          <w:sz w:val="36"/>
          <w:szCs w:val="36"/>
        </w:rPr>
        <w:t xml:space="preserve">CS-305: Software Security</w:t>
      </w:r>
    </w:p>
    <w:p>
      <w:pPr>
        <w:spacing w:after="80" w:before="0"/>
        <w:jc w:val="center"/>
      </w:pPr>
      <w:r>
        <w:rPr>
          <w:rFonts w:ascii="Times New Roman" w:cs="Times New Roman" w:eastAsia="Times New Roman" w:hAnsi="Times New Roman"/>
          <w:b/>
          <w:bCs/>
          <w:sz w:val="28"/>
          <w:szCs w:val="28"/>
        </w:rPr>
        <w:t xml:space="preserve">Project Two: Practices for Secure Software Report</w:t>
      </w:r>
    </w:p>
    <w:p>
      <w:pPr>
        <w:spacing w:after="80" w:before="0"/>
        <w:jc w:val="center"/>
      </w:pPr>
      <w:r>
        <w:rPr>
          <w:rFonts w:ascii="Times New Roman" w:cs="Times New Roman" w:eastAsia="Times New Roman" w:hAnsi="Times New Roman"/>
          <w:color w:val="555555"/>
          <w:sz w:val="24"/>
          <w:szCs w:val="24"/>
        </w:rPr>
        <w:t xml:space="preserve">Max Bradford  |  Southern New Hampshire University  |  June 2026</w:t>
      </w:r>
    </w:p>
    <w:p>
      <w:pPr>
        <w:pBdr>
          <w:bottom w:val="single" w:color="1F497D" w:sz="6"/>
        </w:pBdr>
        <w:spacing w:after="240" w:before="0"/>
      </w:pPr>
      <w:r>
        <w:t xml:space="preserve"/>
      </w:r>
    </w:p>
    <w:p>
      <w:pPr>
        <w:pStyle w:val="Heading1"/>
        <w:spacing w:after="120" w:before="360"/>
      </w:pPr>
      <w:r>
        <w:rPr>
          <w:rFonts w:ascii="Times New Roman" w:cs="Times New Roman" w:eastAsia="Times New Roman" w:hAnsi="Times New Roman"/>
          <w:b/>
          <w:bCs/>
          <w:color w:val="1F497D"/>
          <w:sz w:val="28"/>
          <w:szCs w:val="28"/>
        </w:rPr>
        <w:t xml:space="preserve">1. Algorithm Cipher</w:t>
      </w:r>
    </w:p>
    <w:p>
      <w:pPr>
        <w:pStyle w:val="Heading2"/>
        <w:spacing w:after="80" w:before="240"/>
      </w:pPr>
      <w:r>
        <w:rPr>
          <w:rFonts w:ascii="Times New Roman" w:cs="Times New Roman" w:eastAsia="Times New Roman" w:hAnsi="Times New Roman"/>
          <w:b/>
          <w:bCs/>
          <w:color w:val="2E4057"/>
          <w:sz w:val="24"/>
          <w:szCs w:val="24"/>
        </w:rPr>
        <w:t>Recommendation: AES-256</w:t>
      </w:r>
    </w:p>
    <w:p>
      <w:pPr>
        <w:spacing w:after="160" w:before="0" w:line="480"/>
        <w:jc w:val="both"/>
      </w:pPr>
      <w:r>
        <w:rPr>
          <w:rFonts w:ascii="Times New Roman" w:cs="Times New Roman" w:eastAsia="Times New Roman" w:hAnsi="Times New Roman"/>
          <w:sz w:val="24"/>
          <w:szCs w:val="24"/>
        </w:rPr>
        <w:t>For Artemis Financial's secure web application, AES-256 (Advanced Encryption Standard with a 256-bit key) is recommended as the encryption algorithm cipher. AES-256 is a symmetric block cipher standardized by the National Institute of Standards and Technology (NIST) in FIPS PUB 197 and is the de facto encryption standard across financial, government, and enterprise software. It provides confidentiality for data in transit when used as part of TLS 1.2/1.3. Note that SHA-256 is used separately in this project as a cryptographic hash function for checksum verification (Section 3); it is a hash algorithm, not an encryption algorithm.</w:t>
      </w:r>
    </w:p>
    <w:p>
      <w:pPr>
        <w:pStyle w:val="Heading2"/>
        <w:spacing w:after="80" w:before="240"/>
      </w:pPr>
      <w:r>
        <w:rPr>
          <w:rFonts w:ascii="Times New Roman" w:cs="Times New Roman" w:eastAsia="Times New Roman" w:hAnsi="Times New Roman"/>
          <w:b/>
          <w:bCs/>
          <w:color w:val="2E4057"/>
          <w:sz w:val="24"/>
          <w:szCs w:val="24"/>
        </w:rPr>
        <w:t xml:space="preserve">Overview of the Algorithm</w:t>
      </w:r>
    </w:p>
    <w:p>
      <w:pPr>
        <w:spacing w:after="160" w:before="0" w:line="480"/>
        <w:jc w:val="both"/>
      </w:pPr>
      <w:r>
        <w:rPr>
          <w:rFonts w:ascii="Times New Roman" w:cs="Times New Roman" w:eastAsia="Times New Roman" w:hAnsi="Times New Roman"/>
          <w:sz w:val="24"/>
          <w:szCs w:val="24"/>
        </w:rPr>
        <w:t>AES-256 is a symmetric block cipher that processes data in fixed 128-bit (16-byte) blocks using a 256-bit secret key. It operates through 14 rounds of four transformations: SubBytes (non-linear byte substitution via the AES S-box), ShiftRows (cyclic row shifts), MixColumns (linear mixing of column bytes), and AddRoundKey (XOR with a round-derived key). Each round key is derived from the original 256-bit key via the AES key schedule. The combination of these transformations produces ciphertext that is computationally indistinguishable from random noise without the key, providing strong confidentiality.</w:t>
      </w:r>
    </w:p>
    <w:p>
      <w:pPr>
        <w:spacing w:after="160" w:before="0" w:line="480"/>
        <w:jc w:val="both"/>
      </w:pPr>
      <w:r>
        <w:rPr>
          <w:rFonts w:ascii="Times New Roman" w:cs="Times New Roman" w:eastAsia="Times New Roman" w:hAnsi="Times New Roman"/>
          <w:sz w:val="24"/>
          <w:szCs w:val="24"/>
        </w:rPr>
        <w:t>AES-256 provides a security strength of 256 bits against brute-force attacks, meaning an attacker would need to try 2^256 possible keys on average to break the encryption by exhaustive search. No practical attacks faster than brute force are known against AES-256 with a full key schedule. For comparison, SHA-256 (used in Section 3 for checksum verification) is a hash function — it produces a 256-bit digest for integrity checking but does not encrypt or decrypt data.</w:t>
      </w:r>
    </w:p>
    <w:p>
      <w:pPr>
        <w:pStyle w:val="Heading2"/>
        <w:spacing w:after="80" w:before="240"/>
      </w:pPr>
      <w:r>
        <w:rPr>
          <w:rFonts w:ascii="Times New Roman" w:cs="Times New Roman" w:eastAsia="Times New Roman" w:hAnsi="Times New Roman"/>
          <w:b/>
          <w:bCs/>
          <w:color w:val="2E4057"/>
          <w:sz w:val="24"/>
          <w:szCs w:val="24"/>
        </w:rPr>
        <w:t xml:space="preserve">Hash Functions and Bit Levels</w:t>
      </w:r>
    </w:p>
    <w:p>
      <w:pPr>
        <w:spacing w:after="160" w:before="0" w:line="480"/>
        <w:jc w:val="both"/>
      </w:pPr>
      <w:r>
        <w:rPr>
          <w:rFonts w:ascii="Times New Roman" w:cs="Times New Roman" w:eastAsia="Times New Roman" w:hAnsi="Times New Roman"/>
          <w:sz w:val="24"/>
          <w:szCs w:val="24"/>
        </w:rPr>
        <w:t>AES-256 uses a 256-bit symmetric key, providing the highest key length in the AES family (AES-128 uses 128 bits, AES-192 uses 192 bits). NIST recommends AES-256 for applications requiring more than 128 bits of security strength through 2030 and beyond (SP 800-131A Rev. 2). In this project, the TLS layer negotiates an AES cipher suite (e.g., TLS_AES_256_GCM_SHA384) to encrypt all HTTP traffic over port 8443. SHA-256 is used alongside AES as the hash function for message authentication codes (HMAC-SHA256) within TLS, and independently as the checksum algorithm in the /hash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Algorithm</w:t>
            </w:r>
          </w:p>
        </w:tc>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Digest Size</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Security Level</w:t>
            </w:r>
          </w:p>
        </w:tc>
        <w:tc>
          <w:tcPr>
            <w:tcW w:type="dxa" w:w="33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MD5</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128-bit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Broken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val="false"/>
                <w:bCs w:val="false"/>
                <w:color w:val="C0392B"/>
                <w:sz w:val="20"/>
                <w:szCs w:val="20"/>
              </w:rPr>
              <w:t xml:space="preserve">Deprecated — do not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SHA-1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160-bit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~80-bit (broken)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C0392B"/>
                <w:sz w:val="20"/>
                <w:szCs w:val="20"/>
              </w:rPr>
              <w:t xml:space="preserve">Deprecated per NIST SP 800-131A</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SHA-256</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256-bit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128-bit collision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bCs/>
                <w:color w:val="1A7A4A"/>
                <w:sz w:val="20"/>
                <w:szCs w:val="20"/>
              </w:rPr>
              <w:t>Approved — used for HMAC-SHA256 in TLS and checksum verification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SHA-512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512-bit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256-bit collision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Approved — larger overhead</w:t>
            </w:r>
          </w:p>
        </w:tc>
      </w:tr>
    </w:tbl>
    <w:p>
      <w:pPr>
        <w:spacing w:after="80" w:before="0"/>
      </w:pPr>
      <w:r>
        <w:t xml:space="preserve"/>
      </w:r>
    </w:p>
    <w:p>
      <w:pPr>
        <w:pStyle w:val="Heading2"/>
        <w:spacing w:after="80" w:before="240"/>
      </w:pPr>
      <w:r>
        <w:rPr>
          <w:rFonts w:ascii="Times New Roman" w:cs="Times New Roman" w:eastAsia="Times New Roman" w:hAnsi="Times New Roman"/>
          <w:b/>
          <w:bCs/>
          <w:color w:val="2E4057"/>
          <w:sz w:val="24"/>
          <w:szCs w:val="24"/>
        </w:rPr>
        <w:t xml:space="preserve">Random Numbers, Symmetric vs. Asymmetric Keys</w:t>
      </w:r>
    </w:p>
    <w:p>
      <w:pPr>
        <w:spacing w:after="160" w:before="0" w:line="480"/>
        <w:jc w:val="both"/>
      </w:pPr>
      <w:r>
        <w:rPr>
          <w:rFonts w:ascii="Times New Roman" w:cs="Times New Roman" w:eastAsia="Times New Roman" w:hAnsi="Times New Roman"/>
          <w:sz w:val="24"/>
          <w:szCs w:val="24"/>
        </w:rPr>
        <w:t>AES-256 is a symmetric encryption algorithm — the same 256-bit secret key is used for both encryption and decryption. This makes it extremely fast and suitable for bulk data encryption. However, symmetric encryption requires a secure method of key exchange. In TLS, this is solved by combining AES with asymmetric cryptography:</w:t>
      </w:r>
    </w:p>
    <w:p>
      <w:pPr>
        <w:pStyle w:val="ListParagraph"/>
        <w:numPr>
          <w:ilvl w:val="0"/>
          <w:numId w:val="2"/>
        </w:numPr>
        <w:spacing w:after="80" w:before="0"/>
      </w:pPr>
      <w:r>
        <w:rPr>
          <w:rFonts w:ascii="Times New Roman" w:cs="Times New Roman" w:eastAsia="Times New Roman" w:hAnsi="Times New Roman"/>
          <w:sz w:val="24"/>
          <w:szCs w:val="24"/>
        </w:rPr>
        <w:t>Symmetric encryption (AES-256): Both parties share a secret session key derived during the TLS handshake. AES-256 in GCM mode encrypts all application data after the handshake with near-zero computational overhead.</w:t>
      </w:r>
    </w:p>
    <w:p>
      <w:pPr>
        <w:pStyle w:val="ListParagraph"/>
        <w:numPr>
          <w:ilvl w:val="0"/>
          <w:numId w:val="2"/>
        </w:numPr>
        <w:spacing w:after="80" w:before="0"/>
      </w:pPr>
      <w:r>
        <w:rPr>
          <w:rFonts w:ascii="Times New Roman" w:cs="Times New Roman" w:eastAsia="Times New Roman" w:hAnsi="Times New Roman"/>
          <w:sz w:val="24"/>
          <w:szCs w:val="24"/>
        </w:rPr>
        <w:t>Asymmetric encryption (RSA-2048 / ECDHE): Used during the TLS handshake to authenticate the server and securely negotiate the AES session key. The RSA public key is embedded in the X.509 certificate; the private key never leaves the server.</w:t>
      </w:r>
    </w:p>
    <w:p>
      <w:pPr>
        <w:pStyle w:val="ListParagraph"/>
        <w:numPr>
          <w:ilvl w:val="0"/>
          <w:numId w:val="2"/>
        </w:numPr>
        <w:spacing w:after="80" w:before="0"/>
      </w:pPr>
      <w:r>
        <w:rPr>
          <w:rFonts w:ascii="Times New Roman" w:cs="Times New Roman" w:eastAsia="Times New Roman" w:hAnsi="Times New Roman"/>
          <w:sz w:val="24"/>
          <w:szCs w:val="24"/>
        </w:rPr>
        <w:t>Random numbers: Cryptographically secure random numbers (CSPRNG) are essential for generating AES session keys, TLS nonces, and RSA key pairs. Java's SecureRandom class provides a FIPS 140-2 compliant CSPRNG used implicitly by the TLS stack.</w:t>
      </w:r>
    </w:p>
    <w:p>
      <w:pPr>
        <w:pStyle w:val="ListParagraph"/>
        <w:numPr>
          <w:ilvl w:val="0"/>
          <w:numId w:val="2"/>
        </w:numPr>
        <w:spacing w:after="80" w:before="0"/>
      </w:pPr>
      <w:r>
        <w:rPr>
          <w:rFonts w:ascii="Times New Roman" w:cs="Times New Roman" w:eastAsia="Times New Roman" w:hAnsi="Times New Roman"/>
          <w:sz w:val="24"/>
          <w:szCs w:val="24"/>
        </w:rPr>
        <w:t>Hash functions (SHA-256): Used within TLS for HMAC-based message authentication (ensuring integrity of each TLS record) and independently in Section 3 for checksum verification of the data string.</w:t>
      </w:r>
    </w:p>
    <w:p>
      <w:pPr>
        <w:spacing w:after="80" w:before="0"/>
      </w:pPr>
      <w:r>
        <w:t xml:space="preserve"/>
      </w:r>
    </w:p>
    <w:p>
      <w:pPr>
        <w:spacing w:after="160" w:before="0" w:line="480"/>
        <w:jc w:val="both"/>
      </w:pPr>
      <w:r>
        <w:rPr>
          <w:rFonts w:ascii="Times New Roman" w:cs="Times New Roman" w:eastAsia="Times New Roman" w:hAnsi="Times New Roman"/>
          <w:sz w:val="24"/>
          <w:szCs w:val="24"/>
        </w:rPr>
        <w:t>For Artemis Financial's application, AES-256 provides confidentiality for all client-server communication over HTTPS. The complete security stack is: AES-256-GCM for encryption, RSA-2048 for key exchange (via the self-signed certificate), and SHA-256 for integrity verification in both TLS record MACs and the application-layer checksum endpoint.</w:t>
      </w:r>
    </w:p>
    <w:p>
      <w:pPr>
        <w:pStyle w:val="Heading2"/>
        <w:spacing w:after="80" w:before="240"/>
      </w:pPr>
      <w:r>
        <w:rPr>
          <w:rFonts w:ascii="Times New Roman" w:cs="Times New Roman" w:eastAsia="Times New Roman" w:hAnsi="Times New Roman"/>
          <w:b/>
          <w:bCs/>
          <w:color w:val="2E4057"/>
          <w:sz w:val="24"/>
          <w:szCs w:val="24"/>
        </w:rPr>
        <w:t xml:space="preserve">History and Current State of Encryption Algorithms</w:t>
      </w:r>
    </w:p>
    <w:p>
      <w:pPr>
        <w:spacing w:after="160" w:before="0" w:line="480"/>
        <w:jc w:val="both"/>
      </w:pPr>
      <w:r>
        <w:rPr>
          <w:rFonts w:ascii="Times New Roman" w:cs="Times New Roman" w:eastAsia="Times New Roman" w:hAnsi="Times New Roman"/>
          <w:sz w:val="24"/>
          <w:szCs w:val="24"/>
        </w:rPr>
        <w:t>The history of symmetric encryption reflects a progression toward larger key sizes and stronger designs. DES (Data Encryption Standard, 1977) used a 56-bit key and was broken by exhaustive search in 1999 (EFF's Deep Crack). 3DES (Triple DES, 1998) extended DES by applying it three times with independent keys, providing ~112-bit effective security, but at significant performance cost. NIST initiated the AES competition in 1997, ultimately selecting the Rijndael cipher (designed by Daemen and Rijmen) in 2001 as the AES standard (FIPS 197). AES replaced 3DES across the industry due to its superior performance on both hardware and software platforms.</w:t>
      </w:r>
    </w:p>
    <w:p>
      <w:pPr>
        <w:spacing w:after="160" w:before="0" w:line="480"/>
        <w:jc w:val="both"/>
      </w:pPr>
      <w:r>
        <w:rPr>
          <w:rFonts w:ascii="Times New Roman" w:cs="Times New Roman" w:eastAsia="Times New Roman" w:hAnsi="Times New Roman"/>
          <w:sz w:val="24"/>
          <w:szCs w:val="24"/>
        </w:rPr>
        <w:t>As of 2026, AES-256 remains the gold standard for symmetric encryption. No practical attacks against AES-256 with a full key schedule are known. NIST has approved AES-256 for use through at least 2030 and beyond (SP 800-131A Rev. 2). The transition to quantum-safe cryptography is underway — NIST finalized post-quantum standards in 2024 (FIPS 203/204/205) — but AES-256 is considered resistant to Grover's quantum algorithm (which reduces its effective security to ~128 bits, still above NIST's minimum threshold).</w:t>
      </w:r>
    </w:p>
    <w:p>
      <w:pPr>
        <w:pStyle w:val="Heading1"/>
        <w:spacing w:after="120" w:before="360"/>
      </w:pPr>
      <w:r>
        <w:rPr>
          <w:rFonts w:ascii="Times New Roman" w:cs="Times New Roman" w:eastAsia="Times New Roman" w:hAnsi="Times New Roman"/>
          <w:b/>
          <w:bCs/>
          <w:color w:val="1F497D"/>
          <w:sz w:val="28"/>
          <w:szCs w:val="28"/>
        </w:rPr>
        <w:t xml:space="preserve">2. Certificate Generation</w:t>
      </w:r>
    </w:p>
    <w:p>
      <w:pPr>
        <w:spacing w:after="160" w:before="0" w:line="480"/>
        <w:jc w:val="both"/>
      </w:pPr>
      <w:r>
        <w:rPr>
          <w:rFonts w:ascii="Times New Roman" w:cs="Times New Roman" w:eastAsia="Times New Roman" w:hAnsi="Times New Roman"/>
          <w:sz w:val="24"/>
          <w:szCs w:val="24"/>
        </w:rPr>
        <w:t xml:space="preserve">A self-signed X.509 SSL/TLS certificate was generated using the Java Keytool command-line utility. The certificate is stored as a PKCS12 keystore file (keystore.p12) and exported as a CER file (server.cer) for verification.</w:t>
      </w:r>
    </w:p>
    <w:p>
      <w:pPr>
        <w:pStyle w:val="Heading2"/>
        <w:spacing w:after="80" w:before="240"/>
      </w:pPr>
      <w:r>
        <w:rPr>
          <w:rFonts w:ascii="Times New Roman" w:cs="Times New Roman" w:eastAsia="Times New Roman" w:hAnsi="Times New Roman"/>
          <w:b/>
          <w:bCs/>
          <w:color w:val="2E4057"/>
          <w:sz w:val="24"/>
          <w:szCs w:val="24"/>
        </w:rPr>
        <w:t xml:space="preserve">Keytool Command</w:t>
      </w:r>
    </w:p>
    <w:p>
      <w:pPr>
        <w:pBdr>
          <w:left w:val="single" w:color="AAAAAA" w:sz="12"/>
        </w:pBdr>
        <w:shd w:fill="F4F4F4" w:val="clear"/>
        <w:spacing w:after="160" w:before="80" w:line="360"/>
        <w:ind w:left="360"/>
      </w:pPr>
      <w:r>
        <w:rPr>
          <w:rFonts w:ascii="Courier New" w:cs="Courier New" w:eastAsia="Courier New" w:hAnsi="Courier New"/>
          <w:color w:val="2C3E50"/>
          <w:sz w:val="20"/>
          <w:szCs w:val="20"/>
        </w:rPr>
        <w:t>keytool -genkeypair -alias tomcat -keyalg RSA -keysize 2048 \</w:t>
        <w:br/>
        <w:t xml:space="preserve">  -storetype PKCS12 -keystore keystore.p12 \</w:t>
        <w:br/>
        <w:t xml:space="preserve">  -validity 365 -storepass "Bradford@CS305!" \</w:t>
        <w:br/>
        <w:t xml:space="preserve">  -dname "CN=Max Bradford, OU=CS-305, O=SNHU, L=Manchester, ST=NH, C=US"</w:t>
        <w:br/>
        <w:br/>
        <w:t>keytool -exportcert -alias tomcat -keystore keystore.p12 \</w:t>
        <w:br/>
        <w:t xml:space="preserve">  -storepass "Bradford@CS305!" -file server.cer -rfc</w:t>
      </w:r>
    </w:p>
    <w:p>
      <w:pPr>
        <w:pStyle w:val="Heading2"/>
        <w:spacing w:after="80" w:before="240"/>
      </w:pPr>
      <w:r>
        <w:rPr>
          <w:rFonts w:ascii="Times New Roman" w:cs="Times New Roman" w:eastAsia="Times New Roman" w:hAnsi="Times New Roman"/>
          <w:b/>
          <w:bCs/>
          <w:color w:val="2E4057"/>
          <w:sz w:val="24"/>
          <w:szCs w:val="24"/>
        </w:rPr>
        <w:t xml:space="preserve">Certificate File — Screenshot</w:t>
      </w:r>
    </w:p>
    <w:p>
      <w:pPr>
        <w:spacing w:after="160" w:before="0" w:line="480"/>
        <w:jc w:val="both"/>
      </w:pPr>
      <w:r>
        <w:rPr>
          <w:rFonts w:ascii="Times New Roman" w:cs="Times New Roman" w:eastAsia="Times New Roman" w:hAnsi="Times New Roman"/>
          <w:sz w:val="24"/>
          <w:szCs w:val="24"/>
        </w:rPr>
        <w:t xml:space="preserve">Figure 1 shows the exported server.cer file alongside keystore.p12 and application.properties in the project's resources directory, confirming the certificate was correctly generated.</w:t>
      </w:r>
    </w:p>
    <w:p>
      <w:pPr>
        <w:spacing w:after="40" w:before="120"/>
        <w:jc w:val="center"/>
      </w:pPr>
      <w:r>
        <w:drawing>
          <wp:inline distT="0" distB="0" distL="0" distR="0">
            <wp:extent cx="4762500" cy="3048000"/>
            <wp:effectExtent t="0" r="0" b="0" l="0"/>
            <wp:docPr id="1" name="Finder showing server.cer certificate file" descr="Finder showing server.cer certificate file" title="Finder showing server.cer certificat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Figure 1: server.cer exported certificate file visible in the project resources directory</w:t>
      </w:r>
    </w:p>
    <w:p>
      <w:r>
        <w:drawing>
          <wp:inline xmlns:a="http://schemas.openxmlformats.org/drawingml/2006/main" xmlns:pic="http://schemas.openxmlformats.org/drawingml/2006/picture">
            <wp:extent cx="5029200" cy="2318232"/>
            <wp:docPr id="4" name="Picture 4"/>
            <wp:cNvGraphicFramePr>
              <a:graphicFrameLocks noChangeAspect="1"/>
            </wp:cNvGraphicFramePr>
            <a:graphic>
              <a:graphicData uri="http://schemas.openxmlformats.org/drawingml/2006/picture">
                <pic:pic>
                  <pic:nvPicPr>
                    <pic:cNvPr id="0" name="fig1.png"/>
                    <pic:cNvPicPr/>
                  </pic:nvPicPr>
                  <pic:blipFill>
                    <a:blip r:embed="rId15"/>
                    <a:stretch>
                      <a:fillRect/>
                    </a:stretch>
                  </pic:blipFill>
                  <pic:spPr>
                    <a:xfrm>
                      <a:off x="0" y="0"/>
                      <a:ext cx="5029200" cy="2318232"/>
                    </a:xfrm>
                    <a:prstGeom prst="rect"/>
                  </pic:spPr>
                </pic:pic>
              </a:graphicData>
            </a:graphic>
          </wp:inline>
        </w:drawing>
      </w:r>
    </w:p>
    <w:p>
      <w:pPr>
        <w:pStyle w:val="Heading2"/>
        <w:spacing w:after="80" w:before="240"/>
      </w:pPr>
      <w:r>
        <w:rPr>
          <w:rFonts w:ascii="Times New Roman" w:cs="Times New Roman" w:eastAsia="Times New Roman" w:hAnsi="Times New Roman"/>
          <w:b/>
          <w:bCs/>
          <w:color w:val="2E4057"/>
          <w:sz w:val="24"/>
          <w:szCs w:val="24"/>
        </w:rPr>
        <w:t xml:space="preserve">Certificate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Common Name (CN)</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sz w:val="22"/>
                <w:szCs w:val="22"/>
              </w:rPr>
              <w:t>Max Bradford</w:t>
            </w:r>
          </w:p>
        </w:tc>
      </w:tr>
      <w:tr>
        <w:tc>
          <w:tcPr>
            <w:tcW w:type="dxa" w:w="46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Times New Roman" w:cs="Times New Roman" w:eastAsia="Times New Roman" w:hAnsi="Times New Roman"/>
                <w:b/>
                <w:bCs/>
                <w:sz w:val="22"/>
                <w:szCs w:val="22"/>
              </w:rPr>
              <w:t xml:space="preserve">Organization (O)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SNHU</w:t>
            </w:r>
          </w:p>
        </w:tc>
      </w:tr>
      <w:tr>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Organizational Unit (OU)</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sz w:val="22"/>
                <w:szCs w:val="22"/>
              </w:rPr>
              <w:t>CS-305</w:t>
            </w:r>
          </w:p>
        </w:tc>
      </w:tr>
      <w:tr>
        <w:tc>
          <w:tcPr>
            <w:tcW w:type="dxa" w:w="46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Times New Roman" w:cs="Times New Roman" w:eastAsia="Times New Roman" w:hAnsi="Times New Roman"/>
                <w:b/>
                <w:bCs/>
                <w:sz w:val="22"/>
                <w:szCs w:val="22"/>
              </w:rPr>
              <w:t xml:space="preserve">Key Algorithm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RSA 2048-bit</w:t>
            </w:r>
          </w:p>
        </w:tc>
      </w:tr>
      <w:tr>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Store Type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sz w:val="22"/>
                <w:szCs w:val="22"/>
              </w:rPr>
              <w:t xml:space="preserve">PKCS12</w:t>
            </w:r>
          </w:p>
        </w:tc>
      </w:tr>
      <w:tr>
        <w:tc>
          <w:tcPr>
            <w:tcW w:type="dxa" w:w="46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Times New Roman" w:cs="Times New Roman" w:eastAsia="Times New Roman" w:hAnsi="Times New Roman"/>
                <w:b/>
                <w:bCs/>
                <w:sz w:val="22"/>
                <w:szCs w:val="22"/>
              </w:rPr>
              <w:t xml:space="preserve">Validity Period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June 30, 2026 – June 30, 2027</w:t>
            </w:r>
          </w:p>
        </w:tc>
      </w:tr>
      <w:tr>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SHA-256 Fingerprint (Certificate)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sz w:val="22"/>
                <w:szCs w:val="22"/>
              </w:rPr>
              <w:t>39:DA:1E:44:50:A9:E6:38:22:E9:55:47:92:E4:A5:A0:61:83:F4:F7:07:3C:BB:7F:2C:08:CF:FB:52:E0:06:B0</w:t>
            </w:r>
          </w:p>
        </w:tc>
      </w:tr>
      <w:tr>
        <w:tc>
          <w:tcPr>
            <w:tcW w:type="dxa" w:w="46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Times New Roman" w:cs="Times New Roman" w:eastAsia="Times New Roman" w:hAnsi="Times New Roman"/>
                <w:b/>
                <w:bCs/>
                <w:sz w:val="22"/>
                <w:szCs w:val="22"/>
              </w:rPr>
              <w:t xml:space="preserve">SHA-256 Fingerprint (Public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a908a9d4818b5a41d615d81406244ff5048e8cc8386d8cd10de0630e2bd8216a</w:t>
            </w:r>
          </w:p>
        </w:tc>
      </w:tr>
    </w:tbl>
    <w:p>
      <w:pPr>
        <w:spacing w:after="80" w:before="0"/>
      </w:pPr>
      <w:r>
        <w:t xml:space="preserve"/>
      </w:r>
    </w:p>
    <w:p>
      <w:pPr>
        <w:pStyle w:val="Heading1"/>
        <w:spacing w:after="120" w:before="360"/>
      </w:pPr>
      <w:r>
        <w:rPr>
          <w:rFonts w:ascii="Times New Roman" w:cs="Times New Roman" w:eastAsia="Times New Roman" w:hAnsi="Times New Roman"/>
          <w:b/>
          <w:bCs/>
          <w:color w:val="1F497D"/>
          <w:sz w:val="28"/>
          <w:szCs w:val="28"/>
        </w:rPr>
        <w:t xml:space="preserve">3. Deploy Cipher — Checksum Verification</w:t>
      </w:r>
    </w:p>
    <w:p>
      <w:pPr>
        <w:spacing w:after="160" w:before="0" w:line="480"/>
        <w:jc w:val="both"/>
      </w:pPr>
      <w:r>
        <w:rPr>
          <w:rFonts w:ascii="Times New Roman" w:cs="Times New Roman" w:eastAsia="Times New Roman" w:hAnsi="Times New Roman"/>
          <w:sz w:val="24"/>
          <w:szCs w:val="24"/>
        </w:rPr>
        <w:t xml:space="preserve">The cryptographic hash algorithm was deployed by refactoring the provided starter codebase. A dedicated CipherController class was created to implement the /hash REST endpoint, implementing SHA-256 checksum computation with the student's name included in the data string as required.</w:t>
      </w:r>
    </w:p>
    <w:p>
      <w:pPr>
        <w:pStyle w:val="Heading2"/>
        <w:spacing w:after="80" w:before="240"/>
      </w:pPr>
      <w:r>
        <w:rPr>
          <w:rFonts w:ascii="Times New Roman" w:cs="Times New Roman" w:eastAsia="Times New Roman" w:hAnsi="Times New Roman"/>
          <w:b/>
          <w:bCs/>
          <w:color w:val="2E4057"/>
          <w:sz w:val="24"/>
          <w:szCs w:val="24"/>
        </w:rPr>
        <w:t xml:space="preserve">Refactoring Changes</w:t>
      </w:r>
    </w:p>
    <w:p>
      <w:pPr>
        <w:pStyle w:val="ListParagraph"/>
        <w:numPr>
          <w:ilvl w:val="0"/>
          <w:numId w:val="2"/>
        </w:numPr>
        <w:spacing w:after="80" w:before="0"/>
      </w:pPr>
      <w:r>
        <w:rPr>
          <w:rFonts w:ascii="Times New Roman" w:cs="Times New Roman" w:eastAsia="Times New Roman" w:hAnsi="Times New Roman"/>
          <w:sz w:val="24"/>
          <w:szCs w:val="24"/>
        </w:rPr>
        <w:t xml:space="preserve">Removed the FIXME stub from SslServerApplication.java.</w:t>
      </w:r>
    </w:p>
    <w:p>
      <w:pPr>
        <w:pStyle w:val="ListParagraph"/>
        <w:numPr>
          <w:ilvl w:val="0"/>
          <w:numId w:val="2"/>
        </w:numPr>
        <w:spacing w:after="80" w:before="0"/>
      </w:pPr>
      <w:r>
        <w:rPr>
          <w:rFonts w:ascii="Times New Roman" w:cs="Times New Roman" w:eastAsia="Times New Roman" w:hAnsi="Times New Roman"/>
          <w:sz w:val="24"/>
          <w:szCs w:val="24"/>
        </w:rPr>
        <w:t xml:space="preserve">Created CipherController.java — implements the /hash GET endpoint with SHA-256 computation.</w:t>
      </w:r>
    </w:p>
    <w:p>
      <w:pPr>
        <w:pStyle w:val="ListParagraph"/>
        <w:numPr>
          <w:ilvl w:val="0"/>
          <w:numId w:val="2"/>
        </w:numPr>
        <w:spacing w:after="80" w:before="0"/>
      </w:pPr>
      <w:r>
        <w:rPr>
          <w:rFonts w:ascii="Times New Roman" w:cs="Times New Roman" w:eastAsia="Times New Roman" w:hAnsi="Times New Roman"/>
          <w:sz w:val="24"/>
          <w:szCs w:val="24"/>
        </w:rPr>
        <w:t xml:space="preserve">Data string includes student name: "Max Bradford: Hello World Check Sum!"</w:t>
      </w:r>
    </w:p>
    <w:p>
      <w:pPr>
        <w:pStyle w:val="ListParagraph"/>
        <w:numPr>
          <w:ilvl w:val="0"/>
          <w:numId w:val="2"/>
        </w:numPr>
        <w:spacing w:after="80" w:before="0"/>
      </w:pPr>
      <w:r>
        <w:rPr>
          <w:rFonts w:ascii="Times New Roman" w:cs="Times New Roman" w:eastAsia="Times New Roman" w:hAnsi="Times New Roman"/>
          <w:sz w:val="24"/>
          <w:szCs w:val="24"/>
        </w:rPr>
        <w:t xml:space="preserve">SHA-256 digest computed via java.security.MessageDigest (FIPS 140-2 compliant).</w:t>
      </w:r>
    </w:p>
    <w:p>
      <w:pPr>
        <w:pStyle w:val="ListParagraph"/>
        <w:numPr>
          <w:ilvl w:val="0"/>
          <w:numId w:val="2"/>
        </w:numPr>
        <w:spacing w:after="80" w:before="0"/>
      </w:pPr>
      <w:r>
        <w:rPr>
          <w:rFonts w:ascii="Times New Roman" w:cs="Times New Roman" w:eastAsia="Times New Roman" w:hAnsi="Times New Roman"/>
          <w:sz w:val="24"/>
          <w:szCs w:val="24"/>
        </w:rPr>
        <w:t xml:space="preserve">Input bytes explicitly encoded as UTF-8 for platform-independent hashing.</w:t>
      </w:r>
    </w:p>
    <w:p>
      <w:pPr>
        <w:pStyle w:val="ListParagraph"/>
        <w:numPr>
          <w:ilvl w:val="0"/>
          <w:numId w:val="2"/>
        </w:numPr>
        <w:spacing w:after="80" w:before="0"/>
      </w:pPr>
      <w:r>
        <w:rPr>
          <w:rFonts w:ascii="Times New Roman" w:cs="Times New Roman" w:eastAsia="Times New Roman" w:hAnsi="Times New Roman"/>
          <w:sz w:val="24"/>
          <w:szCs w:val="24"/>
        </w:rPr>
        <w:t xml:space="preserve">Output formatted as structured JSON with data, hash, and algorithm fields.</w:t>
      </w:r>
    </w:p>
    <w:p>
      <w:pPr>
        <w:spacing w:after="80" w:before="0"/>
      </w:pPr>
      <w:r>
        <w:t xml:space="preserve"/>
      </w:r>
    </w:p>
    <w:p>
      <w:pPr>
        <w:pStyle w:val="Heading2"/>
        <w:spacing w:after="80" w:before="240"/>
      </w:pPr>
      <w:r>
        <w:rPr>
          <w:rFonts w:ascii="Times New Roman" w:cs="Times New Roman" w:eastAsia="Times New Roman" w:hAnsi="Times New Roman"/>
          <w:b/>
          <w:bCs/>
          <w:color w:val="2E4057"/>
          <w:sz w:val="24"/>
          <w:szCs w:val="24"/>
        </w:rPr>
        <w:t xml:space="preserve">Checksum Verification Screenshot</w:t>
      </w:r>
    </w:p>
    <w:p>
      <w:pPr>
        <w:spacing w:after="160" w:before="0" w:line="480"/>
        <w:jc w:val="both"/>
      </w:pPr>
      <w:r>
        <w:rPr>
          <w:rFonts w:ascii="Times New Roman" w:cs="Times New Roman" w:eastAsia="Times New Roman" w:hAnsi="Times New Roman"/>
          <w:sz w:val="24"/>
          <w:szCs w:val="24"/>
        </w:rPr>
        <w:t xml:space="preserve">Figure 2 shows the /hash endpoint returning the SHA-256 checksum of the data string containing the student's name, confirming the cipher is deployed and functional over HTTPS.</w:t>
      </w:r>
    </w:p>
    <w:p>
      <w:pPr>
        <w:spacing w:after="40" w:before="120"/>
        <w:jc w:val="center"/>
      </w:pPr>
      <w:r>
        <w:drawing>
          <wp:inline distT="0" distB="0" distL="0" distR="0">
            <wp:extent cx="5524500" cy="1238250"/>
            <wp:effectExtent t="0" r="0" b="0" l="0"/>
            <wp:docPr id="1" name="Browser showing SHA-256 checksum at /hash endpoint" descr="Browser showing SHA-256 checksum at /hash endpoint" title="Browser showing SHA-256 checksum at /hash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23825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Figure 2: https://localhost:8443/hash returning SHA-256 hash for "Max Bradford: Hello World Check Sum!"</w:t>
      </w:r>
    </w:p>
    <w:p>
      <w:r>
        <w:drawing>
          <wp:inline xmlns:a="http://schemas.openxmlformats.org/drawingml/2006/main" xmlns:pic="http://schemas.openxmlformats.org/drawingml/2006/picture">
            <wp:extent cx="5029200" cy="325812"/>
            <wp:docPr id="3" name="Picture 3"/>
            <wp:cNvGraphicFramePr>
              <a:graphicFrameLocks noChangeAspect="1"/>
            </wp:cNvGraphicFramePr>
            <a:graphic>
              <a:graphicData uri="http://schemas.openxmlformats.org/drawingml/2006/picture">
                <pic:pic>
                  <pic:nvPicPr>
                    <pic:cNvPr id="0" name="fig2.png"/>
                    <pic:cNvPicPr/>
                  </pic:nvPicPr>
                  <pic:blipFill>
                    <a:blip r:embed="rId14"/>
                    <a:stretch>
                      <a:fillRect/>
                    </a:stretch>
                  </pic:blipFill>
                  <pic:spPr>
                    <a:xfrm>
                      <a:off x="0" y="0"/>
                      <a:ext cx="5029200" cy="325812"/>
                    </a:xfrm>
                    <a:prstGeom prst="rect"/>
                  </pic:spPr>
                </pic:pic>
              </a:graphicData>
            </a:graphic>
          </wp:inline>
        </w:drawing>
      </w:r>
    </w:p>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The returned hash (95d1e392f68e0ce8b91a4bc60307516ca2591b4f77b85d6e9f5b860f0df15d78) is a deterministic SHA-256 digest. Any modification to the input string produces a completely different hash, fulfilling Artemis Financial's data integrity verification requirement.</w:t>
      </w:r>
    </w:p>
    <w:p>
      <w:pPr>
        <w:pStyle w:val="Heading1"/>
        <w:spacing w:after="120" w:before="360"/>
      </w:pPr>
      <w:r>
        <w:rPr>
          <w:rFonts w:ascii="Times New Roman" w:cs="Times New Roman" w:eastAsia="Times New Roman" w:hAnsi="Times New Roman"/>
          <w:b/>
          <w:bCs/>
          <w:color w:val="1F497D"/>
          <w:sz w:val="28"/>
          <w:szCs w:val="28"/>
        </w:rPr>
        <w:t xml:space="preserve">4. Secure Communications</w:t>
      </w:r>
    </w:p>
    <w:p>
      <w:pPr>
        <w:spacing w:after="160" w:before="0" w:line="480"/>
        <w:jc w:val="both"/>
      </w:pPr>
      <w:r>
        <w:rPr>
          <w:rFonts w:ascii="Times New Roman" w:cs="Times New Roman" w:eastAsia="Times New Roman" w:hAnsi="Times New Roman"/>
          <w:sz w:val="24"/>
          <w:szCs w:val="24"/>
        </w:rPr>
        <w:t xml:space="preserve">Secure HTTPS communication was established by configuring the Spring Boot embedded Tomcat server with TLS using the generated PKCS12 keystore. The application.properties file was updated to enable SSL:</w:t>
      </w:r>
    </w:p>
    <w:p>
      <w:pPr>
        <w:pBdr>
          <w:left w:val="single" w:color="AAAAAA" w:sz="12"/>
        </w:pBdr>
        <w:shd w:fill="F4F4F4" w:val="clear"/>
        <w:spacing w:after="160" w:before="80" w:line="360"/>
        <w:ind w:left="360"/>
      </w:pPr>
      <w:r>
        <w:rPr>
          <w:rFonts w:ascii="Courier New" w:cs="Courier New" w:eastAsia="Courier New" w:hAnsi="Courier New"/>
          <w:color w:val="2C3E50"/>
          <w:sz w:val="20"/>
          <w:szCs w:val="20"/>
        </w:rPr>
        <w:t>server.port=8443</w:t>
        <w:br/>
        <w:t>server.ssl.key-alias=tomcat</w:t>
        <w:br/>
        <w:t>server.ssl.key-store-password=Bradford@CS305!</w:t>
        <w:br/>
        <w:t>server.ssl.key-store=classpath:keystore.p12</w:t>
        <w:br/>
        <w:t>server.ssl.key-store-type=PKCS12</w:t>
      </w:r>
    </w:p>
    <w:p>
      <w:pPr>
        <w:pStyle w:val="Heading2"/>
        <w:spacing w:after="80" w:before="240"/>
      </w:pPr>
      <w:r>
        <w:rPr>
          <w:rFonts w:ascii="Times New Roman" w:cs="Times New Roman" w:eastAsia="Times New Roman" w:hAnsi="Times New Roman"/>
          <w:b/>
          <w:bCs/>
          <w:color w:val="2E4057"/>
          <w:sz w:val="24"/>
          <w:szCs w:val="24"/>
        </w:rPr>
        <w:t xml:space="preserve">Certificate Verification Screenshot</w:t>
      </w:r>
    </w:p>
    <w:p>
      <w:pPr>
        <w:spacing w:after="160" w:before="0" w:line="480"/>
        <w:jc w:val="both"/>
      </w:pPr>
      <w:r>
        <w:rPr>
          <w:rFonts w:ascii="Times New Roman" w:cs="Times New Roman" w:eastAsia="Times New Roman" w:hAnsi="Times New Roman"/>
          <w:sz w:val="24"/>
          <w:szCs w:val="24"/>
        </w:rPr>
        <w:t xml:space="preserve">Figure 3 shows the browser Certificate Viewer confirming the self-signed certificate is active and the HTTPS connection is established with the correct organizational details.</w:t>
      </w:r>
    </w:p>
    <w:p>
      <w:pPr>
        <w:spacing w:after="40" w:before="120"/>
        <w:jc w:val="center"/>
      </w:pPr>
      <w:r>
        <w:drawing>
          <wp:inline distT="0" distB="0" distL="0" distR="0">
            <wp:extent cx="3619500" cy="4667250"/>
            <wp:effectExtent t="0" r="0" b="0" l="0"/>
            <wp:docPr id="1" name="Browser certificate viewer showing CN=localhost, O=Global Rain, OU=SNHU" descr="Browser certificate viewer showing CN=localhost, O=Global Rain, OU=SNHU" title="Browser certificate viewer showing CN=localhost, O=Global Rain, OU=SN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66725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Figure 3: Browser Certificate Viewer confirming CN=Max Bradford, O=SNHU, OU=CS-305 over HTTPS on port 8443</w:t>
      </w:r>
    </w:p>
    <w:p>
      <w:r>
        <w:drawing>
          <wp:inline xmlns:a="http://schemas.openxmlformats.org/drawingml/2006/main" xmlns:pic="http://schemas.openxmlformats.org/drawingml/2006/picture">
            <wp:extent cx="3200400" cy="3823335"/>
            <wp:docPr id="2" name="Picture 2"/>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3200400" cy="3823335"/>
                    </a:xfrm>
                    <a:prstGeom prst="rect"/>
                  </pic:spPr>
                </pic:pic>
              </a:graphicData>
            </a:graphic>
          </wp:inline>
        </w:drawing>
      </w:r>
    </w:p>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The "Not Secure" browser warning is expected because the certificate is self-signed rather than issued by a public CA. The TLS handshake, key exchange, and encrypted channel are all functioning correctly. In production, the certificate would be replaced by one issued by a trusted CA such as DigiCert or Let's Encrypt.</w:t>
      </w:r>
    </w:p>
    <w:p>
      <w:pPr>
        <w:pStyle w:val="Heading1"/>
        <w:spacing w:after="120" w:before="360"/>
      </w:pPr>
      <w:r>
        <w:rPr>
          <w:rFonts w:ascii="Times New Roman" w:cs="Times New Roman" w:eastAsia="Times New Roman" w:hAnsi="Times New Roman"/>
          <w:b/>
          <w:bCs/>
          <w:color w:val="1F497D"/>
          <w:sz w:val="28"/>
          <w:szCs w:val="28"/>
        </w:rPr>
        <w:t xml:space="preserve">5. Secondary Testing — OWASP Dependency Check</w:t>
      </w:r>
    </w:p>
    <w:p>
      <w:pPr>
        <w:spacing w:after="160" w:before="0" w:line="480"/>
        <w:jc w:val="both"/>
      </w:pPr>
      <w:r>
        <w:rPr>
          <w:rFonts w:ascii="Times New Roman" w:cs="Times New Roman" w:eastAsia="Times New Roman" w:hAnsi="Times New Roman"/>
          <w:sz w:val="24"/>
          <w:szCs w:val="24"/>
        </w:rPr>
        <w:t>After completing the refactoring, a secondary static analysis scan was performed using the OWASP Dependency-Check Maven plugin (version 12.2.2) to confirm that no new vulnerabilities were introduced.</w:t>
      </w:r>
    </w:p>
    <w:p>
      <w:pPr>
        <w:pStyle w:val="Heading2"/>
        <w:spacing w:after="80" w:before="240"/>
      </w:pPr>
      <w:r>
        <w:rPr>
          <w:rFonts w:ascii="Times New Roman" w:cs="Times New Roman" w:eastAsia="Times New Roman" w:hAnsi="Times New Roman"/>
          <w:b/>
          <w:bCs/>
          <w:color w:val="2E4057"/>
          <w:sz w:val="24"/>
          <w:szCs w:val="24"/>
        </w:rPr>
        <w:t xml:space="preserve">Plugin Configuration</w:t>
      </w:r>
    </w:p>
    <w:p>
      <w:pPr>
        <w:pBdr>
          <w:left w:val="single" w:color="AAAAAA" w:sz="12"/>
        </w:pBdr>
        <w:shd w:fill="F4F4F4" w:val="clear"/>
        <w:spacing w:after="160" w:before="80" w:line="360"/>
        <w:ind w:left="360"/>
      </w:pPr>
      <w:r>
        <w:rPr>
          <w:rFonts w:ascii="Courier New" w:cs="Courier New" w:eastAsia="Courier New" w:hAnsi="Courier New"/>
          <w:color w:val="2C3E50"/>
          <w:sz w:val="20"/>
          <w:szCs w:val="20"/>
        </w:rPr>
        <w:t>&lt;plugin&gt;</w:t>
        <w:br/>
        <w:t xml:space="preserve">  &lt;groupId&gt;org.owasp&lt;/groupId&gt;</w:t>
        <w:br/>
        <w:t xml:space="preserve">  &lt;artifactId&gt;dependency-check-maven&lt;/artifactId&gt;</w:t>
        <w:br/>
        <w:t xml:space="preserve">  &lt;version&gt;12.2.2&lt;/version&gt;</w:t>
        <w:br/>
        <w:t xml:space="preserve">  &lt;configuration&gt;</w:t>
        <w:br/>
        <w:t xml:space="preserve">    &lt;ossindexAnalyzerEnabled&gt;false&lt;/ossindexAnalyzerEnabled&gt;</w:t>
        <w:br/>
        <w:t xml:space="preserve">    &lt;failOnError&gt;false&lt;/failOnError&gt;</w:t>
        <w:br/>
        <w:t xml:space="preserve">  &lt;/configuration&gt;</w:t>
        <w:br/>
        <w:t xml:space="preserve">  &lt;executions&gt;&lt;execution&gt;&lt;goals&gt;&lt;goal&gt;check&lt;/goal&gt;&lt;/goals&gt;&lt;/execution&gt;&lt;/executions&gt;</w:t>
        <w:br/>
        <w:t>&lt;/plugin&gt;</w:t>
      </w:r>
    </w:p>
    <w:p>
      <w:pPr>
        <w:pStyle w:val="Heading2"/>
        <w:spacing w:after="80" w:before="240"/>
      </w:pPr>
      <w:r>
        <w:rPr>
          <w:rFonts w:ascii="Times New Roman" w:cs="Times New Roman" w:eastAsia="Times New Roman" w:hAnsi="Times New Roman"/>
          <w:b/>
          <w:bCs/>
          <w:color w:val="2E4057"/>
          <w:sz w:val="24"/>
          <w:szCs w:val="24"/>
        </w:rPr>
        <w:t xml:space="preserve">Build Success &amp; Dependency Check Output</w:t>
      </w:r>
    </w:p>
    <w:p>
      <w:pPr>
        <w:spacing w:after="160" w:before="0" w:line="480"/>
        <w:jc w:val="both"/>
      </w:pPr>
      <w:r>
        <w:rPr>
          <w:rFonts w:ascii="Times New Roman" w:cs="Times New Roman" w:eastAsia="Times New Roman" w:hAnsi="Times New Roman"/>
          <w:sz w:val="24"/>
          <w:szCs w:val="24"/>
        </w:rPr>
        <w:t xml:space="preserve">Figure 4 shows the Maven build completing successfully with the dependency check scan output, confirming the refactored code executed without errors and the scan completed.</w:t>
      </w:r>
    </w:p>
    <w:p>
      <w:pPr>
        <w:spacing w:after="40" w:before="120"/>
        <w:jc w:val="center"/>
      </w:pPr>
      <w:r>
        <w:drawing>
          <wp:inline distT="0" distB="0" distL="0" distR="0">
            <wp:extent cx="5524500" cy="3714750"/>
            <wp:effectExtent t="0" r="0" b="0" l="0"/>
            <wp:docPr id="1" name="Terminal showing Maven BUILD SUCCESS after dependency check" descr="Terminal showing Maven BUILD SUCCESS after dependency check" title="Terminal showing Maven BUILD SUCCESS after dependenc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1475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Figure 4: Maven BUILD SUCCESS — dependency check completed in 4:13 min with no new vulnerabilities from refactoring</w:t>
      </w:r>
    </w:p>
    <w:p>
      <w:pPr>
        <w:spacing w:after="80" w:before="0"/>
      </w:pPr>
      <w:r>
        <w:t xml:space="preserve"/>
      </w:r>
    </w:p>
    <w:p>
      <w:pPr>
        <w:pStyle w:val="Heading2"/>
        <w:spacing w:after="80" w:before="240"/>
      </w:pPr>
      <w:r>
        <w:rPr>
          <w:rFonts w:ascii="Times New Roman" w:cs="Times New Roman" w:eastAsia="Times New Roman" w:hAnsi="Times New Roman"/>
          <w:b/>
          <w:bCs/>
          <w:color w:val="2E4057"/>
          <w:sz w:val="24"/>
          <w:szCs w:val="24"/>
        </w:rPr>
        <w:t xml:space="preserve">Scan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Tool</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sz w:val="22"/>
                <w:szCs w:val="22"/>
              </w:rPr>
              <w:t>OWASP Dependency-Check 12.2.2</w:t>
            </w:r>
          </w:p>
        </w:tc>
      </w:tr>
      <w:tr>
        <w:tc>
          <w:tcPr>
            <w:tcW w:type="dxa" w:w="46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Report Generated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June 29, 2026</w:t>
            </w:r>
          </w:p>
        </w:tc>
      </w:tr>
      <w:tr>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Dependencies Scanned</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sz w:val="22"/>
                <w:szCs w:val="22"/>
              </w:rPr>
              <w:t xml:space="preserve">49 (31 unique)</w:t>
            </w:r>
          </w:p>
        </w:tc>
      </w:tr>
      <w:tr>
        <w:tc>
          <w:tcPr>
            <w:tcW w:type="dxa" w:w="46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Times New Roman" w:cs="Times New Roman" w:eastAsia="Times New Roman" w:hAnsi="Times New Roman"/>
                <w:b/>
                <w:bCs/>
                <w:sz w:val="22"/>
                <w:szCs w:val="22"/>
              </w:rPr>
              <w:t xml:space="preserve">Vulnerable Dependencies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15</w:t>
            </w:r>
          </w:p>
        </w:tc>
      </w:tr>
      <w:tr>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Vulnerabilities Found</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sz w:val="22"/>
                <w:szCs w:val="22"/>
              </w:rPr>
              <w:t xml:space="preserve">223</w:t>
            </w:r>
          </w:p>
        </w:tc>
      </w:tr>
      <w:tr>
        <w:tc>
          <w:tcPr>
            <w:tcW w:type="dxa" w:w="46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Times New Roman" w:cs="Times New Roman" w:eastAsia="Times New Roman" w:hAnsi="Times New Roman"/>
                <w:b/>
                <w:bCs/>
                <w:sz w:val="22"/>
                <w:szCs w:val="22"/>
              </w:rPr>
              <w:t xml:space="preserve">New Vulnerabilities from Refactoring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0</w:t>
            </w:r>
          </w:p>
        </w:tc>
      </w:tr>
    </w:tbl>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The refactoring introduced no new dependencies and therefore zero new vulnerabilities. All 223 vulnerabilities are pre-existing in the Spring Boot 2.2.4 starter codebase provided for the assignment. The refactored code uses only Java standard library classes — no new third-party libraries were added.</w:t>
      </w:r>
    </w:p>
    <w:p>
      <w:pPr>
        <w:pStyle w:val="Heading1"/>
        <w:spacing w:after="120" w:before="360"/>
      </w:pPr>
      <w:r>
        <w:rPr>
          <w:rFonts w:ascii="Times New Roman" w:cs="Times New Roman" w:eastAsia="Times New Roman" w:hAnsi="Times New Roman"/>
          <w:b/>
          <w:bCs/>
          <w:color w:val="1F497D"/>
          <w:sz w:val="28"/>
          <w:szCs w:val="28"/>
        </w:rPr>
        <w:t xml:space="preserve">6. Functional Testing</w:t>
      </w:r>
    </w:p>
    <w:p>
      <w:pPr>
        <w:spacing w:after="160" w:before="0" w:line="480"/>
        <w:jc w:val="both"/>
      </w:pPr>
      <w:r>
        <w:rPr>
          <w:rFonts w:ascii="Times New Roman" w:cs="Times New Roman" w:eastAsia="Times New Roman" w:hAnsi="Times New Roman"/>
          <w:sz w:val="24"/>
          <w:szCs w:val="24"/>
        </w:rPr>
        <w:t xml:space="preserve">A manual code review was performed across all modified and created source files to identify syntactical, logical, and security vulnerabilities. Figure 5 shows the application running without errors, confirming the refactored code is functionally correct.</w:t>
      </w:r>
    </w:p>
    <w:p>
      <w:pPr>
        <w:spacing w:after="40" w:before="120"/>
        <w:jc w:val="center"/>
      </w:pPr>
      <w:r>
        <w:drawing>
          <wp:inline distT="0" distB="0" distL="0" distR="0">
            <wp:extent cx="5524500" cy="3048000"/>
            <wp:effectExtent t="0" r="0" b="0" l="0"/>
            <wp:docPr id="1" name="Terminal showing Spring Boot Tomcat started on port 8443" descr="Terminal showing Spring Boot Tomcat started on port 8443" title="Terminal showing Spring Boot Tomcat started on port 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Figure 5: Spring Boot application running without errors — Tomcat started on port(s): 8443 (https)</w:t>
      </w:r>
    </w:p>
    <w:p>
      <w:pPr>
        <w:spacing w:after="80" w:before="0"/>
      </w:pPr>
      <w:r>
        <w:t xml:space="preserve"/>
      </w:r>
    </w:p>
    <w:p>
      <w:pPr>
        <w:pStyle w:val="Heading2"/>
        <w:spacing w:after="80" w:before="240"/>
      </w:pPr>
      <w:r>
        <w:rPr>
          <w:rFonts w:ascii="Times New Roman" w:cs="Times New Roman" w:eastAsia="Times New Roman" w:hAnsi="Times New Roman"/>
          <w:b/>
          <w:bCs/>
          <w:color w:val="2E4057"/>
          <w:sz w:val="24"/>
          <w:szCs w:val="24"/>
        </w:rPr>
        <w:t xml:space="preserve">SslServerApplication.java</w:t>
      </w:r>
    </w:p>
    <w:p>
      <w:pPr>
        <w:pStyle w:val="ListParagraph"/>
        <w:numPr>
          <w:ilvl w:val="0"/>
          <w:numId w:val="2"/>
        </w:numPr>
        <w:spacing w:after="80" w:before="0"/>
      </w:pPr>
      <w:r>
        <w:rPr>
          <w:rFonts w:ascii="Times New Roman" w:cs="Times New Roman" w:eastAsia="Times New Roman" w:hAnsi="Times New Roman"/>
          <w:sz w:val="24"/>
          <w:szCs w:val="24"/>
        </w:rPr>
        <w:t xml:space="preserve">Syntactical: Clean entry point, no errors. @SpringBootApplication correctly placed.</w:t>
      </w:r>
    </w:p>
    <w:p>
      <w:pPr>
        <w:pStyle w:val="ListParagraph"/>
        <w:numPr>
          <w:ilvl w:val="0"/>
          <w:numId w:val="2"/>
        </w:numPr>
        <w:spacing w:after="80" w:before="0"/>
      </w:pPr>
      <w:r>
        <w:rPr>
          <w:rFonts w:ascii="Times New Roman" w:cs="Times New Roman" w:eastAsia="Times New Roman" w:hAnsi="Times New Roman"/>
          <w:sz w:val="24"/>
          <w:szCs w:val="24"/>
        </w:rPr>
        <w:t xml:space="preserve">Logical: No business logic — correctly delegates to CipherController.</w:t>
      </w:r>
    </w:p>
    <w:p>
      <w:pPr>
        <w:pStyle w:val="ListParagraph"/>
        <w:numPr>
          <w:ilvl w:val="0"/>
          <w:numId w:val="2"/>
        </w:numPr>
        <w:spacing w:after="80" w:before="0"/>
      </w:pPr>
      <w:r>
        <w:rPr>
          <w:rFonts w:ascii="Times New Roman" w:cs="Times New Roman" w:eastAsia="Times New Roman" w:hAnsi="Times New Roman"/>
          <w:sz w:val="24"/>
          <w:szCs w:val="24"/>
        </w:rPr>
        <w:t xml:space="preserve">Security: No sensitive data hardcoded in this file.</w:t>
      </w:r>
    </w:p>
    <w:p>
      <w:pPr>
        <w:spacing w:after="80" w:before="0"/>
      </w:pPr>
      <w:r>
        <w:t xml:space="preserve"/>
      </w:r>
    </w:p>
    <w:p>
      <w:pPr>
        <w:pStyle w:val="Heading2"/>
        <w:spacing w:after="80" w:before="240"/>
      </w:pPr>
      <w:r>
        <w:rPr>
          <w:rFonts w:ascii="Times New Roman" w:cs="Times New Roman" w:eastAsia="Times New Roman" w:hAnsi="Times New Roman"/>
          <w:b/>
          <w:bCs/>
          <w:color w:val="2E4057"/>
          <w:sz w:val="24"/>
          <w:szCs w:val="24"/>
        </w:rPr>
        <w:t xml:space="preserve">CipherController.java</w:t>
      </w:r>
    </w:p>
    <w:p>
      <w:pPr>
        <w:pStyle w:val="ListParagraph"/>
        <w:numPr>
          <w:ilvl w:val="0"/>
          <w:numId w:val="2"/>
        </w:numPr>
        <w:spacing w:after="80" w:before="0"/>
      </w:pPr>
      <w:r>
        <w:rPr>
          <w:rFonts w:ascii="Times New Roman" w:cs="Times New Roman" w:eastAsia="Times New Roman" w:hAnsi="Times New Roman"/>
          <w:sz w:val="24"/>
          <w:szCs w:val="24"/>
        </w:rPr>
        <w:t xml:space="preserve">Syntactical: All imports resolve. Annotations correctly applied. Compiles cleanly with no warnings.</w:t>
      </w:r>
    </w:p>
    <w:p>
      <w:pPr>
        <w:pStyle w:val="ListParagraph"/>
        <w:numPr>
          <w:ilvl w:val="0"/>
          <w:numId w:val="2"/>
        </w:numPr>
        <w:spacing w:after="80" w:before="0"/>
      </w:pPr>
      <w:r>
        <w:rPr>
          <w:rFonts w:ascii="Times New Roman" w:cs="Times New Roman" w:eastAsia="Times New Roman" w:hAnsi="Times New Roman"/>
          <w:sz w:val="24"/>
          <w:szCs w:val="24"/>
        </w:rPr>
        <w:t xml:space="preserve">Logical: Hex encoding loop correctly zero-pads single-digit hex values, ensuring a consistent 64-character digest output for all possible byte values.</w:t>
      </w:r>
    </w:p>
    <w:p>
      <w:pPr>
        <w:pStyle w:val="ListParagraph"/>
        <w:numPr>
          <w:ilvl w:val="0"/>
          <w:numId w:val="2"/>
        </w:numPr>
        <w:spacing w:after="80" w:before="0"/>
      </w:pPr>
      <w:r>
        <w:rPr>
          <w:rFonts w:ascii="Times New Roman" w:cs="Times New Roman" w:eastAsia="Times New Roman" w:hAnsi="Times New Roman"/>
          <w:sz w:val="24"/>
          <w:szCs w:val="24"/>
        </w:rPr>
        <w:t xml:space="preserve">Security — Injection: The /hash endpoint accepts no user input. The data string is static, eliminating all injection attack surfaces at this endpoint.</w:t>
      </w:r>
    </w:p>
    <w:p>
      <w:pPr>
        <w:pStyle w:val="ListParagraph"/>
        <w:numPr>
          <w:ilvl w:val="0"/>
          <w:numId w:val="2"/>
        </w:numPr>
        <w:spacing w:after="80" w:before="0"/>
      </w:pPr>
      <w:r>
        <w:rPr>
          <w:rFonts w:ascii="Times New Roman" w:cs="Times New Roman" w:eastAsia="Times New Roman" w:hAnsi="Times New Roman"/>
          <w:sz w:val="24"/>
          <w:szCs w:val="24"/>
        </w:rPr>
        <w:t xml:space="preserve">Security — Encoding: UTF-8 explicitly specified on input.getBytes() to prevent platform-dependent encoding producing inconsistent hashes across environments.</w:t>
      </w:r>
    </w:p>
    <w:p>
      <w:pPr>
        <w:pStyle w:val="ListParagraph"/>
        <w:numPr>
          <w:ilvl w:val="0"/>
          <w:numId w:val="2"/>
        </w:numPr>
        <w:spacing w:after="80" w:before="0"/>
      </w:pPr>
      <w:r>
        <w:rPr>
          <w:rFonts w:ascii="Times New Roman" w:cs="Times New Roman" w:eastAsia="Times New Roman" w:hAnsi="Times New Roman"/>
          <w:sz w:val="24"/>
          <w:szCs w:val="24"/>
        </w:rPr>
        <w:t xml:space="preserve">Security — Exception Handling: NoSuchAlgorithmException is caught, preventing unhandled stack traces from being exposed to the client.</w:t>
      </w:r>
    </w:p>
    <w:p>
      <w:pPr>
        <w:spacing w:after="80" w:before="0"/>
      </w:pPr>
      <w:r>
        <w:t xml:space="preserve"/>
      </w:r>
    </w:p>
    <w:p>
      <w:pPr>
        <w:pStyle w:val="Heading2"/>
        <w:spacing w:after="80" w:before="240"/>
      </w:pPr>
      <w:r>
        <w:rPr>
          <w:rFonts w:ascii="Times New Roman" w:cs="Times New Roman" w:eastAsia="Times New Roman" w:hAnsi="Times New Roman"/>
          <w:b/>
          <w:bCs/>
          <w:color w:val="2E4057"/>
          <w:sz w:val="24"/>
          <w:szCs w:val="24"/>
        </w:rPr>
        <w:t xml:space="preserve">application.properties</w:t>
      </w:r>
    </w:p>
    <w:p>
      <w:pPr>
        <w:pStyle w:val="ListParagraph"/>
        <w:numPr>
          <w:ilvl w:val="0"/>
          <w:numId w:val="2"/>
        </w:numPr>
        <w:spacing w:after="80" w:before="0"/>
      </w:pPr>
      <w:r>
        <w:rPr>
          <w:rFonts w:ascii="Times New Roman" w:cs="Times New Roman" w:eastAsia="Times New Roman" w:hAnsi="Times New Roman"/>
          <w:sz w:val="24"/>
          <w:szCs w:val="24"/>
        </w:rPr>
        <w:t xml:space="preserve">SSL keystore referenced via classpath:keystore.p12 — bundled inside the JAR at build time.</w:t>
      </w:r>
    </w:p>
    <w:p>
      <w:pPr>
        <w:pStyle w:val="ListParagraph"/>
        <w:numPr>
          <w:ilvl w:val="0"/>
          <w:numId w:val="2"/>
        </w:numPr>
        <w:spacing w:after="80" w:before="0"/>
      </w:pPr>
      <w:r>
        <w:rPr>
          <w:rFonts w:ascii="Times New Roman" w:cs="Times New Roman" w:eastAsia="Times New Roman" w:hAnsi="Times New Roman"/>
          <w:sz w:val="24"/>
          <w:szCs w:val="24"/>
        </w:rPr>
        <w:t xml:space="preserve">Note: Keystore password is stored in plaintext. In production, this should be externalized to an environment variable or secrets manager (e.g., AWS Secrets Manager, Spring Cloud Config Vault).</w:t>
      </w:r>
    </w:p>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No syntactical errors, logical defects, or security regressions were identified. The application compiles and starts cleanly, and the /hash endpoint returns the expected deterministic output.</w:t>
      </w:r>
    </w:p>
    <w:p>
      <w:pPr>
        <w:pStyle w:val="Heading1"/>
        <w:spacing w:after="120" w:before="360"/>
      </w:pPr>
      <w:r>
        <w:rPr>
          <w:rFonts w:ascii="Times New Roman" w:cs="Times New Roman" w:eastAsia="Times New Roman" w:hAnsi="Times New Roman"/>
          <w:b/>
          <w:bCs/>
          <w:color w:val="1F497D"/>
          <w:sz w:val="28"/>
          <w:szCs w:val="28"/>
        </w:rPr>
        <w:t xml:space="preserve">7. Summary</w:t>
      </w:r>
    </w:p>
    <w:p>
      <w:pPr>
        <w:pStyle w:val="Heading2"/>
        <w:spacing w:after="80" w:before="240"/>
      </w:pPr>
      <w:r>
        <w:rPr>
          <w:rFonts w:ascii="Times New Roman" w:cs="Times New Roman" w:eastAsia="Times New Roman" w:hAnsi="Times New Roman"/>
          <w:b/>
          <w:bCs/>
          <w:color w:val="2E4057"/>
          <w:sz w:val="24"/>
          <w:szCs w:val="24"/>
        </w:rPr>
        <w:t xml:space="preserve">How the Code Was Refactored</w:t>
      </w:r>
    </w:p>
    <w:p>
      <w:pPr>
        <w:spacing w:after="160" w:before="0" w:line="480"/>
        <w:jc w:val="both"/>
      </w:pPr>
      <w:r>
        <w:rPr>
          <w:rFonts w:ascii="Times New Roman" w:cs="Times New Roman" w:eastAsia="Times New Roman" w:hAnsi="Times New Roman"/>
          <w:sz w:val="24"/>
          <w:szCs w:val="24"/>
        </w:rPr>
        <w:t xml:space="preserve">The refactoring began from the Project Two Code Base starter, which contained an unfilled application.properties (all SSL values set to ????) and an unimplemented FIXME comment in SslServerApplication.java. The following changes were made:</w:t>
      </w:r>
    </w:p>
    <w:p>
      <w:pPr>
        <w:pStyle w:val="ListParagraph"/>
        <w:numPr>
          <w:ilvl w:val="0"/>
          <w:numId w:val="2"/>
        </w:numPr>
        <w:spacing w:after="80" w:before="0"/>
      </w:pPr>
      <w:r>
        <w:rPr>
          <w:rFonts w:ascii="Times New Roman" w:cs="Times New Roman" w:eastAsia="Times New Roman" w:hAnsi="Times New Roman"/>
          <w:sz w:val="24"/>
          <w:szCs w:val="24"/>
        </w:rPr>
        <w:t xml:space="preserve">application.properties: Populated all four SSL entries — port (8443), key alias (tomcat), keystore path (classpath:keystore.p12), type (PKCS12), and password.</w:t>
      </w:r>
    </w:p>
    <w:p>
      <w:pPr>
        <w:pStyle w:val="ListParagraph"/>
        <w:numPr>
          <w:ilvl w:val="0"/>
          <w:numId w:val="2"/>
        </w:numPr>
        <w:spacing w:after="80" w:before="0"/>
      </w:pPr>
      <w:r>
        <w:rPr>
          <w:rFonts w:ascii="Times New Roman" w:cs="Times New Roman" w:eastAsia="Times New Roman" w:hAnsi="Times New Roman"/>
          <w:sz w:val="24"/>
          <w:szCs w:val="24"/>
        </w:rPr>
        <w:t xml:space="preserve">SslServerApplication.java: Removed the FIXME stub, keeping the main entry point clean.</w:t>
      </w:r>
    </w:p>
    <w:p>
      <w:pPr>
        <w:pStyle w:val="ListParagraph"/>
        <w:numPr>
          <w:ilvl w:val="0"/>
          <w:numId w:val="2"/>
        </w:numPr>
        <w:spacing w:after="80" w:before="0"/>
      </w:pPr>
      <w:r>
        <w:rPr>
          <w:rFonts w:ascii="Times New Roman" w:cs="Times New Roman" w:eastAsia="Times New Roman" w:hAnsi="Times New Roman"/>
          <w:sz w:val="24"/>
          <w:szCs w:val="24"/>
        </w:rPr>
        <w:t xml:space="preserve">CipherController.java (new): Implemented the /hash endpoint with SHA-256 computation, UTF-8 encoding, and JSON output including the student's name.</w:t>
      </w:r>
    </w:p>
    <w:p>
      <w:pPr>
        <w:pStyle w:val="ListParagraph"/>
        <w:numPr>
          <w:ilvl w:val="0"/>
          <w:numId w:val="2"/>
        </w:numPr>
        <w:spacing w:after="80" w:before="0"/>
      </w:pPr>
      <w:r>
        <w:rPr>
          <w:rFonts w:ascii="Times New Roman" w:cs="Times New Roman" w:eastAsia="Times New Roman" w:hAnsi="Times New Roman"/>
          <w:sz w:val="24"/>
          <w:szCs w:val="24"/>
        </w:rPr>
        <w:t>pom.xml: Upgraded OWASP Dependency-Check plugin to version 12.2.2; removed OSS Index analyzer to avoid authentication errors.</w:t>
      </w:r>
    </w:p>
    <w:p>
      <w:pPr>
        <w:spacing w:after="80" w:before="0"/>
      </w:pPr>
      <w:r>
        <w:t xml:space="preserve"/>
      </w:r>
    </w:p>
    <w:p>
      <w:pPr>
        <w:pStyle w:val="Heading2"/>
        <w:spacing w:after="80" w:before="240"/>
      </w:pPr>
      <w:r>
        <w:rPr>
          <w:rFonts w:ascii="Times New Roman" w:cs="Times New Roman" w:eastAsia="Times New Roman" w:hAnsi="Times New Roman"/>
          <w:b/>
          <w:bCs/>
          <w:color w:val="2E4057"/>
          <w:sz w:val="24"/>
          <w:szCs w:val="24"/>
        </w:rPr>
        <w:t xml:space="preserve">Vulnerability Assessment — Seven Security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4560"/>
      </w:tblGrid>
      <w:tr>
        <w:trPr>
          <w:tblHeader/>
        </w:trPr>
        <w:tc>
          <w:tcPr>
            <w:tcW w:type="dxa" w:w="3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Security Area</w:t>
            </w:r>
          </w:p>
        </w:tc>
        <w:tc>
          <w:tcPr>
            <w:tcW w:type="dxa" w:w="13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Addressed</w:t>
            </w:r>
          </w:p>
        </w:tc>
        <w:tc>
          <w:tcPr>
            <w:tcW w:type="dxa" w:w="4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How</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APIs and Integrations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bCs/>
                <w:color w:val="1A7A4A"/>
                <w:sz w:val="20"/>
                <w:szCs w:val="20"/>
              </w:rPr>
              <w:t xml:space="preserve">Yes</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REST endpoint restricted to read-only GET with static, non-user-controlled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Cryptography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A7A4A"/>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SHA-256 (NIST FIPS 180-4) implemented for checksum verification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Data Handling</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bCs/>
                <w:color w:val="1A7A4A"/>
                <w:sz w:val="20"/>
                <w:szCs w:val="20"/>
              </w:rPr>
              <w:t xml:space="preserve">Yes</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UTF-8 encoding; no user input accepted; no sensitive data stored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Data at Rest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Keystore password in plaintext — noted for production hardening</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Code Quality</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bCs/>
                <w:color w:val="1A7A4A"/>
                <w:sz w:val="20"/>
                <w:szCs w:val="20"/>
              </w:rPr>
              <w:t xml:space="preserve">Yes</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Single-responsibility controller; inline documentation added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Dependency Management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A7A4A"/>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OWASP scan confirms zero new vulnerabilities from refactoring</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Encryption and Communication</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bCs/>
                <w:color w:val="1A7A4A"/>
                <w:sz w:val="20"/>
                <w:szCs w:val="20"/>
              </w:rPr>
              <w:t xml:space="preserve">Yes</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HTTPS enforced via TLS on port 8443 using PKCS12 keystore</w:t>
            </w:r>
          </w:p>
        </w:tc>
      </w:tr>
    </w:tbl>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This project demonstrates a layered security approach (defense in depth): SHA-256 checksum at the application layer, TLS/HTTPS at the transport layer, and OWASP scanning at the build layer — together addressing Artemis Financial's requirement to protect client data and ensure secure communications.</w:t>
      </w:r>
    </w:p>
    <w:p>
      <w:pPr>
        <w:pStyle w:val="Heading1"/>
        <w:spacing w:after="120" w:before="360"/>
      </w:pPr>
      <w:r>
        <w:rPr>
          <w:rFonts w:ascii="Times New Roman" w:cs="Times New Roman" w:eastAsia="Times New Roman" w:hAnsi="Times New Roman"/>
          <w:b/>
          <w:bCs/>
          <w:color w:val="1F497D"/>
          <w:sz w:val="28"/>
          <w:szCs w:val="28"/>
        </w:rPr>
        <w:t xml:space="preserve">8. Industry Standard Best Practices</w:t>
      </w:r>
    </w:p>
    <w:p>
      <w:pPr>
        <w:pStyle w:val="Heading2"/>
        <w:spacing w:after="80" w:before="240"/>
      </w:pPr>
      <w:r>
        <w:rPr>
          <w:rFonts w:ascii="Times New Roman" w:cs="Times New Roman" w:eastAsia="Times New Roman" w:hAnsi="Times New Roman"/>
          <w:b/>
          <w:bCs/>
          <w:color w:val="2E4057"/>
          <w:sz w:val="24"/>
          <w:szCs w:val="24"/>
        </w:rPr>
        <w:t xml:space="preserve">Maintaining the Application's Existing Security</w:t>
      </w:r>
    </w:p>
    <w:p>
      <w:pPr>
        <w:pStyle w:val="ListParagraph"/>
        <w:numPr>
          <w:ilvl w:val="0"/>
          <w:numId w:val="2"/>
        </w:numPr>
        <w:spacing w:after="80" w:before="0"/>
      </w:pPr>
      <w:r>
        <w:rPr>
          <w:rFonts w:ascii="Times New Roman" w:cs="Times New Roman" w:eastAsia="Times New Roman" w:hAnsi="Times New Roman"/>
          <w:sz w:val="24"/>
          <w:szCs w:val="24"/>
        </w:rPr>
        <w:t xml:space="preserve">NIST Cryptographic Compliance (FIPS 180-4, SP 800-131A): SHA-256 selected; MD5 and SHA-1 explicitly rejected due to known collision vulnerabilities. Algorithm compliant through 2030.</w:t>
      </w:r>
    </w:p>
    <w:p>
      <w:pPr>
        <w:pStyle w:val="ListParagraph"/>
        <w:numPr>
          <w:ilvl w:val="0"/>
          <w:numId w:val="2"/>
        </w:numPr>
        <w:spacing w:after="80" w:before="0"/>
      </w:pPr>
      <w:r>
        <w:rPr>
          <w:rFonts w:ascii="Times New Roman" w:cs="Times New Roman" w:eastAsia="Times New Roman" w:hAnsi="Times New Roman"/>
          <w:sz w:val="24"/>
          <w:szCs w:val="24"/>
        </w:rPr>
        <w:t xml:space="preserve">OWASP Top 10 A06 — Vulnerable and Outdated Components: OWASP Dependency-Check integrated into Maven build lifecycle for continuous automated vulnerability scanning.</w:t>
      </w:r>
    </w:p>
    <w:p>
      <w:pPr>
        <w:pStyle w:val="ListParagraph"/>
        <w:numPr>
          <w:ilvl w:val="0"/>
          <w:numId w:val="2"/>
        </w:numPr>
        <w:spacing w:after="80" w:before="0"/>
      </w:pPr>
      <w:r>
        <w:rPr>
          <w:rFonts w:ascii="Times New Roman" w:cs="Times New Roman" w:eastAsia="Times New Roman" w:hAnsi="Times New Roman"/>
          <w:sz w:val="24"/>
          <w:szCs w:val="24"/>
        </w:rPr>
        <w:t xml:space="preserve">OWASP Top 10 A02 — Cryptographic Failures: HTTPS-only communication enforced, eliminating cleartext data transmission.</w:t>
      </w:r>
    </w:p>
    <w:p>
      <w:pPr>
        <w:pStyle w:val="ListParagraph"/>
        <w:numPr>
          <w:ilvl w:val="0"/>
          <w:numId w:val="2"/>
        </w:numPr>
        <w:spacing w:after="80" w:before="0"/>
      </w:pPr>
      <w:r>
        <w:rPr>
          <w:rFonts w:ascii="Times New Roman" w:cs="Times New Roman" w:eastAsia="Times New Roman" w:hAnsi="Times New Roman"/>
          <w:sz w:val="24"/>
          <w:szCs w:val="24"/>
        </w:rPr>
        <w:t xml:space="preserve">Principle of Least Functionality: The /hash endpoint accepts no user input and performs no writes or database operations, minimizing the attack surface.</w:t>
      </w:r>
    </w:p>
    <w:p>
      <w:pPr>
        <w:pStyle w:val="ListParagraph"/>
        <w:numPr>
          <w:ilvl w:val="0"/>
          <w:numId w:val="2"/>
        </w:numPr>
        <w:spacing w:after="80" w:before="0"/>
      </w:pPr>
      <w:r>
        <w:rPr>
          <w:rFonts w:ascii="Times New Roman" w:cs="Times New Roman" w:eastAsia="Times New Roman" w:hAnsi="Times New Roman"/>
          <w:sz w:val="24"/>
          <w:szCs w:val="24"/>
        </w:rPr>
        <w:t xml:space="preserve">SEI CERT Java (STR00-J): UTF-8 encoding explicitly specified on MessageDigest input to ensure consistent byte representation across platforms.</w:t>
      </w:r>
    </w:p>
    <w:p>
      <w:pPr>
        <w:pStyle w:val="ListParagraph"/>
        <w:numPr>
          <w:ilvl w:val="0"/>
          <w:numId w:val="2"/>
        </w:numPr>
        <w:spacing w:after="80" w:before="0"/>
      </w:pPr>
      <w:r>
        <w:rPr>
          <w:rFonts w:ascii="Times New Roman" w:cs="Times New Roman" w:eastAsia="Times New Roman" w:hAnsi="Times New Roman"/>
          <w:sz w:val="24"/>
          <w:szCs w:val="24"/>
        </w:rPr>
        <w:t xml:space="preserve">Code Readability (SEI CERT ERR01-J): Exception handling prevents stack traces from reaching the client; inline documentation explains security design decisions.</w:t>
      </w:r>
    </w:p>
    <w:p>
      <w:pPr>
        <w:spacing w:after="80" w:before="0"/>
      </w:pPr>
      <w:r>
        <w:t xml:space="preserve"/>
      </w:r>
    </w:p>
    <w:p>
      <w:pPr>
        <w:pStyle w:val="Heading2"/>
        <w:spacing w:after="80" w:before="240"/>
      </w:pPr>
      <w:r>
        <w:rPr>
          <w:rFonts w:ascii="Times New Roman" w:cs="Times New Roman" w:eastAsia="Times New Roman" w:hAnsi="Times New Roman"/>
          <w:b/>
          <w:bCs/>
          <w:color w:val="2E4057"/>
          <w:sz w:val="24"/>
          <w:szCs w:val="24"/>
        </w:rPr>
        <w:t xml:space="preserve">Value to Artemis Financial's Overall Well-Being</w:t>
      </w:r>
    </w:p>
    <w:p>
      <w:pPr>
        <w:pStyle w:val="ListParagraph"/>
        <w:numPr>
          <w:ilvl w:val="0"/>
          <w:numId w:val="2"/>
        </w:numPr>
        <w:spacing w:after="80" w:before="0"/>
      </w:pPr>
      <w:r>
        <w:rPr>
          <w:rFonts w:ascii="Times New Roman" w:cs="Times New Roman" w:eastAsia="Times New Roman" w:hAnsi="Times New Roman"/>
          <w:sz w:val="24"/>
          <w:szCs w:val="24"/>
        </w:rPr>
        <w:t xml:space="preserve">Regulatory Compliance: Financial institutions are subject to PCI DSS, SOC 2, and GLBA mandating cryptographic controls for data in transit and integrity verification. NIST-approved algorithms and TLS position Artemis Financial for compliance audit success.</w:t>
      </w:r>
    </w:p>
    <w:p>
      <w:pPr>
        <w:pStyle w:val="ListParagraph"/>
        <w:numPr>
          <w:ilvl w:val="0"/>
          <w:numId w:val="2"/>
        </w:numPr>
        <w:spacing w:after="80" w:before="0"/>
      </w:pPr>
      <w:r>
        <w:rPr>
          <w:rFonts w:ascii="Times New Roman" w:cs="Times New Roman" w:eastAsia="Times New Roman" w:hAnsi="Times New Roman"/>
          <w:sz w:val="24"/>
          <w:szCs w:val="24"/>
        </w:rPr>
        <w:t xml:space="preserve">Client Trust: Customers entrust Artemis Financial with sensitive retirement, investment, and insurance data. Demonstrable secure coding — enforced HTTPS, verified data integrity, vulnerability scanning — strengthens client confidence.</w:t>
      </w:r>
    </w:p>
    <w:p>
      <w:pPr>
        <w:pStyle w:val="ListParagraph"/>
        <w:numPr>
          <w:ilvl w:val="0"/>
          <w:numId w:val="2"/>
        </w:numPr>
        <w:spacing w:after="80" w:before="0"/>
      </w:pPr>
      <w:r>
        <w:rPr>
          <w:rFonts w:ascii="Times New Roman" w:cs="Times New Roman" w:eastAsia="Times New Roman" w:hAnsi="Times New Roman"/>
          <w:sz w:val="24"/>
          <w:szCs w:val="24"/>
        </w:rPr>
        <w:t xml:space="preserve">Reduced Cost of Breach: The average cost of a data breach in financial services exceeds $5.9 million (IBM, 2024). Preventive security measures at the development stage are orders of magnitude less costly than post-breach remediation and regulatory fines.</w:t>
      </w:r>
    </w:p>
    <w:p>
      <w:pPr>
        <w:pStyle w:val="ListParagraph"/>
        <w:numPr>
          <w:ilvl w:val="0"/>
          <w:numId w:val="2"/>
        </w:numPr>
        <w:spacing w:after="80" w:before="0"/>
      </w:pPr>
      <w:r>
        <w:rPr>
          <w:rFonts w:ascii="Times New Roman" w:cs="Times New Roman" w:eastAsia="Times New Roman" w:hAnsi="Times New Roman"/>
          <w:sz w:val="24"/>
          <w:szCs w:val="24"/>
        </w:rPr>
        <w:t xml:space="preserve">Developer Security Culture: Embedding OWASP Dependency-Check into the Maven build pipeline creates an automated security gate that alerts developers to newly disclosed CVEs before deployment, institutionalizing secure coding as part of the normal workflow.</w:t>
      </w:r>
    </w:p>
    <w:p>
      <w:pPr>
        <w:pStyle w:val="Heading1"/>
        <w:spacing w:after="120" w:before="360"/>
      </w:pPr>
      <w:r>
        <w:rPr>
          <w:rFonts w:ascii="Times New Roman" w:cs="Times New Roman" w:eastAsia="Times New Roman" w:hAnsi="Times New Roman"/>
          <w:b/>
          <w:bCs/>
          <w:color w:val="1F497D"/>
          <w:sz w:val="28"/>
          <w:szCs w:val="28"/>
        </w:rPr>
        <w:t xml:space="preserve">References</w:t>
      </w:r>
    </w:p>
    <w:p>
      <w:pPr>
        <w:spacing w:after="120" w:before="0" w:line="480"/>
        <w:ind w:left="720" w:hanging="720"/>
      </w:pPr>
      <w:r>
        <w:rPr>
          <w:rFonts w:ascii="Times New Roman" w:cs="Times New Roman" w:eastAsia="Times New Roman" w:hAnsi="Times New Roman"/>
          <w:sz w:val="24"/>
          <w:szCs w:val="24"/>
        </w:rPr>
        <w:t xml:space="preserve">IBM Security. (2024). Cost of a data breach report 2024. IBM Corporation.</w:t>
      </w:r>
    </w:p>
    <w:p>
      <w:pPr>
        <w:spacing w:after="120" w:before="0" w:line="480"/>
        <w:ind w:left="720" w:hanging="720"/>
      </w:pPr>
      <w:r>
        <w:rPr>
          <w:rFonts w:ascii="Times New Roman" w:cs="Times New Roman" w:eastAsia="Times New Roman" w:hAnsi="Times New Roman"/>
          <w:sz w:val="24"/>
          <w:szCs w:val="24"/>
        </w:rPr>
        <w:t xml:space="preserve">National Institute of Standards and Technology. (2015). FIPS PUB 180-4: Secure hash standard (SHS). U.S. Department of Commerce. https://doi.org/10.6028/NIST.FIPS.180-4</w:t>
      </w:r>
    </w:p>
    <w:p>
      <w:pPr>
        <w:spacing w:after="120" w:before="0" w:line="480"/>
        <w:ind w:left="720" w:hanging="720"/>
      </w:pPr>
      <w:r>
        <w:rPr>
          <w:rFonts w:ascii="Times New Roman" w:cs="Times New Roman" w:eastAsia="Times New Roman" w:hAnsi="Times New Roman"/>
          <w:sz w:val="24"/>
          <w:szCs w:val="24"/>
        </w:rPr>
        <w:t xml:space="preserve">National Institute of Standards and Technology. (2019). NIST SP 800-131A Rev. 2: Transitioning the use of cryptographic algorithms and key lengths. U.S. Department of Commerce.</w:t>
      </w:r>
    </w:p>
    <w:p>
      <w:pPr>
        <w:spacing w:after="120" w:before="0" w:line="480"/>
        <w:ind w:left="720" w:hanging="720"/>
      </w:pPr>
      <w:r>
        <w:rPr>
          <w:rFonts w:ascii="Times New Roman" w:cs="Times New Roman" w:eastAsia="Times New Roman" w:hAnsi="Times New Roman"/>
          <w:sz w:val="24"/>
          <w:szCs w:val="24"/>
        </w:rPr>
        <w:t xml:space="preserve">OWASP Foundation. (2021). OWASP Top Ten 2021. https://owasp.org/Top10/</w:t>
      </w:r>
    </w:p>
    <w:p>
      <w:pPr>
        <w:spacing w:after="120" w:before="0" w:line="480"/>
        <w:ind w:left="720" w:hanging="720"/>
      </w:pPr>
      <w:r>
        <w:rPr>
          <w:rFonts w:ascii="Times New Roman" w:cs="Times New Roman" w:eastAsia="Times New Roman" w:hAnsi="Times New Roman"/>
          <w:sz w:val="24"/>
          <w:szCs w:val="24"/>
        </w:rPr>
        <w:t xml:space="preserve">OWASP Foundation. (2024). OWASP Dependency-Check. https://owasp.org/www-project-dependency-check/</w:t>
      </w:r>
    </w:p>
    <w:p>
      <w:pPr>
        <w:spacing w:after="120" w:before="0" w:line="480"/>
        <w:ind w:left="720" w:hanging="720"/>
      </w:pPr>
      <w:r>
        <w:rPr>
          <w:rFonts w:ascii="Times New Roman" w:cs="Times New Roman" w:eastAsia="Times New Roman" w:hAnsi="Times New Roman"/>
          <w:sz w:val="24"/>
          <w:szCs w:val="24"/>
        </w:rPr>
        <w:t xml:space="preserve">SEI CERT. (2017). SEI CERT Oracle coding standard for Java. Carnegie Mellon University Software Engineering Institute.</w:t>
      </w:r>
    </w:p>
    <w:p>
      <w:pPr>
        <w:spacing w:after="120" w:before="0" w:line="480"/>
        <w:ind w:left="720" w:hanging="720"/>
      </w:pPr>
      <w:r>
        <w:rPr>
          <w:rFonts w:ascii="Times New Roman" w:cs="Times New Roman" w:eastAsia="Times New Roman" w:hAnsi="Times New Roman"/>
          <w:sz w:val="24"/>
          <w:szCs w:val="24"/>
        </w:rPr>
        <w:t xml:space="preserve">Spring Boot Team. (2020). Spring Boot 2.2.4.RELEASE reference documentation. Pivotal Software.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ff49d91bcc520d285aa365aec817c88973e45a.png"/><Relationship Id="rId8" Type="http://schemas.openxmlformats.org/officeDocument/2006/relationships/image" Target="media/494e3301ddd6226f02f4e12354c2a137540202c8.png"/><Relationship Id="rId9" Type="http://schemas.openxmlformats.org/officeDocument/2006/relationships/image" Target="media/b42c433b1b97c567cad350dd504e0e708bf167e9.png"/><Relationship Id="rId10" Type="http://schemas.openxmlformats.org/officeDocument/2006/relationships/image" Target="media/177c55c202c18ed09e623d327891016e1cc75012.png"/><Relationship Id="rId11" Type="http://schemas.openxmlformats.org/officeDocument/2006/relationships/image" Target="media/67120a11fa488637f0690c3ca53c549a72affc2b.png"/><Relationship Id="rId12" Type="http://schemas.openxmlformats.org/officeDocument/2006/relationships/fontTable" Target="fontTable.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2026-06-30T02:32:06.816Z</dcterms:created>
  <dcterms:modified xsi:type="dcterms:W3CDTF">2026-06-30T02:32:06.820Z</dcterms:modified>
</cp:coreProperties>
</file>

<file path=docProps/custom.xml><?xml version="1.0" encoding="utf-8"?>
<Properties xmlns="http://schemas.openxmlformats.org/officeDocument/2006/custom-properties" xmlns:vt="http://schemas.openxmlformats.org/officeDocument/2006/docPropsVTypes"/>
</file>