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G3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ascii="Times New Roman" w:hAnsi="Times New Roman"/>
          <w:b w:val="false"/>
          <w:bCs w:val="false"/>
          <w:sz w:val="24"/>
          <w:szCs w:val="24"/>
        </w:rPr>
        <w:t>Cognitively, 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family members of the kidney transplant patient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before="0" w:after="200"/>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2</Pages>
  <Words>622</Words>
  <Characters>3947</Characters>
  <CharactersWithSpaces>4563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2024-02-21T23:00:40Z</dcterms:created>
  <dc:creator/>
  <dc:description/>
  <dc:language>en-GB</dc:language>
  <cp:lastModifiedBy/>
  <dcterms:modified xsi:type="dcterms:W3CDTF">2024-03-23T17:00:43Z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