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27</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A27</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has been diagnosed with </w:t>
      </w: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Chronic subdural haemorrhage due to an accident he was involved in as a bodaboda driver. Doctors have been working round the clock but hardly made any progress. The client has been referred for counselling to get closure about his current condition and the poor prognosis.</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good</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dysphoric</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appropriate</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A27</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11.45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Chronic subdural haemorrhage following a bodaboda accident, is grappling with the overwhelming emotional distress and uncertainty surrounding his condition and prognosis. He seeks counselling to find closure and support in navigating his current circumstances.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client as he processes his feelings of fear, uncertainty, and grief related to his diagnosis and prognosis.</w:t>
        <w:br/>
        <w:t>2. Help the client gain a better understanding of his medical condition and prognosis, fostering acceptance and coping strategies to navigate his current circumstances.</w:t>
        <w:br/>
        <w:t>3. Facilitate open communication and expression of emotions, allowing the client to share his experiences and concerns in a safe and supportive environment.</w:t>
        <w:br/>
        <w:br/>
      </w: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Utilized supportive counselling techniques to provide empathy, validation, and emotional support to the client as he navigates the emotional distress and uncertainty surrounding his diagnosis. Offered a safe space for the client to express his feelings and concerns without judgment, fostering a therapeutic alliance based on trust and understanding.</w:t>
        <w:br/>
        <w:t>2. Psychoeducation: Provided information and education about Chronic subdural haemorrhage, including its causes, symptoms, prognosis, and treatment options. Helped the client gain a better understanding of his medical condition and the challenges he may face, empowering him to make informed decisions and cope effectively.</w:t>
        <w:br/>
        <w:t>3. Cognitive-Behavioural Therapy (CBT): Integrated CBT techniques to help the client challenge and reframe negative thoughts and beliefs related to his diagnosis and prognosis. Encouraged the client to identify and replace maladaptive coping strategies with more adaptive ones, promoting resilience and psychological well-being.</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providing emotional support and validation to the client as he processes his feelings and experiences related to his diagnosis and prognosis.</w:t>
        <w:br/>
        <w:t>2. Explore coping strategies and resilience-building techniques to help the client navigate the challenges posed by his medical condition and treatment journey.</w:t>
        <w:br/>
        <w:t>3. Collaboratively set goals for ongoing therapy sessions, tailoring interventions to address the client's evolving needs and goals for emotional well-being and quality of life.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LibreOffice/7.3.7.2$Linux_X86_64 LibreOffice_project/30$Build-2</Application>
  <AppVersion>15.0000</AppVersion>
  <Pages>2</Pages>
  <Words>530</Words>
  <Characters>3174</Characters>
  <CharactersWithSpaces>3712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2024-03-21T16:49:05Z</dcterms:created>
  <dc:creator/>
  <dc:description/>
  <dc:language>en-GB</dc:language>
  <cp:lastModifiedBy/>
  <dcterms:modified xsi:type="dcterms:W3CDTF">2024-03-21T17:28:44Z</dcterms:modified>
  <cp:revision>2</cp:revision>
  <dc:subject/>
  <dc:title/>
</cp:coreProperties>
</file>