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28</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A28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a newly wed lady, one and a half years into her marriage. She complains of her violent husband who has been physically abusing her whenever they get into an argument. She has tried several times to talk to him about the issue but to no vail. She has even tried involving parents but nothing has changed. She feels constrained and imprisoned in that marriage and would like to find a way out. </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client's mood and affect are euthymic, suggesting a balanced emotional state despite the challenges they face.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with care and tidiness, reflecting a commitment to self-presentation and upkeep despite their current challenges.</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ab/>
        <w:tab/>
        <w:tab/>
        <w:tab/>
        <w:tab/>
        <w:tab/>
        <w:tab/>
        <w:tab/>
        <w:tab/>
        <w:tab/>
        <w:tab/>
        <w:t xml:space="preserve">         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A28</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 newly-wed woman, is seeking therapy due to the physical abuse she has been experiencing from her husband during arguments. Despite multiple attempts to address the issue with him and involve their parents, the violence persists. She feels trapped and imprisoned in her marriage and is seeking support to find a way out of this situation.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the client with emotional support and validation as she navigates the challenges of her abusive marriage.</w:t>
        <w:br/>
        <w:t>2. Explore strategies to increase the client's safety and well-being within the context of her relationship.</w:t>
        <w:br/>
        <w:t>3. Assist the client in developing a plan for addressing the abuse and exploring options for ending the marriage if necessary.</w:t>
        <w:br/>
        <w:t>4. Empower the client to establish healthy boundaries and advocate for herself in her relationship.</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Trauma-Informed Therapy: Utilized trauma-informed approaches to help the client process the emotional impact of the abuse and develop coping strategies for managing trauma symptoms.</w:t>
        <w:br/>
        <w:t>2. Cognitive-Behavioural Therapy (CBT): Employed CBT techniques to challenge negative thought patterns and beliefs perpetuated by the abusive relationship, empowering the client to reframe her perspective and build resilience.</w:t>
        <w:br/>
        <w:t>3. Empowerment Counselling: Provided empowerment-focused counselling to help the client identify her strengths and resources, fostering a sense of agency and self-efficacy in navigating her circumstances.</w:t>
        <w:br/>
        <w:t>4. Safety Planning: Collaborated with the client to develop a safety plan tailored to her specific needs and circumstances, including strategies for de-escalating conflict and accessing support during instances of abuse.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Explore childhood experiences that might be perpetrating her current situation.</w:t>
        <w:br/>
        <w:t>2. Review and refine the safety plan to ensure it remains effective in promoting the client's safety and well-being.</w:t>
        <w:br/>
        <w:t>3. Discuss any progress or setbacks the client has experienced since the previous session and adjust interventions accordingly.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607</Words>
  <Characters>3575</Characters>
  <CharactersWithSpaces>4204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2024-03-21T16:49:26Z</dcterms:created>
  <dc:creator/>
  <dc:description/>
  <dc:language>en-GB</dc:language>
  <cp:lastModifiedBy/>
  <dcterms:modified xsi:type="dcterms:W3CDTF">2024-03-23T15:00:41Z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