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Crimefog: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“I did all this research a while ago trying to map out past research on the essence of creativity inside the human mind; how to try to harness and optimize it within the human performance limitations. I'm a lot shorter on time now though. What research areas have I missed? I tried to be sure to capture all the obscure stuff (mostly in the dark creativity section).”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[pastes article titles via filenames]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Claude 3 Opus: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“Based on the extensive list of research articles you have collected, it seems you have covered a wide range of topics related to creativity, including: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Assessing and measuring creativity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Cognitive processes and neural correlates of creativity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Personality traits and individual differences in creativity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Creativity in various domains (arts, sciences, mathematics, etc.)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Developmental aspects of creativity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Creativity and mental health, including schizotypy and other psychological correlates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Organizational creativity and innovation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Computational approaches to creativity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Creativity in design and problem-solving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Divergent and convergent thinking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However, there are a few additional areas you might want to consider exploring to further enhance your understanding of creativity: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Creativity and education: Research on fostering creativity in educational settings, teaching methods, and curriculum design.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Cultural aspects of creativity: Cross-cultural studies on creativity, the influence of cultural factors on creative expression, and differences in creativity across cultures.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Creativity and technology: The impact of technology on creativity, using technology to enhance or measure creativity, and the role of creativity in developing new technologies.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Creativity and aging: Changes in creativity across the lifespan, factors influencing creativity in older adults, and strategies to maintain or enhance creativity in later life.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Creativity and collaboration: The role of teamwork, group dynamics, and social factors in creative processes and outcomes.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Creativity and motivation: The impact of intrinsic and extrinsic motivation on creative performance, and strategies to enhance motivation for creative tasks.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Creativity and emotion: The relationship between emotional states, emotional intelligence, and creative expression.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While your research seems quite comprehensive, these additional areas could provide further insights into the complex nature of creativity and its manifestation in various contexts.”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