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sz w:val="32"/>
        </w:rPr>
        <w:t>VELLORE INSTITUTE OF TECHNOLOGY, VELLORE</w:t>
      </w:r>
    </w:p>
    <w:p>
      <w:pPr>
        <w:spacing w:after="360"/>
        <w:jc w:val="center"/>
      </w:pPr>
      <w:r>
        <w:rPr>
          <w:b/>
          <w:sz w:val="24"/>
          <w:highlight w:val="yellow"/>
        </w:rPr>
        <w:t>[School / Department name]</w:t>
      </w:r>
    </w:p>
    <w:p>
      <w:pPr>
        <w:spacing w:after="40"/>
        <w:jc w:val="center"/>
      </w:pPr>
      <w:r>
        <w:rPr>
          <w:b/>
          <w:sz w:val="24"/>
          <w:highlight w:val="yellow"/>
        </w:rPr>
        <w:t>[Course Code – Course Title]</w:t>
      </w:r>
    </w:p>
    <w:p>
      <w:pPr>
        <w:spacing w:after="600"/>
        <w:jc w:val="center"/>
      </w:pPr>
      <w:r>
        <w:rPr>
          <w:b/>
          <w:sz w:val="28"/>
        </w:rPr>
        <w:t>Lab Assessment 9 — Project Review 2</w:t>
      </w:r>
    </w:p>
    <w:p>
      <w:pPr>
        <w:spacing w:after="80"/>
        <w:jc w:val="center"/>
      </w:pPr>
      <w:r>
        <w:rPr>
          <w:b/>
          <w:sz w:val="44"/>
        </w:rPr>
        <w:t>PAGEWISE</w:t>
      </w:r>
    </w:p>
    <w:p>
      <w:pPr>
        <w:spacing w:after="200"/>
        <w:jc w:val="center"/>
      </w:pPr>
      <w:r>
        <w:rPr>
          <w:b/>
          <w:sz w:val="30"/>
        </w:rPr>
        <w:t>Semantics-Aware Neural Page Prefetching for Irregular Memory Access Patterns in SQLite</w:t>
      </w:r>
    </w:p>
    <w:p>
      <w:pPr>
        <w:spacing w:after="720"/>
        <w:jc w:val="center"/>
      </w:pPr>
      <w:r>
        <w:rPr>
          <w:i/>
          <w:sz w:val="24"/>
        </w:rPr>
        <w:t>Pipeline, system architecture, module workflows, implementation status and preliminary results</w:t>
      </w:r>
    </w:p>
    <w:p>
      <w:pPr>
        <w:spacing w:after="40"/>
        <w:jc w:val="center"/>
      </w:pPr>
      <w:r>
        <w:rPr>
          <w:sz w:val="24"/>
        </w:rPr>
        <w:t>Submitted by</w:t>
      </w:r>
    </w:p>
    <w:p>
      <w:pPr>
        <w:spacing w:after="0"/>
        <w:jc w:val="center"/>
      </w:pPr>
      <w:r>
        <w:rPr>
          <w:b/>
          <w:sz w:val="28"/>
        </w:rPr>
        <w:t>Vikash Vaibhav</w:t>
      </w:r>
    </w:p>
    <w:p>
      <w:pPr>
        <w:spacing w:after="0"/>
        <w:jc w:val="center"/>
      </w:pPr>
      <w:r>
        <w:rPr>
          <w:sz w:val="24"/>
        </w:rPr>
        <w:t xml:space="preserve">Registration No. </w:t>
      </w:r>
      <w:r>
        <w:rPr>
          <w:b/>
          <w:sz w:val="24"/>
        </w:rPr>
        <w:t>24BDS0316</w:t>
      </w:r>
    </w:p>
    <w:p>
      <w:pPr>
        <w:spacing w:after="480"/>
        <w:jc w:val="center"/>
      </w:pPr>
      <w:r>
        <w:rPr>
          <w:sz w:val="24"/>
        </w:rPr>
        <w:t>B.Tech. Computer Science and Engineering with Specialization in Data Science</w:t>
      </w:r>
    </w:p>
    <w:p>
      <w:pPr>
        <w:spacing w:after="40"/>
        <w:jc w:val="center"/>
      </w:pPr>
      <w:r>
        <w:rPr>
          <w:sz w:val="24"/>
        </w:rPr>
        <w:t>Under the guidance of</w:t>
      </w:r>
    </w:p>
    <w:p>
      <w:pPr>
        <w:spacing w:after="480"/>
        <w:jc w:val="center"/>
      </w:pPr>
      <w:r>
        <w:rPr>
          <w:b/>
          <w:sz w:val="24"/>
          <w:highlight w:val="yellow"/>
        </w:rPr>
        <w:t>[Faculty Name and Designation]</w:t>
      </w:r>
    </w:p>
    <w:p>
      <w:pPr>
        <w:spacing w:after="40"/>
        <w:jc w:val="center"/>
      </w:pPr>
      <w:r>
        <w:rPr>
          <w:sz w:val="24"/>
        </w:rPr>
        <w:t xml:space="preserve">Slot: </w:t>
      </w:r>
      <w:r>
        <w:rPr>
          <w:b/>
          <w:sz w:val="24"/>
          <w:highlight w:val="yellow"/>
        </w:rPr>
        <w:t>[Slot]</w:t>
      </w:r>
      <w:r>
        <w:rPr>
          <w:sz w:val="24"/>
        </w:rPr>
        <w:t xml:space="preserve">    |    Fall Semester 2026–27</w:t>
      </w:r>
    </w:p>
    <w:p>
      <w:pPr>
        <w:jc w:val="center"/>
      </w:pPr>
      <w:r>
        <w:rPr>
          <w:sz w:val="24"/>
        </w:rPr>
        <w:t>14 October 2026</w:t>
      </w:r>
    </w:p>
    <w:p>
      <w:r>
        <w:br w:type="page"/>
      </w:r>
    </w:p>
    <w:p>
      <w:pPr>
        <w:pStyle w:val="Heading1"/>
      </w:pPr>
      <w:r>
        <w:t>Contents</w:t>
      </w:r>
    </w:p>
    <w:p>
      <w:r>
        <w:fldChar w:fldCharType="begin"/>
        <w:instrText xml:space="preserve"> TOC \o "1-2" \h \z \u </w:instrText>
        <w:fldChar w:fldCharType="separate"/>
        <w:t xml:space="preserve">[Table of contents — right-click and choose Update Field, or press F9]</w:t>
        <w:fldChar w:fldCharType="end"/>
      </w:r>
    </w:p>
    <w:p>
      <w:pPr>
        <w:jc w:val="left"/>
      </w:pPr>
      <w:r>
        <w:rPr>
          <w:i/>
          <w:sz w:val="20"/>
        </w:rPr>
        <w:t>If the table of contents appears empty, right-click it and choose “Update Field” (or press F9) in Microsoft Word.</w:t>
      </w:r>
    </w:p>
    <w:p>
      <w:pPr>
        <w:jc w:val="left"/>
      </w:pPr>
      <w:r>
        <w:rPr>
          <w:b/>
          <w:sz w:val="21"/>
        </w:rPr>
        <w:t>List of figures.</w:t>
      </w:r>
      <w:r>
        <w:rPr>
          <w:sz w:val="21"/>
        </w:rPr>
        <w:t xml:space="preserve"> Figure 1 – End-to-end pipeline; Figure 2 – Runtime architecture; Figure 3 – Module workflows; Figure 4 – Held-out prediction accuracy; Figure 5 – Paired latency deltas.</w:t>
      </w:r>
    </w:p>
    <w:p>
      <w:r>
        <w:br w:type="page"/>
      </w:r>
    </w:p>
    <w:p>
      <w:pPr>
        <w:pStyle w:val="Heading1"/>
      </w:pPr>
      <w:r>
        <w:t>Abstract</w:t>
      </w:r>
    </w:p>
    <w:p>
      <w:r>
        <w:t>Pagewise investigates whether application-level semantic information about SQLite database pages — the table or index a page belongs to, its B-tree page type and depth, and the query-plan context in which it is requested — improves learned next-page prefetching over a history-only predictor, and whether any prediction gain survives inference and scheduling overhead to become a measurable latency improvement under a controlled cache budget. This Review 2 report documents the complete experimental pipeline (synthetic database generation, VFS-level page tracing with query context, per-query page sequences, matched training of a history-only MLP (Model A) and a semantic MLP (Model B), offline evaluation, a bounded-cache asynchronous prefetch runtime and a paired, bootstrap-based evaluation suite), the runtime architecture, and the workflow of each of the four major modules. Measured results on a frozen 800-page (3.2 MB) database show that semantic features raise held-out top-1 accuracy from 17.2% (Model A) to 28.1% (Model B), with page metadata — chiefly object identity — accounting for most of the gain, but that simple Markov tables remain more accurate (53.1% for Markov-2). In latency-injected runtime trials (0.2 ms per miss) Markov-2 and sequential prefetching significantly reduce paired per-query latency versus the no-prefetch baseline, whereas the neural predictors are limited by inference cost; on real storage with an in-memory database every prefetcher is slower than the baseline. A benchmark audit identified and repaired queue staleness and storage-contention modelling defects, and a pre-registered v2 protocol with an oracle headroom bound, a context-keyed Markov control and a virtual-time simulator has been defined for the final evaluation.</w:t>
      </w:r>
    </w:p>
    <w:p>
      <w:pPr>
        <w:jc w:val="left"/>
      </w:pPr>
      <w:r>
        <w:rPr>
          <w:b/>
        </w:rPr>
        <w:t>Keywords:</w:t>
      </w:r>
      <w:r>
        <w:t xml:space="preserve"> SQLite, page prefetching, learned prefetching, semantic features, VFS tracing, bounded page cache, Markov predictor, paired bootstrap.</w:t>
      </w:r>
    </w:p>
    <w:p>
      <w:pPr>
        <w:pStyle w:val="Heading1"/>
      </w:pPr>
      <w:r>
        <w:t>1. Introduction</w:t>
      </w:r>
    </w:p>
    <w:p>
      <w:pPr>
        <w:pStyle w:val="Heading2"/>
      </w:pPr>
      <w:r>
        <w:t>1.1 Background and motivation</w:t>
      </w:r>
    </w:p>
    <w:p>
      <w:r>
        <w:t>Database engines spend a significant fraction of query latency waiting for pages that are not resident in memory. SQLite stores a database as fixed-size pages (4 KiB in this project) organised into B-trees for tables and indexes [3]; the pages a query touches, and the order in which it touches them, depend on the B-tree layout, the chosen query plan and the data distribution. For indexed lookups, joins and recursive traversals this access pattern is irregular, so classical sequential read-ahead — the default assumption of operating-system and hardware prefetchers [8], [14] — is frequently wrong.</w:t>
      </w:r>
    </w:p>
    <w:p>
      <w:r>
        <w:t>Learned prefetchers from the computer-architecture community predict future addresses from address history alone [5], [6]. A database engine, however, knows more than the address: it knows which table or index a page belongs to, whether the page is an interior or leaf node, how deep it sits in the B-tree, and which query plan is executing. The informed-prefetching literature [9] and context-based prefetching [7] suggest that such semantic hints can improve prediction. Pagewise tests this idea for SQLite under a deliberately conservative, pre-registered methodology that reports negative and inconclusive outcomes with the same prominence as positive ones.</w:t>
      </w:r>
    </w:p>
    <w:p>
      <w:pPr>
        <w:pStyle w:val="Heading2"/>
      </w:pPr>
      <w:r>
        <w:t>1.2 Problem statement</w:t>
      </w:r>
    </w:p>
    <w:p>
      <w:r>
        <w:t>Given a static, read-only SQLite database and a mixed workload of indexed point lookups, joins, range scans and recursive traversals, the system must — on every observed page request — predict which page(s) will be demanded next, prefetch them into a bounded page cache that sits beneath SQLite’s own pager, and quantify (a) the prediction accuracy of a semantic predictor relative to an otherwise identical history-only predictor and to simple statistical baselines, and (b) the resulting change in per-query latency under a controlled cache budget and a controlled storage-latency model.</w:t>
      </w:r>
    </w:p>
    <w:p>
      <w:pPr>
        <w:pStyle w:val="Heading2"/>
      </w:pPr>
      <w:r>
        <w:t>1.3 Research question and hypotheses</w:t>
      </w:r>
    </w:p>
    <w:p>
      <w:r>
        <w:rPr>
          <w:b/>
        </w:rPr>
        <w:t>Research question.</w:t>
      </w:r>
      <w:r>
        <w:t xml:space="preserve"> Can application-level semantic information about SQLite pages (table/index identity, page type, B-tree depth and query-plan context) improve learned next-page prefetch predictions over history-only predictors, and does any accuracy gain translate into a real wall-clock latency improvement under a controlled cache budget?</w:t>
      </w:r>
    </w:p>
    <w:p>
      <w:pPr>
        <w:keepNext/>
      </w:pPr>
      <w:r>
        <w:t xml:space="preserve">The pre-registered evaluation protocol (v2) fixes the following hypotheses. Each outcome is reported as </w:t>
      </w:r>
      <w:r>
        <w:rPr>
          <w:i/>
        </w:rPr>
        <w:t>supported</w:t>
      </w:r>
      <w:r>
        <w:t xml:space="preserve">, </w:t>
      </w:r>
      <w:r>
        <w:rPr>
          <w:i/>
        </w:rPr>
        <w:t>not supported</w:t>
      </w:r>
      <w:r>
        <w:t xml:space="preserve"> or </w:t>
      </w:r>
      <w:r>
        <w:rPr>
          <w:i/>
        </w:rPr>
        <w:t>inconclusive</w:t>
      </w:r>
      <w:r>
        <w:t xml:space="preserve"> (95% confidence interval includes zero).</w:t>
      </w:r>
    </w:p>
    <w:p>
      <w:pPr>
        <w:pStyle w:val="ListBullet"/>
        <w:jc w:val="left"/>
      </w:pPr>
      <w:r>
        <w:rPr>
          <w:b/>
        </w:rPr>
        <w:t>H1.</w:t>
      </w:r>
      <w:r>
        <w:t xml:space="preserve"> On held-out query parameters, Model B has higher top-1 accuracy than Model A.</w:t>
      </w:r>
    </w:p>
    <w:p>
      <w:pPr>
        <w:pStyle w:val="ListBullet"/>
        <w:jc w:val="left"/>
      </w:pPr>
      <w:r>
        <w:rPr>
          <w:b/>
        </w:rPr>
        <w:t>H2.</w:t>
      </w:r>
      <w:r>
        <w:t xml:space="preserve"> Model B beats </w:t>
      </w:r>
      <w:r>
        <w:rPr>
          <w:rFonts w:ascii="Consolas" w:hAnsi="Consolas" w:eastAsia="Consolas"/>
          <w:sz w:val="21"/>
        </w:rPr>
        <w:t>markov_ctx</w:t>
      </w:r>
      <w:r>
        <w:t xml:space="preserve"> (a context-keyed Markov table using the same semantic key, with no neural network) and </w:t>
      </w:r>
      <w:r>
        <w:rPr>
          <w:rFonts w:ascii="Consolas" w:hAnsi="Consolas" w:eastAsia="Consolas"/>
          <w:sz w:val="21"/>
        </w:rPr>
        <w:t>markov2</w:t>
      </w:r>
      <w:r>
        <w:t xml:space="preserve"> in top-1 accuracy.</w:t>
      </w:r>
    </w:p>
    <w:p>
      <w:pPr>
        <w:pStyle w:val="ListBullet"/>
        <w:jc w:val="left"/>
      </w:pPr>
      <w:r>
        <w:rPr>
          <w:b/>
        </w:rPr>
        <w:t>H3.</w:t>
      </w:r>
      <w:r>
        <w:t xml:space="preserve"> The best Model B variant has total workload time below the no-prefetch baseline </w:t>
      </w:r>
      <w:r>
        <w:rPr>
          <w:rFonts w:ascii="Consolas" w:hAnsi="Consolas" w:eastAsia="Consolas"/>
          <w:sz w:val="21"/>
        </w:rPr>
        <w:t>none</w:t>
      </w:r>
      <w:r>
        <w:t>.</w:t>
      </w:r>
    </w:p>
    <w:p>
      <w:pPr>
        <w:pStyle w:val="ListBullet"/>
        <w:jc w:val="left"/>
      </w:pPr>
      <w:r>
        <w:rPr>
          <w:b/>
        </w:rPr>
        <w:t>H4.</w:t>
      </w:r>
      <w:r>
        <w:t xml:space="preserve"> The best Model B variant has lower total time than </w:t>
      </w:r>
      <w:r>
        <w:rPr>
          <w:rFonts w:ascii="Consolas" w:hAnsi="Consolas" w:eastAsia="Consolas"/>
          <w:sz w:val="21"/>
        </w:rPr>
        <w:t>sequential</w:t>
      </w:r>
      <w:r>
        <w:t xml:space="preserve">, </w:t>
      </w:r>
      <w:r>
        <w:rPr>
          <w:rFonts w:ascii="Consolas" w:hAnsi="Consolas" w:eastAsia="Consolas"/>
          <w:sz w:val="21"/>
        </w:rPr>
        <w:t>markov2</w:t>
      </w:r>
      <w:r>
        <w:t xml:space="preserve">, </w:t>
      </w:r>
      <w:r>
        <w:rPr>
          <w:rFonts w:ascii="Consolas" w:hAnsi="Consolas" w:eastAsia="Consolas"/>
          <w:sz w:val="21"/>
        </w:rPr>
        <w:t>markov_ctx</w:t>
      </w:r>
      <w:r>
        <w:t xml:space="preserve"> and </w:t>
      </w:r>
      <w:r>
        <w:rPr>
          <w:rFonts w:ascii="Consolas" w:hAnsi="Consolas" w:eastAsia="Consolas"/>
          <w:sz w:val="21"/>
        </w:rPr>
        <w:t>model_a</w:t>
      </w:r>
      <w:r>
        <w:t>.</w:t>
      </w:r>
    </w:p>
    <w:p>
      <w:pPr>
        <w:pStyle w:val="ListBullet"/>
        <w:jc w:val="left"/>
      </w:pPr>
      <w:r>
        <w:rPr>
          <w:b/>
        </w:rPr>
        <w:t>H5.</w:t>
      </w:r>
      <w:r>
        <w:t xml:space="preserve"> H1 and H3 still hold on held-out query templates.</w:t>
      </w:r>
    </w:p>
    <w:p>
      <w:pPr>
        <w:pStyle w:val="Heading2"/>
      </w:pPr>
      <w:r>
        <w:t>1.4 Objectives</w:t>
      </w:r>
    </w:p>
    <w:p>
      <w:pPr>
        <w:spacing w:after="60"/>
        <w:ind w:left="504" w:hanging="432"/>
        <w:jc w:val="left"/>
      </w:pPr>
      <w:r>
        <w:t>1. Build a reproducible, instrumented SQLite experiment pipeline: synthetic database, workload generator, and a VFS-level page trace enriched with query context and page metadata.</w:t>
      </w:r>
    </w:p>
    <w:p>
      <w:pPr>
        <w:spacing w:after="60"/>
        <w:ind w:left="504" w:hanging="432"/>
        <w:jc w:val="left"/>
      </w:pPr>
      <w:r>
        <w:t>2. Train matched predictors — Model A (history-only) and Model B (semantic) — under an identical candidate set, network shape and training budget, and compare them with sequential, Markov and oracle references.</w:t>
      </w:r>
    </w:p>
    <w:p>
      <w:pPr>
        <w:spacing w:after="60"/>
        <w:ind w:left="504" w:hanging="432"/>
        <w:jc w:val="left"/>
      </w:pPr>
      <w:r>
        <w:t>3. Implement a bounded-cache asynchronous prefetch runtime beneath SQLite’s pager with a controllable storage-latency model and complete per-job diagnostics.</w:t>
      </w:r>
    </w:p>
    <w:p>
      <w:pPr>
        <w:spacing w:after="60"/>
        <w:ind w:left="504" w:hanging="432"/>
        <w:jc w:val="left"/>
      </w:pPr>
      <w:r>
        <w:t>4. Evaluate all strategies with a pre-registered protocol: paired per-query comparisons, bootstrap confidence intervals, and explicit labelling of latency-injected versus real-storage measurements.</w:t>
      </w:r>
    </w:p>
    <w:p>
      <w:pPr>
        <w:spacing w:after="60"/>
        <w:ind w:left="504" w:hanging="432"/>
        <w:jc w:val="left"/>
      </w:pPr>
      <w:r>
        <w:t>5. Publish the findings as a consolidated research report and an interactive dashboard driven only by measured artefacts.</w:t>
      </w:r>
    </w:p>
    <w:p>
      <w:pPr>
        <w:pStyle w:val="Heading2"/>
      </w:pPr>
      <w:r>
        <w:t>1.5 Scope, assumptions and boundaries</w:t>
      </w:r>
    </w:p>
    <w:p>
      <w:pPr>
        <w:pStyle w:val="ListBullet"/>
        <w:jc w:val="left"/>
      </w:pPr>
      <w:r>
        <w:t xml:space="preserve">The prefetch runtime operates on a </w:t>
      </w:r>
      <w:r>
        <w:rPr>
          <w:b/>
        </w:rPr>
        <w:t>static, read-only</w:t>
      </w:r>
      <w:r>
        <w:t xml:space="preserve"> database snapshot; concurrent writers are out of scope.</w:t>
      </w:r>
    </w:p>
    <w:p>
      <w:pPr>
        <w:pStyle w:val="ListBullet"/>
        <w:jc w:val="left"/>
      </w:pPr>
      <w:r>
        <w:t xml:space="preserve">VFS </w:t>
      </w:r>
      <w:r>
        <w:rPr>
          <w:rFonts w:ascii="Consolas" w:hAnsi="Consolas" w:eastAsia="Consolas"/>
          <w:sz w:val="21"/>
        </w:rPr>
        <w:t>xRead</w:t>
      </w:r>
      <w:r>
        <w:t xml:space="preserve"> events are </w:t>
      </w:r>
      <w:r>
        <w:rPr>
          <w:b/>
        </w:rPr>
        <w:t>not</w:t>
      </w:r>
      <w:r>
        <w:t xml:space="preserve"> a complete logical page-reference trace: SQLite’s own page cache satisfies many requests before they reach the VFS, and a VFS read does not prove that physical disk I/O occurred.</w:t>
      </w:r>
    </w:p>
    <w:p>
      <w:pPr>
        <w:pStyle w:val="ListBullet"/>
        <w:jc w:val="left"/>
      </w:pPr>
      <w:r>
        <w:t xml:space="preserve">Runs with </w:t>
      </w:r>
      <w:r>
        <w:rPr>
          <w:rFonts w:ascii="Consolas" w:hAnsi="Consolas" w:eastAsia="Consolas"/>
          <w:sz w:val="21"/>
        </w:rPr>
        <w:t>--miss-delay-ms</w:t>
      </w:r>
      <w:r>
        <w:t xml:space="preserve"> are explicitly </w:t>
      </w:r>
      <w:r>
        <w:rPr>
          <w:b/>
        </w:rPr>
        <w:t>latency-injected</w:t>
      </w:r>
      <w:r>
        <w:t xml:space="preserve"> experiments. Their numbers must never be presented as measured NVMe, SATA, HDD or general operating-system results.</w:t>
      </w:r>
    </w:p>
    <w:p>
      <w:pPr>
        <w:pStyle w:val="ListBullet"/>
        <w:jc w:val="left"/>
      </w:pPr>
      <w:r>
        <w:t>No performance gain is assumed. A fixed or Markov baseline may equal or beat an MLP, and semantics may add no useful signal.</w:t>
      </w:r>
    </w:p>
    <w:p>
      <w:pPr>
        <w:pStyle w:val="ListBullet"/>
        <w:jc w:val="left"/>
      </w:pPr>
      <w:r>
        <w:t>The frozen experiment database is small (800 pages, 3.2 MB) and fits in the operating-system page cache; the large-database branch of the v2 protocol addresses this limitation if the oracle headroom analysis requires it.</w:t>
      </w:r>
    </w:p>
    <w:p>
      <w:pPr>
        <w:pStyle w:val="Heading1"/>
      </w:pPr>
      <w:r>
        <w:t>2. Review 2 deliverables and progress summary</w:t>
      </w:r>
    </w:p>
    <w:p>
      <w:r>
        <w:t>This review covers the design artefacts requested for Lab Assessment 9 together with the implementation progress and measured evidence that back them. Table 1 maps each deliverable to the section of this report in which it appears.</w:t>
      </w:r>
    </w:p>
    <w:p>
      <w:pPr>
        <w:pStyle w:val="TableCaption"/>
      </w:pPr>
      <w:r>
        <w:rPr>
          <w:sz w:val="20"/>
        </w:rPr>
        <w:t>Table 1. Review 2 deliverables and where they are addressed</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3022"/>
            <w:shd w:val="clear" w:color="auto" w:fill="D9E2F3"/>
          </w:tcPr>
          <w:p>
            <w:pPr>
              <w:pStyle w:val="CellText"/>
            </w:pPr>
            <w:r>
              <w:rPr>
                <w:b/>
                <w:sz w:val="19"/>
              </w:rPr>
              <w:t>Deliverable</w:t>
            </w:r>
          </w:p>
        </w:tc>
        <w:tc>
          <w:tcPr>
            <w:tcW w:type="dxa" w:w="2335"/>
            <w:shd w:val="clear" w:color="auto" w:fill="D9E2F3"/>
          </w:tcPr>
          <w:p>
            <w:pPr>
              <w:pStyle w:val="CellText"/>
            </w:pPr>
            <w:r>
              <w:rPr>
                <w:b/>
                <w:sz w:val="19"/>
              </w:rPr>
              <w:t>Where addressed</w:t>
            </w:r>
          </w:p>
        </w:tc>
        <w:tc>
          <w:tcPr>
            <w:tcW w:type="dxa" w:w="3571"/>
            <w:shd w:val="clear" w:color="auto" w:fill="D9E2F3"/>
          </w:tcPr>
          <w:p>
            <w:pPr>
              <w:pStyle w:val="CellText"/>
            </w:pPr>
            <w:r>
              <w:rPr>
                <w:b/>
                <w:sz w:val="19"/>
              </w:rPr>
              <w:t>Evidence in repository</w:t>
            </w:r>
          </w:p>
        </w:tc>
      </w:tr>
      <w:tr>
        <w:trPr>
          <w:cantSplit w:val="true"/>
        </w:trPr>
        <w:tc>
          <w:tcPr>
            <w:tcW w:type="dxa" w:w="3022"/>
          </w:tcPr>
          <w:p>
            <w:pPr>
              <w:pStyle w:val="CellText"/>
            </w:pPr>
            <w:r>
              <w:rPr>
                <w:sz w:val="19"/>
              </w:rPr>
              <w:t>End-to-end pipeline diagram with stage descriptions</w:t>
            </w:r>
          </w:p>
        </w:tc>
        <w:tc>
          <w:tcPr>
            <w:tcW w:type="dxa" w:w="2335"/>
          </w:tcPr>
          <w:p>
            <w:pPr>
              <w:pStyle w:val="CellText"/>
            </w:pPr>
            <w:r>
              <w:rPr>
                <w:sz w:val="19"/>
              </w:rPr>
              <w:t>Section 3, Figure 1, Table 2</w:t>
            </w:r>
          </w:p>
        </w:tc>
        <w:tc>
          <w:tcPr>
            <w:tcW w:type="dxa" w:w="3571"/>
          </w:tcPr>
          <w:p>
            <w:pPr>
              <w:pStyle w:val="CellText"/>
            </w:pPr>
            <w:r>
              <w:rPr>
                <w:rFonts w:ascii="Consolas" w:hAnsi="Consolas" w:eastAsia="Consolas"/>
                <w:sz w:val="16"/>
              </w:rPr>
              <w:t>backend/review2/figures/fig1_pipeline.png</w:t>
            </w:r>
            <w:r>
              <w:rPr>
                <w:sz w:val="19"/>
              </w:rPr>
              <w:t xml:space="preserve">, </w:t>
            </w:r>
            <w:r>
              <w:rPr>
                <w:rFonts w:ascii="Consolas" w:hAnsi="Consolas" w:eastAsia="Consolas"/>
                <w:sz w:val="16"/>
              </w:rPr>
              <w:t>backend/pagewise/cli.py</w:t>
            </w:r>
          </w:p>
        </w:tc>
      </w:tr>
      <w:tr>
        <w:trPr>
          <w:cantSplit w:val="true"/>
        </w:trPr>
        <w:tc>
          <w:tcPr>
            <w:tcW w:type="dxa" w:w="3022"/>
          </w:tcPr>
          <w:p>
            <w:pPr>
              <w:pStyle w:val="CellText"/>
            </w:pPr>
            <w:r>
              <w:rPr>
                <w:sz w:val="19"/>
              </w:rPr>
              <w:t>System / runtime architecture diagram</w:t>
            </w:r>
          </w:p>
        </w:tc>
        <w:tc>
          <w:tcPr>
            <w:tcW w:type="dxa" w:w="2335"/>
          </w:tcPr>
          <w:p>
            <w:pPr>
              <w:pStyle w:val="CellText"/>
            </w:pPr>
            <w:r>
              <w:rPr>
                <w:sz w:val="19"/>
              </w:rPr>
              <w:t>Section 4, Figure 2, Table 3</w:t>
            </w:r>
          </w:p>
        </w:tc>
        <w:tc>
          <w:tcPr>
            <w:tcW w:type="dxa" w:w="3571"/>
          </w:tcPr>
          <w:p>
            <w:pPr>
              <w:pStyle w:val="CellText"/>
            </w:pPr>
            <w:r>
              <w:rPr>
                <w:rFonts w:ascii="Consolas" w:hAnsi="Consolas" w:eastAsia="Consolas"/>
                <w:sz w:val="16"/>
              </w:rPr>
              <w:t>backend/pagewise/runtime.py</w:t>
            </w:r>
            <w:r>
              <w:rPr>
                <w:sz w:val="19"/>
              </w:rPr>
              <w:t xml:space="preserve">, </w:t>
            </w:r>
            <w:r>
              <w:rPr>
                <w:rFonts w:ascii="Consolas" w:hAnsi="Consolas" w:eastAsia="Consolas"/>
                <w:sz w:val="16"/>
              </w:rPr>
              <w:t>tracing.py</w:t>
            </w:r>
            <w:r>
              <w:rPr>
                <w:sz w:val="19"/>
              </w:rPr>
              <w:t xml:space="preserve">, </w:t>
            </w:r>
            <w:r>
              <w:rPr>
                <w:rFonts w:ascii="Consolas" w:hAnsi="Consolas" w:eastAsia="Consolas"/>
                <w:sz w:val="16"/>
              </w:rPr>
              <w:t>runner.py</w:t>
            </w:r>
          </w:p>
        </w:tc>
      </w:tr>
      <w:tr>
        <w:trPr>
          <w:cantSplit w:val="true"/>
        </w:trPr>
        <w:tc>
          <w:tcPr>
            <w:tcW w:type="dxa" w:w="3022"/>
          </w:tcPr>
          <w:p>
            <w:pPr>
              <w:pStyle w:val="CellText"/>
            </w:pPr>
            <w:r>
              <w:rPr>
                <w:sz w:val="19"/>
              </w:rPr>
              <w:t>Workflow diagrams for the major modules</w:t>
            </w:r>
          </w:p>
        </w:tc>
        <w:tc>
          <w:tcPr>
            <w:tcW w:type="dxa" w:w="2335"/>
          </w:tcPr>
          <w:p>
            <w:pPr>
              <w:pStyle w:val="CellText"/>
            </w:pPr>
            <w:r>
              <w:rPr>
                <w:sz w:val="19"/>
              </w:rPr>
              <w:t>Section 5, Figure 3, Table 4</w:t>
            </w:r>
          </w:p>
        </w:tc>
        <w:tc>
          <w:tcPr>
            <w:tcW w:type="dxa" w:w="3571"/>
          </w:tcPr>
          <w:p>
            <w:pPr>
              <w:pStyle w:val="CellText"/>
            </w:pPr>
            <w:r>
              <w:rPr>
                <w:rFonts w:ascii="Consolas" w:hAnsi="Consolas" w:eastAsia="Consolas"/>
                <w:sz w:val="16"/>
              </w:rPr>
              <w:t>backend/review2/figures/fig3_module_workflows.png</w:t>
            </w:r>
          </w:p>
        </w:tc>
      </w:tr>
      <w:tr>
        <w:trPr>
          <w:cantSplit w:val="true"/>
        </w:trPr>
        <w:tc>
          <w:tcPr>
            <w:tcW w:type="dxa" w:w="3022"/>
          </w:tcPr>
          <w:p>
            <w:pPr>
              <w:pStyle w:val="CellText"/>
            </w:pPr>
            <w:r>
              <w:rPr>
                <w:sz w:val="19"/>
              </w:rPr>
              <w:t>Predictor design, baselines and feature schema</w:t>
            </w:r>
          </w:p>
        </w:tc>
        <w:tc>
          <w:tcPr>
            <w:tcW w:type="dxa" w:w="2335"/>
          </w:tcPr>
          <w:p>
            <w:pPr>
              <w:pStyle w:val="CellText"/>
            </w:pPr>
            <w:r>
              <w:rPr>
                <w:sz w:val="19"/>
              </w:rPr>
              <w:t>Section 6, Tables 5–6</w:t>
            </w:r>
          </w:p>
        </w:tc>
        <w:tc>
          <w:tcPr>
            <w:tcW w:type="dxa" w:w="3571"/>
          </w:tcPr>
          <w:p>
            <w:pPr>
              <w:pStyle w:val="CellText"/>
            </w:pPr>
            <w:r>
              <w:rPr>
                <w:rFonts w:ascii="Consolas" w:hAnsi="Consolas" w:eastAsia="Consolas"/>
                <w:sz w:val="16"/>
              </w:rPr>
              <w:t>backend/pagewise/models.py</w:t>
            </w:r>
          </w:p>
        </w:tc>
      </w:tr>
      <w:tr>
        <w:trPr>
          <w:cantSplit w:val="true"/>
        </w:trPr>
        <w:tc>
          <w:tcPr>
            <w:tcW w:type="dxa" w:w="3022"/>
          </w:tcPr>
          <w:p>
            <w:pPr>
              <w:pStyle w:val="CellText"/>
            </w:pPr>
            <w:r>
              <w:rPr>
                <w:sz w:val="19"/>
              </w:rPr>
              <w:t>Experimental design and pre-registered protocol</w:t>
            </w:r>
          </w:p>
        </w:tc>
        <w:tc>
          <w:tcPr>
            <w:tcW w:type="dxa" w:w="2335"/>
          </w:tcPr>
          <w:p>
            <w:pPr>
              <w:pStyle w:val="CellText"/>
            </w:pPr>
            <w:r>
              <w:rPr>
                <w:sz w:val="19"/>
              </w:rPr>
              <w:t>Section 7, Tables 7–8</w:t>
            </w:r>
          </w:p>
        </w:tc>
        <w:tc>
          <w:tcPr>
            <w:tcW w:type="dxa" w:w="3571"/>
          </w:tcPr>
          <w:p>
            <w:pPr>
              <w:pStyle w:val="CellText"/>
            </w:pPr>
            <w:r>
              <w:rPr>
                <w:rFonts w:ascii="Consolas" w:hAnsi="Consolas" w:eastAsia="Consolas"/>
                <w:sz w:val="16"/>
              </w:rPr>
              <w:t>FINAL_EVALUATION_PROTOCOL.md</w:t>
            </w:r>
            <w:r>
              <w:rPr>
                <w:sz w:val="19"/>
              </w:rPr>
              <w:t xml:space="preserve">, </w:t>
            </w:r>
            <w:r>
              <w:rPr>
                <w:rFonts w:ascii="Consolas" w:hAnsi="Consolas" w:eastAsia="Consolas"/>
                <w:sz w:val="16"/>
              </w:rPr>
              <w:t>FINAL_EVALUATION_PROTOCOL_V2.md</w:t>
            </w:r>
          </w:p>
        </w:tc>
      </w:tr>
      <w:tr>
        <w:trPr>
          <w:cantSplit w:val="true"/>
        </w:trPr>
        <w:tc>
          <w:tcPr>
            <w:tcW w:type="dxa" w:w="3022"/>
          </w:tcPr>
          <w:p>
            <w:pPr>
              <w:pStyle w:val="CellText"/>
            </w:pPr>
            <w:r>
              <w:rPr>
                <w:sz w:val="19"/>
              </w:rPr>
              <w:t>Preliminary measured results with caveats</w:t>
            </w:r>
          </w:p>
        </w:tc>
        <w:tc>
          <w:tcPr>
            <w:tcW w:type="dxa" w:w="2335"/>
          </w:tcPr>
          <w:p>
            <w:pPr>
              <w:pStyle w:val="CellText"/>
            </w:pPr>
            <w:r>
              <w:rPr>
                <w:sz w:val="19"/>
              </w:rPr>
              <w:t>Section 8, Figures 4–5, Tables 9–12</w:t>
            </w:r>
          </w:p>
        </w:tc>
        <w:tc>
          <w:tcPr>
            <w:tcW w:type="dxa" w:w="3571"/>
          </w:tcPr>
          <w:p>
            <w:pPr>
              <w:pStyle w:val="CellText"/>
            </w:pPr>
            <w:r>
              <w:rPr>
                <w:rFonts w:ascii="Consolas" w:hAnsi="Consolas" w:eastAsia="Consolas"/>
                <w:sz w:val="16"/>
              </w:rPr>
              <w:t>public/pagewise-dashboard.json</w:t>
            </w:r>
            <w:r>
              <w:rPr>
                <w:sz w:val="19"/>
              </w:rPr>
              <w:t xml:space="preserve">, </w:t>
            </w:r>
            <w:r>
              <w:rPr>
                <w:rFonts w:ascii="Consolas" w:hAnsi="Consolas" w:eastAsia="Consolas"/>
                <w:sz w:val="16"/>
              </w:rPr>
              <w:t>FINAL_SUMMARY.md</w:t>
            </w:r>
          </w:p>
        </w:tc>
      </w:tr>
      <w:tr>
        <w:trPr>
          <w:cantSplit w:val="true"/>
        </w:trPr>
        <w:tc>
          <w:tcPr>
            <w:tcW w:type="dxa" w:w="3022"/>
          </w:tcPr>
          <w:p>
            <w:pPr>
              <w:pStyle w:val="CellText"/>
            </w:pPr>
            <w:r>
              <w:rPr>
                <w:sz w:val="19"/>
              </w:rPr>
              <w:t>Implementation status, test coverage, next-review plan</w:t>
            </w:r>
          </w:p>
        </w:tc>
        <w:tc>
          <w:tcPr>
            <w:tcW w:type="dxa" w:w="2335"/>
          </w:tcPr>
          <w:p>
            <w:pPr>
              <w:pStyle w:val="CellText"/>
            </w:pPr>
            <w:r>
              <w:rPr>
                <w:sz w:val="19"/>
              </w:rPr>
              <w:t>Sections 9–10, Tables 13–14</w:t>
            </w:r>
          </w:p>
        </w:tc>
        <w:tc>
          <w:tcPr>
            <w:tcW w:type="dxa" w:w="3571"/>
          </w:tcPr>
          <w:p>
            <w:pPr>
              <w:pStyle w:val="CellText"/>
            </w:pPr>
            <w:r>
              <w:rPr>
                <w:rFonts w:ascii="Consolas" w:hAnsi="Consolas" w:eastAsia="Consolas"/>
                <w:sz w:val="16"/>
              </w:rPr>
              <w:t>PROGRESS.md</w:t>
            </w:r>
            <w:r>
              <w:rPr>
                <w:sz w:val="19"/>
              </w:rPr>
              <w:t xml:space="preserve">, </w:t>
            </w:r>
            <w:r>
              <w:rPr>
                <w:rFonts w:ascii="Consolas" w:hAnsi="Consolas" w:eastAsia="Consolas"/>
                <w:sz w:val="16"/>
              </w:rPr>
              <w:t>DECISIONS.md</w:t>
            </w:r>
            <w:r>
              <w:rPr>
                <w:sz w:val="19"/>
              </w:rPr>
              <w:t xml:space="preserve">, </w:t>
            </w:r>
            <w:r>
              <w:rPr>
                <w:rFonts w:ascii="Consolas" w:hAnsi="Consolas" w:eastAsia="Consolas"/>
                <w:sz w:val="16"/>
              </w:rPr>
              <w:t>backend/tests/</w:t>
            </w:r>
          </w:p>
        </w:tc>
      </w:tr>
    </w:tbl>
    <w:p>
      <w:pPr>
        <w:spacing w:after="80"/>
      </w:pPr>
    </w:p>
    <w:p>
      <w:r>
        <w:rPr>
          <w:b/>
        </w:rPr>
        <w:t>Progress since the previous review.</w:t>
      </w:r>
      <w:r>
        <w:t xml:space="preserve"> The complete pipeline is implemented and exercised end to end on a frozen medium-scale database; the predeclared final evaluation protocol v1 (three categories, eight strategies, three seeds) has been run; a benchmark audit identified and repaired three measurement defects (stale prediction jobs, an infinitely parallel storage model, and inconsistent prefetch-rate denominators); protocol v2 has been pre-registered with an oracle headroom bound, a context-keyed Markov control and a virtual-time simulator; and milestones M0–M2 of the v2 plan (housekeeping and frozen manifest, oracle repair, offline prediction study with two held-out splits) are complete. The automated test suite currently contains 61 tests across 12 modules.</w:t>
      </w:r>
    </w:p>
    <w:p>
      <w:pPr>
        <w:pStyle w:val="Heading1"/>
      </w:pPr>
      <w:r>
        <w:t>3. End-to-end pipeline</w:t>
      </w:r>
    </w:p>
    <w:p>
      <w:r>
        <w:t>Figure 1 shows the seven stages of the Pagewise pipeline. Each stage is a sub-command of the unified command-line interface (</w:t>
      </w:r>
      <w:r>
        <w:rPr>
          <w:rFonts w:ascii="Consolas" w:hAnsi="Consolas" w:eastAsia="Consolas"/>
          <w:sz w:val="21"/>
        </w:rPr>
        <w:t>python -m pagewise.cli &lt;command&gt;</w:t>
      </w:r>
      <w:r>
        <w:t>), consumes the artefacts of the previous stage and writes self-describing JSON/JSONL files, so any stage can be re-run or audited independently; Table 2 lists the inputs, outputs and entry points of each stage. Stages 1–5 constitute the offline study; stages 6–7 constitute the online (runtime) study. The two are coupled at run time because the observed demand-page stream is the live input to the predictors.</w:t>
      </w:r>
    </w:p>
    <w:p>
      <w:pPr>
        <w:keepNext/>
        <w:spacing w:after="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4251960"/>
                    </a:xfrm>
                    <a:prstGeom prst="rect"/>
                  </pic:spPr>
                </pic:pic>
              </a:graphicData>
            </a:graphic>
          </wp:inline>
        </w:drawing>
      </w:r>
    </w:p>
    <w:p>
      <w:pPr>
        <w:pStyle w:val="FigCaption"/>
      </w:pPr>
      <w:r>
        <w:rPr>
          <w:sz w:val="20"/>
        </w:rPr>
        <w:t>Figure 1. Pagewise end-to-end experimental pipeline. Colours distinguish data generation (green), tracing (blue), learning (pink), runtime (indigo) and analysis (yellow). The strip at the bottom lists the experiment controls held identical across strategies within a trial.</w:t>
      </w:r>
    </w:p>
    <w:p>
      <w:pPr>
        <w:pStyle w:val="TableCaption"/>
      </w:pPr>
      <w:r>
        <w:rPr>
          <w:sz w:val="20"/>
        </w:rPr>
        <w:t>Table 2. Pipeline stages, responsible modules, inputs, outputs and the key design decision of each stage</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cantSplit w:val="true"/>
          <w:cantSplit w:val="true"/>
        </w:trPr>
        <w:tc>
          <w:tcPr>
            <w:tcW w:type="dxa" w:w="1511"/>
            <w:shd w:val="clear" w:color="auto" w:fill="D9E2F3"/>
          </w:tcPr>
          <w:p>
            <w:pPr>
              <w:pStyle w:val="CellText"/>
            </w:pPr>
            <w:r>
              <w:rPr>
                <w:b/>
                <w:sz w:val="19"/>
              </w:rPr>
              <w:t>Stage</w:t>
            </w:r>
          </w:p>
        </w:tc>
        <w:tc>
          <w:tcPr>
            <w:tcW w:type="dxa" w:w="1717"/>
            <w:shd w:val="clear" w:color="auto" w:fill="D9E2F3"/>
          </w:tcPr>
          <w:p>
            <w:pPr>
              <w:pStyle w:val="CellText"/>
            </w:pPr>
            <w:r>
              <w:rPr>
                <w:b/>
                <w:sz w:val="19"/>
              </w:rPr>
              <w:t>Module(s)</w:t>
            </w:r>
          </w:p>
        </w:tc>
        <w:tc>
          <w:tcPr>
            <w:tcW w:type="dxa" w:w="2541"/>
            <w:shd w:val="clear" w:color="auto" w:fill="D9E2F3"/>
          </w:tcPr>
          <w:p>
            <w:pPr>
              <w:pStyle w:val="CellText"/>
            </w:pPr>
            <w:r>
              <w:rPr>
                <w:b/>
                <w:sz w:val="19"/>
              </w:rPr>
              <w:t>Input → Output</w:t>
            </w:r>
          </w:p>
        </w:tc>
        <w:tc>
          <w:tcPr>
            <w:tcW w:type="dxa" w:w="3159"/>
            <w:shd w:val="clear" w:color="auto" w:fill="D9E2F3"/>
          </w:tcPr>
          <w:p>
            <w:pPr>
              <w:pStyle w:val="CellText"/>
            </w:pPr>
            <w:r>
              <w:rPr>
                <w:b/>
                <w:sz w:val="19"/>
              </w:rPr>
              <w:t>Key design decision</w:t>
            </w:r>
          </w:p>
        </w:tc>
      </w:tr>
      <w:tr>
        <w:trPr>
          <w:cantSplit w:val="true"/>
        </w:trPr>
        <w:tc>
          <w:tcPr>
            <w:tcW w:type="dxa" w:w="1511"/>
          </w:tcPr>
          <w:p>
            <w:pPr>
              <w:pStyle w:val="CellText"/>
            </w:pPr>
            <w:r>
              <w:rPr>
                <w:sz w:val="19"/>
              </w:rPr>
              <w:t>1. Database generator</w:t>
            </w:r>
          </w:p>
        </w:tc>
        <w:tc>
          <w:tcPr>
            <w:tcW w:type="dxa" w:w="1717"/>
          </w:tcPr>
          <w:p>
            <w:pPr>
              <w:pStyle w:val="CellText"/>
            </w:pPr>
            <w:r>
              <w:rPr>
                <w:rFonts w:ascii="Consolas" w:hAnsi="Consolas" w:eastAsia="Consolas"/>
                <w:sz w:val="16"/>
              </w:rPr>
              <w:t>database.py</w:t>
            </w:r>
          </w:p>
        </w:tc>
        <w:tc>
          <w:tcPr>
            <w:tcW w:type="dxa" w:w="2541"/>
          </w:tcPr>
          <w:p>
            <w:pPr>
              <w:pStyle w:val="CellText"/>
            </w:pPr>
            <w:r>
              <w:rPr>
                <w:sz w:val="19"/>
              </w:rPr>
              <w:t xml:space="preserve">size parameters, seed → </w:t>
            </w:r>
            <w:r>
              <w:rPr>
                <w:rFonts w:ascii="Consolas" w:hAnsi="Consolas" w:eastAsia="Consolas"/>
                <w:sz w:val="16"/>
              </w:rPr>
              <w:t>pagewise-medium.sqlite</w:t>
            </w:r>
            <w:r>
              <w:rPr>
                <w:sz w:val="19"/>
              </w:rPr>
              <w:t xml:space="preserve"> + </w:t>
            </w:r>
            <w:r>
              <w:rPr>
                <w:rFonts w:ascii="Consolas" w:hAnsi="Consolas" w:eastAsia="Consolas"/>
                <w:sz w:val="16"/>
              </w:rPr>
              <w:t>.metadata.json</w:t>
            </w:r>
          </w:p>
        </w:tc>
        <w:tc>
          <w:tcPr>
            <w:tcW w:type="dxa" w:w="3159"/>
          </w:tcPr>
          <w:p>
            <w:pPr>
              <w:pStyle w:val="CellText"/>
            </w:pPr>
            <w:r>
              <w:rPr>
                <w:sz w:val="19"/>
              </w:rPr>
              <w:t>Deterministic synthetic e-commerce schema (6 tables, 6 secondary indexes, 4 KiB pages) with Pareto-skewed customer activity so that the working set is non-uniform.</w:t>
            </w:r>
          </w:p>
        </w:tc>
      </w:tr>
      <w:tr>
        <w:trPr>
          <w:cantSplit w:val="true"/>
        </w:trPr>
        <w:tc>
          <w:tcPr>
            <w:tcW w:type="dxa" w:w="1511"/>
          </w:tcPr>
          <w:p>
            <w:pPr>
              <w:pStyle w:val="CellText"/>
            </w:pPr>
            <w:r>
              <w:rPr>
                <w:sz w:val="19"/>
              </w:rPr>
              <w:t>2. Workload + VFS trace</w:t>
            </w:r>
          </w:p>
        </w:tc>
        <w:tc>
          <w:tcPr>
            <w:tcW w:type="dxa" w:w="1717"/>
          </w:tcPr>
          <w:p>
            <w:pPr>
              <w:pStyle w:val="CellText"/>
            </w:pPr>
            <w:r>
              <w:rPr>
                <w:rFonts w:ascii="Consolas" w:hAnsi="Consolas" w:eastAsia="Consolas"/>
                <w:sz w:val="16"/>
              </w:rPr>
              <w:t>workloads.py</w:t>
            </w:r>
            <w:r>
              <w:rPr>
                <w:sz w:val="19"/>
              </w:rPr>
              <w:t xml:space="preserve">, </w:t>
            </w:r>
            <w:r>
              <w:rPr>
                <w:rFonts w:ascii="Consolas" w:hAnsi="Consolas" w:eastAsia="Consolas"/>
                <w:sz w:val="16"/>
              </w:rPr>
              <w:t>tracing.py</w:t>
            </w:r>
            <w:r>
              <w:rPr>
                <w:sz w:val="19"/>
              </w:rPr>
              <w:t xml:space="preserve">, </w:t>
            </w:r>
            <w:r>
              <w:rPr>
                <w:rFonts w:ascii="Consolas" w:hAnsi="Consolas" w:eastAsia="Consolas"/>
                <w:sz w:val="16"/>
              </w:rPr>
              <w:t>metadata.py</w:t>
            </w:r>
            <w:r>
              <w:rPr>
                <w:sz w:val="19"/>
              </w:rPr>
              <w:t xml:space="preserve">, </w:t>
            </w:r>
            <w:r>
              <w:rPr>
                <w:rFonts w:ascii="Consolas" w:hAnsi="Consolas" w:eastAsia="Consolas"/>
                <w:sz w:val="16"/>
              </w:rPr>
              <w:t>runner.py</w:t>
            </w:r>
          </w:p>
        </w:tc>
        <w:tc>
          <w:tcPr>
            <w:tcW w:type="dxa" w:w="2541"/>
          </w:tcPr>
          <w:p>
            <w:pPr>
              <w:pStyle w:val="CellText"/>
            </w:pPr>
            <w:r>
              <w:rPr>
                <w:sz w:val="19"/>
              </w:rPr>
              <w:t xml:space="preserve">database → </w:t>
            </w:r>
            <w:r>
              <w:rPr>
                <w:rFonts w:ascii="Consolas" w:hAnsi="Consolas" w:eastAsia="Consolas"/>
                <w:sz w:val="16"/>
              </w:rPr>
              <w:t>trace.jsonl</w:t>
            </w:r>
            <w:r>
              <w:rPr>
                <w:sz w:val="19"/>
              </w:rPr>
              <w:t xml:space="preserve">, </w:t>
            </w:r>
            <w:r>
              <w:rPr>
                <w:rFonts w:ascii="Consolas" w:hAnsi="Consolas" w:eastAsia="Consolas"/>
                <w:sz w:val="16"/>
              </w:rPr>
              <w:t>page_map.json</w:t>
            </w:r>
            <w:r>
              <w:rPr>
                <w:sz w:val="19"/>
              </w:rPr>
              <w:t xml:space="preserve">, </w:t>
            </w:r>
            <w:r>
              <w:rPr>
                <w:rFonts w:ascii="Consolas" w:hAnsi="Consolas" w:eastAsia="Consolas"/>
                <w:sz w:val="16"/>
              </w:rPr>
              <w:t>plans.json</w:t>
            </w:r>
            <w:r>
              <w:rPr>
                <w:sz w:val="19"/>
              </w:rPr>
              <w:t xml:space="preserve">, </w:t>
            </w:r>
            <w:r>
              <w:rPr>
                <w:rFonts w:ascii="Consolas" w:hAnsi="Consolas" w:eastAsia="Consolas"/>
                <w:sz w:val="16"/>
              </w:rPr>
              <w:t>workload.jsonl</w:t>
            </w:r>
          </w:p>
        </w:tc>
        <w:tc>
          <w:tcPr>
            <w:tcW w:type="dxa" w:w="3159"/>
          </w:tcPr>
          <w:p>
            <w:pPr>
              <w:pStyle w:val="CellText"/>
            </w:pPr>
            <w:r>
              <w:rPr>
                <w:sz w:val="19"/>
              </w:rPr>
              <w:t xml:space="preserve">An APSW custom VFS intercepts every </w:t>
            </w:r>
            <w:r>
              <w:rPr>
                <w:rFonts w:ascii="Consolas" w:hAnsi="Consolas" w:eastAsia="Consolas"/>
                <w:sz w:val="16"/>
              </w:rPr>
              <w:t>xRead</w:t>
            </w:r>
            <w:r>
              <w:rPr>
                <w:sz w:val="19"/>
              </w:rPr>
              <w:t xml:space="preserve"> on the main database file and tags it with the executing query’s context; </w:t>
            </w:r>
            <w:r>
              <w:rPr>
                <w:rFonts w:ascii="Consolas" w:hAnsi="Consolas" w:eastAsia="Consolas"/>
                <w:sz w:val="16"/>
              </w:rPr>
              <w:t>dbstat</w:t>
            </w:r>
            <w:r>
              <w:rPr>
                <w:sz w:val="19"/>
              </w:rPr>
              <w:t xml:space="preserve"> supplies the page → object/type/depth map; memory-mapped I/O is disabled so reads reach the VFS.</w:t>
            </w:r>
          </w:p>
        </w:tc>
      </w:tr>
      <w:tr>
        <w:trPr>
          <w:cantSplit w:val="true"/>
        </w:trPr>
        <w:tc>
          <w:tcPr>
            <w:tcW w:type="dxa" w:w="1511"/>
          </w:tcPr>
          <w:p>
            <w:pPr>
              <w:pStyle w:val="CellText"/>
            </w:pPr>
            <w:r>
              <w:rPr>
                <w:sz w:val="19"/>
              </w:rPr>
              <w:t>3. Page sequences</w:t>
            </w:r>
          </w:p>
        </w:tc>
        <w:tc>
          <w:tcPr>
            <w:tcW w:type="dxa" w:w="1717"/>
          </w:tcPr>
          <w:p>
            <w:pPr>
              <w:pStyle w:val="CellText"/>
            </w:pPr>
            <w:r>
              <w:rPr>
                <w:rFonts w:ascii="Consolas" w:hAnsi="Consolas" w:eastAsia="Consolas"/>
                <w:sz w:val="16"/>
              </w:rPr>
              <w:t>dataset.py</w:t>
            </w:r>
          </w:p>
        </w:tc>
        <w:tc>
          <w:tcPr>
            <w:tcW w:type="dxa" w:w="2541"/>
          </w:tcPr>
          <w:p>
            <w:pPr>
              <w:pStyle w:val="CellText"/>
            </w:pPr>
            <w:r>
              <w:rPr>
                <w:sz w:val="19"/>
              </w:rPr>
              <w:t xml:space="preserve">trace + page map → </w:t>
            </w:r>
            <w:r>
              <w:rPr>
                <w:rFonts w:ascii="Consolas" w:hAnsi="Consolas" w:eastAsia="Consolas"/>
                <w:sz w:val="16"/>
              </w:rPr>
              <w:t>sequences.jsonl</w:t>
            </w:r>
          </w:p>
        </w:tc>
        <w:tc>
          <w:tcPr>
            <w:tcW w:type="dxa" w:w="3159"/>
          </w:tcPr>
          <w:p>
            <w:pPr>
              <w:pStyle w:val="CellText"/>
            </w:pPr>
            <w:r>
              <w:rPr>
                <w:sz w:val="19"/>
              </w:rPr>
              <w:t>Byte ranges are expanded to page numbers and grouped per query execution; events without a query context (schema reads, PRAGMAs) are excluded from supervised examples.</w:t>
            </w:r>
          </w:p>
        </w:tc>
      </w:tr>
      <w:tr>
        <w:trPr>
          <w:cantSplit w:val="true"/>
        </w:trPr>
        <w:tc>
          <w:tcPr>
            <w:tcW w:type="dxa" w:w="1511"/>
          </w:tcPr>
          <w:p>
            <w:pPr>
              <w:pStyle w:val="CellText"/>
            </w:pPr>
            <w:r>
              <w:rPr>
                <w:sz w:val="19"/>
              </w:rPr>
              <w:t>4. Train rankers</w:t>
            </w:r>
          </w:p>
        </w:tc>
        <w:tc>
          <w:tcPr>
            <w:tcW w:type="dxa" w:w="1717"/>
          </w:tcPr>
          <w:p>
            <w:pPr>
              <w:pStyle w:val="CellText"/>
            </w:pPr>
            <w:r>
              <w:rPr>
                <w:rFonts w:ascii="Consolas" w:hAnsi="Consolas" w:eastAsia="Consolas"/>
                <w:sz w:val="16"/>
              </w:rPr>
              <w:t>models.py</w:t>
            </w:r>
          </w:p>
        </w:tc>
        <w:tc>
          <w:tcPr>
            <w:tcW w:type="dxa" w:w="2541"/>
          </w:tcPr>
          <w:p>
            <w:pPr>
              <w:pStyle w:val="CellText"/>
            </w:pPr>
            <w:r>
              <w:rPr>
                <w:sz w:val="19"/>
              </w:rPr>
              <w:t xml:space="preserve">sequences → </w:t>
            </w:r>
            <w:r>
              <w:rPr>
                <w:rFonts w:ascii="Consolas" w:hAnsi="Consolas" w:eastAsia="Consolas"/>
                <w:sz w:val="16"/>
              </w:rPr>
              <w:t>candidate_index.json</w:t>
            </w:r>
            <w:r>
              <w:rPr>
                <w:sz w:val="19"/>
              </w:rPr>
              <w:t xml:space="preserve">, </w:t>
            </w:r>
            <w:r>
              <w:rPr>
                <w:rFonts w:ascii="Consolas" w:hAnsi="Consolas" w:eastAsia="Consolas"/>
                <w:sz w:val="16"/>
              </w:rPr>
              <w:t>model_a.pt</w:t>
            </w:r>
            <w:r>
              <w:rPr>
                <w:sz w:val="19"/>
              </w:rPr>
              <w:t xml:space="preserve">, </w:t>
            </w:r>
            <w:r>
              <w:rPr>
                <w:rFonts w:ascii="Consolas" w:hAnsi="Consolas" w:eastAsia="Consolas"/>
                <w:sz w:val="16"/>
              </w:rPr>
              <w:t>model_b.pt</w:t>
            </w:r>
            <w:r>
              <w:rPr>
                <w:sz w:val="19"/>
              </w:rPr>
              <w:t xml:space="preserve">, </w:t>
            </w:r>
            <w:r>
              <w:rPr>
                <w:rFonts w:ascii="Consolas" w:hAnsi="Consolas" w:eastAsia="Consolas"/>
                <w:sz w:val="16"/>
              </w:rPr>
              <w:t>training_report.json</w:t>
            </w:r>
          </w:p>
        </w:tc>
        <w:tc>
          <w:tcPr>
            <w:tcW w:type="dxa" w:w="3159"/>
          </w:tcPr>
          <w:p>
            <w:pPr>
              <w:pStyle w:val="CellText"/>
            </w:pPr>
            <w:r>
              <w:rPr>
                <w:sz w:val="19"/>
              </w:rPr>
              <w:t>Candidate dictionary built from training executions only; Model A and Model B share the candidate set, network shape, seed set and epoch budget, so the only difference is the semantic feature block.</w:t>
            </w:r>
          </w:p>
        </w:tc>
      </w:tr>
      <w:tr>
        <w:trPr>
          <w:cantSplit w:val="true"/>
        </w:trPr>
        <w:tc>
          <w:tcPr>
            <w:tcW w:type="dxa" w:w="1511"/>
          </w:tcPr>
          <w:p>
            <w:pPr>
              <w:pStyle w:val="CellText"/>
            </w:pPr>
            <w:r>
              <w:rPr>
                <w:sz w:val="19"/>
              </w:rPr>
              <w:t>5. Offline evaluation</w:t>
            </w:r>
          </w:p>
        </w:tc>
        <w:tc>
          <w:tcPr>
            <w:tcW w:type="dxa" w:w="1717"/>
          </w:tcPr>
          <w:p>
            <w:pPr>
              <w:pStyle w:val="CellText"/>
            </w:pPr>
            <w:r>
              <w:rPr>
                <w:rFonts w:ascii="Consolas" w:hAnsi="Consolas" w:eastAsia="Consolas"/>
                <w:sz w:val="16"/>
              </w:rPr>
              <w:t>evaluate.py</w:t>
            </w:r>
            <w:r>
              <w:rPr>
                <w:sz w:val="19"/>
              </w:rPr>
              <w:t xml:space="preserve">, </w:t>
            </w:r>
            <w:r>
              <w:rPr>
                <w:rFonts w:ascii="Consolas" w:hAnsi="Consolas" w:eastAsia="Consolas"/>
                <w:sz w:val="16"/>
              </w:rPr>
              <w:t>sweep.py</w:t>
            </w:r>
            <w:r>
              <w:rPr>
                <w:sz w:val="19"/>
              </w:rPr>
              <w:t xml:space="preserve">, </w:t>
            </w:r>
            <w:r>
              <w:rPr>
                <w:rFonts w:ascii="Consolas" w:hAnsi="Consolas" w:eastAsia="Consolas"/>
                <w:sz w:val="16"/>
              </w:rPr>
              <w:t>offline.py</w:t>
            </w:r>
          </w:p>
        </w:tc>
        <w:tc>
          <w:tcPr>
            <w:tcW w:type="dxa" w:w="2541"/>
          </w:tcPr>
          <w:p>
            <w:pPr>
              <w:pStyle w:val="CellText"/>
            </w:pPr>
            <w:r>
              <w:rPr>
                <w:sz w:val="19"/>
              </w:rPr>
              <w:t xml:space="preserve">test split + models → </w:t>
            </w:r>
            <w:r>
              <w:rPr>
                <w:rFonts w:ascii="Consolas" w:hAnsi="Consolas" w:eastAsia="Consolas"/>
                <w:sz w:val="16"/>
              </w:rPr>
              <w:t>predictor_metrics.json</w:t>
            </w:r>
            <w:r>
              <w:rPr>
                <w:sz w:val="19"/>
              </w:rPr>
              <w:t>, sweep and ablation reports</w:t>
            </w:r>
          </w:p>
        </w:tc>
        <w:tc>
          <w:tcPr>
            <w:tcW w:type="dxa" w:w="3159"/>
          </w:tcPr>
          <w:p>
            <w:pPr>
              <w:pStyle w:val="CellText"/>
            </w:pPr>
            <w:r>
              <w:rPr>
                <w:sz w:val="19"/>
              </w:rPr>
              <w:t>Top-1/top-5 accuracy and candidate recall against sequential, Markov-1/2 and oracle references; multi-seed sweeps and semantic ablations (inference-time and retrained).</w:t>
            </w:r>
          </w:p>
        </w:tc>
      </w:tr>
      <w:tr>
        <w:trPr>
          <w:cantSplit w:val="true"/>
        </w:trPr>
        <w:tc>
          <w:tcPr>
            <w:tcW w:type="dxa" w:w="1511"/>
          </w:tcPr>
          <w:p>
            <w:pPr>
              <w:pStyle w:val="CellText"/>
            </w:pPr>
            <w:r>
              <w:rPr>
                <w:sz w:val="19"/>
              </w:rPr>
              <w:t>6. Prefetch runtime</w:t>
            </w:r>
          </w:p>
        </w:tc>
        <w:tc>
          <w:tcPr>
            <w:tcW w:type="dxa" w:w="1717"/>
          </w:tcPr>
          <w:p>
            <w:pPr>
              <w:pStyle w:val="CellText"/>
            </w:pPr>
            <w:r>
              <w:rPr>
                <w:rFonts w:ascii="Consolas" w:hAnsi="Consolas" w:eastAsia="Consolas"/>
                <w:sz w:val="16"/>
              </w:rPr>
              <w:t>runtime.py</w:t>
            </w:r>
            <w:r>
              <w:rPr>
                <w:sz w:val="19"/>
              </w:rPr>
              <w:t xml:space="preserve">, </w:t>
            </w:r>
            <w:r>
              <w:rPr>
                <w:rFonts w:ascii="Consolas" w:hAnsi="Consolas" w:eastAsia="Consolas"/>
                <w:sz w:val="16"/>
              </w:rPr>
              <w:t>tracing.py</w:t>
            </w:r>
          </w:p>
        </w:tc>
        <w:tc>
          <w:tcPr>
            <w:tcW w:type="dxa" w:w="2541"/>
          </w:tcPr>
          <w:p>
            <w:pPr>
              <w:pStyle w:val="CellText"/>
            </w:pPr>
            <w:r>
              <w:rPr>
                <w:sz w:val="19"/>
              </w:rPr>
              <w:t xml:space="preserve">database, models, strategy, cache/delay settings → </w:t>
            </w:r>
            <w:r>
              <w:rPr>
                <w:rFonts w:ascii="Consolas" w:hAnsi="Consolas" w:eastAsia="Consolas"/>
                <w:sz w:val="16"/>
              </w:rPr>
              <w:t>runtime_stats.json</w:t>
            </w:r>
            <w:r>
              <w:rPr>
                <w:sz w:val="19"/>
              </w:rPr>
              <w:t xml:space="preserve">, </w:t>
            </w:r>
            <w:r>
              <w:rPr>
                <w:rFonts w:ascii="Consolas" w:hAnsi="Consolas" w:eastAsia="Consolas"/>
                <w:sz w:val="16"/>
              </w:rPr>
              <w:t>predictions.jsonl</w:t>
            </w:r>
          </w:p>
        </w:tc>
        <w:tc>
          <w:tcPr>
            <w:tcW w:type="dxa" w:w="3159"/>
          </w:tcPr>
          <w:p>
            <w:pPr>
              <w:pStyle w:val="CellText"/>
            </w:pPr>
            <w:r>
              <w:rPr>
                <w:sz w:val="19"/>
              </w:rPr>
              <w:t>Bounded LRU cache beneath SQLite’s pager, an asynchronous prediction queue served by a worker pool, and a simulated storage device with a shared (serialised) or independent latency model.</w:t>
            </w:r>
          </w:p>
        </w:tc>
      </w:tr>
      <w:tr>
        <w:trPr>
          <w:cantSplit w:val="true"/>
        </w:trPr>
        <w:tc>
          <w:tcPr>
            <w:tcW w:type="dxa" w:w="1511"/>
          </w:tcPr>
          <w:p>
            <w:pPr>
              <w:pStyle w:val="CellText"/>
            </w:pPr>
            <w:r>
              <w:rPr>
                <w:sz w:val="19"/>
              </w:rPr>
              <w:t>7. Suite + analysis</w:t>
            </w:r>
          </w:p>
        </w:tc>
        <w:tc>
          <w:tcPr>
            <w:tcW w:type="dxa" w:w="1717"/>
          </w:tcPr>
          <w:p>
            <w:pPr>
              <w:pStyle w:val="CellText"/>
            </w:pPr>
            <w:r>
              <w:rPr>
                <w:rFonts w:ascii="Consolas" w:hAnsi="Consolas" w:eastAsia="Consolas"/>
                <w:sz w:val="16"/>
              </w:rPr>
              <w:t>suite.py</w:t>
            </w:r>
            <w:r>
              <w:rPr>
                <w:sz w:val="19"/>
              </w:rPr>
              <w:t xml:space="preserve">, </w:t>
            </w:r>
            <w:r>
              <w:rPr>
                <w:rFonts w:ascii="Consolas" w:hAnsi="Consolas" w:eastAsia="Consolas"/>
                <w:sz w:val="16"/>
              </w:rPr>
              <w:t>reporting.py</w:t>
            </w:r>
            <w:r>
              <w:rPr>
                <w:sz w:val="19"/>
              </w:rPr>
              <w:t xml:space="preserve">, </w:t>
            </w:r>
            <w:r>
              <w:rPr>
                <w:rFonts w:ascii="Consolas" w:hAnsi="Consolas" w:eastAsia="Consolas"/>
                <w:sz w:val="16"/>
              </w:rPr>
              <w:t>dashboard.py</w:t>
            </w:r>
            <w:r>
              <w:rPr>
                <w:sz w:val="19"/>
              </w:rPr>
              <w:t>, React UI</w:t>
            </w:r>
          </w:p>
        </w:tc>
        <w:tc>
          <w:tcPr>
            <w:tcW w:type="dxa" w:w="2541"/>
          </w:tcPr>
          <w:p>
            <w:pPr>
              <w:pStyle w:val="CellText"/>
            </w:pPr>
            <w:r>
              <w:rPr>
                <w:sz w:val="19"/>
              </w:rPr>
              <w:t xml:space="preserve">repeated runs → </w:t>
            </w:r>
            <w:r>
              <w:rPr>
                <w:rFonts w:ascii="Consolas" w:hAnsi="Consolas" w:eastAsia="Consolas"/>
                <w:sz w:val="16"/>
              </w:rPr>
              <w:t>suite_summary.json</w:t>
            </w:r>
            <w:r>
              <w:rPr>
                <w:sz w:val="19"/>
              </w:rPr>
              <w:t xml:space="preserve">, Markdown reports, </w:t>
            </w:r>
            <w:r>
              <w:rPr>
                <w:rFonts w:ascii="Consolas" w:hAnsi="Consolas" w:eastAsia="Consolas"/>
                <w:sz w:val="16"/>
              </w:rPr>
              <w:t>pagewise-dashboard.json</w:t>
            </w:r>
          </w:p>
        </w:tc>
        <w:tc>
          <w:tcPr>
            <w:tcW w:type="dxa" w:w="3159"/>
          </w:tcPr>
          <w:p>
            <w:pPr>
              <w:pStyle w:val="CellText"/>
            </w:pPr>
            <w:r>
              <w:rPr>
                <w:sz w:val="19"/>
              </w:rPr>
              <w:t>Identical workload per seed across strategies with rotated order; paired per-query deltas with bootstrap confidence intervals; reports generated mechanically from artefacts.</w:t>
            </w:r>
          </w:p>
        </w:tc>
      </w:tr>
    </w:tbl>
    <w:p>
      <w:pPr>
        <w:spacing w:after="80"/>
      </w:pPr>
    </w:p>
    <w:p>
      <w:pPr>
        <w:pStyle w:val="Heading1"/>
      </w:pPr>
      <w:r>
        <w:t>4. System architecture</w:t>
      </w:r>
    </w:p>
    <w:p>
      <w:r>
        <w:t xml:space="preserve">Figure 2 presents the runtime architecture used in stages 6–7. It separates a </w:t>
      </w:r>
      <w:r>
        <w:rPr>
          <w:b/>
        </w:rPr>
        <w:t>demand path</w:t>
      </w:r>
      <w:r>
        <w:t xml:space="preserve">, executed on the SQLite query thread, from an </w:t>
      </w:r>
      <w:r>
        <w:rPr>
          <w:b/>
        </w:rPr>
        <w:t>asynchronous prefetch path</w:t>
      </w:r>
      <w:r>
        <w:t>, executed by background worker threads, with three shared components: the page predictors, the candidate index and page map, and the simulated storage device that models contention between demand and speculative I/O.</w:t>
      </w:r>
    </w:p>
    <w:p>
      <w:pPr>
        <w:keepNext/>
        <w:spacing w:after="0"/>
        <w:jc w:val="center"/>
      </w:pPr>
      <w:r>
        <w:drawing>
          <wp:inline xmlns:a="http://schemas.openxmlformats.org/drawingml/2006/main" xmlns:pic="http://schemas.openxmlformats.org/drawingml/2006/picture">
            <wp:extent cx="5669280" cy="461453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5669280" cy="4614530"/>
                    </a:xfrm>
                    <a:prstGeom prst="rect"/>
                  </pic:spPr>
                </pic:pic>
              </a:graphicData>
            </a:graphic>
          </wp:inline>
        </w:drawing>
      </w:r>
    </w:p>
    <w:p>
      <w:pPr>
        <w:pStyle w:val="FigCaption"/>
      </w:pPr>
      <w:r>
        <w:rPr>
          <w:sz w:val="20"/>
        </w:rPr>
        <w:t>Figure 2. Runtime architecture. The demand path (left) is the SQLite query thread; the prefetch path (centre) is the worker pool; shared components are on the right. Both demand misses and prefetch reads pass through the simulated storage device, which under the shared model serialises them on one channel.</w:t>
      </w:r>
    </w:p>
    <w:p>
      <w:pPr>
        <w:pStyle w:val="Heading2"/>
      </w:pPr>
      <w:r>
        <w:t>4.1 Demand path</w:t>
      </w:r>
    </w:p>
    <w:p>
      <w:r>
        <w:t>The workload driver (</w:t>
      </w:r>
      <w:r>
        <w:rPr>
          <w:rFonts w:ascii="Consolas" w:hAnsi="Consolas" w:eastAsia="Consolas"/>
          <w:sz w:val="21"/>
        </w:rPr>
        <w:t>runner.py</w:t>
      </w:r>
      <w:r>
        <w:t xml:space="preserve">) opens the database read-only through an APSW connection whose VFS is the project’s </w:t>
      </w:r>
      <w:r>
        <w:rPr>
          <w:rFonts w:ascii="Consolas" w:hAnsi="Consolas" w:eastAsia="Consolas"/>
          <w:sz w:val="21"/>
        </w:rPr>
        <w:t>TraceVFS</w:t>
      </w:r>
      <w:r>
        <w:t xml:space="preserve"> [1], [4]. Memory-mapped I/O is disabled (</w:t>
      </w:r>
      <w:r>
        <w:rPr>
          <w:rFonts w:ascii="Consolas" w:hAnsi="Consolas" w:eastAsia="Consolas"/>
          <w:sz w:val="21"/>
        </w:rPr>
        <w:t>PRAGMA mmap_size=0</w:t>
      </w:r>
      <w:r>
        <w:t>) and the SQLite page cache is fixed (</w:t>
      </w:r>
      <w:r>
        <w:rPr>
          <w:rFonts w:ascii="Consolas" w:hAnsi="Consolas" w:eastAsia="Consolas"/>
          <w:sz w:val="21"/>
        </w:rPr>
        <w:t>PRAGMA cache_size</w:t>
      </w:r>
      <w:r>
        <w:t xml:space="preserve">), so page requests that miss SQLite’s pager reach </w:t>
      </w:r>
      <w:r>
        <w:rPr>
          <w:rFonts w:ascii="Consolas" w:hAnsi="Consolas" w:eastAsia="Consolas"/>
          <w:sz w:val="21"/>
        </w:rPr>
        <w:t>TraceVFSFile.xRead</w:t>
      </w:r>
      <w:r>
        <w:t xml:space="preserve">. Before each query the driver publishes a context record (query identifier, template, workload family, plan class) through a context variable; every intercepted read is tagged with it. Each read’s byte range is converted to page numbers and looked up in the </w:t>
      </w:r>
      <w:r>
        <w:rPr>
          <w:rFonts w:ascii="Consolas" w:hAnsi="Consolas" w:eastAsia="Consolas"/>
          <w:sz w:val="21"/>
        </w:rPr>
        <w:t>BoundedPageCache</w:t>
      </w:r>
      <w:r>
        <w:t xml:space="preserve">, a thread-safe LRU of </w:t>
      </w:r>
      <w:r>
        <w:rPr>
          <w:i/>
        </w:rPr>
        <w:t>N</w:t>
      </w:r>
      <w:r>
        <w:t xml:space="preserve"> pages. A hit is served from the cache; a miss performs one access on the storage device, reads the page through the base VFS and inserts it with </w:t>
      </w:r>
      <w:r>
        <w:rPr>
          <w:rFonts w:ascii="Consolas" w:hAnsi="Consolas" w:eastAsia="Consolas"/>
          <w:sz w:val="21"/>
        </w:rPr>
        <w:t>origin='demand'</w:t>
      </w:r>
      <w:r>
        <w:t>. The cache records hits, misses, evictions, useful and wasted prefetches, and the lead time between a prefetch completing and its first demand use.</w:t>
      </w:r>
    </w:p>
    <w:p>
      <w:pPr>
        <w:pStyle w:val="Heading2"/>
      </w:pPr>
      <w:r>
        <w:t>4.2 Asynchronous prefetch path</w:t>
      </w:r>
    </w:p>
    <w:p>
      <w:r>
        <w:t xml:space="preserve">For every observed page (subject to the </w:t>
      </w:r>
      <w:r>
        <w:rPr>
          <w:rFonts w:ascii="Consolas" w:hAnsi="Consolas" w:eastAsia="Consolas"/>
          <w:sz w:val="21"/>
        </w:rPr>
        <w:t>predict_on</w:t>
      </w:r>
      <w:r>
        <w:t xml:space="preserve"> and </w:t>
      </w:r>
      <w:r>
        <w:rPr>
          <w:rFonts w:ascii="Consolas" w:hAnsi="Consolas" w:eastAsia="Consolas"/>
          <w:sz w:val="21"/>
        </w:rPr>
        <w:t>predict_every</w:t>
      </w:r>
      <w:r>
        <w:t xml:space="preserve"> scheduler settings) the VFS calls </w:t>
      </w:r>
      <w:r>
        <w:rPr>
          <w:rFonts w:ascii="Consolas" w:hAnsi="Consolas" w:eastAsia="Consolas"/>
          <w:sz w:val="21"/>
        </w:rPr>
        <w:t>PredictiveRuntime.request_prediction()</w:t>
      </w:r>
      <w:r>
        <w:t xml:space="preserve"> with the last eight page numbers and the live query context. Requests are placed on a bounded FIFO queue; identical keys are coalesced, requests arriving at a full queue are dropped (and counted), and each job carries the identifier of the query that issued it so that a worker can detect — and, with </w:t>
      </w:r>
      <w:r>
        <w:rPr>
          <w:rFonts w:ascii="Consolas" w:hAnsi="Consolas" w:eastAsia="Consolas"/>
          <w:sz w:val="21"/>
        </w:rPr>
        <w:t>--drop-stale-jobs</w:t>
      </w:r>
      <w:r>
        <w:t>, skip — jobs whose query has already finished. A pool of 1–4 daemon worker threads dequeues jobs and (i) ranks candidate pages with the configured predictor, (ii) prunes candidates that are already cached or in flight and caps the number scored neurally (</w:t>
      </w:r>
      <w:r>
        <w:rPr>
          <w:rFonts w:ascii="Consolas" w:hAnsi="Consolas" w:eastAsia="Consolas"/>
          <w:sz w:val="21"/>
        </w:rPr>
        <w:t>max_score_candidates</w:t>
      </w:r>
      <w:r>
        <w:t>), (iii) reads the top-</w:t>
      </w:r>
      <w:r>
        <w:rPr>
          <w:i/>
        </w:rPr>
        <w:t>K</w:t>
      </w:r>
      <w:r>
        <w:t xml:space="preserve"> remaining pages through a separate ordinary file handle — so prefetch reads never recurse through the tracing VFS — after acquiring the storage device, and (iv) inserts them with </w:t>
      </w:r>
      <w:r>
        <w:rPr>
          <w:rFonts w:ascii="Consolas" w:hAnsi="Consolas" w:eastAsia="Consolas"/>
          <w:sz w:val="21"/>
        </w:rPr>
        <w:t>origin='prefetch'</w:t>
      </w:r>
      <w:r>
        <w:t xml:space="preserve"> together with monotonic timestamps for request, dequeue, inference and read completion. Shutdown waits for accepted jobs to drain and records whether every worker exited cleanly; a non-clean shutdown invalidates the run.</w:t>
      </w:r>
    </w:p>
    <w:p>
      <w:pPr>
        <w:pStyle w:val="Heading2"/>
      </w:pPr>
      <w:r>
        <w:t>4.3 Shared components</w:t>
      </w:r>
    </w:p>
    <w:p>
      <w:pPr>
        <w:pStyle w:val="ListBullet"/>
        <w:jc w:val="left"/>
      </w:pPr>
      <w:r>
        <w:rPr>
          <w:b/>
        </w:rPr>
        <w:t>Page predictors</w:t>
      </w:r>
      <w:r>
        <w:t xml:space="preserve"> (</w:t>
      </w:r>
      <w:r>
        <w:rPr>
          <w:rFonts w:ascii="Consolas" w:hAnsi="Consolas" w:eastAsia="Consolas"/>
          <w:sz w:val="21"/>
        </w:rPr>
        <w:t>models.py</w:t>
      </w:r>
      <w:r>
        <w:t xml:space="preserve">, </w:t>
      </w:r>
      <w:r>
        <w:rPr>
          <w:rFonts w:ascii="Consolas" w:hAnsi="Consolas" w:eastAsia="Consolas"/>
          <w:sz w:val="21"/>
        </w:rPr>
        <w:t>runtime.py</w:t>
      </w:r>
      <w:r>
        <w:t xml:space="preserve">): </w:t>
      </w:r>
      <w:r>
        <w:rPr>
          <w:rFonts w:ascii="Consolas" w:hAnsi="Consolas" w:eastAsia="Consolas"/>
          <w:sz w:val="21"/>
        </w:rPr>
        <w:t>sequential</w:t>
      </w:r>
      <w:r>
        <w:t xml:space="preserve">, </w:t>
      </w:r>
      <w:r>
        <w:rPr>
          <w:rFonts w:ascii="Consolas" w:hAnsi="Consolas" w:eastAsia="Consolas"/>
          <w:sz w:val="21"/>
        </w:rPr>
        <w:t>markov1</w:t>
      </w:r>
      <w:r>
        <w:t xml:space="preserve">, </w:t>
      </w:r>
      <w:r>
        <w:rPr>
          <w:rFonts w:ascii="Consolas" w:hAnsi="Consolas" w:eastAsia="Consolas"/>
          <w:sz w:val="21"/>
        </w:rPr>
        <w:t>markov2</w:t>
      </w:r>
      <w:r>
        <w:t xml:space="preserve">, </w:t>
      </w:r>
      <w:r>
        <w:rPr>
          <w:rFonts w:ascii="Consolas" w:hAnsi="Consolas" w:eastAsia="Consolas"/>
          <w:sz w:val="21"/>
        </w:rPr>
        <w:t>model_a</w:t>
      </w:r>
      <w:r>
        <w:t xml:space="preserve">, </w:t>
      </w:r>
      <w:r>
        <w:rPr>
          <w:rFonts w:ascii="Consolas" w:hAnsi="Consolas" w:eastAsia="Consolas"/>
          <w:sz w:val="21"/>
        </w:rPr>
        <w:t>model_b</w:t>
      </w:r>
      <w:r>
        <w:t xml:space="preserve">, the </w:t>
      </w:r>
      <w:r>
        <w:rPr>
          <w:rFonts w:ascii="Consolas" w:hAnsi="Consolas" w:eastAsia="Consolas"/>
          <w:sz w:val="21"/>
        </w:rPr>
        <w:t>hybrid</w:t>
      </w:r>
      <w:r>
        <w:t xml:space="preserve"> gate (Markov-2 when an exact second-order context exists in the training-derived table, Model B only for unseen contexts), and the controls </w:t>
      </w:r>
      <w:r>
        <w:rPr>
          <w:rFonts w:ascii="Consolas" w:hAnsi="Consolas" w:eastAsia="Consolas"/>
          <w:sz w:val="21"/>
        </w:rPr>
        <w:t>null</w:t>
      </w:r>
      <w:r>
        <w:t xml:space="preserve">, </w:t>
      </w:r>
      <w:r>
        <w:rPr>
          <w:rFonts w:ascii="Consolas" w:hAnsi="Consolas" w:eastAsia="Consolas"/>
          <w:sz w:val="21"/>
        </w:rPr>
        <w:t>oracle_next</w:t>
      </w:r>
      <w:r>
        <w:t xml:space="preserve"> and </w:t>
      </w:r>
      <w:r>
        <w:rPr>
          <w:rFonts w:ascii="Consolas" w:hAnsi="Consolas" w:eastAsia="Consolas"/>
          <w:sz w:val="21"/>
        </w:rPr>
        <w:t>oracle_miss</w:t>
      </w:r>
      <w:r>
        <w:t>. Section 6 defines each.</w:t>
      </w:r>
    </w:p>
    <w:p>
      <w:pPr>
        <w:pStyle w:val="ListBullet"/>
        <w:jc w:val="left"/>
      </w:pPr>
      <w:r>
        <w:rPr>
          <w:b/>
        </w:rPr>
        <w:t>Candidate index and page map</w:t>
      </w:r>
      <w:r>
        <w:t xml:space="preserve">: the training-only </w:t>
      </w:r>
      <w:r>
        <w:rPr>
          <w:rFonts w:ascii="Consolas" w:hAnsi="Consolas" w:eastAsia="Consolas"/>
          <w:sz w:val="21"/>
        </w:rPr>
        <w:t>candidate_index.json</w:t>
      </w:r>
      <w:r>
        <w:t xml:space="preserve"> (first- and second-order successor lists, popular pages, next-page heuristic) and </w:t>
      </w:r>
      <w:r>
        <w:rPr>
          <w:rFonts w:ascii="Consolas" w:hAnsi="Consolas" w:eastAsia="Consolas"/>
          <w:sz w:val="21"/>
        </w:rPr>
        <w:t>page_map.json</w:t>
      </w:r>
      <w:r>
        <w:t>. The runtime verifies the SHA-256 fingerprint of the page map against the one stored at training time, so a model can never be run against a database whose page layout differs from the one it was trained on.</w:t>
      </w:r>
    </w:p>
    <w:p>
      <w:pPr>
        <w:pStyle w:val="ListBullet"/>
        <w:jc w:val="left"/>
      </w:pPr>
      <w:r>
        <w:rPr>
          <w:b/>
        </w:rPr>
        <w:t>SimulatedStorageDevice</w:t>
      </w:r>
      <w:r>
        <w:t xml:space="preserve">: under the </w:t>
      </w:r>
      <w:r>
        <w:rPr>
          <w:rFonts w:ascii="Consolas" w:hAnsi="Consolas" w:eastAsia="Consolas"/>
          <w:sz w:val="21"/>
        </w:rPr>
        <w:t>shared</w:t>
      </w:r>
      <w:r>
        <w:t xml:space="preserve"> model a single lock serialises every demand and prefetch access, so a demand miss waits behind any in-flight speculative read — the realistic case for a single storage channel. Under the </w:t>
      </w:r>
      <w:r>
        <w:rPr>
          <w:rFonts w:ascii="Consolas" w:hAnsi="Consolas" w:eastAsia="Consolas"/>
          <w:sz w:val="21"/>
        </w:rPr>
        <w:t>independent</w:t>
      </w:r>
      <w:r>
        <w:t xml:space="preserve"> model each access sleeps independently (unlimited parallelism), retained for diagnostics only. With a delay of 0 ms the real operating-system storage path is used. Injected delay is always applied outside the cache and runtime locks (verified by </w:t>
      </w:r>
      <w:r>
        <w:rPr>
          <w:rFonts w:ascii="Consolas" w:hAnsi="Consolas" w:eastAsia="Consolas"/>
          <w:sz w:val="21"/>
        </w:rPr>
        <w:t>test_benchmark_audit_and_repair.py</w:t>
      </w:r>
      <w:r>
        <w:t>).</w:t>
      </w:r>
    </w:p>
    <w:p>
      <w:pPr>
        <w:pStyle w:val="ListBullet"/>
        <w:jc w:val="left"/>
      </w:pPr>
      <w:r>
        <w:rPr>
          <w:b/>
        </w:rPr>
        <w:t>Diagnostics</w:t>
      </w:r>
      <w:r>
        <w:t xml:space="preserve">: </w:t>
      </w:r>
      <w:r>
        <w:rPr>
          <w:rFonts w:ascii="Consolas" w:hAnsi="Consolas" w:eastAsia="Consolas"/>
          <w:sz w:val="21"/>
        </w:rPr>
        <w:t>predictions.jsonl</w:t>
      </w:r>
      <w:r>
        <w:t xml:space="preserve"> (per-job timeline), </w:t>
      </w:r>
      <w:r>
        <w:rPr>
          <w:rFonts w:ascii="Consolas" w:hAnsi="Consolas" w:eastAsia="Consolas"/>
          <w:sz w:val="21"/>
        </w:rPr>
        <w:t>prefetch_uses.jsonl</w:t>
      </w:r>
      <w:r>
        <w:t xml:space="preserve"> (lead-time events), </w:t>
      </w:r>
      <w:r>
        <w:rPr>
          <w:rFonts w:ascii="Consolas" w:hAnsi="Consolas" w:eastAsia="Consolas"/>
          <w:sz w:val="21"/>
        </w:rPr>
        <w:t>runtime_stats.json</w:t>
      </w:r>
      <w:r>
        <w:t xml:space="preserve">, </w:t>
      </w:r>
      <w:r>
        <w:rPr>
          <w:rFonts w:ascii="Consolas" w:hAnsi="Consolas" w:eastAsia="Consolas"/>
          <w:sz w:val="21"/>
        </w:rPr>
        <w:t>trace.jsonl</w:t>
      </w:r>
      <w:r>
        <w:t xml:space="preserve">, </w:t>
      </w:r>
      <w:r>
        <w:rPr>
          <w:rFonts w:ascii="Consolas" w:hAnsi="Consolas" w:eastAsia="Consolas"/>
          <w:sz w:val="21"/>
        </w:rPr>
        <w:t>query_results.csv</w:t>
      </w:r>
      <w:r>
        <w:t xml:space="preserve"> and </w:t>
      </w:r>
      <w:r>
        <w:rPr>
          <w:rFonts w:ascii="Consolas" w:hAnsi="Consolas" w:eastAsia="Consolas"/>
          <w:sz w:val="21"/>
        </w:rPr>
        <w:t>run_metadata.json</w:t>
      </w:r>
      <w:r>
        <w:t xml:space="preserve"> are written per run directory.</w:t>
      </w:r>
    </w:p>
    <w:p>
      <w:pPr>
        <w:pStyle w:val="Heading2"/>
      </w:pPr>
      <w:r>
        <w:t>4.4 Key design decisions</w:t>
      </w:r>
    </w:p>
    <w:p>
      <w:pPr>
        <w:keepNext/>
      </w:pPr>
      <w:r>
        <w:t>Table 3 records the architectural decisions that shape the runtime, the reason for each and the evidence or decision record (</w:t>
      </w:r>
      <w:r>
        <w:rPr>
          <w:rFonts w:ascii="Consolas" w:hAnsi="Consolas" w:eastAsia="Consolas"/>
          <w:sz w:val="21"/>
        </w:rPr>
        <w:t>DECISIONS.md</w:t>
      </w:r>
      <w:r>
        <w:t>, D1–D12) that supports it.</w:t>
      </w:r>
    </w:p>
    <w:p>
      <w:pPr>
        <w:pStyle w:val="TableCaption"/>
      </w:pPr>
      <w:r>
        <w:rPr>
          <w:sz w:val="20"/>
        </w:rPr>
        <w:t>Table 3. Architectural decisions, rationale and supporting evidence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2472"/>
            <w:shd w:val="clear" w:color="auto" w:fill="D9E2F3"/>
          </w:tcPr>
          <w:p>
            <w:pPr>
              <w:pStyle w:val="CellText"/>
            </w:pPr>
            <w:r>
              <w:rPr>
                <w:b/>
                <w:sz w:val="19"/>
              </w:rPr>
              <w:t>Decision</w:t>
            </w:r>
          </w:p>
        </w:tc>
        <w:tc>
          <w:tcPr>
            <w:tcW w:type="dxa" w:w="3709"/>
            <w:shd w:val="clear" w:color="auto" w:fill="D9E2F3"/>
          </w:tcPr>
          <w:p>
            <w:pPr>
              <w:pStyle w:val="CellText"/>
            </w:pPr>
            <w:r>
              <w:rPr>
                <w:b/>
                <w:sz w:val="19"/>
              </w:rPr>
              <w:t>Rationale</w:t>
            </w:r>
          </w:p>
        </w:tc>
        <w:tc>
          <w:tcPr>
            <w:tcW w:type="dxa" w:w="2747"/>
            <w:shd w:val="clear" w:color="auto" w:fill="D9E2F3"/>
          </w:tcPr>
          <w:p>
            <w:pPr>
              <w:pStyle w:val="CellText"/>
            </w:pPr>
            <w:r>
              <w:rPr>
                <w:b/>
                <w:sz w:val="19"/>
              </w:rPr>
              <w:t>Evidence / where recorded</w:t>
            </w:r>
          </w:p>
        </w:tc>
      </w:tr>
      <w:tr>
        <w:trPr>
          <w:cantSplit w:val="true"/>
        </w:trPr>
        <w:tc>
          <w:tcPr>
            <w:tcW w:type="dxa" w:w="2472"/>
          </w:tcPr>
          <w:p>
            <w:pPr>
              <w:pStyle w:val="CellText"/>
            </w:pPr>
            <w:r>
              <w:rPr>
                <w:sz w:val="19"/>
              </w:rPr>
              <w:t>Custom bounded cache beneath SQLite’s pager rather than patching SQLite</w:t>
            </w:r>
          </w:p>
        </w:tc>
        <w:tc>
          <w:tcPr>
            <w:tcW w:type="dxa" w:w="3709"/>
          </w:tcPr>
          <w:p>
            <w:pPr>
              <w:pStyle w:val="CellText"/>
            </w:pPr>
            <w:r>
              <w:rPr>
                <w:sz w:val="19"/>
              </w:rPr>
              <w:t>Keeps the experiment reproducible from Python, allows an identical cache for every strategy, and exposes hit/miss accounting per page origin.</w:t>
            </w:r>
          </w:p>
        </w:tc>
        <w:tc>
          <w:tcPr>
            <w:tcW w:type="dxa" w:w="2747"/>
          </w:tcPr>
          <w:p>
            <w:pPr>
              <w:pStyle w:val="CellText"/>
            </w:pPr>
            <w:r>
              <w:rPr>
                <w:rFonts w:ascii="Consolas" w:hAnsi="Consolas" w:eastAsia="Consolas"/>
                <w:sz w:val="16"/>
              </w:rPr>
              <w:t>BoundedPageCache</w:t>
            </w:r>
            <w:r>
              <w:rPr>
                <w:sz w:val="19"/>
              </w:rPr>
              <w:t xml:space="preserve"> in </w:t>
            </w:r>
            <w:r>
              <w:rPr>
                <w:rFonts w:ascii="Consolas" w:hAnsi="Consolas" w:eastAsia="Consolas"/>
                <w:sz w:val="16"/>
              </w:rPr>
              <w:t>runtime.py</w:t>
            </w:r>
            <w:r>
              <w:rPr>
                <w:sz w:val="19"/>
              </w:rPr>
              <w:t>; README boundaries</w:t>
            </w:r>
          </w:p>
        </w:tc>
      </w:tr>
      <w:tr>
        <w:trPr>
          <w:cantSplit w:val="true"/>
        </w:trPr>
        <w:tc>
          <w:tcPr>
            <w:tcW w:type="dxa" w:w="2472"/>
          </w:tcPr>
          <w:p>
            <w:pPr>
              <w:pStyle w:val="CellText"/>
            </w:pPr>
            <w:r>
              <w:rPr>
                <w:sz w:val="19"/>
              </w:rPr>
              <w:t>Asynchronous prediction queue + worker pool instead of inline prediction</w:t>
            </w:r>
          </w:p>
        </w:tc>
        <w:tc>
          <w:tcPr>
            <w:tcW w:type="dxa" w:w="3709"/>
          </w:tcPr>
          <w:p>
            <w:pPr>
              <w:pStyle w:val="CellText"/>
            </w:pPr>
            <w:r>
              <w:rPr>
                <w:sz w:val="19"/>
              </w:rPr>
              <w:t>Prediction and prefetch I/O must not block the demand thread; a pool lets a parallel device actually serve concurrent reads while a shared device remains serialised by its lock.</w:t>
            </w:r>
          </w:p>
        </w:tc>
        <w:tc>
          <w:tcPr>
            <w:tcW w:type="dxa" w:w="2747"/>
          </w:tcPr>
          <w:p>
            <w:pPr>
              <w:pStyle w:val="CellText"/>
            </w:pPr>
            <w:r>
              <w:rPr>
                <w:sz w:val="19"/>
              </w:rPr>
              <w:t>Decision D8 (</w:t>
            </w:r>
            <w:r>
              <w:rPr>
                <w:rFonts w:ascii="Consolas" w:hAnsi="Consolas" w:eastAsia="Consolas"/>
                <w:sz w:val="16"/>
              </w:rPr>
              <w:t>DECISIONS.md</w:t>
            </w:r>
            <w:r>
              <w:rPr>
                <w:sz w:val="19"/>
              </w:rPr>
              <w:t xml:space="preserve">); </w:t>
            </w:r>
            <w:r>
              <w:rPr>
                <w:rFonts w:ascii="Consolas" w:hAnsi="Consolas" w:eastAsia="Consolas"/>
                <w:sz w:val="16"/>
              </w:rPr>
              <w:t>--prefetch-workers</w:t>
            </w:r>
          </w:p>
        </w:tc>
      </w:tr>
      <w:tr>
        <w:trPr>
          <w:cantSplit w:val="true"/>
        </w:trPr>
        <w:tc>
          <w:tcPr>
            <w:tcW w:type="dxa" w:w="2472"/>
          </w:tcPr>
          <w:p>
            <w:pPr>
              <w:pStyle w:val="CellText"/>
            </w:pPr>
            <w:r>
              <w:rPr>
                <w:sz w:val="19"/>
              </w:rPr>
              <w:t>Separate file handle for prefetch reads</w:t>
            </w:r>
          </w:p>
        </w:tc>
        <w:tc>
          <w:tcPr>
            <w:tcW w:type="dxa" w:w="3709"/>
          </w:tcPr>
          <w:p>
            <w:pPr>
              <w:pStyle w:val="CellText"/>
            </w:pPr>
            <w:r>
              <w:rPr>
                <w:sz w:val="19"/>
              </w:rPr>
              <w:t>Prevents prefetch reads from recursing through the tracing VFS and contaminating the demand trace.</w:t>
            </w:r>
          </w:p>
        </w:tc>
        <w:tc>
          <w:tcPr>
            <w:tcW w:type="dxa" w:w="2747"/>
          </w:tcPr>
          <w:p>
            <w:pPr>
              <w:pStyle w:val="CellText"/>
            </w:pPr>
            <w:r>
              <w:rPr>
                <w:rFonts w:ascii="Consolas" w:hAnsi="Consolas" w:eastAsia="Consolas"/>
                <w:sz w:val="16"/>
              </w:rPr>
              <w:t>PredictiveRuntime._run_worker</w:t>
            </w:r>
          </w:p>
        </w:tc>
      </w:tr>
      <w:tr>
        <w:trPr>
          <w:cantSplit w:val="true"/>
        </w:trPr>
        <w:tc>
          <w:tcPr>
            <w:tcW w:type="dxa" w:w="2472"/>
          </w:tcPr>
          <w:p>
            <w:pPr>
              <w:pStyle w:val="CellText"/>
            </w:pPr>
            <w:r>
              <w:rPr>
                <w:sz w:val="19"/>
              </w:rPr>
              <w:t>Shared storage model as the v2 primary</w:t>
            </w:r>
          </w:p>
        </w:tc>
        <w:tc>
          <w:tcPr>
            <w:tcW w:type="dxa" w:w="3709"/>
          </w:tcPr>
          <w:p>
            <w:pPr>
              <w:pStyle w:val="CellText"/>
            </w:pPr>
            <w:r>
              <w:rPr>
                <w:sz w:val="19"/>
              </w:rPr>
              <w:t>Independent per-access sleeping modelled infinite bandwidth and hid the cost of wasted prefetches; a serialised channel charges demand misses for speculative I/O.</w:t>
            </w:r>
          </w:p>
        </w:tc>
        <w:tc>
          <w:tcPr>
            <w:tcW w:type="dxa" w:w="2747"/>
          </w:tcPr>
          <w:p>
            <w:pPr>
              <w:pStyle w:val="CellText"/>
            </w:pPr>
            <w:r>
              <w:rPr>
                <w:sz w:val="19"/>
              </w:rPr>
              <w:t>Benchmark audit; protocol v2 (</w:t>
            </w:r>
            <w:r>
              <w:rPr>
                <w:rFonts w:ascii="Consolas" w:hAnsi="Consolas" w:eastAsia="Consolas"/>
                <w:sz w:val="16"/>
              </w:rPr>
              <w:t>FINAL_EVALUATION_PROTOCOL_V2.md</w:t>
            </w:r>
            <w:r>
              <w:rPr>
                <w:sz w:val="19"/>
              </w:rPr>
              <w:t>)</w:t>
            </w:r>
          </w:p>
        </w:tc>
      </w:tr>
      <w:tr>
        <w:trPr>
          <w:cantSplit w:val="true"/>
        </w:trPr>
        <w:tc>
          <w:tcPr>
            <w:tcW w:type="dxa" w:w="2472"/>
          </w:tcPr>
          <w:p>
            <w:pPr>
              <w:pStyle w:val="CellText"/>
            </w:pPr>
            <w:r>
              <w:rPr>
                <w:sz w:val="19"/>
              </w:rPr>
              <w:t>Stale-job detection via the active query identifier</w:t>
            </w:r>
          </w:p>
        </w:tc>
        <w:tc>
          <w:tcPr>
            <w:tcW w:type="dxa" w:w="3709"/>
          </w:tcPr>
          <w:p>
            <w:pPr>
              <w:pStyle w:val="CellText"/>
            </w:pPr>
            <w:r>
              <w:rPr>
                <w:sz w:val="19"/>
              </w:rPr>
              <w:t>71–74% of queued jobs were executing for queries that had already finished; dropping them cut queue wait by 52.7% and neural inference overhead by 76.6%.</w:t>
            </w:r>
          </w:p>
        </w:tc>
        <w:tc>
          <w:tcPr>
            <w:tcW w:type="dxa" w:w="2747"/>
          </w:tcPr>
          <w:p>
            <w:pPr>
              <w:pStyle w:val="CellText"/>
            </w:pPr>
            <w:r>
              <w:rPr>
                <w:rFonts w:ascii="Consolas" w:hAnsi="Consolas" w:eastAsia="Consolas"/>
                <w:sz w:val="16"/>
              </w:rPr>
              <w:t>IMPLEMENTATION_STATUS.md</w:t>
            </w:r>
            <w:r>
              <w:rPr>
                <w:sz w:val="19"/>
              </w:rPr>
              <w:t xml:space="preserve">; </w:t>
            </w:r>
            <w:r>
              <w:rPr>
                <w:rFonts w:ascii="Consolas" w:hAnsi="Consolas" w:eastAsia="Consolas"/>
                <w:sz w:val="16"/>
              </w:rPr>
              <w:t>set_active_query</w:t>
            </w:r>
            <w:r>
              <w:rPr>
                <w:sz w:val="19"/>
              </w:rPr>
              <w:t xml:space="preserve">, </w:t>
            </w:r>
            <w:r>
              <w:rPr>
                <w:rFonts w:ascii="Consolas" w:hAnsi="Consolas" w:eastAsia="Consolas"/>
                <w:sz w:val="16"/>
              </w:rPr>
              <w:t>--drop-stale-jobs</w:t>
            </w:r>
          </w:p>
        </w:tc>
      </w:tr>
      <w:tr>
        <w:trPr>
          <w:cantSplit w:val="true"/>
        </w:trPr>
        <w:tc>
          <w:tcPr>
            <w:tcW w:type="dxa" w:w="2472"/>
          </w:tcPr>
          <w:p>
            <w:pPr>
              <w:pStyle w:val="CellText"/>
            </w:pPr>
            <w:r>
              <w:rPr>
                <w:sz w:val="19"/>
              </w:rPr>
              <w:t>Candidate pruning and a neural scoring cap (12 candidates)</w:t>
            </w:r>
          </w:p>
        </w:tc>
        <w:tc>
          <w:tcPr>
            <w:tcW w:type="dxa" w:w="3709"/>
          </w:tcPr>
          <w:p>
            <w:pPr>
              <w:pStyle w:val="CellText"/>
            </w:pPr>
            <w:r>
              <w:rPr>
                <w:sz w:val="19"/>
              </w:rPr>
              <w:t>Avoids scoring pages that are already cached or in flight and bounds per-job inference cost (Model A −34%, Model B −22% inference time at medium scale).</w:t>
            </w:r>
          </w:p>
        </w:tc>
        <w:tc>
          <w:tcPr>
            <w:tcW w:type="dxa" w:w="2747"/>
          </w:tcPr>
          <w:p>
            <w:pPr>
              <w:pStyle w:val="CellText"/>
            </w:pPr>
            <w:r>
              <w:rPr>
                <w:rFonts w:ascii="Consolas" w:hAnsi="Consolas" w:eastAsia="Consolas"/>
                <w:sz w:val="16"/>
              </w:rPr>
              <w:t>max_score_candidates</w:t>
            </w:r>
            <w:r>
              <w:rPr>
                <w:sz w:val="19"/>
              </w:rPr>
              <w:t xml:space="preserve">; </w:t>
            </w:r>
            <w:r>
              <w:rPr>
                <w:rFonts w:ascii="Consolas" w:hAnsi="Consolas" w:eastAsia="Consolas"/>
                <w:sz w:val="16"/>
              </w:rPr>
              <w:t>IMPLEMENTATION_STATUS.md</w:t>
            </w:r>
          </w:p>
        </w:tc>
      </w:tr>
      <w:tr>
        <w:trPr>
          <w:cantSplit w:val="true"/>
        </w:trPr>
        <w:tc>
          <w:tcPr>
            <w:tcW w:type="dxa" w:w="2472"/>
          </w:tcPr>
          <w:p>
            <w:pPr>
              <w:pStyle w:val="CellText"/>
            </w:pPr>
            <w:r>
              <w:rPr>
                <w:sz w:val="19"/>
              </w:rPr>
              <w:t>Page-map SHA-256 fingerprint check</w:t>
            </w:r>
          </w:p>
        </w:tc>
        <w:tc>
          <w:tcPr>
            <w:tcW w:type="dxa" w:w="3709"/>
          </w:tcPr>
          <w:p>
            <w:pPr>
              <w:pStyle w:val="CellText"/>
            </w:pPr>
            <w:r>
              <w:rPr>
                <w:sz w:val="19"/>
              </w:rPr>
              <w:t>A model trained on one page layout is meaningless on another; the runtime refuses to start on a mismatch.</w:t>
            </w:r>
          </w:p>
        </w:tc>
        <w:tc>
          <w:tcPr>
            <w:tcW w:type="dxa" w:w="2747"/>
          </w:tcPr>
          <w:p>
            <w:pPr>
              <w:pStyle w:val="CellText"/>
            </w:pPr>
            <w:r>
              <w:rPr>
                <w:rFonts w:ascii="Consolas" w:hAnsi="Consolas" w:eastAsia="Consolas"/>
                <w:sz w:val="16"/>
              </w:rPr>
              <w:t>CandidateIndex.page_map_sha256</w:t>
            </w:r>
            <w:r>
              <w:rPr>
                <w:sz w:val="19"/>
              </w:rPr>
              <w:t xml:space="preserve">; </w:t>
            </w:r>
            <w:r>
              <w:rPr>
                <w:rFonts w:ascii="Consolas" w:hAnsi="Consolas" w:eastAsia="Consolas"/>
                <w:sz w:val="16"/>
              </w:rPr>
              <w:t>PredictiveRuntime.__init__</w:t>
            </w:r>
          </w:p>
        </w:tc>
      </w:tr>
      <w:tr>
        <w:trPr>
          <w:cantSplit w:val="true"/>
        </w:trPr>
        <w:tc>
          <w:tcPr>
            <w:tcW w:type="dxa" w:w="2472"/>
          </w:tcPr>
          <w:p>
            <w:pPr>
              <w:pStyle w:val="CellText"/>
            </w:pPr>
            <w:r>
              <w:rPr>
                <w:sz w:val="19"/>
              </w:rPr>
              <w:t>Consistent prefetch-rate denominators</w:t>
            </w:r>
          </w:p>
        </w:tc>
        <w:tc>
          <w:tcPr>
            <w:tcW w:type="dxa" w:w="3709"/>
          </w:tcPr>
          <w:p>
            <w:pPr>
              <w:pStyle w:val="CellText"/>
            </w:pPr>
            <w:r>
              <w:rPr>
                <w:sz w:val="19"/>
              </w:rPr>
              <w:t>Useful % + wasted % must equal 100% of prefetched pages so that efficiency figures are comparable across strategies.</w:t>
            </w:r>
          </w:p>
        </w:tc>
        <w:tc>
          <w:tcPr>
            <w:tcW w:type="dxa" w:w="2747"/>
          </w:tcPr>
          <w:p>
            <w:pPr>
              <w:pStyle w:val="CellText"/>
            </w:pPr>
            <w:r>
              <w:rPr>
                <w:rFonts w:ascii="Consolas" w:hAnsi="Consolas" w:eastAsia="Consolas"/>
                <w:sz w:val="16"/>
              </w:rPr>
              <w:t>BoundedPageCache.snapshot()</w:t>
            </w:r>
            <w:r>
              <w:rPr>
                <w:sz w:val="19"/>
              </w:rPr>
              <w:t>; audit milestone</w:t>
            </w:r>
          </w:p>
        </w:tc>
      </w:tr>
      <w:tr>
        <w:trPr>
          <w:cantSplit w:val="true"/>
        </w:trPr>
        <w:tc>
          <w:tcPr>
            <w:tcW w:type="dxa" w:w="2472"/>
          </w:tcPr>
          <w:p>
            <w:pPr>
              <w:pStyle w:val="CellText"/>
            </w:pPr>
            <w:r>
              <w:rPr>
                <w:sz w:val="19"/>
              </w:rPr>
              <w:t>No spin-waits in the threaded runtime</w:t>
            </w:r>
          </w:p>
        </w:tc>
        <w:tc>
          <w:tcPr>
            <w:tcW w:type="dxa" w:w="3709"/>
          </w:tcPr>
          <w:p>
            <w:pPr>
              <w:pStyle w:val="CellText"/>
            </w:pPr>
            <w:r>
              <w:rPr>
                <w:sz w:val="19"/>
              </w:rPr>
              <w:t>Spin-waits hold the Python GIL and starve the worker thread; delay accuracy is instead reported as the measured sleep error.</w:t>
            </w:r>
          </w:p>
        </w:tc>
        <w:tc>
          <w:tcPr>
            <w:tcW w:type="dxa" w:w="2747"/>
          </w:tcPr>
          <w:p>
            <w:pPr>
              <w:pStyle w:val="CellText"/>
            </w:pPr>
            <w:r>
              <w:rPr>
                <w:sz w:val="19"/>
              </w:rPr>
              <w:t>Decisions D5, D6</w:t>
            </w:r>
          </w:p>
        </w:tc>
      </w:tr>
    </w:tbl>
    <w:p>
      <w:pPr>
        <w:spacing w:after="80"/>
      </w:pPr>
    </w:p>
    <w:p>
      <w:pPr>
        <w:pStyle w:val="Heading1"/>
      </w:pPr>
      <w:r>
        <w:t>5. Module workflows</w:t>
      </w:r>
    </w:p>
    <w:p>
      <w:r>
        <w:t xml:space="preserve">The backend package </w:t>
      </w:r>
      <w:r>
        <w:rPr>
          <w:rFonts w:ascii="Consolas" w:hAnsi="Consolas" w:eastAsia="Consolas"/>
          <w:sz w:val="21"/>
        </w:rPr>
        <w:t>backend/pagewise/</w:t>
      </w:r>
      <w:r>
        <w:t xml:space="preserve"> is organised into four functional modules — tracing, learning, runtime and evaluation. Figure 3 shows the workflow of each; the sub-sections below give the details that the diagram abbreviates, and Table 4 maps modules to source files and tests.</w:t>
      </w:r>
    </w:p>
    <w:p>
      <w:pPr>
        <w:keepNext/>
        <w:spacing w:after="0"/>
        <w:jc w:val="center"/>
      </w:pPr>
      <w:r>
        <w:drawing>
          <wp:inline xmlns:a="http://schemas.openxmlformats.org/drawingml/2006/main" xmlns:pic="http://schemas.openxmlformats.org/drawingml/2006/picture">
            <wp:extent cx="5669280" cy="4878218"/>
            <wp:docPr id="3" name="Picture 3"/>
            <wp:cNvGraphicFramePr>
              <a:graphicFrameLocks noChangeAspect="1"/>
            </wp:cNvGraphicFramePr>
            <a:graphic>
              <a:graphicData uri="http://schemas.openxmlformats.org/drawingml/2006/picture">
                <pic:pic>
                  <pic:nvPicPr>
                    <pic:cNvPr id="0" name="fig3_module_workflows.png"/>
                    <pic:cNvPicPr/>
                  </pic:nvPicPr>
                  <pic:blipFill>
                    <a:blip r:embed="rId13"/>
                    <a:stretch>
                      <a:fillRect/>
                    </a:stretch>
                  </pic:blipFill>
                  <pic:spPr>
                    <a:xfrm>
                      <a:off x="0" y="0"/>
                      <a:ext cx="5669280" cy="4878218"/>
                    </a:xfrm>
                    <a:prstGeom prst="rect"/>
                  </pic:spPr>
                </pic:pic>
              </a:graphicData>
            </a:graphic>
          </wp:inline>
        </w:drawing>
      </w:r>
    </w:p>
    <w:p>
      <w:pPr>
        <w:pStyle w:val="FigCaption"/>
      </w:pPr>
      <w:r>
        <w:rPr>
          <w:sz w:val="20"/>
        </w:rPr>
        <w:t>Figure 3. Workflow diagrams for the four major modules (tracing, learning, runtime and evaluation). Each panel lists the ordered steps executed by the module and names the artefacts it produces.</w:t>
      </w:r>
    </w:p>
    <w:p>
      <w:pPr>
        <w:pStyle w:val="Heading2"/>
      </w:pPr>
      <w:r>
        <w:t>5.1 Tracing module</w:t>
      </w:r>
    </w:p>
    <w:p>
      <w:r>
        <w:rPr>
          <w:rFonts w:ascii="Consolas" w:hAnsi="Consolas" w:eastAsia="Consolas"/>
          <w:sz w:val="21"/>
        </w:rPr>
        <w:t>generate-db</w:t>
      </w:r>
      <w:r>
        <w:t xml:space="preserve"> builds the database deterministically from a seed (tables </w:t>
      </w:r>
      <w:r>
        <w:rPr>
          <w:rFonts w:ascii="Consolas" w:hAnsi="Consolas" w:eastAsia="Consolas"/>
          <w:sz w:val="21"/>
        </w:rPr>
        <w:t>customers</w:t>
      </w:r>
      <w:r>
        <w:t xml:space="preserve">, </w:t>
      </w:r>
      <w:r>
        <w:rPr>
          <w:rFonts w:ascii="Consolas" w:hAnsi="Consolas" w:eastAsia="Consolas"/>
          <w:sz w:val="21"/>
        </w:rPr>
        <w:t>categories</w:t>
      </w:r>
      <w:r>
        <w:t xml:space="preserve">, </w:t>
      </w:r>
      <w:r>
        <w:rPr>
          <w:rFonts w:ascii="Consolas" w:hAnsi="Consolas" w:eastAsia="Consolas"/>
          <w:sz w:val="21"/>
        </w:rPr>
        <w:t>products</w:t>
      </w:r>
      <w:r>
        <w:t xml:space="preserve">, </w:t>
      </w:r>
      <w:r>
        <w:rPr>
          <w:rFonts w:ascii="Consolas" w:hAnsi="Consolas" w:eastAsia="Consolas"/>
          <w:sz w:val="21"/>
        </w:rPr>
        <w:t>orders</w:t>
      </w:r>
      <w:r>
        <w:t xml:space="preserve">, </w:t>
      </w:r>
      <w:r>
        <w:rPr>
          <w:rFonts w:ascii="Consolas" w:hAnsi="Consolas" w:eastAsia="Consolas"/>
          <w:sz w:val="21"/>
        </w:rPr>
        <w:t>order_items</w:t>
      </w:r>
      <w:r>
        <w:t xml:space="preserve">, </w:t>
      </w:r>
      <w:r>
        <w:rPr>
          <w:rFonts w:ascii="Consolas" w:hAnsi="Consolas" w:eastAsia="Consolas"/>
          <w:sz w:val="21"/>
        </w:rPr>
        <w:t>account_edges</w:t>
      </w:r>
      <w:r>
        <w:t xml:space="preserve">; six secondary indexes; </w:t>
      </w:r>
      <w:r>
        <w:rPr>
          <w:rFonts w:ascii="Consolas" w:hAnsi="Consolas" w:eastAsia="Consolas"/>
          <w:sz w:val="21"/>
        </w:rPr>
        <w:t>ANALYZE</w:t>
      </w:r>
      <w:r>
        <w:t xml:space="preserve"> statistics). </w:t>
      </w:r>
      <w:r>
        <w:rPr>
          <w:rFonts w:ascii="Consolas" w:hAnsi="Consolas" w:eastAsia="Consolas"/>
          <w:sz w:val="21"/>
        </w:rPr>
        <w:t>generate_workload</w:t>
      </w:r>
      <w:r>
        <w:t xml:space="preserve"> draws query cases from six parameterised SQL templates with fixed weights and Pareto-skewed customer identifiers, so a hot subset of customers dominates. Query plans are obtained once per template with </w:t>
      </w:r>
      <w:r>
        <w:rPr>
          <w:rFonts w:ascii="Consolas" w:hAnsi="Consolas" w:eastAsia="Consolas"/>
          <w:sz w:val="21"/>
        </w:rPr>
        <w:t>EXPLAIN QUERY PLAN</w:t>
      </w:r>
      <w:r>
        <w:t xml:space="preserve"> on a separate connection, so plan exploration cannot contaminate the trace, and are classified into </w:t>
      </w:r>
      <w:r>
        <w:rPr>
          <w:rFonts w:ascii="Consolas" w:hAnsi="Consolas" w:eastAsia="Consolas"/>
          <w:sz w:val="21"/>
        </w:rPr>
        <w:t>search_index</w:t>
      </w:r>
      <w:r>
        <w:t xml:space="preserve">, </w:t>
      </w:r>
      <w:r>
        <w:rPr>
          <w:rFonts w:ascii="Consolas" w:hAnsi="Consolas" w:eastAsia="Consolas"/>
          <w:sz w:val="21"/>
        </w:rPr>
        <w:t>search_other</w:t>
      </w:r>
      <w:r>
        <w:t xml:space="preserve">, </w:t>
      </w:r>
      <w:r>
        <w:rPr>
          <w:rFonts w:ascii="Consolas" w:hAnsi="Consolas" w:eastAsia="Consolas"/>
          <w:sz w:val="21"/>
        </w:rPr>
        <w:t>scan</w:t>
      </w:r>
      <w:r>
        <w:t xml:space="preserve">, </w:t>
      </w:r>
      <w:r>
        <w:rPr>
          <w:rFonts w:ascii="Consolas" w:hAnsi="Consolas" w:eastAsia="Consolas"/>
          <w:sz w:val="21"/>
        </w:rPr>
        <w:t>join</w:t>
      </w:r>
      <w:r>
        <w:t xml:space="preserve"> or </w:t>
      </w:r>
      <w:r>
        <w:rPr>
          <w:rFonts w:ascii="Consolas" w:hAnsi="Consolas" w:eastAsia="Consolas"/>
          <w:sz w:val="21"/>
        </w:rPr>
        <w:t>recursive</w:t>
      </w:r>
      <w:r>
        <w:t xml:space="preserve">. The page map is read from the </w:t>
      </w:r>
      <w:r>
        <w:rPr>
          <w:rFonts w:ascii="Consolas" w:hAnsi="Consolas" w:eastAsia="Consolas"/>
          <w:sz w:val="21"/>
        </w:rPr>
        <w:t>dbstat</w:t>
      </w:r>
      <w:r>
        <w:t xml:space="preserve"> virtual table [2] (stdlib SQLite first, APSW’s SQLite as a fallback) and records, for each page, the owning object, B-tree path, page type (interior/leaf/overflow) and depth. </w:t>
      </w:r>
      <w:r>
        <w:rPr>
          <w:rFonts w:ascii="Consolas" w:hAnsi="Consolas" w:eastAsia="Consolas"/>
          <w:sz w:val="21"/>
        </w:rPr>
        <w:t>TraceVFS</w:t>
      </w:r>
      <w:r>
        <w:t xml:space="preserve"> then executes the workload and writes one JSON line per intercepted </w:t>
      </w:r>
      <w:r>
        <w:rPr>
          <w:rFonts w:ascii="Consolas" w:hAnsi="Consolas" w:eastAsia="Consolas"/>
          <w:sz w:val="21"/>
        </w:rPr>
        <w:t>xRead</w:t>
      </w:r>
      <w:r>
        <w:t xml:space="preserve"> with offset, length, derived page range, duration, cache status and the query context.</w:t>
      </w:r>
    </w:p>
    <w:p>
      <w:pPr>
        <w:pStyle w:val="Heading2"/>
      </w:pPr>
      <w:r>
        <w:t>5.2 Learning module</w:t>
      </w:r>
    </w:p>
    <w:p>
      <w:r>
        <w:rPr>
          <w:rFonts w:ascii="Consolas" w:hAnsi="Consolas" w:eastAsia="Consolas"/>
          <w:sz w:val="21"/>
        </w:rPr>
        <w:t>build_sequences</w:t>
      </w:r>
      <w:r>
        <w:t xml:space="preserve"> converts the trace into one record per query execution holding the ordered list of pages that reached the VFS and their metadata. Executions — never individual reads — are split 70/15/15 into training, validation and test sets; the v2 study adds a parameter-bucket split (whole hashed parameter buckets held out) and a held-out-template split. The </w:t>
      </w:r>
      <w:r>
        <w:rPr>
          <w:rFonts w:ascii="Consolas" w:hAnsi="Consolas" w:eastAsia="Consolas"/>
          <w:sz w:val="21"/>
        </w:rPr>
        <w:t>CandidateIndex</w:t>
      </w:r>
      <w:r>
        <w:t xml:space="preserve"> is built from training executions only and, for a given history, proposes first-order successors of the last page, second-order successors of the last pair, the numerically next page and globally popular pages, capped at 24 candidates in the frozen models (32 by default). Each (history, candidate) pair is vectorised: Model A uses 19 history features; Model B appends 67 semantic features (Table 5). Both are scored by an identical multilayer perceptron trained as a binary ranker with one positive and up to 16 sampled negatives per step, binary cross-entropy loss, AdamW and early stopping on validation loss. Evaluation reports top-1 and top-5 accuracy and candidate recall per policy, multi-seed sweeps with bootstrap intervals, and semantic ablations that either zero a feature group at inference time or retrain without it.</w:t>
      </w:r>
    </w:p>
    <w:p>
      <w:pPr>
        <w:pStyle w:val="Heading2"/>
      </w:pPr>
      <w:r>
        <w:t>5.3 Runtime module</w:t>
      </w:r>
    </w:p>
    <w:p>
      <w:r>
        <w:t xml:space="preserve">The runtime module realises the architecture of Section 4: </w:t>
      </w:r>
      <w:r>
        <w:rPr>
          <w:rFonts w:ascii="Consolas" w:hAnsi="Consolas" w:eastAsia="Consolas"/>
          <w:sz w:val="21"/>
        </w:rPr>
        <w:t>BoundedPageCache</w:t>
      </w:r>
      <w:r>
        <w:t xml:space="preserve">, </w:t>
      </w:r>
      <w:r>
        <w:rPr>
          <w:rFonts w:ascii="Consolas" w:hAnsi="Consolas" w:eastAsia="Consolas"/>
          <w:sz w:val="21"/>
        </w:rPr>
        <w:t>SimulatedStorageDevice</w:t>
      </w:r>
      <w:r>
        <w:t xml:space="preserve"> and </w:t>
      </w:r>
      <w:r>
        <w:rPr>
          <w:rFonts w:ascii="Consolas" w:hAnsi="Consolas" w:eastAsia="Consolas"/>
          <w:sz w:val="21"/>
        </w:rPr>
        <w:t>PredictiveRuntime</w:t>
      </w:r>
      <w:r>
        <w:t xml:space="preserve"> in </w:t>
      </w:r>
      <w:r>
        <w:rPr>
          <w:rFonts w:ascii="Consolas" w:hAnsi="Consolas" w:eastAsia="Consolas"/>
          <w:sz w:val="21"/>
        </w:rPr>
        <w:t>runtime.py</w:t>
      </w:r>
      <w:r>
        <w:t xml:space="preserve">, the </w:t>
      </w:r>
      <w:r>
        <w:rPr>
          <w:rFonts w:ascii="Consolas" w:hAnsi="Consolas" w:eastAsia="Consolas"/>
          <w:sz w:val="21"/>
        </w:rPr>
        <w:t>xRead</w:t>
      </w:r>
      <w:r>
        <w:t xml:space="preserve"> interception in </w:t>
      </w:r>
      <w:r>
        <w:rPr>
          <w:rFonts w:ascii="Consolas" w:hAnsi="Consolas" w:eastAsia="Consolas"/>
          <w:sz w:val="21"/>
        </w:rPr>
        <w:t>tracing.py</w:t>
      </w:r>
      <w:r>
        <w:t xml:space="preserve"> and the per-query driver loop in </w:t>
      </w:r>
      <w:r>
        <w:rPr>
          <w:rFonts w:ascii="Consolas" w:hAnsi="Consolas" w:eastAsia="Consolas"/>
          <w:sz w:val="21"/>
        </w:rPr>
        <w:t>runner.py</w:t>
      </w:r>
      <w:r>
        <w:t xml:space="preserve">. </w:t>
      </w:r>
      <w:r>
        <w:rPr>
          <w:rFonts w:ascii="Consolas" w:hAnsi="Consolas" w:eastAsia="Consolas"/>
          <w:sz w:val="21"/>
        </w:rPr>
        <w:t>run-prefetch</w:t>
      </w:r>
      <w:r>
        <w:t xml:space="preserve"> executes one strategy for one seed; it writes per-query latencies, runtime counters (prediction requests, queued/completed/dropped/coalesced/stale jobs, pruned candidates, inference and queue-wait time, prefetch read time, device wait time), cache statistics and the diagnostics files listed in Section 4.3. The </w:t>
      </w:r>
      <w:r>
        <w:rPr>
          <w:rFonts w:ascii="Consolas" w:hAnsi="Consolas" w:eastAsia="Consolas"/>
          <w:sz w:val="21"/>
        </w:rPr>
        <w:t>oracle_miss</w:t>
      </w:r>
      <w:r>
        <w:t xml:space="preserve"> control requires a </w:t>
      </w:r>
      <w:r>
        <w:rPr>
          <w:i/>
        </w:rPr>
        <w:t>demand reference</w:t>
      </w:r>
      <w:r>
        <w:t xml:space="preserve"> — a prior </w:t>
      </w:r>
      <w:r>
        <w:rPr>
          <w:rFonts w:ascii="Consolas" w:hAnsi="Consolas" w:eastAsia="Consolas"/>
          <w:sz w:val="21"/>
        </w:rPr>
        <w:t>none</w:t>
      </w:r>
      <w:r>
        <w:t xml:space="preserve"> run of the same workload and cache size that records, per query, the ordered demand pages and which of them missed — and prefetches the next </w:t>
      </w:r>
      <w:r>
        <w:rPr>
          <w:i/>
        </w:rPr>
        <w:t>K</w:t>
      </w:r>
      <w:r>
        <w:t xml:space="preserve"> pages that would otherwise miss.</w:t>
      </w:r>
    </w:p>
    <w:p>
      <w:pPr>
        <w:pStyle w:val="Heading2"/>
      </w:pPr>
      <w:r>
        <w:t>5.4 Evaluation module</w:t>
      </w:r>
    </w:p>
    <w:p>
      <w:r>
        <w:rPr>
          <w:rFonts w:ascii="Consolas" w:hAnsi="Consolas" w:eastAsia="Consolas"/>
          <w:sz w:val="21"/>
        </w:rPr>
        <w:t>run-suite</w:t>
      </w:r>
      <w:r>
        <w:t xml:space="preserve"> executes every strategy on the identical generated query parameters for each seed, rotating the strategy order per seed to reduce order bias, and summarises run-level p50/p95/total latency together with paired per-query latency differences versus </w:t>
      </w:r>
      <w:r>
        <w:rPr>
          <w:rFonts w:ascii="Consolas" w:hAnsi="Consolas" w:eastAsia="Consolas"/>
          <w:sz w:val="21"/>
        </w:rPr>
        <w:t>none</w:t>
      </w:r>
      <w:r>
        <w:t xml:space="preserve"> and </w:t>
      </w:r>
      <w:r>
        <w:rPr>
          <w:rFonts w:ascii="Consolas" w:hAnsi="Consolas" w:eastAsia="Consolas"/>
          <w:sz w:val="21"/>
        </w:rPr>
        <w:t>stock</w:t>
      </w:r>
      <w:r>
        <w:t xml:space="preserve">. Confidence intervals come from a 2,000-resample bootstrap over matched queries (10,000 resamples in the v2 offline study) [12]; a strategy counts as a win only if its 95% interval excludes zero in its favour, with Holm correction [13] across the H3/H4 comparison families in v2. </w:t>
      </w:r>
      <w:r>
        <w:rPr>
          <w:rFonts w:ascii="Consolas" w:hAnsi="Consolas" w:eastAsia="Consolas"/>
          <w:sz w:val="21"/>
        </w:rPr>
        <w:t>train-sweep</w:t>
      </w:r>
      <w:r>
        <w:t xml:space="preserve"> and </w:t>
      </w:r>
      <w:r>
        <w:rPr>
          <w:rFonts w:ascii="Consolas" w:hAnsi="Consolas" w:eastAsia="Consolas"/>
          <w:sz w:val="21"/>
        </w:rPr>
        <w:t>offline-study</w:t>
      </w:r>
      <w:r>
        <w:t xml:space="preserve"> cover the offline side; </w:t>
      </w:r>
      <w:r>
        <w:rPr>
          <w:rFonts w:ascii="Consolas" w:hAnsi="Consolas" w:eastAsia="Consolas"/>
          <w:sz w:val="21"/>
        </w:rPr>
        <w:t>sim.py</w:t>
      </w:r>
      <w:r>
        <w:t xml:space="preserve"> provides a virtual-time discrete-event simulator that replays a demand reference without threads or sleeping to calibrate costs and compute the </w:t>
      </w:r>
      <w:r>
        <w:rPr>
          <w:rFonts w:ascii="Consolas" w:hAnsi="Consolas" w:eastAsia="Consolas"/>
          <w:sz w:val="21"/>
        </w:rPr>
        <w:t>oracle_miss</w:t>
      </w:r>
      <w:r>
        <w:t xml:space="preserve"> headroom grid; </w:t>
      </w:r>
      <w:r>
        <w:rPr>
          <w:rFonts w:ascii="Consolas" w:hAnsi="Consolas" w:eastAsia="Consolas"/>
          <w:sz w:val="21"/>
        </w:rPr>
        <w:t>report</w:t>
      </w:r>
      <w:r>
        <w:t xml:space="preserve">, </w:t>
      </w:r>
      <w:r>
        <w:rPr>
          <w:rFonts w:ascii="Consolas" w:hAnsi="Consolas" w:eastAsia="Consolas"/>
          <w:sz w:val="21"/>
        </w:rPr>
        <w:t>research-report</w:t>
      </w:r>
      <w:r>
        <w:t xml:space="preserve"> and </w:t>
      </w:r>
      <w:r>
        <w:rPr>
          <w:rFonts w:ascii="Consolas" w:hAnsi="Consolas" w:eastAsia="Consolas"/>
          <w:sz w:val="21"/>
        </w:rPr>
        <w:t>dashboard-export</w:t>
      </w:r>
      <w:r>
        <w:t xml:space="preserve"> render Markdown tables, the consolidated research report and the JSON snapshot consumed by the React dashboard.</w:t>
      </w:r>
    </w:p>
    <w:p>
      <w:pPr>
        <w:pStyle w:val="TableCaption"/>
      </w:pPr>
      <w:r>
        <w:rPr>
          <w:sz w:val="20"/>
        </w:rPr>
        <w:t>Table 4. Module-to-source mapping and automated test coverage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1236"/>
            <w:shd w:val="clear" w:color="auto" w:fill="D9E2F3"/>
          </w:tcPr>
          <w:p>
            <w:pPr>
              <w:pStyle w:val="CellText"/>
            </w:pPr>
            <w:r>
              <w:rPr>
                <w:b/>
                <w:sz w:val="19"/>
              </w:rPr>
              <w:t>Module</w:t>
            </w:r>
          </w:p>
        </w:tc>
        <w:tc>
          <w:tcPr>
            <w:tcW w:type="dxa" w:w="3571"/>
            <w:shd w:val="clear" w:color="auto" w:fill="D9E2F3"/>
          </w:tcPr>
          <w:p>
            <w:pPr>
              <w:pStyle w:val="CellText"/>
            </w:pPr>
            <w:r>
              <w:rPr>
                <w:b/>
                <w:sz w:val="19"/>
              </w:rPr>
              <w:t>Source files (</w:t>
            </w:r>
            <w:r>
              <w:rPr>
                <w:rFonts w:ascii="Consolas" w:hAnsi="Consolas" w:eastAsia="Consolas"/>
                <w:b/>
                <w:sz w:val="16"/>
              </w:rPr>
              <w:t>backend/pagewise/</w:t>
            </w:r>
            <w:r>
              <w:rPr>
                <w:b/>
                <w:sz w:val="19"/>
              </w:rPr>
              <w:t>)</w:t>
            </w:r>
          </w:p>
        </w:tc>
        <w:tc>
          <w:tcPr>
            <w:tcW w:type="dxa" w:w="4121"/>
            <w:shd w:val="clear" w:color="auto" w:fill="D9E2F3"/>
          </w:tcPr>
          <w:p>
            <w:pPr>
              <w:pStyle w:val="CellText"/>
            </w:pPr>
            <w:r>
              <w:rPr>
                <w:b/>
                <w:sz w:val="19"/>
              </w:rPr>
              <w:t>Automated tests (</w:t>
            </w:r>
            <w:r>
              <w:rPr>
                <w:rFonts w:ascii="Consolas" w:hAnsi="Consolas" w:eastAsia="Consolas"/>
                <w:b/>
                <w:sz w:val="16"/>
              </w:rPr>
              <w:t>backend/tests/</w:t>
            </w:r>
            <w:r>
              <w:rPr>
                <w:b/>
                <w:sz w:val="19"/>
              </w:rPr>
              <w:t>)</w:t>
            </w:r>
          </w:p>
        </w:tc>
      </w:tr>
      <w:tr>
        <w:trPr>
          <w:cantSplit w:val="true"/>
        </w:trPr>
        <w:tc>
          <w:tcPr>
            <w:tcW w:type="dxa" w:w="1236"/>
          </w:tcPr>
          <w:p>
            <w:pPr>
              <w:pStyle w:val="CellText"/>
            </w:pPr>
            <w:r>
              <w:rPr>
                <w:sz w:val="19"/>
              </w:rPr>
              <w:t>Tracing</w:t>
            </w:r>
          </w:p>
        </w:tc>
        <w:tc>
          <w:tcPr>
            <w:tcW w:type="dxa" w:w="3571"/>
          </w:tcPr>
          <w:p>
            <w:pPr>
              <w:pStyle w:val="CellText"/>
            </w:pPr>
            <w:r>
              <w:rPr>
                <w:rFonts w:ascii="Consolas" w:hAnsi="Consolas" w:eastAsia="Consolas"/>
                <w:sz w:val="16"/>
              </w:rPr>
              <w:t>database.py</w:t>
            </w:r>
            <w:r>
              <w:rPr>
                <w:sz w:val="19"/>
              </w:rPr>
              <w:t xml:space="preserve">, </w:t>
            </w:r>
            <w:r>
              <w:rPr>
                <w:rFonts w:ascii="Consolas" w:hAnsi="Consolas" w:eastAsia="Consolas"/>
                <w:sz w:val="16"/>
              </w:rPr>
              <w:t>workloads.py</w:t>
            </w:r>
            <w:r>
              <w:rPr>
                <w:sz w:val="19"/>
              </w:rPr>
              <w:t xml:space="preserve">, </w:t>
            </w:r>
            <w:r>
              <w:rPr>
                <w:rFonts w:ascii="Consolas" w:hAnsi="Consolas" w:eastAsia="Consolas"/>
                <w:sz w:val="16"/>
              </w:rPr>
              <w:t>metadata.py</w:t>
            </w:r>
            <w:r>
              <w:rPr>
                <w:sz w:val="19"/>
              </w:rPr>
              <w:t xml:space="preserve">, </w:t>
            </w:r>
            <w:r>
              <w:rPr>
                <w:rFonts w:ascii="Consolas" w:hAnsi="Consolas" w:eastAsia="Consolas"/>
                <w:sz w:val="16"/>
              </w:rPr>
              <w:t>tracing.py</w:t>
            </w:r>
            <w:r>
              <w:rPr>
                <w:sz w:val="19"/>
              </w:rPr>
              <w:t xml:space="preserve">, </w:t>
            </w:r>
            <w:r>
              <w:rPr>
                <w:rFonts w:ascii="Consolas" w:hAnsi="Consolas" w:eastAsia="Consolas"/>
                <w:sz w:val="16"/>
              </w:rPr>
              <w:t>runner.py</w:t>
            </w:r>
          </w:p>
        </w:tc>
        <w:tc>
          <w:tcPr>
            <w:tcW w:type="dxa" w:w="4121"/>
          </w:tcPr>
          <w:p>
            <w:pPr>
              <w:pStyle w:val="CellText"/>
            </w:pPr>
            <w:r>
              <w:rPr>
                <w:rFonts w:ascii="Consolas" w:hAnsi="Consolas" w:eastAsia="Consolas"/>
                <w:sz w:val="16"/>
              </w:rPr>
              <w:t>test_database_and_workloads.py</w:t>
            </w:r>
            <w:r>
              <w:rPr>
                <w:sz w:val="19"/>
              </w:rPr>
              <w:t xml:space="preserve"> (3), </w:t>
            </w:r>
            <w:r>
              <w:rPr>
                <w:rFonts w:ascii="Consolas" w:hAnsi="Consolas" w:eastAsia="Consolas"/>
                <w:sz w:val="16"/>
              </w:rPr>
              <w:t>test_metadata_fallback.py</w:t>
            </w:r>
            <w:r>
              <w:rPr>
                <w:sz w:val="19"/>
              </w:rPr>
              <w:t xml:space="preserve"> (1), </w:t>
            </w:r>
            <w:r>
              <w:rPr>
                <w:rFonts w:ascii="Consolas" w:hAnsi="Consolas" w:eastAsia="Consolas"/>
                <w:sz w:val="16"/>
              </w:rPr>
              <w:t>test_vfs_integration.py</w:t>
            </w:r>
            <w:r>
              <w:rPr>
                <w:sz w:val="19"/>
              </w:rPr>
              <w:t xml:space="preserve"> (2, APSW-gated)</w:t>
            </w:r>
          </w:p>
        </w:tc>
      </w:tr>
      <w:tr>
        <w:trPr>
          <w:cantSplit w:val="true"/>
        </w:trPr>
        <w:tc>
          <w:tcPr>
            <w:tcW w:type="dxa" w:w="1236"/>
          </w:tcPr>
          <w:p>
            <w:pPr>
              <w:pStyle w:val="CellText"/>
            </w:pPr>
            <w:r>
              <w:rPr>
                <w:sz w:val="19"/>
              </w:rPr>
              <w:t>Learning</w:t>
            </w:r>
          </w:p>
        </w:tc>
        <w:tc>
          <w:tcPr>
            <w:tcW w:type="dxa" w:w="3571"/>
          </w:tcPr>
          <w:p>
            <w:pPr>
              <w:pStyle w:val="CellText"/>
            </w:pPr>
            <w:r>
              <w:rPr>
                <w:rFonts w:ascii="Consolas" w:hAnsi="Consolas" w:eastAsia="Consolas"/>
                <w:sz w:val="16"/>
              </w:rPr>
              <w:t>dataset.py</w:t>
            </w:r>
            <w:r>
              <w:rPr>
                <w:sz w:val="19"/>
              </w:rPr>
              <w:t xml:space="preserve">, </w:t>
            </w:r>
            <w:r>
              <w:rPr>
                <w:rFonts w:ascii="Consolas" w:hAnsi="Consolas" w:eastAsia="Consolas"/>
                <w:sz w:val="16"/>
              </w:rPr>
              <w:t>models.py</w:t>
            </w:r>
            <w:r>
              <w:rPr>
                <w:sz w:val="19"/>
              </w:rPr>
              <w:t xml:space="preserve">, </w:t>
            </w:r>
            <w:r>
              <w:rPr>
                <w:rFonts w:ascii="Consolas" w:hAnsi="Consolas" w:eastAsia="Consolas"/>
                <w:sz w:val="16"/>
              </w:rPr>
              <w:t>sweep.py</w:t>
            </w:r>
            <w:r>
              <w:rPr>
                <w:sz w:val="19"/>
              </w:rPr>
              <w:t xml:space="preserve">, </w:t>
            </w:r>
            <w:r>
              <w:rPr>
                <w:rFonts w:ascii="Consolas" w:hAnsi="Consolas" w:eastAsia="Consolas"/>
                <w:sz w:val="16"/>
              </w:rPr>
              <w:t>offline.py</w:t>
            </w:r>
            <w:r>
              <w:rPr>
                <w:sz w:val="19"/>
              </w:rPr>
              <w:t xml:space="preserve">, </w:t>
            </w:r>
            <w:r>
              <w:rPr>
                <w:rFonts w:ascii="Consolas" w:hAnsi="Consolas" w:eastAsia="Consolas"/>
                <w:sz w:val="16"/>
              </w:rPr>
              <w:t>evaluate.py</w:t>
            </w:r>
          </w:p>
        </w:tc>
        <w:tc>
          <w:tcPr>
            <w:tcW w:type="dxa" w:w="4121"/>
          </w:tcPr>
          <w:p>
            <w:pPr>
              <w:pStyle w:val="CellText"/>
            </w:pPr>
            <w:r>
              <w:rPr>
                <w:rFonts w:ascii="Consolas" w:hAnsi="Consolas" w:eastAsia="Consolas"/>
                <w:sz w:val="16"/>
              </w:rPr>
              <w:t>test_dataset_and_model.py</w:t>
            </w:r>
            <w:r>
              <w:rPr>
                <w:sz w:val="19"/>
              </w:rPr>
              <w:t xml:space="preserve"> (6), </w:t>
            </w:r>
            <w:r>
              <w:rPr>
                <w:rFonts w:ascii="Consolas" w:hAnsi="Consolas" w:eastAsia="Consolas"/>
                <w:sz w:val="16"/>
              </w:rPr>
              <w:t>test_offline_study.py</w:t>
            </w:r>
            <w:r>
              <w:rPr>
                <w:sz w:val="19"/>
              </w:rPr>
              <w:t xml:space="preserve"> (7)</w:t>
            </w:r>
          </w:p>
        </w:tc>
      </w:tr>
      <w:tr>
        <w:trPr>
          <w:cantSplit w:val="true"/>
        </w:trPr>
        <w:tc>
          <w:tcPr>
            <w:tcW w:type="dxa" w:w="1236"/>
          </w:tcPr>
          <w:p>
            <w:pPr>
              <w:pStyle w:val="CellText"/>
            </w:pPr>
            <w:r>
              <w:rPr>
                <w:sz w:val="19"/>
              </w:rPr>
              <w:t>Runtime</w:t>
            </w:r>
          </w:p>
        </w:tc>
        <w:tc>
          <w:tcPr>
            <w:tcW w:type="dxa" w:w="3571"/>
          </w:tcPr>
          <w:p>
            <w:pPr>
              <w:pStyle w:val="CellText"/>
            </w:pPr>
            <w:r>
              <w:rPr>
                <w:rFonts w:ascii="Consolas" w:hAnsi="Consolas" w:eastAsia="Consolas"/>
                <w:sz w:val="16"/>
              </w:rPr>
              <w:t>runtime.py</w:t>
            </w:r>
            <w:r>
              <w:rPr>
                <w:sz w:val="19"/>
              </w:rPr>
              <w:t xml:space="preserve">, </w:t>
            </w:r>
            <w:r>
              <w:rPr>
                <w:rFonts w:ascii="Consolas" w:hAnsi="Consolas" w:eastAsia="Consolas"/>
                <w:sz w:val="16"/>
              </w:rPr>
              <w:t>tracing.py</w:t>
            </w:r>
            <w:r>
              <w:rPr>
                <w:sz w:val="19"/>
              </w:rPr>
              <w:t xml:space="preserve">, </w:t>
            </w:r>
            <w:r>
              <w:rPr>
                <w:rFonts w:ascii="Consolas" w:hAnsi="Consolas" w:eastAsia="Consolas"/>
                <w:sz w:val="16"/>
              </w:rPr>
              <w:t>runner.py</w:t>
            </w:r>
          </w:p>
        </w:tc>
        <w:tc>
          <w:tcPr>
            <w:tcW w:type="dxa" w:w="4121"/>
          </w:tcPr>
          <w:p>
            <w:pPr>
              <w:pStyle w:val="CellText"/>
            </w:pPr>
            <w:r>
              <w:rPr>
                <w:rFonts w:ascii="Consolas" w:hAnsi="Consolas" w:eastAsia="Consolas"/>
                <w:sz w:val="16"/>
              </w:rPr>
              <w:t>test_runtime_cache.py</w:t>
            </w:r>
            <w:r>
              <w:rPr>
                <w:sz w:val="19"/>
              </w:rPr>
              <w:t xml:space="preserve"> (7), </w:t>
            </w:r>
            <w:r>
              <w:rPr>
                <w:rFonts w:ascii="Consolas" w:hAnsi="Consolas" w:eastAsia="Consolas"/>
                <w:sz w:val="16"/>
              </w:rPr>
              <w:t>test_benchmark_audit_and_repair.py</w:t>
            </w:r>
            <w:r>
              <w:rPr>
                <w:sz w:val="19"/>
              </w:rPr>
              <w:t xml:space="preserve"> (5), </w:t>
            </w:r>
            <w:r>
              <w:rPr>
                <w:rFonts w:ascii="Consolas" w:hAnsi="Consolas" w:eastAsia="Consolas"/>
                <w:sz w:val="16"/>
              </w:rPr>
              <w:t>test_controls_null_oracle.py</w:t>
            </w:r>
            <w:r>
              <w:rPr>
                <w:sz w:val="19"/>
              </w:rPr>
              <w:t xml:space="preserve"> (13), </w:t>
            </w:r>
            <w:r>
              <w:rPr>
                <w:rFonts w:ascii="Consolas" w:hAnsi="Consolas" w:eastAsia="Consolas"/>
                <w:sz w:val="16"/>
              </w:rPr>
              <w:t>test_oracle_miss_integration.py</w:t>
            </w:r>
            <w:r>
              <w:rPr>
                <w:sz w:val="19"/>
              </w:rPr>
              <w:t xml:space="preserve"> (1)</w:t>
            </w:r>
          </w:p>
        </w:tc>
      </w:tr>
      <w:tr>
        <w:trPr>
          <w:cantSplit w:val="true"/>
        </w:trPr>
        <w:tc>
          <w:tcPr>
            <w:tcW w:type="dxa" w:w="1236"/>
          </w:tcPr>
          <w:p>
            <w:pPr>
              <w:pStyle w:val="CellText"/>
            </w:pPr>
            <w:r>
              <w:rPr>
                <w:sz w:val="19"/>
              </w:rPr>
              <w:t>Evaluation</w:t>
            </w:r>
          </w:p>
        </w:tc>
        <w:tc>
          <w:tcPr>
            <w:tcW w:type="dxa" w:w="3571"/>
          </w:tcPr>
          <w:p>
            <w:pPr>
              <w:pStyle w:val="CellText"/>
            </w:pPr>
            <w:r>
              <w:rPr>
                <w:rFonts w:ascii="Consolas" w:hAnsi="Consolas" w:eastAsia="Consolas"/>
                <w:sz w:val="16"/>
              </w:rPr>
              <w:t>suite.py</w:t>
            </w:r>
            <w:r>
              <w:rPr>
                <w:sz w:val="19"/>
              </w:rPr>
              <w:t xml:space="preserve">, </w:t>
            </w:r>
            <w:r>
              <w:rPr>
                <w:rFonts w:ascii="Consolas" w:hAnsi="Consolas" w:eastAsia="Consolas"/>
                <w:sz w:val="16"/>
              </w:rPr>
              <w:t>reporting.py</w:t>
            </w:r>
            <w:r>
              <w:rPr>
                <w:sz w:val="19"/>
              </w:rPr>
              <w:t xml:space="preserve">, </w:t>
            </w:r>
            <w:r>
              <w:rPr>
                <w:rFonts w:ascii="Consolas" w:hAnsi="Consolas" w:eastAsia="Consolas"/>
                <w:sz w:val="16"/>
              </w:rPr>
              <w:t>sim.py</w:t>
            </w:r>
            <w:r>
              <w:rPr>
                <w:sz w:val="19"/>
              </w:rPr>
              <w:t xml:space="preserve">, </w:t>
            </w:r>
            <w:r>
              <w:rPr>
                <w:rFonts w:ascii="Consolas" w:hAnsi="Consolas" w:eastAsia="Consolas"/>
                <w:sz w:val="16"/>
              </w:rPr>
              <w:t>dashboard.py</w:t>
            </w:r>
            <w:r>
              <w:rPr>
                <w:sz w:val="19"/>
              </w:rPr>
              <w:t xml:space="preserve">, </w:t>
            </w:r>
            <w:r>
              <w:rPr>
                <w:rFonts w:ascii="Consolas" w:hAnsi="Consolas" w:eastAsia="Consolas"/>
                <w:sz w:val="16"/>
              </w:rPr>
              <w:t>cli.py</w:t>
            </w:r>
          </w:p>
        </w:tc>
        <w:tc>
          <w:tcPr>
            <w:tcW w:type="dxa" w:w="4121"/>
          </w:tcPr>
          <w:p>
            <w:pPr>
              <w:pStyle w:val="CellText"/>
            </w:pPr>
            <w:r>
              <w:rPr>
                <w:rFonts w:ascii="Consolas" w:hAnsi="Consolas" w:eastAsia="Consolas"/>
                <w:sz w:val="16"/>
              </w:rPr>
              <w:t>test_suite_summary.py</w:t>
            </w:r>
            <w:r>
              <w:rPr>
                <w:sz w:val="19"/>
              </w:rPr>
              <w:t xml:space="preserve"> (4), </w:t>
            </w:r>
            <w:r>
              <w:rPr>
                <w:rFonts w:ascii="Consolas" w:hAnsi="Consolas" w:eastAsia="Consolas"/>
                <w:sz w:val="16"/>
              </w:rPr>
              <w:t>test_reporting.py</w:t>
            </w:r>
            <w:r>
              <w:rPr>
                <w:sz w:val="19"/>
              </w:rPr>
              <w:t xml:space="preserve"> (4), </w:t>
            </w:r>
            <w:r>
              <w:rPr>
                <w:rFonts w:ascii="Consolas" w:hAnsi="Consolas" w:eastAsia="Consolas"/>
                <w:sz w:val="16"/>
              </w:rPr>
              <w:t>test_simulator.py</w:t>
            </w:r>
            <w:r>
              <w:rPr>
                <w:sz w:val="19"/>
              </w:rPr>
              <w:t xml:space="preserve"> (8)</w:t>
            </w:r>
          </w:p>
        </w:tc>
      </w:tr>
    </w:tbl>
    <w:p>
      <w:pPr>
        <w:spacing w:before="60" w:after="200"/>
      </w:pPr>
      <w:r>
        <w:rPr>
          <w:i/>
          <w:sz w:val="19"/>
        </w:rPr>
        <w:t>Numbers in parentheses are test functions per file (61 in total). The VFS integration tests are skipped when APSW is unavailable and must pass on the measurement machine.</w:t>
      </w:r>
    </w:p>
    <w:p>
      <w:pPr>
        <w:pStyle w:val="Heading1"/>
      </w:pPr>
      <w:r>
        <w:t>6. Predictors, feature schema and baselines</w:t>
      </w:r>
    </w:p>
    <w:p>
      <w:pPr>
        <w:pStyle w:val="Heading2"/>
      </w:pPr>
      <w:r>
        <w:t>6.1 Feature schema</w:t>
      </w:r>
    </w:p>
    <w:p>
      <w:pPr>
        <w:pStyle w:val="TableCaption"/>
      </w:pPr>
      <w:r>
        <w:rPr>
          <w:sz w:val="20"/>
        </w:rPr>
        <w:t>Table 5. Feature schema of the two matched MLP rankers (per history–candidate pair)</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cantSplit w:val="true"/>
          <w:cantSplit w:val="true"/>
        </w:trPr>
        <w:tc>
          <w:tcPr>
            <w:tcW w:type="dxa" w:w="1854"/>
            <w:shd w:val="clear" w:color="auto" w:fill="D9E2F3"/>
          </w:tcPr>
          <w:p>
            <w:pPr>
              <w:pStyle w:val="CellText"/>
            </w:pPr>
            <w:r>
              <w:rPr>
                <w:b/>
                <w:sz w:val="19"/>
              </w:rPr>
              <w:t>Feature group</w:t>
            </w:r>
          </w:p>
        </w:tc>
        <w:tc>
          <w:tcPr>
            <w:tcW w:type="dxa" w:w="1030"/>
            <w:shd w:val="clear" w:color="auto" w:fill="D9E2F3"/>
          </w:tcPr>
          <w:p>
            <w:pPr>
              <w:pStyle w:val="CellText"/>
            </w:pPr>
            <w:r>
              <w:rPr>
                <w:b/>
                <w:sz w:val="19"/>
              </w:rPr>
              <w:t>Dimensions</w:t>
            </w:r>
          </w:p>
        </w:tc>
        <w:tc>
          <w:tcPr>
            <w:tcW w:type="dxa" w:w="755"/>
            <w:shd w:val="clear" w:color="auto" w:fill="D9E2F3"/>
          </w:tcPr>
          <w:p>
            <w:pPr>
              <w:pStyle w:val="CellText"/>
            </w:pPr>
            <w:r>
              <w:rPr>
                <w:b/>
                <w:sz w:val="19"/>
              </w:rPr>
              <w:t>Model A</w:t>
            </w:r>
          </w:p>
        </w:tc>
        <w:tc>
          <w:tcPr>
            <w:tcW w:type="dxa" w:w="755"/>
            <w:shd w:val="clear" w:color="auto" w:fill="D9E2F3"/>
          </w:tcPr>
          <w:p>
            <w:pPr>
              <w:pStyle w:val="CellText"/>
            </w:pPr>
            <w:r>
              <w:rPr>
                <w:b/>
                <w:sz w:val="19"/>
              </w:rPr>
              <w:t>Model B</w:t>
            </w:r>
          </w:p>
        </w:tc>
        <w:tc>
          <w:tcPr>
            <w:tcW w:type="dxa" w:w="4533"/>
            <w:shd w:val="clear" w:color="auto" w:fill="D9E2F3"/>
          </w:tcPr>
          <w:p>
            <w:pPr>
              <w:pStyle w:val="CellText"/>
            </w:pPr>
            <w:r>
              <w:rPr>
                <w:b/>
                <w:sz w:val="19"/>
              </w:rPr>
              <w:t>Description</w:t>
            </w:r>
          </w:p>
        </w:tc>
      </w:tr>
      <w:tr>
        <w:trPr>
          <w:cantSplit w:val="true"/>
        </w:trPr>
        <w:tc>
          <w:tcPr>
            <w:tcW w:type="dxa" w:w="1854"/>
          </w:tcPr>
          <w:p>
            <w:pPr>
              <w:pStyle w:val="CellText"/>
            </w:pPr>
            <w:r>
              <w:rPr>
                <w:sz w:val="19"/>
              </w:rPr>
              <w:t>History pages</w:t>
            </w:r>
          </w:p>
        </w:tc>
        <w:tc>
          <w:tcPr>
            <w:tcW w:type="dxa" w:w="1030"/>
          </w:tcPr>
          <w:p>
            <w:pPr>
              <w:pStyle w:val="CellText"/>
              <w:jc w:val="center"/>
            </w:pPr>
            <w:r>
              <w:rPr>
                <w:sz w:val="19"/>
              </w:rPr>
              <w:t>8</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Last eight page numbers, normalised by the maximum page</w:t>
            </w:r>
          </w:p>
        </w:tc>
      </w:tr>
      <w:tr>
        <w:trPr>
          <w:cantSplit w:val="true"/>
        </w:trPr>
        <w:tc>
          <w:tcPr>
            <w:tcW w:type="dxa" w:w="1854"/>
          </w:tcPr>
          <w:p>
            <w:pPr>
              <w:pStyle w:val="CellText"/>
            </w:pPr>
            <w:r>
              <w:rPr>
                <w:sz w:val="19"/>
              </w:rPr>
              <w:t>History deltas</w:t>
            </w:r>
          </w:p>
        </w:tc>
        <w:tc>
          <w:tcPr>
            <w:tcW w:type="dxa" w:w="1030"/>
          </w:tcPr>
          <w:p>
            <w:pPr>
              <w:pStyle w:val="CellText"/>
              <w:jc w:val="center"/>
            </w:pPr>
            <w:r>
              <w:rPr>
                <w:sz w:val="19"/>
              </w:rPr>
              <w:t>8</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Successive page differences, clipped to [−1, 1]</w:t>
            </w:r>
          </w:p>
        </w:tc>
      </w:tr>
      <w:tr>
        <w:trPr>
          <w:cantSplit w:val="true"/>
        </w:trPr>
        <w:tc>
          <w:tcPr>
            <w:tcW w:type="dxa" w:w="1854"/>
          </w:tcPr>
          <w:p>
            <w:pPr>
              <w:pStyle w:val="CellText"/>
            </w:pPr>
            <w:r>
              <w:rPr>
                <w:sz w:val="19"/>
              </w:rPr>
              <w:t>Candidate position</w:t>
            </w:r>
          </w:p>
        </w:tc>
        <w:tc>
          <w:tcPr>
            <w:tcW w:type="dxa" w:w="1030"/>
          </w:tcPr>
          <w:p>
            <w:pPr>
              <w:pStyle w:val="CellText"/>
              <w:jc w:val="center"/>
            </w:pPr>
            <w:r>
              <w:rPr>
                <w:sz w:val="19"/>
              </w:rPr>
              <w:t>3</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Normalised candidate page, delta from the last page, same-as-last flag</w:t>
            </w:r>
          </w:p>
        </w:tc>
      </w:tr>
      <w:tr>
        <w:trPr>
          <w:cantSplit w:val="true"/>
        </w:trPr>
        <w:tc>
          <w:tcPr>
            <w:tcW w:type="dxa" w:w="1854"/>
          </w:tcPr>
          <w:p>
            <w:pPr>
              <w:pStyle w:val="CellText"/>
            </w:pPr>
            <w:r>
              <w:rPr>
                <w:sz w:val="19"/>
              </w:rPr>
              <w:t>Candidate page type</w:t>
            </w:r>
          </w:p>
        </w:tc>
        <w:tc>
          <w:tcPr>
            <w:tcW w:type="dxa" w:w="1030"/>
          </w:tcPr>
          <w:p>
            <w:pPr>
              <w:pStyle w:val="CellText"/>
              <w:jc w:val="center"/>
            </w:pPr>
            <w:r>
              <w:rPr>
                <w:sz w:val="19"/>
              </w:rPr>
              <w:t>5</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 xml:space="preserve">One-hot: unknown / leaf / interior / internal / overflow (from </w:t>
            </w:r>
            <w:r>
              <w:rPr>
                <w:rFonts w:ascii="Consolas" w:hAnsi="Consolas" w:eastAsia="Consolas"/>
                <w:sz w:val="16"/>
              </w:rPr>
              <w:t>dbstat</w:t>
            </w:r>
            <w:r>
              <w:rPr>
                <w:sz w:val="19"/>
              </w:rPr>
              <w:t>)</w:t>
            </w:r>
          </w:p>
        </w:tc>
      </w:tr>
      <w:tr>
        <w:trPr>
          <w:cantSplit w:val="true"/>
        </w:trPr>
        <w:tc>
          <w:tcPr>
            <w:tcW w:type="dxa" w:w="1854"/>
          </w:tcPr>
          <w:p>
            <w:pPr>
              <w:pStyle w:val="CellText"/>
            </w:pPr>
            <w:r>
              <w:rPr>
                <w:sz w:val="19"/>
              </w:rPr>
              <w:t>Candidate B-tree depth</w:t>
            </w:r>
          </w:p>
        </w:tc>
        <w:tc>
          <w:tcPr>
            <w:tcW w:type="dxa" w:w="1030"/>
          </w:tcPr>
          <w:p>
            <w:pPr>
              <w:pStyle w:val="CellText"/>
              <w:jc w:val="center"/>
            </w:pPr>
            <w:r>
              <w:rPr>
                <w:sz w:val="19"/>
              </w:rPr>
              <w:t>1</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Depth of the page in its B-tree, scaled by 1/32</w:t>
            </w:r>
          </w:p>
        </w:tc>
      </w:tr>
      <w:tr>
        <w:trPr>
          <w:cantSplit w:val="true"/>
        </w:trPr>
        <w:tc>
          <w:tcPr>
            <w:tcW w:type="dxa" w:w="1854"/>
          </w:tcPr>
          <w:p>
            <w:pPr>
              <w:pStyle w:val="CellText"/>
            </w:pPr>
            <w:r>
              <w:rPr>
                <w:sz w:val="19"/>
              </w:rPr>
              <w:t>Candidate object identity</w:t>
            </w:r>
          </w:p>
        </w:tc>
        <w:tc>
          <w:tcPr>
            <w:tcW w:type="dxa" w:w="1030"/>
          </w:tcPr>
          <w:p>
            <w:pPr>
              <w:pStyle w:val="CellText"/>
              <w:jc w:val="center"/>
            </w:pPr>
            <w:r>
              <w:rPr>
                <w:sz w:val="19"/>
              </w:rPr>
              <w:t>32</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Hashed one-hot of the owning table or index name</w:t>
            </w:r>
          </w:p>
        </w:tc>
      </w:tr>
      <w:tr>
        <w:trPr>
          <w:cantSplit w:val="true"/>
        </w:trPr>
        <w:tc>
          <w:tcPr>
            <w:tcW w:type="dxa" w:w="1854"/>
          </w:tcPr>
          <w:p>
            <w:pPr>
              <w:pStyle w:val="CellText"/>
            </w:pPr>
            <w:r>
              <w:rPr>
                <w:sz w:val="19"/>
              </w:rPr>
              <w:t>Query-plan class</w:t>
            </w:r>
          </w:p>
        </w:tc>
        <w:tc>
          <w:tcPr>
            <w:tcW w:type="dxa" w:w="1030"/>
          </w:tcPr>
          <w:p>
            <w:pPr>
              <w:pStyle w:val="CellText"/>
              <w:jc w:val="center"/>
            </w:pPr>
            <w:r>
              <w:rPr>
                <w:sz w:val="19"/>
              </w:rPr>
              <w:t>6</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 xml:space="preserve">One-hot plan class from </w:t>
            </w:r>
            <w:r>
              <w:rPr>
                <w:rFonts w:ascii="Consolas" w:hAnsi="Consolas" w:eastAsia="Consolas"/>
                <w:sz w:val="16"/>
              </w:rPr>
              <w:t>EXPLAIN QUERY PLAN</w:t>
            </w:r>
          </w:p>
        </w:tc>
      </w:tr>
      <w:tr>
        <w:trPr>
          <w:cantSplit w:val="true"/>
        </w:trPr>
        <w:tc>
          <w:tcPr>
            <w:tcW w:type="dxa" w:w="1854"/>
          </w:tcPr>
          <w:p>
            <w:pPr>
              <w:pStyle w:val="CellText"/>
            </w:pPr>
            <w:r>
              <w:rPr>
                <w:sz w:val="19"/>
              </w:rPr>
              <w:t>Query template</w:t>
            </w:r>
          </w:p>
        </w:tc>
        <w:tc>
          <w:tcPr>
            <w:tcW w:type="dxa" w:w="1030"/>
          </w:tcPr>
          <w:p>
            <w:pPr>
              <w:pStyle w:val="CellText"/>
              <w:jc w:val="center"/>
            </w:pPr>
            <w:r>
              <w:rPr>
                <w:sz w:val="19"/>
              </w:rPr>
              <w:t>16</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Hashed one-hot of the template identifier</w:t>
            </w:r>
          </w:p>
        </w:tc>
      </w:tr>
      <w:tr>
        <w:trPr>
          <w:cantSplit w:val="true"/>
        </w:trPr>
        <w:tc>
          <w:tcPr>
            <w:tcW w:type="dxa" w:w="1854"/>
          </w:tcPr>
          <w:p>
            <w:pPr>
              <w:pStyle w:val="CellText"/>
            </w:pPr>
            <w:r>
              <w:rPr>
                <w:sz w:val="19"/>
              </w:rPr>
              <w:t>Workload family</w:t>
            </w:r>
          </w:p>
        </w:tc>
        <w:tc>
          <w:tcPr>
            <w:tcW w:type="dxa" w:w="1030"/>
          </w:tcPr>
          <w:p>
            <w:pPr>
              <w:pStyle w:val="CellText"/>
              <w:jc w:val="center"/>
            </w:pPr>
            <w:r>
              <w:rPr>
                <w:sz w:val="19"/>
              </w:rPr>
              <w:t>6</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One-hot: point lookup, indexed join, range scan, recursive traversal, indexed lookup</w:t>
            </w:r>
          </w:p>
        </w:tc>
      </w:tr>
      <w:tr>
        <w:trPr>
          <w:cantSplit w:val="true"/>
        </w:trPr>
        <w:tc>
          <w:tcPr>
            <w:tcW w:type="dxa" w:w="1854"/>
          </w:tcPr>
          <w:p>
            <w:pPr>
              <w:pStyle w:val="CellText"/>
            </w:pPr>
            <w:r>
              <w:rPr>
                <w:sz w:val="19"/>
              </w:rPr>
              <w:t>Position in query</w:t>
            </w:r>
          </w:p>
        </w:tc>
        <w:tc>
          <w:tcPr>
            <w:tcW w:type="dxa" w:w="1030"/>
          </w:tcPr>
          <w:p>
            <w:pPr>
              <w:pStyle w:val="CellText"/>
              <w:jc w:val="center"/>
            </w:pPr>
            <w:r>
              <w:rPr>
                <w:sz w:val="19"/>
              </w:rPr>
              <w:t>1</w:t>
            </w:r>
          </w:p>
        </w:tc>
        <w:tc>
          <w:tcPr>
            <w:tcW w:type="dxa" w:w="755"/>
          </w:tcPr>
          <w:p>
            <w:pPr>
              <w:pStyle w:val="CellText"/>
              <w:jc w:val="center"/>
            </w:pPr>
            <w:r>
              <w:rPr>
                <w:sz w:val="19"/>
              </w:rPr>
              <w:t>—</w:t>
            </w:r>
          </w:p>
        </w:tc>
        <w:tc>
          <w:tcPr>
            <w:tcW w:type="dxa" w:w="755"/>
          </w:tcPr>
          <w:p>
            <w:pPr>
              <w:pStyle w:val="CellText"/>
              <w:jc w:val="center"/>
            </w:pPr>
            <w:r>
              <w:rPr>
                <w:sz w:val="19"/>
              </w:rPr>
              <w:t>✓</w:t>
            </w:r>
          </w:p>
        </w:tc>
        <w:tc>
          <w:tcPr>
            <w:tcW w:type="dxa" w:w="4533"/>
          </w:tcPr>
          <w:p>
            <w:pPr>
              <w:pStyle w:val="CellText"/>
            </w:pPr>
            <w:r>
              <w:rPr>
                <w:sz w:val="19"/>
              </w:rPr>
              <w:t>Number of page requests observed so far in the query, capped at 512 and normalised</w:t>
            </w:r>
          </w:p>
        </w:tc>
      </w:tr>
      <w:tr>
        <w:trPr>
          <w:cantSplit w:val="true"/>
        </w:trPr>
        <w:tc>
          <w:tcPr>
            <w:tcW w:type="dxa" w:w="1854"/>
          </w:tcPr>
          <w:p>
            <w:pPr>
              <w:pStyle w:val="CellText"/>
            </w:pPr>
            <w:r>
              <w:rPr>
                <w:b/>
                <w:sz w:val="19"/>
              </w:rPr>
              <w:t>Total input dimension</w:t>
            </w:r>
          </w:p>
        </w:tc>
        <w:tc>
          <w:tcPr>
            <w:tcW w:type="dxa" w:w="1030"/>
          </w:tcPr>
          <w:p>
            <w:pPr>
              <w:pStyle w:val="CellText"/>
              <w:jc w:val="center"/>
            </w:pPr>
          </w:p>
        </w:tc>
        <w:tc>
          <w:tcPr>
            <w:tcW w:type="dxa" w:w="755"/>
          </w:tcPr>
          <w:p>
            <w:pPr>
              <w:pStyle w:val="CellText"/>
              <w:jc w:val="center"/>
            </w:pPr>
            <w:r>
              <w:rPr>
                <w:b/>
                <w:sz w:val="19"/>
              </w:rPr>
              <w:t>19</w:t>
            </w:r>
          </w:p>
        </w:tc>
        <w:tc>
          <w:tcPr>
            <w:tcW w:type="dxa" w:w="755"/>
          </w:tcPr>
          <w:p>
            <w:pPr>
              <w:pStyle w:val="CellText"/>
              <w:jc w:val="center"/>
            </w:pPr>
            <w:r>
              <w:rPr>
                <w:b/>
                <w:sz w:val="19"/>
              </w:rPr>
              <w:t>86</w:t>
            </w:r>
          </w:p>
        </w:tc>
        <w:tc>
          <w:tcPr>
            <w:tcW w:type="dxa" w:w="4533"/>
          </w:tcPr>
          <w:p>
            <w:pPr>
              <w:pStyle w:val="CellText"/>
            </w:pPr>
          </w:p>
        </w:tc>
      </w:tr>
    </w:tbl>
    <w:p>
      <w:pPr>
        <w:spacing w:after="80"/>
      </w:pPr>
    </w:p>
    <w:p>
      <w:r>
        <w:t xml:space="preserve">The semantic block is grouped for ablation: </w:t>
      </w:r>
      <w:r>
        <w:rPr>
          <w:rFonts w:ascii="Consolas" w:hAnsi="Consolas" w:eastAsia="Consolas"/>
          <w:sz w:val="21"/>
        </w:rPr>
        <w:t>page_metadata</w:t>
      </w:r>
      <w:r>
        <w:t xml:space="preserve"> = page type + depth + object; </w:t>
      </w:r>
      <w:r>
        <w:rPr>
          <w:rFonts w:ascii="Consolas" w:hAnsi="Consolas" w:eastAsia="Consolas"/>
          <w:sz w:val="21"/>
        </w:rPr>
        <w:t>query_context</w:t>
      </w:r>
      <w:r>
        <w:t xml:space="preserve"> = plan + template + workload family + position. Each group can be zeroed at inference time or excluded during retraining.</w:t>
      </w:r>
    </w:p>
    <w:p>
      <w:pPr>
        <w:pStyle w:val="Heading2"/>
      </w:pPr>
      <w:r>
        <w:t>6.2 Network and training configuration</w:t>
      </w:r>
    </w:p>
    <w:p>
      <w:r>
        <w:t xml:space="preserve">Both models use the same scorer: Linear(input, </w:t>
      </w:r>
      <w:r>
        <w:rPr>
          <w:i/>
        </w:rPr>
        <w:t>H</w:t>
      </w:r>
      <w:r>
        <w:t>) → ReLU → Dropout(0.15) → Linear(</w:t>
      </w:r>
      <w:r>
        <w:rPr>
          <w:i/>
        </w:rPr>
        <w:t>H</w:t>
      </w:r>
      <w:r>
        <w:t xml:space="preserve">, </w:t>
      </w:r>
      <w:r>
        <w:rPr>
          <w:i/>
        </w:rPr>
        <w:t>H</w:t>
      </w:r>
      <w:r>
        <w:t>/2) → ReLU → Dropout(0.10) → Linear(</w:t>
      </w:r>
      <w:r>
        <w:rPr>
          <w:i/>
        </w:rPr>
        <w:t>H</w:t>
      </w:r>
      <w:r>
        <w:t xml:space="preserve">/2, 1), trained with </w:t>
      </w:r>
      <w:r>
        <w:rPr>
          <w:rFonts w:ascii="Consolas" w:hAnsi="Consolas" w:eastAsia="Consolas"/>
          <w:sz w:val="21"/>
        </w:rPr>
        <w:t>BCEWithLogitsLoss</w:t>
      </w:r>
      <w:r>
        <w:t xml:space="preserve">, AdamW (learning rate 10⁻³, weight decay 10⁻⁴), batch size 512 and early stopping with patience 4 on validation loss. The frozen medium-scale models use </w:t>
      </w:r>
      <w:r>
        <w:rPr>
          <w:i/>
        </w:rPr>
        <w:t>H</w:t>
      </w:r>
      <w:r>
        <w:t xml:space="preserve"> = 64, 12 epochs, 24 candidates and training seed 7 (</w:t>
      </w:r>
      <w:r>
        <w:rPr>
          <w:rFonts w:ascii="Consolas" w:hAnsi="Consolas" w:eastAsia="Consolas"/>
          <w:sz w:val="21"/>
        </w:rPr>
        <w:t>run_medium_experiment.ps1</w:t>
      </w:r>
      <w:r>
        <w:t>); the multi-seed ablation sweep used seeds 7, 13 and 31 on a fixed split (seed 42) with 8 epochs. Model A and Model B always receive the same seed set, epochs, hidden size and candidate cap (Decision D12) [11].</w:t>
      </w:r>
    </w:p>
    <w:p>
      <w:pPr>
        <w:pStyle w:val="Heading2"/>
      </w:pPr>
      <w:r>
        <w:t>6.3 Strategies and controls</w:t>
      </w:r>
    </w:p>
    <w:p>
      <w:pPr>
        <w:pStyle w:val="TableCaption"/>
      </w:pPr>
      <w:r>
        <w:rPr>
          <w:sz w:val="20"/>
        </w:rPr>
        <w:t>Table 6. Runtime strategies and controls (all rows are always reported; none is removed for performing badly)</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1854"/>
            <w:shd w:val="clear" w:color="auto" w:fill="D9E2F3"/>
          </w:tcPr>
          <w:p>
            <w:pPr>
              <w:pStyle w:val="CellText"/>
            </w:pPr>
            <w:r>
              <w:rPr>
                <w:b/>
                <w:sz w:val="19"/>
              </w:rPr>
              <w:t>Strategy</w:t>
            </w:r>
          </w:p>
        </w:tc>
        <w:tc>
          <w:tcPr>
            <w:tcW w:type="dxa" w:w="1236"/>
            <w:shd w:val="clear" w:color="auto" w:fill="D9E2F3"/>
          </w:tcPr>
          <w:p>
            <w:pPr>
              <w:pStyle w:val="CellText"/>
            </w:pPr>
            <w:r>
              <w:rPr>
                <w:b/>
                <w:sz w:val="19"/>
              </w:rPr>
              <w:t>Type</w:t>
            </w:r>
          </w:p>
        </w:tc>
        <w:tc>
          <w:tcPr>
            <w:tcW w:type="dxa" w:w="5838"/>
            <w:shd w:val="clear" w:color="auto" w:fill="D9E2F3"/>
          </w:tcPr>
          <w:p>
            <w:pPr>
              <w:pStyle w:val="CellText"/>
            </w:pPr>
            <w:r>
              <w:rPr>
                <w:b/>
                <w:sz w:val="19"/>
              </w:rPr>
              <w:t>Definition</w:t>
            </w:r>
          </w:p>
        </w:tc>
      </w:tr>
      <w:tr>
        <w:trPr>
          <w:cantSplit w:val="true"/>
        </w:trPr>
        <w:tc>
          <w:tcPr>
            <w:tcW w:type="dxa" w:w="1854"/>
          </w:tcPr>
          <w:p>
            <w:pPr>
              <w:pStyle w:val="CellText"/>
            </w:pPr>
            <w:r>
              <w:rPr>
                <w:rFonts w:ascii="Consolas" w:hAnsi="Consolas" w:eastAsia="Consolas"/>
                <w:sz w:val="16"/>
              </w:rPr>
              <w:t>stock</w:t>
            </w:r>
          </w:p>
        </w:tc>
        <w:tc>
          <w:tcPr>
            <w:tcW w:type="dxa" w:w="1236"/>
          </w:tcPr>
          <w:p>
            <w:pPr>
              <w:pStyle w:val="CellText"/>
            </w:pPr>
            <w:r>
              <w:rPr>
                <w:sz w:val="19"/>
              </w:rPr>
              <w:t>reference</w:t>
            </w:r>
          </w:p>
        </w:tc>
        <w:tc>
          <w:tcPr>
            <w:tcW w:type="dxa" w:w="5838"/>
          </w:tcPr>
          <w:p>
            <w:pPr>
              <w:pStyle w:val="CellText"/>
            </w:pPr>
            <w:r>
              <w:rPr>
                <w:sz w:val="19"/>
              </w:rPr>
              <w:t>Unmodified SQLite with no custom cache; a practical reference, not a same-cache comparison.</w:t>
            </w:r>
          </w:p>
        </w:tc>
      </w:tr>
      <w:tr>
        <w:trPr>
          <w:cantSplit w:val="true"/>
        </w:trPr>
        <w:tc>
          <w:tcPr>
            <w:tcW w:type="dxa" w:w="1854"/>
          </w:tcPr>
          <w:p>
            <w:pPr>
              <w:pStyle w:val="CellText"/>
            </w:pPr>
            <w:r>
              <w:rPr>
                <w:rFonts w:ascii="Consolas" w:hAnsi="Consolas" w:eastAsia="Consolas"/>
                <w:sz w:val="16"/>
              </w:rPr>
              <w:t>none</w:t>
            </w:r>
          </w:p>
        </w:tc>
        <w:tc>
          <w:tcPr>
            <w:tcW w:type="dxa" w:w="1236"/>
          </w:tcPr>
          <w:p>
            <w:pPr>
              <w:pStyle w:val="CellText"/>
            </w:pPr>
            <w:r>
              <w:rPr>
                <w:sz w:val="19"/>
              </w:rPr>
              <w:t>baseline</w:t>
            </w:r>
          </w:p>
        </w:tc>
        <w:tc>
          <w:tcPr>
            <w:tcW w:type="dxa" w:w="5838"/>
          </w:tcPr>
          <w:p>
            <w:pPr>
              <w:pStyle w:val="CellText"/>
            </w:pPr>
            <w:r>
              <w:rPr>
                <w:sz w:val="19"/>
              </w:rPr>
              <w:t>Custom bounded cache with no prefetching — the primary baseline for paired comparisons.</w:t>
            </w:r>
          </w:p>
        </w:tc>
      </w:tr>
      <w:tr>
        <w:trPr>
          <w:cantSplit w:val="true"/>
        </w:trPr>
        <w:tc>
          <w:tcPr>
            <w:tcW w:type="dxa" w:w="1854"/>
          </w:tcPr>
          <w:p>
            <w:pPr>
              <w:pStyle w:val="CellText"/>
            </w:pPr>
            <w:r>
              <w:rPr>
                <w:rFonts w:ascii="Consolas" w:hAnsi="Consolas" w:eastAsia="Consolas"/>
                <w:sz w:val="16"/>
              </w:rPr>
              <w:t>sequential</w:t>
            </w:r>
          </w:p>
        </w:tc>
        <w:tc>
          <w:tcPr>
            <w:tcW w:type="dxa" w:w="1236"/>
          </w:tcPr>
          <w:p>
            <w:pPr>
              <w:pStyle w:val="CellText"/>
            </w:pPr>
            <w:r>
              <w:rPr>
                <w:sz w:val="19"/>
              </w:rPr>
              <w:t>heuristic</w:t>
            </w:r>
          </w:p>
        </w:tc>
        <w:tc>
          <w:tcPr>
            <w:tcW w:type="dxa" w:w="5838"/>
          </w:tcPr>
          <w:p>
            <w:pPr>
              <w:pStyle w:val="CellText"/>
            </w:pPr>
            <w:r>
              <w:rPr>
                <w:sz w:val="19"/>
              </w:rPr>
              <w:t>Prefetch the numerically next page after the last demanded page.</w:t>
            </w:r>
          </w:p>
        </w:tc>
      </w:tr>
      <w:tr>
        <w:trPr>
          <w:cantSplit w:val="true"/>
        </w:trPr>
        <w:tc>
          <w:tcPr>
            <w:tcW w:type="dxa" w:w="1854"/>
          </w:tcPr>
          <w:p>
            <w:pPr>
              <w:pStyle w:val="CellText"/>
            </w:pPr>
            <w:r>
              <w:rPr>
                <w:rFonts w:ascii="Consolas" w:hAnsi="Consolas" w:eastAsia="Consolas"/>
                <w:sz w:val="16"/>
              </w:rPr>
              <w:t>markov1</w:t>
            </w:r>
          </w:p>
        </w:tc>
        <w:tc>
          <w:tcPr>
            <w:tcW w:type="dxa" w:w="1236"/>
          </w:tcPr>
          <w:p>
            <w:pPr>
              <w:pStyle w:val="CellText"/>
            </w:pPr>
            <w:r>
              <w:rPr>
                <w:sz w:val="19"/>
              </w:rPr>
              <w:t>statistical</w:t>
            </w:r>
          </w:p>
        </w:tc>
        <w:tc>
          <w:tcPr>
            <w:tcW w:type="dxa" w:w="5838"/>
          </w:tcPr>
          <w:p>
            <w:pPr>
              <w:pStyle w:val="CellText"/>
            </w:pPr>
            <w:r>
              <w:rPr>
                <w:sz w:val="19"/>
              </w:rPr>
              <w:t>First-order successor table built from training executions.</w:t>
            </w:r>
          </w:p>
        </w:tc>
      </w:tr>
      <w:tr>
        <w:trPr>
          <w:cantSplit w:val="true"/>
        </w:trPr>
        <w:tc>
          <w:tcPr>
            <w:tcW w:type="dxa" w:w="1854"/>
          </w:tcPr>
          <w:p>
            <w:pPr>
              <w:pStyle w:val="CellText"/>
            </w:pPr>
            <w:r>
              <w:rPr>
                <w:rFonts w:ascii="Consolas" w:hAnsi="Consolas" w:eastAsia="Consolas"/>
                <w:sz w:val="16"/>
              </w:rPr>
              <w:t>markov2</w:t>
            </w:r>
          </w:p>
        </w:tc>
        <w:tc>
          <w:tcPr>
            <w:tcW w:type="dxa" w:w="1236"/>
          </w:tcPr>
          <w:p>
            <w:pPr>
              <w:pStyle w:val="CellText"/>
            </w:pPr>
            <w:r>
              <w:rPr>
                <w:sz w:val="19"/>
              </w:rPr>
              <w:t>statistical</w:t>
            </w:r>
          </w:p>
        </w:tc>
        <w:tc>
          <w:tcPr>
            <w:tcW w:type="dxa" w:w="5838"/>
          </w:tcPr>
          <w:p>
            <w:pPr>
              <w:pStyle w:val="CellText"/>
            </w:pPr>
            <w:r>
              <w:rPr>
                <w:sz w:val="19"/>
              </w:rPr>
              <w:t>Second-order successor table keyed by the last two pages; falls back to first order.</w:t>
            </w:r>
          </w:p>
        </w:tc>
      </w:tr>
      <w:tr>
        <w:trPr>
          <w:cantSplit w:val="true"/>
        </w:trPr>
        <w:tc>
          <w:tcPr>
            <w:tcW w:type="dxa" w:w="1854"/>
          </w:tcPr>
          <w:p>
            <w:pPr>
              <w:pStyle w:val="CellText"/>
            </w:pPr>
            <w:r>
              <w:rPr>
                <w:rFonts w:ascii="Consolas" w:hAnsi="Consolas" w:eastAsia="Consolas"/>
                <w:sz w:val="16"/>
              </w:rPr>
              <w:t>model_a</w:t>
            </w:r>
          </w:p>
        </w:tc>
        <w:tc>
          <w:tcPr>
            <w:tcW w:type="dxa" w:w="1236"/>
          </w:tcPr>
          <w:p>
            <w:pPr>
              <w:pStyle w:val="CellText"/>
            </w:pPr>
            <w:r>
              <w:rPr>
                <w:sz w:val="19"/>
              </w:rPr>
              <w:t>neural</w:t>
            </w:r>
          </w:p>
        </w:tc>
        <w:tc>
          <w:tcPr>
            <w:tcW w:type="dxa" w:w="5838"/>
          </w:tcPr>
          <w:p>
            <w:pPr>
              <w:pStyle w:val="CellText"/>
            </w:pPr>
            <w:r>
              <w:rPr>
                <w:sz w:val="19"/>
              </w:rPr>
              <w:t>History-only MLP ranker over the candidate set (19 features).</w:t>
            </w:r>
          </w:p>
        </w:tc>
      </w:tr>
      <w:tr>
        <w:trPr>
          <w:cantSplit w:val="true"/>
        </w:trPr>
        <w:tc>
          <w:tcPr>
            <w:tcW w:type="dxa" w:w="1854"/>
          </w:tcPr>
          <w:p>
            <w:pPr>
              <w:pStyle w:val="CellText"/>
            </w:pPr>
            <w:r>
              <w:rPr>
                <w:rFonts w:ascii="Consolas" w:hAnsi="Consolas" w:eastAsia="Consolas"/>
                <w:sz w:val="16"/>
              </w:rPr>
              <w:t>model_b</w:t>
            </w:r>
          </w:p>
        </w:tc>
        <w:tc>
          <w:tcPr>
            <w:tcW w:type="dxa" w:w="1236"/>
          </w:tcPr>
          <w:p>
            <w:pPr>
              <w:pStyle w:val="CellText"/>
            </w:pPr>
            <w:r>
              <w:rPr>
                <w:sz w:val="19"/>
              </w:rPr>
              <w:t>neural</w:t>
            </w:r>
          </w:p>
        </w:tc>
        <w:tc>
          <w:tcPr>
            <w:tcW w:type="dxa" w:w="5838"/>
          </w:tcPr>
          <w:p>
            <w:pPr>
              <w:pStyle w:val="CellText"/>
            </w:pPr>
            <w:r>
              <w:rPr>
                <w:sz w:val="19"/>
              </w:rPr>
              <w:t>Semantic MLP ranker over the candidate set (86 features).</w:t>
            </w:r>
          </w:p>
        </w:tc>
      </w:tr>
      <w:tr>
        <w:trPr>
          <w:cantSplit w:val="true"/>
        </w:trPr>
        <w:tc>
          <w:tcPr>
            <w:tcW w:type="dxa" w:w="1854"/>
          </w:tcPr>
          <w:p>
            <w:pPr>
              <w:pStyle w:val="CellText"/>
            </w:pPr>
            <w:r>
              <w:rPr>
                <w:rFonts w:ascii="Consolas" w:hAnsi="Consolas" w:eastAsia="Consolas"/>
                <w:sz w:val="16"/>
              </w:rPr>
              <w:t>hybrid</w:t>
            </w:r>
          </w:p>
        </w:tc>
        <w:tc>
          <w:tcPr>
            <w:tcW w:type="dxa" w:w="1236"/>
          </w:tcPr>
          <w:p>
            <w:pPr>
              <w:pStyle w:val="CellText"/>
            </w:pPr>
            <w:r>
              <w:rPr>
                <w:sz w:val="19"/>
              </w:rPr>
              <w:t>gated</w:t>
            </w:r>
          </w:p>
        </w:tc>
        <w:tc>
          <w:tcPr>
            <w:tcW w:type="dxa" w:w="5838"/>
          </w:tcPr>
          <w:p>
            <w:pPr>
              <w:pStyle w:val="CellText"/>
            </w:pPr>
            <w:r>
              <w:rPr>
                <w:sz w:val="19"/>
              </w:rPr>
              <w:t>Exact training-derived Markov-2 transition when present, otherwise Model B scoring.</w:t>
            </w:r>
          </w:p>
        </w:tc>
      </w:tr>
      <w:tr>
        <w:trPr>
          <w:cantSplit w:val="true"/>
        </w:trPr>
        <w:tc>
          <w:tcPr>
            <w:tcW w:type="dxa" w:w="1854"/>
          </w:tcPr>
          <w:p>
            <w:pPr>
              <w:pStyle w:val="CellText"/>
            </w:pPr>
            <w:r>
              <w:rPr>
                <w:rFonts w:ascii="Consolas" w:hAnsi="Consolas" w:eastAsia="Consolas"/>
                <w:sz w:val="16"/>
              </w:rPr>
              <w:t>null</w:t>
            </w:r>
          </w:p>
        </w:tc>
        <w:tc>
          <w:tcPr>
            <w:tcW w:type="dxa" w:w="1236"/>
          </w:tcPr>
          <w:p>
            <w:pPr>
              <w:pStyle w:val="CellText"/>
            </w:pPr>
            <w:r>
              <w:rPr>
                <w:sz w:val="19"/>
              </w:rPr>
              <w:t>control</w:t>
            </w:r>
          </w:p>
        </w:tc>
        <w:tc>
          <w:tcPr>
            <w:tcW w:type="dxa" w:w="5838"/>
          </w:tcPr>
          <w:p>
            <w:pPr>
              <w:pStyle w:val="CellText"/>
            </w:pPr>
            <w:r>
              <w:rPr>
                <w:sz w:val="19"/>
              </w:rPr>
              <w:t>Pays the scheduling cost of a prediction job but prefetches nothing (overhead control).</w:t>
            </w:r>
          </w:p>
        </w:tc>
      </w:tr>
      <w:tr>
        <w:trPr>
          <w:cantSplit w:val="true"/>
        </w:trPr>
        <w:tc>
          <w:tcPr>
            <w:tcW w:type="dxa" w:w="1854"/>
          </w:tcPr>
          <w:p>
            <w:pPr>
              <w:pStyle w:val="CellText"/>
            </w:pPr>
            <w:r>
              <w:rPr>
                <w:rFonts w:ascii="Consolas" w:hAnsi="Consolas" w:eastAsia="Consolas"/>
                <w:sz w:val="16"/>
              </w:rPr>
              <w:t>oracle_next</w:t>
            </w:r>
          </w:p>
        </w:tc>
        <w:tc>
          <w:tcPr>
            <w:tcW w:type="dxa" w:w="1236"/>
          </w:tcPr>
          <w:p>
            <w:pPr>
              <w:pStyle w:val="CellText"/>
            </w:pPr>
            <w:r>
              <w:rPr>
                <w:sz w:val="19"/>
              </w:rPr>
              <w:t>control</w:t>
            </w:r>
          </w:p>
        </w:tc>
        <w:tc>
          <w:tcPr>
            <w:tcW w:type="dxa" w:w="5838"/>
          </w:tcPr>
          <w:p>
            <w:pPr>
              <w:pStyle w:val="CellText"/>
            </w:pPr>
            <w:r>
              <w:rPr>
                <w:sz w:val="19"/>
              </w:rPr>
              <w:t>Original trace-next oracle; targets pages that are often already cached, so it under-states headroom.</w:t>
            </w:r>
          </w:p>
        </w:tc>
      </w:tr>
      <w:tr>
        <w:trPr>
          <w:cantSplit w:val="true"/>
        </w:trPr>
        <w:tc>
          <w:tcPr>
            <w:tcW w:type="dxa" w:w="1854"/>
          </w:tcPr>
          <w:p>
            <w:pPr>
              <w:pStyle w:val="CellText"/>
            </w:pPr>
            <w:r>
              <w:rPr>
                <w:rFonts w:ascii="Consolas" w:hAnsi="Consolas" w:eastAsia="Consolas"/>
                <w:sz w:val="16"/>
              </w:rPr>
              <w:t>oracle_miss</w:t>
            </w:r>
          </w:p>
        </w:tc>
        <w:tc>
          <w:tcPr>
            <w:tcW w:type="dxa" w:w="1236"/>
          </w:tcPr>
          <w:p>
            <w:pPr>
              <w:pStyle w:val="CellText"/>
            </w:pPr>
            <w:r>
              <w:rPr>
                <w:sz w:val="19"/>
              </w:rPr>
              <w:t>upper bound</w:t>
            </w:r>
          </w:p>
        </w:tc>
        <w:tc>
          <w:tcPr>
            <w:tcW w:type="dxa" w:w="5838"/>
          </w:tcPr>
          <w:p>
            <w:pPr>
              <w:pStyle w:val="CellText"/>
            </w:pPr>
            <w:r>
              <w:rPr>
                <w:sz w:val="19"/>
              </w:rPr>
              <w:t xml:space="preserve">Prefetches the next </w:t>
            </w:r>
            <w:r>
              <w:rPr>
                <w:i/>
                <w:sz w:val="19"/>
              </w:rPr>
              <w:t>K</w:t>
            </w:r>
            <w:r>
              <w:rPr>
                <w:sz w:val="19"/>
              </w:rPr>
              <w:t xml:space="preserve"> pages that would miss under </w:t>
            </w:r>
            <w:r>
              <w:rPr>
                <w:rFonts w:ascii="Consolas" w:hAnsi="Consolas" w:eastAsia="Consolas"/>
                <w:sz w:val="16"/>
              </w:rPr>
              <w:t>none</w:t>
            </w:r>
            <w:r>
              <w:rPr>
                <w:sz w:val="19"/>
              </w:rPr>
              <w:t xml:space="preserve"> (from a demand reference); the v2 headroom bound.</w:t>
            </w:r>
          </w:p>
        </w:tc>
      </w:tr>
      <w:tr>
        <w:trPr>
          <w:cantSplit w:val="true"/>
        </w:trPr>
        <w:tc>
          <w:tcPr>
            <w:tcW w:type="dxa" w:w="1854"/>
          </w:tcPr>
          <w:p>
            <w:pPr>
              <w:pStyle w:val="CellText"/>
            </w:pPr>
            <w:r>
              <w:rPr>
                <w:rFonts w:ascii="Consolas" w:hAnsi="Consolas" w:eastAsia="Consolas"/>
                <w:sz w:val="16"/>
              </w:rPr>
              <w:t>markov_ctx</w:t>
            </w:r>
            <w:r>
              <w:rPr>
                <w:sz w:val="19"/>
              </w:rPr>
              <w:t xml:space="preserve">, </w:t>
            </w:r>
            <w:r>
              <w:rPr>
                <w:rFonts w:ascii="Consolas" w:hAnsi="Consolas" w:eastAsia="Consolas"/>
                <w:sz w:val="16"/>
              </w:rPr>
              <w:t>model_b_table</w:t>
            </w:r>
          </w:p>
        </w:tc>
        <w:tc>
          <w:tcPr>
            <w:tcW w:type="dxa" w:w="1236"/>
          </w:tcPr>
          <w:p>
            <w:pPr>
              <w:pStyle w:val="CellText"/>
            </w:pPr>
            <w:r>
              <w:rPr>
                <w:sz w:val="19"/>
              </w:rPr>
              <w:t>v2 offline</w:t>
            </w:r>
          </w:p>
        </w:tc>
        <w:tc>
          <w:tcPr>
            <w:tcW w:type="dxa" w:w="5838"/>
          </w:tcPr>
          <w:p>
            <w:pPr>
              <w:pStyle w:val="CellText"/>
            </w:pPr>
            <w:r>
              <w:rPr>
                <w:sz w:val="19"/>
              </w:rPr>
              <w:t>Context-keyed tables (page + template + plan class + depth) with no neural network; isolate the value of the semantic key.</w:t>
            </w:r>
          </w:p>
        </w:tc>
      </w:tr>
    </w:tbl>
    <w:p>
      <w:pPr>
        <w:spacing w:after="80"/>
      </w:pPr>
    </w:p>
    <w:p>
      <w:pPr>
        <w:pStyle w:val="Heading1"/>
      </w:pPr>
      <w:r>
        <w:t>7. Experimental design</w:t>
      </w:r>
    </w:p>
    <w:p>
      <w:pPr>
        <w:pStyle w:val="Heading2"/>
      </w:pPr>
      <w:r>
        <w:t>7.1 Database and workload</w:t>
      </w:r>
    </w:p>
    <w:p>
      <w:r>
        <w:t>The frozen experiment database (</w:t>
      </w:r>
      <w:r>
        <w:rPr>
          <w:rFonts w:ascii="Consolas" w:hAnsi="Consolas" w:eastAsia="Consolas"/>
          <w:sz w:val="21"/>
        </w:rPr>
        <w:t>runs/experiment-latest/pagewise-medium.sqlite</w:t>
      </w:r>
      <w:r>
        <w:t>) was generated with 2,000 customers, 500 products, 15,000 orders (about three items each), 2,000 graph nodes with three edges each and seed 42, giving 800 pages of 4 KiB (3.2 MB). The traced workload comprised 300 query executions (seed 1234) drawn from the six templates in Table 7 with a 128 KiB SQLite page cache during tracing; the runtime suites use a 4,096 KiB SQLite cache above the 32-page custom cache.</w:t>
      </w:r>
    </w:p>
    <w:p>
      <w:pPr>
        <w:pStyle w:val="TableCaption"/>
      </w:pPr>
      <w:r>
        <w:rPr>
          <w:sz w:val="20"/>
        </w:rPr>
        <w:t>Table 7. Workload templates, families, sampling weights and parameter skew</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cantSplit w:val="true"/>
          <w:cantSplit w:val="true"/>
        </w:trPr>
        <w:tc>
          <w:tcPr>
            <w:tcW w:type="dxa" w:w="1786"/>
            <w:shd w:val="clear" w:color="auto" w:fill="D9E2F3"/>
          </w:tcPr>
          <w:p>
            <w:pPr>
              <w:pStyle w:val="CellText"/>
            </w:pPr>
            <w:r>
              <w:rPr>
                <w:b/>
                <w:sz w:val="19"/>
              </w:rPr>
              <w:t>Template</w:t>
            </w:r>
          </w:p>
        </w:tc>
        <w:tc>
          <w:tcPr>
            <w:tcW w:type="dxa" w:w="1580"/>
            <w:shd w:val="clear" w:color="auto" w:fill="D9E2F3"/>
          </w:tcPr>
          <w:p>
            <w:pPr>
              <w:pStyle w:val="CellText"/>
            </w:pPr>
            <w:r>
              <w:rPr>
                <w:b/>
                <w:sz w:val="19"/>
              </w:rPr>
              <w:t>Family</w:t>
            </w:r>
          </w:p>
        </w:tc>
        <w:tc>
          <w:tcPr>
            <w:tcW w:type="dxa" w:w="755"/>
            <w:shd w:val="clear" w:color="auto" w:fill="D9E2F3"/>
          </w:tcPr>
          <w:p>
            <w:pPr>
              <w:pStyle w:val="CellText"/>
            </w:pPr>
            <w:r>
              <w:rPr>
                <w:b/>
                <w:sz w:val="19"/>
              </w:rPr>
              <w:t>Weight</w:t>
            </w:r>
          </w:p>
        </w:tc>
        <w:tc>
          <w:tcPr>
            <w:tcW w:type="dxa" w:w="2884"/>
            <w:shd w:val="clear" w:color="auto" w:fill="D9E2F3"/>
          </w:tcPr>
          <w:p>
            <w:pPr>
              <w:pStyle w:val="CellText"/>
            </w:pPr>
            <w:r>
              <w:rPr>
                <w:b/>
                <w:sz w:val="19"/>
              </w:rPr>
              <w:t>Shape of the query</w:t>
            </w:r>
          </w:p>
        </w:tc>
        <w:tc>
          <w:tcPr>
            <w:tcW w:type="dxa" w:w="1923"/>
            <w:shd w:val="clear" w:color="auto" w:fill="D9E2F3"/>
          </w:tcPr>
          <w:p>
            <w:pPr>
              <w:pStyle w:val="CellText"/>
            </w:pPr>
            <w:r>
              <w:rPr>
                <w:b/>
                <w:sz w:val="19"/>
              </w:rPr>
              <w:t>Parameters</w:t>
            </w:r>
          </w:p>
        </w:tc>
      </w:tr>
      <w:tr>
        <w:trPr>
          <w:cantSplit w:val="true"/>
        </w:trPr>
        <w:tc>
          <w:tcPr>
            <w:tcW w:type="dxa" w:w="1786"/>
          </w:tcPr>
          <w:p>
            <w:pPr>
              <w:pStyle w:val="CellText"/>
            </w:pPr>
            <w:r>
              <w:rPr>
                <w:rFonts w:ascii="Consolas" w:hAnsi="Consolas" w:eastAsia="Consolas"/>
                <w:sz w:val="16"/>
              </w:rPr>
              <w:t>customer_orders</w:t>
            </w:r>
          </w:p>
        </w:tc>
        <w:tc>
          <w:tcPr>
            <w:tcW w:type="dxa" w:w="1580"/>
          </w:tcPr>
          <w:p>
            <w:pPr>
              <w:pStyle w:val="CellText"/>
            </w:pPr>
            <w:r>
              <w:rPr>
                <w:sz w:val="19"/>
              </w:rPr>
              <w:t>point_lookup</w:t>
            </w:r>
          </w:p>
        </w:tc>
        <w:tc>
          <w:tcPr>
            <w:tcW w:type="dxa" w:w="755"/>
          </w:tcPr>
          <w:p>
            <w:pPr>
              <w:pStyle w:val="CellText"/>
              <w:jc w:val="center"/>
            </w:pPr>
            <w:r>
              <w:rPr>
                <w:sz w:val="19"/>
              </w:rPr>
              <w:t>0.28</w:t>
            </w:r>
          </w:p>
        </w:tc>
        <w:tc>
          <w:tcPr>
            <w:tcW w:type="dxa" w:w="2884"/>
          </w:tcPr>
          <w:p>
            <w:pPr>
              <w:pStyle w:val="CellText"/>
            </w:pPr>
            <w:r>
              <w:rPr>
                <w:sz w:val="19"/>
              </w:rPr>
              <w:t>Orders of one customer, newest first, LIMIT</w:t>
            </w:r>
          </w:p>
        </w:tc>
        <w:tc>
          <w:tcPr>
            <w:tcW w:type="dxa" w:w="1923"/>
          </w:tcPr>
          <w:p>
            <w:pPr>
              <w:pStyle w:val="CellText"/>
            </w:pPr>
            <w:r>
              <w:rPr>
                <w:sz w:val="19"/>
              </w:rPr>
              <w:t>customer (70% Pareto-skewed), limit 5–30</w:t>
            </w:r>
          </w:p>
        </w:tc>
      </w:tr>
      <w:tr>
        <w:trPr>
          <w:cantSplit w:val="true"/>
        </w:trPr>
        <w:tc>
          <w:tcPr>
            <w:tcW w:type="dxa" w:w="1786"/>
          </w:tcPr>
          <w:p>
            <w:pPr>
              <w:pStyle w:val="CellText"/>
            </w:pPr>
            <w:r>
              <w:rPr>
                <w:rFonts w:ascii="Consolas" w:hAnsi="Consolas" w:eastAsia="Consolas"/>
                <w:sz w:val="16"/>
              </w:rPr>
              <w:t>order_items_join</w:t>
            </w:r>
          </w:p>
        </w:tc>
        <w:tc>
          <w:tcPr>
            <w:tcW w:type="dxa" w:w="1580"/>
          </w:tcPr>
          <w:p>
            <w:pPr>
              <w:pStyle w:val="CellText"/>
            </w:pPr>
            <w:r>
              <w:rPr>
                <w:sz w:val="19"/>
              </w:rPr>
              <w:t>indexed_join</w:t>
            </w:r>
          </w:p>
        </w:tc>
        <w:tc>
          <w:tcPr>
            <w:tcW w:type="dxa" w:w="755"/>
          </w:tcPr>
          <w:p>
            <w:pPr>
              <w:pStyle w:val="CellText"/>
              <w:jc w:val="center"/>
            </w:pPr>
            <w:r>
              <w:rPr>
                <w:sz w:val="19"/>
              </w:rPr>
              <w:t>0.24</w:t>
            </w:r>
          </w:p>
        </w:tc>
        <w:tc>
          <w:tcPr>
            <w:tcW w:type="dxa" w:w="2884"/>
          </w:tcPr>
          <w:p>
            <w:pPr>
              <w:pStyle w:val="CellText"/>
            </w:pPr>
            <w:r>
              <w:rPr>
                <w:sz w:val="19"/>
              </w:rPr>
              <w:t>orders ⋈ order_items ⋈ products for one customer</w:t>
            </w:r>
          </w:p>
        </w:tc>
        <w:tc>
          <w:tcPr>
            <w:tcW w:type="dxa" w:w="1923"/>
          </w:tcPr>
          <w:p>
            <w:pPr>
              <w:pStyle w:val="CellText"/>
            </w:pPr>
            <w:r>
              <w:rPr>
                <w:sz w:val="19"/>
              </w:rPr>
              <w:t>customer (skewed), limit 10–50</w:t>
            </w:r>
          </w:p>
        </w:tc>
      </w:tr>
      <w:tr>
        <w:trPr>
          <w:cantSplit w:val="true"/>
        </w:trPr>
        <w:tc>
          <w:tcPr>
            <w:tcW w:type="dxa" w:w="1786"/>
          </w:tcPr>
          <w:p>
            <w:pPr>
              <w:pStyle w:val="CellText"/>
            </w:pPr>
            <w:r>
              <w:rPr>
                <w:rFonts w:ascii="Consolas" w:hAnsi="Consolas" w:eastAsia="Consolas"/>
                <w:sz w:val="16"/>
              </w:rPr>
              <w:t>product_sales</w:t>
            </w:r>
          </w:p>
        </w:tc>
        <w:tc>
          <w:tcPr>
            <w:tcW w:type="dxa" w:w="1580"/>
          </w:tcPr>
          <w:p>
            <w:pPr>
              <w:pStyle w:val="CellText"/>
            </w:pPr>
            <w:r>
              <w:rPr>
                <w:sz w:val="19"/>
              </w:rPr>
              <w:t>indexed_join</w:t>
            </w:r>
          </w:p>
        </w:tc>
        <w:tc>
          <w:tcPr>
            <w:tcW w:type="dxa" w:w="755"/>
          </w:tcPr>
          <w:p>
            <w:pPr>
              <w:pStyle w:val="CellText"/>
              <w:jc w:val="center"/>
            </w:pPr>
            <w:r>
              <w:rPr>
                <w:sz w:val="19"/>
              </w:rPr>
              <w:t>0.16</w:t>
            </w:r>
          </w:p>
        </w:tc>
        <w:tc>
          <w:tcPr>
            <w:tcW w:type="dxa" w:w="2884"/>
          </w:tcPr>
          <w:p>
            <w:pPr>
              <w:pStyle w:val="CellText"/>
            </w:pPr>
            <w:r>
              <w:rPr>
                <w:sz w:val="19"/>
              </w:rPr>
              <w:t>products ⋈ order_items for one product</w:t>
            </w:r>
          </w:p>
        </w:tc>
        <w:tc>
          <w:tcPr>
            <w:tcW w:type="dxa" w:w="1923"/>
          </w:tcPr>
          <w:p>
            <w:pPr>
              <w:pStyle w:val="CellText"/>
            </w:pPr>
            <w:r>
              <w:rPr>
                <w:sz w:val="19"/>
              </w:rPr>
              <w:t>product, limit 10–100</w:t>
            </w:r>
          </w:p>
        </w:tc>
      </w:tr>
      <w:tr>
        <w:trPr>
          <w:cantSplit w:val="true"/>
        </w:trPr>
        <w:tc>
          <w:tcPr>
            <w:tcW w:type="dxa" w:w="1786"/>
          </w:tcPr>
          <w:p>
            <w:pPr>
              <w:pStyle w:val="CellText"/>
            </w:pPr>
            <w:r>
              <w:rPr>
                <w:rFonts w:ascii="Consolas" w:hAnsi="Consolas" w:eastAsia="Consolas"/>
                <w:sz w:val="16"/>
              </w:rPr>
              <w:t>created_range</w:t>
            </w:r>
          </w:p>
        </w:tc>
        <w:tc>
          <w:tcPr>
            <w:tcW w:type="dxa" w:w="1580"/>
          </w:tcPr>
          <w:p>
            <w:pPr>
              <w:pStyle w:val="CellText"/>
            </w:pPr>
            <w:r>
              <w:rPr>
                <w:sz w:val="19"/>
              </w:rPr>
              <w:t>range_scan</w:t>
            </w:r>
          </w:p>
        </w:tc>
        <w:tc>
          <w:tcPr>
            <w:tcW w:type="dxa" w:w="755"/>
          </w:tcPr>
          <w:p>
            <w:pPr>
              <w:pStyle w:val="CellText"/>
              <w:jc w:val="center"/>
            </w:pPr>
            <w:r>
              <w:rPr>
                <w:sz w:val="19"/>
              </w:rPr>
              <w:t>0.14</w:t>
            </w:r>
          </w:p>
        </w:tc>
        <w:tc>
          <w:tcPr>
            <w:tcW w:type="dxa" w:w="2884"/>
          </w:tcPr>
          <w:p>
            <w:pPr>
              <w:pStyle w:val="CellText"/>
            </w:pPr>
            <w:r>
              <w:rPr>
                <w:sz w:val="19"/>
              </w:rPr>
              <w:t xml:space="preserve">Orders in a time window ordered by </w:t>
            </w:r>
            <w:r>
              <w:rPr>
                <w:rFonts w:ascii="Consolas" w:hAnsi="Consolas" w:eastAsia="Consolas"/>
                <w:sz w:val="16"/>
              </w:rPr>
              <w:t>created_at</w:t>
            </w:r>
          </w:p>
        </w:tc>
        <w:tc>
          <w:tcPr>
            <w:tcW w:type="dxa" w:w="1923"/>
          </w:tcPr>
          <w:p>
            <w:pPr>
              <w:pStyle w:val="CellText"/>
            </w:pPr>
            <w:r>
              <w:rPr>
                <w:sz w:val="19"/>
              </w:rPr>
              <w:t>window 600–14,400 s, limit 20–200</w:t>
            </w:r>
          </w:p>
        </w:tc>
      </w:tr>
      <w:tr>
        <w:trPr>
          <w:cantSplit w:val="true"/>
        </w:trPr>
        <w:tc>
          <w:tcPr>
            <w:tcW w:type="dxa" w:w="1786"/>
          </w:tcPr>
          <w:p>
            <w:pPr>
              <w:pStyle w:val="CellText"/>
            </w:pPr>
            <w:r>
              <w:rPr>
                <w:rFonts w:ascii="Consolas" w:hAnsi="Consolas" w:eastAsia="Consolas"/>
                <w:sz w:val="16"/>
              </w:rPr>
              <w:t>graph_walk</w:t>
            </w:r>
          </w:p>
        </w:tc>
        <w:tc>
          <w:tcPr>
            <w:tcW w:type="dxa" w:w="1580"/>
          </w:tcPr>
          <w:p>
            <w:pPr>
              <w:pStyle w:val="CellText"/>
            </w:pPr>
            <w:r>
              <w:rPr>
                <w:sz w:val="19"/>
              </w:rPr>
              <w:t>recursive_traversal</w:t>
            </w:r>
          </w:p>
        </w:tc>
        <w:tc>
          <w:tcPr>
            <w:tcW w:type="dxa" w:w="755"/>
          </w:tcPr>
          <w:p>
            <w:pPr>
              <w:pStyle w:val="CellText"/>
              <w:jc w:val="center"/>
            </w:pPr>
            <w:r>
              <w:rPr>
                <w:sz w:val="19"/>
              </w:rPr>
              <w:t>0.10</w:t>
            </w:r>
          </w:p>
        </w:tc>
        <w:tc>
          <w:tcPr>
            <w:tcW w:type="dxa" w:w="2884"/>
          </w:tcPr>
          <w:p>
            <w:pPr>
              <w:pStyle w:val="CellText"/>
            </w:pPr>
            <w:r>
              <w:rPr>
                <w:sz w:val="19"/>
              </w:rPr>
              <w:t xml:space="preserve">Recursive CTE walk over </w:t>
            </w:r>
            <w:r>
              <w:rPr>
                <w:rFonts w:ascii="Consolas" w:hAnsi="Consolas" w:eastAsia="Consolas"/>
                <w:sz w:val="16"/>
              </w:rPr>
              <w:t>account_edges</w:t>
            </w:r>
          </w:p>
        </w:tc>
        <w:tc>
          <w:tcPr>
            <w:tcW w:type="dxa" w:w="1923"/>
          </w:tcPr>
          <w:p>
            <w:pPr>
              <w:pStyle w:val="CellText"/>
            </w:pPr>
            <w:r>
              <w:rPr>
                <w:sz w:val="19"/>
              </w:rPr>
              <w:t>start node, depth 2–5, limit 30–200</w:t>
            </w:r>
          </w:p>
        </w:tc>
      </w:tr>
      <w:tr>
        <w:trPr>
          <w:cantSplit w:val="true"/>
        </w:trPr>
        <w:tc>
          <w:tcPr>
            <w:tcW w:type="dxa" w:w="1786"/>
          </w:tcPr>
          <w:p>
            <w:pPr>
              <w:pStyle w:val="CellText"/>
            </w:pPr>
            <w:r>
              <w:rPr>
                <w:rFonts w:ascii="Consolas" w:hAnsi="Consolas" w:eastAsia="Consolas"/>
                <w:sz w:val="16"/>
              </w:rPr>
              <w:t>customer_profile</w:t>
            </w:r>
          </w:p>
        </w:tc>
        <w:tc>
          <w:tcPr>
            <w:tcW w:type="dxa" w:w="1580"/>
          </w:tcPr>
          <w:p>
            <w:pPr>
              <w:pStyle w:val="CellText"/>
            </w:pPr>
            <w:r>
              <w:rPr>
                <w:sz w:val="19"/>
              </w:rPr>
              <w:t>indexed_lookup</w:t>
            </w:r>
          </w:p>
        </w:tc>
        <w:tc>
          <w:tcPr>
            <w:tcW w:type="dxa" w:w="755"/>
          </w:tcPr>
          <w:p>
            <w:pPr>
              <w:pStyle w:val="CellText"/>
              <w:jc w:val="center"/>
            </w:pPr>
            <w:r>
              <w:rPr>
                <w:sz w:val="19"/>
              </w:rPr>
              <w:t>0.08</w:t>
            </w:r>
          </w:p>
        </w:tc>
        <w:tc>
          <w:tcPr>
            <w:tcW w:type="dxa" w:w="2884"/>
          </w:tcPr>
          <w:p>
            <w:pPr>
              <w:pStyle w:val="CellText"/>
            </w:pPr>
            <w:r>
              <w:rPr>
                <w:sz w:val="19"/>
              </w:rPr>
              <w:t>customers LEFT JOIN orders, grouped count</w:t>
            </w:r>
          </w:p>
        </w:tc>
        <w:tc>
          <w:tcPr>
            <w:tcW w:type="dxa" w:w="1923"/>
          </w:tcPr>
          <w:p>
            <w:pPr>
              <w:pStyle w:val="CellText"/>
            </w:pPr>
            <w:r>
              <w:rPr>
                <w:sz w:val="19"/>
              </w:rPr>
              <w:t>customer (skewed)</w:t>
            </w:r>
          </w:p>
        </w:tc>
      </w:tr>
    </w:tbl>
    <w:p>
      <w:pPr>
        <w:spacing w:after="80"/>
      </w:pPr>
    </w:p>
    <w:p>
      <w:pPr>
        <w:pStyle w:val="Heading2"/>
      </w:pPr>
      <w:r>
        <w:t>7.2 Pre-registered final protocol (v1) and its v2 revision</w:t>
      </w:r>
    </w:p>
    <w:p>
      <w:pPr>
        <w:keepNext/>
      </w:pPr>
      <w:r>
        <w:t xml:space="preserve">Table 8 lists the settings that were frozen in </w:t>
      </w:r>
      <w:r>
        <w:rPr>
          <w:rFonts w:ascii="Consolas" w:hAnsi="Consolas" w:eastAsia="Consolas"/>
          <w:sz w:val="21"/>
        </w:rPr>
        <w:t>FINAL_EVALUATION_PROTOCOL.md</w:t>
      </w:r>
      <w:r>
        <w:t xml:space="preserve"> and </w:t>
      </w:r>
      <w:r>
        <w:rPr>
          <w:rFonts w:ascii="Consolas" w:hAnsi="Consolas" w:eastAsia="Consolas"/>
          <w:sz w:val="21"/>
        </w:rPr>
        <w:t>experiment_protocol_v1.json</w:t>
      </w:r>
      <w:r>
        <w:t xml:space="preserve"> before the final v1 runs, together with the changes introduced by the pre-registered v2 protocol.</w:t>
      </w:r>
    </w:p>
    <w:p>
      <w:pPr>
        <w:pStyle w:val="TableCaption"/>
      </w:pPr>
      <w:r>
        <w:rPr>
          <w:sz w:val="20"/>
        </w:rPr>
        <w:t>Table 8. Fixed settings of the final evaluation protocol v1 (frozen before the runs) and the main v2 changes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1854"/>
            <w:shd w:val="clear" w:color="auto" w:fill="D9E2F3"/>
          </w:tcPr>
          <w:p>
            <w:pPr>
              <w:pStyle w:val="CellText"/>
            </w:pPr>
            <w:r>
              <w:rPr>
                <w:b/>
                <w:sz w:val="19"/>
              </w:rPr>
              <w:t>Parameter</w:t>
            </w:r>
          </w:p>
        </w:tc>
        <w:tc>
          <w:tcPr>
            <w:tcW w:type="dxa" w:w="3503"/>
            <w:shd w:val="clear" w:color="auto" w:fill="D9E2F3"/>
          </w:tcPr>
          <w:p>
            <w:pPr>
              <w:pStyle w:val="CellText"/>
            </w:pPr>
            <w:r>
              <w:rPr>
                <w:b/>
                <w:sz w:val="19"/>
              </w:rPr>
              <w:t>Protocol v1 (results in Section 8.3)</w:t>
            </w:r>
          </w:p>
        </w:tc>
        <w:tc>
          <w:tcPr>
            <w:tcW w:type="dxa" w:w="3571"/>
            <w:shd w:val="clear" w:color="auto" w:fill="D9E2F3"/>
          </w:tcPr>
          <w:p>
            <w:pPr>
              <w:pStyle w:val="CellText"/>
            </w:pPr>
            <w:r>
              <w:rPr>
                <w:b/>
                <w:sz w:val="19"/>
              </w:rPr>
              <w:t>Protocol v2 (final run pending)</w:t>
            </w:r>
          </w:p>
        </w:tc>
      </w:tr>
      <w:tr>
        <w:trPr>
          <w:cantSplit w:val="true"/>
        </w:trPr>
        <w:tc>
          <w:tcPr>
            <w:tcW w:type="dxa" w:w="1854"/>
          </w:tcPr>
          <w:p>
            <w:pPr>
              <w:pStyle w:val="CellText"/>
            </w:pPr>
            <w:r>
              <w:rPr>
                <w:sz w:val="19"/>
              </w:rPr>
              <w:t>Strategies</w:t>
            </w:r>
          </w:p>
        </w:tc>
        <w:tc>
          <w:tcPr>
            <w:tcW w:type="dxa" w:w="3503"/>
          </w:tcPr>
          <w:p>
            <w:pPr>
              <w:pStyle w:val="CellText"/>
            </w:pPr>
            <w:r>
              <w:rPr>
                <w:sz w:val="19"/>
              </w:rPr>
              <w:t>stock, none, sequential, markov1, markov2, model_a, model_b, hybrid</w:t>
            </w:r>
          </w:p>
        </w:tc>
        <w:tc>
          <w:tcPr>
            <w:tcW w:type="dxa" w:w="3571"/>
          </w:tcPr>
          <w:p>
            <w:pPr>
              <w:pStyle w:val="CellText"/>
            </w:pPr>
            <w:r>
              <w:rPr>
                <w:sz w:val="19"/>
              </w:rPr>
              <w:t>v1 set + null, oracle_next, oracle_miss, markov_ctx, model_b_table, model_b_gated</w:t>
            </w:r>
          </w:p>
        </w:tc>
      </w:tr>
      <w:tr>
        <w:trPr>
          <w:cantSplit w:val="true"/>
        </w:trPr>
        <w:tc>
          <w:tcPr>
            <w:tcW w:type="dxa" w:w="1854"/>
          </w:tcPr>
          <w:p>
            <w:pPr>
              <w:pStyle w:val="CellText"/>
            </w:pPr>
            <w:r>
              <w:rPr>
                <w:sz w:val="19"/>
              </w:rPr>
              <w:t>Seeds / queries</w:t>
            </w:r>
          </w:p>
        </w:tc>
        <w:tc>
          <w:tcPr>
            <w:tcW w:type="dxa" w:w="3503"/>
          </w:tcPr>
          <w:p>
            <w:pPr>
              <w:pStyle w:val="CellText"/>
            </w:pPr>
            <w:r>
              <w:rPr>
                <w:sz w:val="19"/>
              </w:rPr>
              <w:t>901, 902, 903; 100 queries per seed and strategy</w:t>
            </w:r>
          </w:p>
        </w:tc>
        <w:tc>
          <w:tcPr>
            <w:tcW w:type="dxa" w:w="3571"/>
          </w:tcPr>
          <w:p>
            <w:pPr>
              <w:pStyle w:val="CellText"/>
            </w:pPr>
            <w:r>
              <w:rPr>
                <w:sz w:val="19"/>
              </w:rPr>
              <w:t>fresh seeds 911–915 after code and configuration freeze; tuning only on 101–110</w:t>
            </w:r>
          </w:p>
        </w:tc>
      </w:tr>
      <w:tr>
        <w:trPr>
          <w:cantSplit w:val="true"/>
        </w:trPr>
        <w:tc>
          <w:tcPr>
            <w:tcW w:type="dxa" w:w="1854"/>
          </w:tcPr>
          <w:p>
            <w:pPr>
              <w:pStyle w:val="CellText"/>
            </w:pPr>
            <w:r>
              <w:rPr>
                <w:sz w:val="19"/>
              </w:rPr>
              <w:t>Custom cache / degree / queue</w:t>
            </w:r>
          </w:p>
        </w:tc>
        <w:tc>
          <w:tcPr>
            <w:tcW w:type="dxa" w:w="3503"/>
          </w:tcPr>
          <w:p>
            <w:pPr>
              <w:pStyle w:val="CellText"/>
            </w:pPr>
            <w:r>
              <w:rPr>
                <w:sz w:val="19"/>
              </w:rPr>
              <w:t>32 pages / K = 2 / queue 32</w:t>
            </w:r>
          </w:p>
        </w:tc>
        <w:tc>
          <w:tcPr>
            <w:tcW w:type="dxa" w:w="3571"/>
          </w:tcPr>
          <w:p>
            <w:pPr>
              <w:pStyle w:val="CellText"/>
            </w:pPr>
            <w:r>
              <w:rPr>
                <w:sz w:val="19"/>
              </w:rPr>
              <w:t>cache chosen from the headroom grid (≤ working set / 4)</w:t>
            </w:r>
          </w:p>
        </w:tc>
      </w:tr>
      <w:tr>
        <w:trPr>
          <w:cantSplit w:val="true"/>
        </w:trPr>
        <w:tc>
          <w:tcPr>
            <w:tcW w:type="dxa" w:w="1854"/>
          </w:tcPr>
          <w:p>
            <w:pPr>
              <w:pStyle w:val="CellText"/>
            </w:pPr>
            <w:r>
              <w:rPr>
                <w:sz w:val="19"/>
              </w:rPr>
              <w:t>Scheduler</w:t>
            </w:r>
          </w:p>
        </w:tc>
        <w:tc>
          <w:tcPr>
            <w:tcW w:type="dxa" w:w="3503"/>
          </w:tcPr>
          <w:p>
            <w:pPr>
              <w:pStyle w:val="CellText"/>
            </w:pPr>
            <w:r>
              <w:rPr>
                <w:sz w:val="19"/>
              </w:rPr>
              <w:t>predict on miss, every observation, neural cap 12</w:t>
            </w:r>
          </w:p>
        </w:tc>
        <w:tc>
          <w:tcPr>
            <w:tcW w:type="dxa" w:w="3571"/>
          </w:tcPr>
          <w:p>
            <w:pPr>
              <w:pStyle w:val="CellText"/>
            </w:pPr>
            <w:r>
              <w:rPr>
                <w:sz w:val="19"/>
              </w:rPr>
              <w:t>unchanged plus stale-job dropping</w:t>
            </w:r>
          </w:p>
        </w:tc>
      </w:tr>
      <w:tr>
        <w:trPr>
          <w:cantSplit w:val="true"/>
        </w:trPr>
        <w:tc>
          <w:tcPr>
            <w:tcW w:type="dxa" w:w="1854"/>
          </w:tcPr>
          <w:p>
            <w:pPr>
              <w:pStyle w:val="CellText"/>
            </w:pPr>
            <w:r>
              <w:rPr>
                <w:sz w:val="19"/>
              </w:rPr>
              <w:t>Storage model</w:t>
            </w:r>
          </w:p>
        </w:tc>
        <w:tc>
          <w:tcPr>
            <w:tcW w:type="dxa" w:w="3503"/>
          </w:tcPr>
          <w:p>
            <w:pPr>
              <w:pStyle w:val="CellText"/>
            </w:pPr>
            <w:r>
              <w:rPr>
                <w:sz w:val="19"/>
              </w:rPr>
              <w:t>independent per-miss delay (0.2 ms, 1.0 ms, 0 ms)</w:t>
            </w:r>
          </w:p>
        </w:tc>
        <w:tc>
          <w:tcPr>
            <w:tcW w:type="dxa" w:w="3571"/>
          </w:tcPr>
          <w:p>
            <w:pPr>
              <w:pStyle w:val="CellText"/>
            </w:pPr>
            <w:r>
              <w:rPr>
                <w:sz w:val="19"/>
              </w:rPr>
              <w:t>shared serialised device is primary; measured sleep error reported</w:t>
            </w:r>
          </w:p>
        </w:tc>
      </w:tr>
      <w:tr>
        <w:trPr>
          <w:cantSplit w:val="true"/>
        </w:trPr>
        <w:tc>
          <w:tcPr>
            <w:tcW w:type="dxa" w:w="1854"/>
          </w:tcPr>
          <w:p>
            <w:pPr>
              <w:pStyle w:val="CellText"/>
            </w:pPr>
            <w:r>
              <w:rPr>
                <w:sz w:val="19"/>
              </w:rPr>
              <w:t>Primary endpoint</w:t>
            </w:r>
          </w:p>
        </w:tc>
        <w:tc>
          <w:tcPr>
            <w:tcW w:type="dxa" w:w="3503"/>
          </w:tcPr>
          <w:p>
            <w:pPr>
              <w:pStyle w:val="CellText"/>
            </w:pPr>
            <w:r>
              <w:rPr>
                <w:sz w:val="19"/>
              </w:rPr>
              <w:t>paired mean per-query latency vs none</w:t>
            </w:r>
          </w:p>
        </w:tc>
        <w:tc>
          <w:tcPr>
            <w:tcW w:type="dxa" w:w="3571"/>
          </w:tcPr>
          <w:p>
            <w:pPr>
              <w:pStyle w:val="CellText"/>
            </w:pPr>
            <w:r>
              <w:rPr>
                <w:sz w:val="19"/>
              </w:rPr>
              <w:t>total workload time under the shared model; p50/p95, accuracy, useful-prefetch % secondary</w:t>
            </w:r>
          </w:p>
        </w:tc>
      </w:tr>
      <w:tr>
        <w:trPr>
          <w:cantSplit w:val="true"/>
        </w:trPr>
        <w:tc>
          <w:tcPr>
            <w:tcW w:type="dxa" w:w="1854"/>
          </w:tcPr>
          <w:p>
            <w:pPr>
              <w:pStyle w:val="CellText"/>
            </w:pPr>
            <w:r>
              <w:rPr>
                <w:sz w:val="19"/>
              </w:rPr>
              <w:t>Statistics</w:t>
            </w:r>
          </w:p>
        </w:tc>
        <w:tc>
          <w:tcPr>
            <w:tcW w:type="dxa" w:w="3503"/>
          </w:tcPr>
          <w:p>
            <w:pPr>
              <w:pStyle w:val="CellText"/>
            </w:pPr>
            <w:r>
              <w:rPr>
                <w:sz w:val="19"/>
              </w:rPr>
              <w:t>2,000-resample paired query bootstrap; CI crossing zero = inconclusive</w:t>
            </w:r>
          </w:p>
        </w:tc>
        <w:tc>
          <w:tcPr>
            <w:tcW w:type="dxa" w:w="3571"/>
          </w:tcPr>
          <w:p>
            <w:pPr>
              <w:pStyle w:val="CellText"/>
            </w:pPr>
            <w:r>
              <w:rPr>
                <w:sz w:val="19"/>
              </w:rPr>
              <w:t>10,000 resamples; Holm correction within H3/H4 families; mechanical claim mapping</w:t>
            </w:r>
          </w:p>
        </w:tc>
      </w:tr>
      <w:tr>
        <w:trPr>
          <w:cantSplit w:val="true"/>
        </w:trPr>
        <w:tc>
          <w:tcPr>
            <w:tcW w:type="dxa" w:w="1854"/>
          </w:tcPr>
          <w:p>
            <w:pPr>
              <w:pStyle w:val="CellText"/>
            </w:pPr>
            <w:r>
              <w:rPr>
                <w:sz w:val="19"/>
              </w:rPr>
              <w:t>Headroom rule</w:t>
            </w:r>
          </w:p>
        </w:tc>
        <w:tc>
          <w:tcPr>
            <w:tcW w:type="dxa" w:w="3503"/>
          </w:tcPr>
          <w:p>
            <w:pPr>
              <w:pStyle w:val="CellText"/>
            </w:pPr>
            <w:r>
              <w:rPr>
                <w:sz w:val="19"/>
              </w:rPr>
              <w:t>—</w:t>
            </w:r>
          </w:p>
        </w:tc>
        <w:tc>
          <w:tcPr>
            <w:tcW w:type="dxa" w:w="3571"/>
          </w:tcPr>
          <w:p>
            <w:pPr>
              <w:pStyle w:val="CellText"/>
            </w:pPr>
            <w:r>
              <w:rPr>
                <w:sz w:val="19"/>
              </w:rPr>
              <w:t xml:space="preserve">if </w:t>
            </w:r>
            <w:r>
              <w:rPr>
                <w:rFonts w:ascii="Consolas" w:hAnsi="Consolas" w:eastAsia="Consolas"/>
                <w:sz w:val="16"/>
              </w:rPr>
              <w:t>oracle_miss</w:t>
            </w:r>
            <w:r>
              <w:rPr>
                <w:sz w:val="19"/>
              </w:rPr>
              <w:t xml:space="preserve"> headroom &lt; 10% everywhere → large-database branch (≥ 2 GB) or NO_HEADROOM</w:t>
            </w:r>
          </w:p>
        </w:tc>
      </w:tr>
    </w:tbl>
    <w:p>
      <w:pPr>
        <w:spacing w:after="80"/>
      </w:pPr>
    </w:p>
    <w:p>
      <w:pPr>
        <w:pStyle w:val="Heading2"/>
      </w:pPr>
      <w:r>
        <w:t>7.3 Metrics and statistical treatment</w:t>
      </w:r>
    </w:p>
    <w:p>
      <w:pPr>
        <w:pStyle w:val="ListBullet"/>
        <w:jc w:val="left"/>
      </w:pPr>
      <w:r>
        <w:rPr>
          <w:b/>
        </w:rPr>
        <w:t>Offline:</w:t>
      </w:r>
      <w:r>
        <w:t xml:space="preserve"> top-1 and top-5 next-page accuracy over all prediction points of held-out executions; candidate recall (share of targets that the candidate generator could propose at all), which bounds MLP accuracy.</w:t>
      </w:r>
    </w:p>
    <w:p>
      <w:pPr>
        <w:pStyle w:val="ListBullet"/>
        <w:jc w:val="left"/>
      </w:pPr>
      <w:r>
        <w:rPr>
          <w:b/>
        </w:rPr>
        <w:t>Runtime:</w:t>
      </w:r>
      <w:r>
        <w:t xml:space="preserve"> per-query wall-clock latency, run-level p50/p95 and total; cache hit %, useful and wasted prefetched pages, inference and queue-wait time, dropped/stale jobs, prefetch lead time, device wait time.</w:t>
      </w:r>
    </w:p>
    <w:p>
      <w:pPr>
        <w:pStyle w:val="ListBullet"/>
        <w:jc w:val="left"/>
      </w:pPr>
      <w:r>
        <w:rPr>
          <w:b/>
        </w:rPr>
        <w:t>Pairing:</w:t>
      </w:r>
      <w:r>
        <w:t xml:space="preserve"> the same seed produces identical query parameters for every strategy, so differences are computed per matched (seed, query) pair; a negative delta favours the candidate strategy.</w:t>
      </w:r>
    </w:p>
    <w:p>
      <w:pPr>
        <w:pStyle w:val="ListBullet"/>
        <w:jc w:val="left"/>
      </w:pPr>
      <w:r>
        <w:rPr>
          <w:b/>
        </w:rPr>
        <w:t>Uncertainty:</w:t>
      </w:r>
      <w:r>
        <w:t xml:space="preserve"> percentile bootstrap intervals over matched queries; the seed is the independent replication unit and intervals are read as effect-size estimates rather than as proof of generalisation.</w:t>
      </w:r>
    </w:p>
    <w:p>
      <w:pPr>
        <w:pStyle w:val="ListBullet"/>
        <w:jc w:val="left"/>
      </w:pPr>
      <w:r>
        <w:rPr>
          <w:b/>
        </w:rPr>
        <w:t>Labelling:</w:t>
      </w:r>
      <w:r>
        <w:t xml:space="preserve"> every table states whether a run is </w:t>
      </w:r>
      <w:r>
        <w:rPr>
          <w:rFonts w:ascii="Consolas" w:hAnsi="Consolas" w:eastAsia="Consolas"/>
          <w:sz w:val="21"/>
        </w:rPr>
        <w:t>latency-injected</w:t>
      </w:r>
      <w:r>
        <w:t xml:space="preserve"> or </w:t>
      </w:r>
      <w:r>
        <w:rPr>
          <w:rFonts w:ascii="Consolas" w:hAnsi="Consolas" w:eastAsia="Consolas"/>
          <w:sz w:val="21"/>
        </w:rPr>
        <w:t>real-storage-no-injected-delay</w:t>
      </w:r>
      <w:r>
        <w:t>, and injected delays are reported with their measured sleep overshoot (0.2 ms requested ≈ 0.56 ms achieved; 1.0 ms ≈ 1.54 ms).</w:t>
      </w:r>
    </w:p>
    <w:p>
      <w:pPr>
        <w:pStyle w:val="Heading1"/>
      </w:pPr>
      <w:r>
        <w:t>8. Results to date</w:t>
      </w:r>
    </w:p>
    <w:p>
      <w:r>
        <w:t xml:space="preserve">All numbers in this section are read from the measured artefacts exported to </w:t>
      </w:r>
      <w:r>
        <w:rPr>
          <w:rFonts w:ascii="Consolas" w:hAnsi="Consolas" w:eastAsia="Consolas"/>
          <w:sz w:val="21"/>
        </w:rPr>
        <w:t>public/pagewise-dashboard.json</w:t>
      </w:r>
      <w:r>
        <w:t xml:space="preserve"> (source directory </w:t>
      </w:r>
      <w:r>
        <w:rPr>
          <w:rFonts w:ascii="Consolas" w:hAnsi="Consolas" w:eastAsia="Consolas"/>
          <w:sz w:val="21"/>
        </w:rPr>
        <w:t>backend/runs/experiment-latest/</w:t>
      </w:r>
      <w:r>
        <w:t>). They are preliminary with respect to the v2 protocol: the runtime results pre-date the audit repairs (single prefetch worker, independent delay model, no stale-job dropping) and will be re-run under protocol v2.</w:t>
      </w:r>
    </w:p>
    <w:p>
      <w:pPr>
        <w:pStyle w:val="Heading2"/>
      </w:pPr>
      <w:r>
        <w:t>8.1 Offline next-page prediction accuracy</w:t>
      </w:r>
    </w:p>
    <w:p>
      <w:r>
        <w:t>Figure 4 and Table 9 report accuracy on the held-out split of the frozen trace (45 test executions, 919 next-page prediction points). Semantic features improve the neural ranker substantially — Model B reaches 28.1% top-1 against 17.2% for the otherwise identical Model A — but the second-order Markov table is the most accurate predictor at 53.1% top-1, and the first-order table has the best top-5 accuracy (73.6%). Both MLPs are bounded by the candidate generator’s recall of 82.5%.</w:t>
      </w:r>
    </w:p>
    <w:p>
      <w:pPr>
        <w:keepNext/>
        <w:spacing w:after="0"/>
        <w:jc w:val="center"/>
      </w:pPr>
      <w:r>
        <w:drawing>
          <wp:inline xmlns:a="http://schemas.openxmlformats.org/drawingml/2006/main" xmlns:pic="http://schemas.openxmlformats.org/drawingml/2006/picture">
            <wp:extent cx="5120640" cy="2915919"/>
            <wp:docPr id="4" name="Picture 4"/>
            <wp:cNvGraphicFramePr>
              <a:graphicFrameLocks noChangeAspect="1"/>
            </wp:cNvGraphicFramePr>
            <a:graphic>
              <a:graphicData uri="http://schemas.openxmlformats.org/drawingml/2006/picture">
                <pic:pic>
                  <pic:nvPicPr>
                    <pic:cNvPr id="0" name="fig4_offline_accuracy.png"/>
                    <pic:cNvPicPr/>
                  </pic:nvPicPr>
                  <pic:blipFill>
                    <a:blip r:embed="rId14"/>
                    <a:stretch>
                      <a:fillRect/>
                    </a:stretch>
                  </pic:blipFill>
                  <pic:spPr>
                    <a:xfrm>
                      <a:off x="0" y="0"/>
                      <a:ext cx="5120640" cy="2915919"/>
                    </a:xfrm>
                    <a:prstGeom prst="rect"/>
                  </pic:spPr>
                </pic:pic>
              </a:graphicData>
            </a:graphic>
          </wp:inline>
        </w:drawing>
      </w:r>
    </w:p>
    <w:p>
      <w:pPr>
        <w:pStyle w:val="FigCaption"/>
      </w:pPr>
      <w:r>
        <w:rPr>
          <w:sz w:val="20"/>
        </w:rPr>
        <w:t>Figure 4. Held-out next-page prediction accuracy on the frozen trace (45 test executions, 919 predictions). Top-1 (dark) and top-5 (light) accuracy per policy; the oracle reference (100%) is omitted.</w:t>
      </w:r>
    </w:p>
    <w:p>
      <w:pPr>
        <w:pStyle w:val="TableCaption"/>
      </w:pPr>
      <w:r>
        <w:rPr>
          <w:sz w:val="20"/>
        </w:rPr>
        <w:t>Table 9. Held-out prediction accuracy per policy (single split, seed 7; 919 predictions)</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cantSplit w:val="true"/>
          <w:cantSplit w:val="true"/>
        </w:trPr>
        <w:tc>
          <w:tcPr>
            <w:tcW w:type="dxa" w:w="3022"/>
            <w:shd w:val="clear" w:color="auto" w:fill="D9E2F3"/>
          </w:tcPr>
          <w:p>
            <w:pPr>
              <w:pStyle w:val="CellText"/>
            </w:pPr>
            <w:r>
              <w:rPr>
                <w:b/>
                <w:sz w:val="19"/>
              </w:rPr>
              <w:t>Policy</w:t>
            </w:r>
          </w:p>
        </w:tc>
        <w:tc>
          <w:tcPr>
            <w:tcW w:type="dxa" w:w="961"/>
            <w:shd w:val="clear" w:color="auto" w:fill="D9E2F3"/>
          </w:tcPr>
          <w:p>
            <w:pPr>
              <w:pStyle w:val="CellText"/>
            </w:pPr>
            <w:r>
              <w:rPr>
                <w:b/>
                <w:sz w:val="19"/>
              </w:rPr>
              <w:t>Top-1 (%)</w:t>
            </w:r>
          </w:p>
        </w:tc>
        <w:tc>
          <w:tcPr>
            <w:tcW w:type="dxa" w:w="961"/>
            <w:shd w:val="clear" w:color="auto" w:fill="D9E2F3"/>
          </w:tcPr>
          <w:p>
            <w:pPr>
              <w:pStyle w:val="CellText"/>
            </w:pPr>
            <w:r>
              <w:rPr>
                <w:b/>
                <w:sz w:val="19"/>
              </w:rPr>
              <w:t>Top-5 (%)</w:t>
            </w:r>
          </w:p>
        </w:tc>
        <w:tc>
          <w:tcPr>
            <w:tcW w:type="dxa" w:w="1374"/>
            <w:shd w:val="clear" w:color="auto" w:fill="D9E2F3"/>
          </w:tcPr>
          <w:p>
            <w:pPr>
              <w:pStyle w:val="CellText"/>
            </w:pPr>
            <w:r>
              <w:rPr>
                <w:b/>
                <w:sz w:val="19"/>
              </w:rPr>
              <w:t>Candidate recall (%)</w:t>
            </w:r>
          </w:p>
        </w:tc>
        <w:tc>
          <w:tcPr>
            <w:tcW w:type="dxa" w:w="2610"/>
            <w:shd w:val="clear" w:color="auto" w:fill="D9E2F3"/>
          </w:tcPr>
          <w:p>
            <w:pPr>
              <w:pStyle w:val="CellText"/>
            </w:pPr>
            <w:r>
              <w:rPr>
                <w:b/>
                <w:sz w:val="19"/>
              </w:rPr>
              <w:t>Note</w:t>
            </w:r>
          </w:p>
        </w:tc>
      </w:tr>
      <w:tr>
        <w:trPr>
          <w:cantSplit w:val="true"/>
        </w:trPr>
        <w:tc>
          <w:tcPr>
            <w:tcW w:type="dxa" w:w="3022"/>
          </w:tcPr>
          <w:p>
            <w:pPr>
              <w:pStyle w:val="CellText"/>
            </w:pPr>
            <w:r>
              <w:rPr>
                <w:sz w:val="19"/>
              </w:rPr>
              <w:t>oracle</w:t>
            </w:r>
          </w:p>
        </w:tc>
        <w:tc>
          <w:tcPr>
            <w:tcW w:type="dxa" w:w="961"/>
          </w:tcPr>
          <w:p>
            <w:pPr>
              <w:pStyle w:val="CellText"/>
              <w:jc w:val="right"/>
            </w:pPr>
            <w:r>
              <w:rPr>
                <w:sz w:val="19"/>
              </w:rPr>
              <w:t>100.00</w:t>
            </w:r>
          </w:p>
        </w:tc>
        <w:tc>
          <w:tcPr>
            <w:tcW w:type="dxa" w:w="961"/>
          </w:tcPr>
          <w:p>
            <w:pPr>
              <w:pStyle w:val="CellText"/>
              <w:jc w:val="right"/>
            </w:pPr>
            <w:r>
              <w:rPr>
                <w:sz w:val="19"/>
              </w:rPr>
              <w:t>100.00</w:t>
            </w:r>
          </w:p>
        </w:tc>
        <w:tc>
          <w:tcPr>
            <w:tcW w:type="dxa" w:w="1374"/>
          </w:tcPr>
          <w:p>
            <w:pPr>
              <w:pStyle w:val="CellText"/>
              <w:jc w:val="right"/>
            </w:pPr>
            <w:r>
              <w:rPr>
                <w:sz w:val="19"/>
              </w:rPr>
              <w:t>n/a</w:t>
            </w:r>
          </w:p>
        </w:tc>
        <w:tc>
          <w:tcPr>
            <w:tcW w:type="dxa" w:w="2610"/>
          </w:tcPr>
          <w:p>
            <w:pPr>
              <w:pStyle w:val="CellText"/>
            </w:pPr>
            <w:r>
              <w:rPr>
                <w:sz w:val="19"/>
              </w:rPr>
              <w:t>perfect-future reference, not deployable</w:t>
            </w:r>
          </w:p>
        </w:tc>
      </w:tr>
      <w:tr>
        <w:trPr>
          <w:cantSplit w:val="true"/>
        </w:trPr>
        <w:tc>
          <w:tcPr>
            <w:tcW w:type="dxa" w:w="3022"/>
          </w:tcPr>
          <w:p>
            <w:pPr>
              <w:pStyle w:val="CellText"/>
            </w:pPr>
            <w:r>
              <w:rPr>
                <w:sz w:val="19"/>
              </w:rPr>
              <w:t>markov2</w:t>
            </w:r>
          </w:p>
        </w:tc>
        <w:tc>
          <w:tcPr>
            <w:tcW w:type="dxa" w:w="961"/>
          </w:tcPr>
          <w:p>
            <w:pPr>
              <w:pStyle w:val="CellText"/>
              <w:jc w:val="right"/>
            </w:pPr>
            <w:r>
              <w:rPr>
                <w:sz w:val="19"/>
              </w:rPr>
              <w:t>53.10</w:t>
            </w:r>
          </w:p>
        </w:tc>
        <w:tc>
          <w:tcPr>
            <w:tcW w:type="dxa" w:w="961"/>
          </w:tcPr>
          <w:p>
            <w:pPr>
              <w:pStyle w:val="CellText"/>
              <w:jc w:val="right"/>
            </w:pPr>
            <w:r>
              <w:rPr>
                <w:sz w:val="19"/>
              </w:rPr>
              <w:t>67.36</w:t>
            </w:r>
          </w:p>
        </w:tc>
        <w:tc>
          <w:tcPr>
            <w:tcW w:type="dxa" w:w="1374"/>
          </w:tcPr>
          <w:p>
            <w:pPr>
              <w:pStyle w:val="CellText"/>
              <w:jc w:val="right"/>
            </w:pPr>
            <w:r>
              <w:rPr>
                <w:sz w:val="19"/>
              </w:rPr>
              <w:t>n/a</w:t>
            </w:r>
          </w:p>
        </w:tc>
        <w:tc>
          <w:tcPr>
            <w:tcW w:type="dxa" w:w="2610"/>
          </w:tcPr>
          <w:p>
            <w:pPr>
              <w:pStyle w:val="CellText"/>
            </w:pPr>
            <w:r>
              <w:rPr>
                <w:sz w:val="19"/>
              </w:rPr>
              <w:t>second-order successor table</w:t>
            </w:r>
          </w:p>
        </w:tc>
      </w:tr>
      <w:tr>
        <w:trPr>
          <w:cantSplit w:val="true"/>
        </w:trPr>
        <w:tc>
          <w:tcPr>
            <w:tcW w:type="dxa" w:w="3022"/>
          </w:tcPr>
          <w:p>
            <w:pPr>
              <w:pStyle w:val="CellText"/>
            </w:pPr>
            <w:r>
              <w:rPr>
                <w:sz w:val="19"/>
              </w:rPr>
              <w:t>markov1</w:t>
            </w:r>
          </w:p>
        </w:tc>
        <w:tc>
          <w:tcPr>
            <w:tcW w:type="dxa" w:w="961"/>
          </w:tcPr>
          <w:p>
            <w:pPr>
              <w:pStyle w:val="CellText"/>
              <w:jc w:val="right"/>
            </w:pPr>
            <w:r>
              <w:rPr>
                <w:sz w:val="19"/>
              </w:rPr>
              <w:t>48.64</w:t>
            </w:r>
          </w:p>
        </w:tc>
        <w:tc>
          <w:tcPr>
            <w:tcW w:type="dxa" w:w="961"/>
          </w:tcPr>
          <w:p>
            <w:pPr>
              <w:pStyle w:val="CellText"/>
              <w:jc w:val="right"/>
            </w:pPr>
            <w:r>
              <w:rPr>
                <w:sz w:val="19"/>
              </w:rPr>
              <w:t>73.56</w:t>
            </w:r>
          </w:p>
        </w:tc>
        <w:tc>
          <w:tcPr>
            <w:tcW w:type="dxa" w:w="1374"/>
          </w:tcPr>
          <w:p>
            <w:pPr>
              <w:pStyle w:val="CellText"/>
              <w:jc w:val="right"/>
            </w:pPr>
            <w:r>
              <w:rPr>
                <w:sz w:val="19"/>
              </w:rPr>
              <w:t>n/a</w:t>
            </w:r>
          </w:p>
        </w:tc>
        <w:tc>
          <w:tcPr>
            <w:tcW w:type="dxa" w:w="2610"/>
          </w:tcPr>
          <w:p>
            <w:pPr>
              <w:pStyle w:val="CellText"/>
            </w:pPr>
            <w:r>
              <w:rPr>
                <w:sz w:val="19"/>
              </w:rPr>
              <w:t>first-order successor table</w:t>
            </w:r>
          </w:p>
        </w:tc>
      </w:tr>
      <w:tr>
        <w:trPr>
          <w:cantSplit w:val="true"/>
        </w:trPr>
        <w:tc>
          <w:tcPr>
            <w:tcW w:type="dxa" w:w="3022"/>
          </w:tcPr>
          <w:p>
            <w:pPr>
              <w:pStyle w:val="CellText"/>
            </w:pPr>
            <w:r>
              <w:rPr>
                <w:sz w:val="19"/>
              </w:rPr>
              <w:t>model_b</w:t>
            </w:r>
          </w:p>
        </w:tc>
        <w:tc>
          <w:tcPr>
            <w:tcW w:type="dxa" w:w="961"/>
          </w:tcPr>
          <w:p>
            <w:pPr>
              <w:pStyle w:val="CellText"/>
              <w:jc w:val="right"/>
            </w:pPr>
            <w:r>
              <w:rPr>
                <w:sz w:val="19"/>
              </w:rPr>
              <w:t>28.07</w:t>
            </w:r>
          </w:p>
        </w:tc>
        <w:tc>
          <w:tcPr>
            <w:tcW w:type="dxa" w:w="961"/>
          </w:tcPr>
          <w:p>
            <w:pPr>
              <w:pStyle w:val="CellText"/>
              <w:jc w:val="right"/>
            </w:pPr>
            <w:r>
              <w:rPr>
                <w:sz w:val="19"/>
              </w:rPr>
              <w:t>67.57</w:t>
            </w:r>
          </w:p>
        </w:tc>
        <w:tc>
          <w:tcPr>
            <w:tcW w:type="dxa" w:w="1374"/>
          </w:tcPr>
          <w:p>
            <w:pPr>
              <w:pStyle w:val="CellText"/>
              <w:jc w:val="right"/>
            </w:pPr>
            <w:r>
              <w:rPr>
                <w:sz w:val="19"/>
              </w:rPr>
              <w:t>82.48</w:t>
            </w:r>
          </w:p>
        </w:tc>
        <w:tc>
          <w:tcPr>
            <w:tcW w:type="dxa" w:w="2610"/>
          </w:tcPr>
          <w:p>
            <w:pPr>
              <w:pStyle w:val="CellText"/>
            </w:pPr>
            <w:r>
              <w:rPr>
                <w:sz w:val="19"/>
              </w:rPr>
              <w:t>semantic MLP</w:t>
            </w:r>
          </w:p>
        </w:tc>
      </w:tr>
      <w:tr>
        <w:trPr>
          <w:cantSplit w:val="true"/>
        </w:trPr>
        <w:tc>
          <w:tcPr>
            <w:tcW w:type="dxa" w:w="3022"/>
          </w:tcPr>
          <w:p>
            <w:pPr>
              <w:pStyle w:val="CellText"/>
            </w:pPr>
            <w:r>
              <w:rPr>
                <w:sz w:val="19"/>
              </w:rPr>
              <w:t>model_b_retrained_no_query_context</w:t>
            </w:r>
          </w:p>
        </w:tc>
        <w:tc>
          <w:tcPr>
            <w:tcW w:type="dxa" w:w="961"/>
          </w:tcPr>
          <w:p>
            <w:pPr>
              <w:pStyle w:val="CellText"/>
              <w:jc w:val="right"/>
            </w:pPr>
            <w:r>
              <w:rPr>
                <w:sz w:val="19"/>
              </w:rPr>
              <w:t>25.35</w:t>
            </w:r>
          </w:p>
        </w:tc>
        <w:tc>
          <w:tcPr>
            <w:tcW w:type="dxa" w:w="961"/>
          </w:tcPr>
          <w:p>
            <w:pPr>
              <w:pStyle w:val="CellText"/>
              <w:jc w:val="right"/>
            </w:pPr>
            <w:r>
              <w:rPr>
                <w:sz w:val="19"/>
              </w:rPr>
              <w:t>62.68</w:t>
            </w:r>
          </w:p>
        </w:tc>
        <w:tc>
          <w:tcPr>
            <w:tcW w:type="dxa" w:w="1374"/>
          </w:tcPr>
          <w:p>
            <w:pPr>
              <w:pStyle w:val="CellText"/>
              <w:jc w:val="right"/>
            </w:pPr>
            <w:r>
              <w:rPr>
                <w:sz w:val="19"/>
              </w:rPr>
              <w:t>82.48</w:t>
            </w:r>
          </w:p>
        </w:tc>
        <w:tc>
          <w:tcPr>
            <w:tcW w:type="dxa" w:w="2610"/>
          </w:tcPr>
          <w:p>
            <w:pPr>
              <w:pStyle w:val="CellText"/>
            </w:pPr>
            <w:r>
              <w:rPr>
                <w:sz w:val="19"/>
              </w:rPr>
              <w:t>retrained without plan/template/family/position</w:t>
            </w:r>
          </w:p>
        </w:tc>
      </w:tr>
      <w:tr>
        <w:trPr>
          <w:cantSplit w:val="true"/>
        </w:trPr>
        <w:tc>
          <w:tcPr>
            <w:tcW w:type="dxa" w:w="3022"/>
          </w:tcPr>
          <w:p>
            <w:pPr>
              <w:pStyle w:val="CellText"/>
            </w:pPr>
            <w:r>
              <w:rPr>
                <w:sz w:val="19"/>
              </w:rPr>
              <w:t>model_b_retrained_no_object</w:t>
            </w:r>
          </w:p>
        </w:tc>
        <w:tc>
          <w:tcPr>
            <w:tcW w:type="dxa" w:w="961"/>
          </w:tcPr>
          <w:p>
            <w:pPr>
              <w:pStyle w:val="CellText"/>
              <w:jc w:val="right"/>
            </w:pPr>
            <w:r>
              <w:rPr>
                <w:sz w:val="19"/>
              </w:rPr>
              <w:t>21.55</w:t>
            </w:r>
          </w:p>
        </w:tc>
        <w:tc>
          <w:tcPr>
            <w:tcW w:type="dxa" w:w="961"/>
          </w:tcPr>
          <w:p>
            <w:pPr>
              <w:pStyle w:val="CellText"/>
              <w:jc w:val="right"/>
            </w:pPr>
            <w:r>
              <w:rPr>
                <w:sz w:val="19"/>
              </w:rPr>
              <w:t>55.06</w:t>
            </w:r>
          </w:p>
        </w:tc>
        <w:tc>
          <w:tcPr>
            <w:tcW w:type="dxa" w:w="1374"/>
          </w:tcPr>
          <w:p>
            <w:pPr>
              <w:pStyle w:val="CellText"/>
              <w:jc w:val="right"/>
            </w:pPr>
            <w:r>
              <w:rPr>
                <w:sz w:val="19"/>
              </w:rPr>
              <w:t>82.48</w:t>
            </w:r>
          </w:p>
        </w:tc>
        <w:tc>
          <w:tcPr>
            <w:tcW w:type="dxa" w:w="2610"/>
          </w:tcPr>
          <w:p>
            <w:pPr>
              <w:pStyle w:val="CellText"/>
            </w:pPr>
            <w:r>
              <w:rPr>
                <w:sz w:val="19"/>
              </w:rPr>
              <w:t>retrained without object identity</w:t>
            </w:r>
          </w:p>
        </w:tc>
      </w:tr>
      <w:tr>
        <w:trPr>
          <w:cantSplit w:val="true"/>
        </w:trPr>
        <w:tc>
          <w:tcPr>
            <w:tcW w:type="dxa" w:w="3022"/>
          </w:tcPr>
          <w:p>
            <w:pPr>
              <w:pStyle w:val="CellText"/>
            </w:pPr>
            <w:r>
              <w:rPr>
                <w:sz w:val="19"/>
              </w:rPr>
              <w:t>model_b_retrained_no_page_metadata</w:t>
            </w:r>
          </w:p>
        </w:tc>
        <w:tc>
          <w:tcPr>
            <w:tcW w:type="dxa" w:w="961"/>
          </w:tcPr>
          <w:p>
            <w:pPr>
              <w:pStyle w:val="CellText"/>
              <w:jc w:val="right"/>
            </w:pPr>
            <w:r>
              <w:rPr>
                <w:sz w:val="19"/>
              </w:rPr>
              <w:t>19.37</w:t>
            </w:r>
          </w:p>
        </w:tc>
        <w:tc>
          <w:tcPr>
            <w:tcW w:type="dxa" w:w="961"/>
          </w:tcPr>
          <w:p>
            <w:pPr>
              <w:pStyle w:val="CellText"/>
              <w:jc w:val="right"/>
            </w:pPr>
            <w:r>
              <w:rPr>
                <w:sz w:val="19"/>
              </w:rPr>
              <w:t>55.06</w:t>
            </w:r>
          </w:p>
        </w:tc>
        <w:tc>
          <w:tcPr>
            <w:tcW w:type="dxa" w:w="1374"/>
          </w:tcPr>
          <w:p>
            <w:pPr>
              <w:pStyle w:val="CellText"/>
              <w:jc w:val="right"/>
            </w:pPr>
            <w:r>
              <w:rPr>
                <w:sz w:val="19"/>
              </w:rPr>
              <w:t>82.48</w:t>
            </w:r>
          </w:p>
        </w:tc>
        <w:tc>
          <w:tcPr>
            <w:tcW w:type="dxa" w:w="2610"/>
          </w:tcPr>
          <w:p>
            <w:pPr>
              <w:pStyle w:val="CellText"/>
            </w:pPr>
            <w:r>
              <w:rPr>
                <w:sz w:val="19"/>
              </w:rPr>
              <w:t>retrained without page type/depth/object</w:t>
            </w:r>
          </w:p>
        </w:tc>
      </w:tr>
      <w:tr>
        <w:trPr>
          <w:cantSplit w:val="true"/>
        </w:trPr>
        <w:tc>
          <w:tcPr>
            <w:tcW w:type="dxa" w:w="3022"/>
          </w:tcPr>
          <w:p>
            <w:pPr>
              <w:pStyle w:val="CellText"/>
            </w:pPr>
            <w:r>
              <w:rPr>
                <w:sz w:val="19"/>
              </w:rPr>
              <w:t>model_a</w:t>
            </w:r>
          </w:p>
        </w:tc>
        <w:tc>
          <w:tcPr>
            <w:tcW w:type="dxa" w:w="961"/>
          </w:tcPr>
          <w:p>
            <w:pPr>
              <w:pStyle w:val="CellText"/>
              <w:jc w:val="right"/>
            </w:pPr>
            <w:r>
              <w:rPr>
                <w:sz w:val="19"/>
              </w:rPr>
              <w:t>17.19</w:t>
            </w:r>
          </w:p>
        </w:tc>
        <w:tc>
          <w:tcPr>
            <w:tcW w:type="dxa" w:w="961"/>
          </w:tcPr>
          <w:p>
            <w:pPr>
              <w:pStyle w:val="CellText"/>
              <w:jc w:val="right"/>
            </w:pPr>
            <w:r>
              <w:rPr>
                <w:sz w:val="19"/>
              </w:rPr>
              <w:t>48.64</w:t>
            </w:r>
          </w:p>
        </w:tc>
        <w:tc>
          <w:tcPr>
            <w:tcW w:type="dxa" w:w="1374"/>
          </w:tcPr>
          <w:p>
            <w:pPr>
              <w:pStyle w:val="CellText"/>
              <w:jc w:val="right"/>
            </w:pPr>
            <w:r>
              <w:rPr>
                <w:sz w:val="19"/>
              </w:rPr>
              <w:t>82.48</w:t>
            </w:r>
          </w:p>
        </w:tc>
        <w:tc>
          <w:tcPr>
            <w:tcW w:type="dxa" w:w="2610"/>
          </w:tcPr>
          <w:p>
            <w:pPr>
              <w:pStyle w:val="CellText"/>
            </w:pPr>
            <w:r>
              <w:rPr>
                <w:sz w:val="19"/>
              </w:rPr>
              <w:t>history-only MLP</w:t>
            </w:r>
          </w:p>
        </w:tc>
      </w:tr>
      <w:tr>
        <w:trPr>
          <w:cantSplit w:val="true"/>
        </w:trPr>
        <w:tc>
          <w:tcPr>
            <w:tcW w:type="dxa" w:w="3022"/>
          </w:tcPr>
          <w:p>
            <w:pPr>
              <w:pStyle w:val="CellText"/>
            </w:pPr>
            <w:r>
              <w:rPr>
                <w:sz w:val="19"/>
              </w:rPr>
              <w:t>sequential</w:t>
            </w:r>
          </w:p>
        </w:tc>
        <w:tc>
          <w:tcPr>
            <w:tcW w:type="dxa" w:w="961"/>
          </w:tcPr>
          <w:p>
            <w:pPr>
              <w:pStyle w:val="CellText"/>
              <w:jc w:val="right"/>
            </w:pPr>
            <w:r>
              <w:rPr>
                <w:sz w:val="19"/>
              </w:rPr>
              <w:t>16.54</w:t>
            </w:r>
          </w:p>
        </w:tc>
        <w:tc>
          <w:tcPr>
            <w:tcW w:type="dxa" w:w="961"/>
          </w:tcPr>
          <w:p>
            <w:pPr>
              <w:pStyle w:val="CellText"/>
              <w:jc w:val="right"/>
            </w:pPr>
            <w:r>
              <w:rPr>
                <w:sz w:val="19"/>
              </w:rPr>
              <w:t>16.54</w:t>
            </w:r>
          </w:p>
        </w:tc>
        <w:tc>
          <w:tcPr>
            <w:tcW w:type="dxa" w:w="1374"/>
          </w:tcPr>
          <w:p>
            <w:pPr>
              <w:pStyle w:val="CellText"/>
              <w:jc w:val="right"/>
            </w:pPr>
            <w:r>
              <w:rPr>
                <w:sz w:val="19"/>
              </w:rPr>
              <w:t>n/a</w:t>
            </w:r>
          </w:p>
        </w:tc>
        <w:tc>
          <w:tcPr>
            <w:tcW w:type="dxa" w:w="2610"/>
          </w:tcPr>
          <w:p>
            <w:pPr>
              <w:pStyle w:val="CellText"/>
            </w:pPr>
            <w:r>
              <w:rPr>
                <w:sz w:val="19"/>
              </w:rPr>
              <w:t>next page heuristic</w:t>
            </w:r>
          </w:p>
        </w:tc>
      </w:tr>
      <w:tr>
        <w:trPr>
          <w:cantSplit w:val="true"/>
        </w:trPr>
        <w:tc>
          <w:tcPr>
            <w:tcW w:type="dxa" w:w="3022"/>
          </w:tcPr>
          <w:p>
            <w:pPr>
              <w:pStyle w:val="CellText"/>
            </w:pPr>
            <w:r>
              <w:rPr>
                <w:sz w:val="19"/>
              </w:rPr>
              <w:t>model_b_ablate_no_query_context</w:t>
            </w:r>
          </w:p>
        </w:tc>
        <w:tc>
          <w:tcPr>
            <w:tcW w:type="dxa" w:w="961"/>
          </w:tcPr>
          <w:p>
            <w:pPr>
              <w:pStyle w:val="CellText"/>
              <w:jc w:val="right"/>
            </w:pPr>
            <w:r>
              <w:rPr>
                <w:sz w:val="19"/>
              </w:rPr>
              <w:t>14.15</w:t>
            </w:r>
          </w:p>
        </w:tc>
        <w:tc>
          <w:tcPr>
            <w:tcW w:type="dxa" w:w="961"/>
          </w:tcPr>
          <w:p>
            <w:pPr>
              <w:pStyle w:val="CellText"/>
              <w:jc w:val="right"/>
            </w:pPr>
            <w:r>
              <w:rPr>
                <w:sz w:val="19"/>
              </w:rPr>
              <w:t>42.22</w:t>
            </w:r>
          </w:p>
        </w:tc>
        <w:tc>
          <w:tcPr>
            <w:tcW w:type="dxa" w:w="1374"/>
          </w:tcPr>
          <w:p>
            <w:pPr>
              <w:pStyle w:val="CellText"/>
              <w:jc w:val="right"/>
            </w:pPr>
            <w:r>
              <w:rPr>
                <w:sz w:val="19"/>
              </w:rPr>
              <w:t>82.48</w:t>
            </w:r>
          </w:p>
        </w:tc>
        <w:tc>
          <w:tcPr>
            <w:tcW w:type="dxa" w:w="2610"/>
          </w:tcPr>
          <w:p>
            <w:pPr>
              <w:pStyle w:val="CellText"/>
            </w:pPr>
            <w:r>
              <w:rPr>
                <w:sz w:val="19"/>
              </w:rPr>
              <w:t>query-context block zeroed at inference</w:t>
            </w:r>
          </w:p>
        </w:tc>
      </w:tr>
      <w:tr>
        <w:trPr>
          <w:cantSplit w:val="true"/>
        </w:trPr>
        <w:tc>
          <w:tcPr>
            <w:tcW w:type="dxa" w:w="3022"/>
          </w:tcPr>
          <w:p>
            <w:pPr>
              <w:pStyle w:val="CellText"/>
            </w:pPr>
            <w:r>
              <w:rPr>
                <w:sz w:val="19"/>
              </w:rPr>
              <w:t>model_b_ablate_no_page_metadata</w:t>
            </w:r>
          </w:p>
        </w:tc>
        <w:tc>
          <w:tcPr>
            <w:tcW w:type="dxa" w:w="961"/>
          </w:tcPr>
          <w:p>
            <w:pPr>
              <w:pStyle w:val="CellText"/>
              <w:jc w:val="right"/>
            </w:pPr>
            <w:r>
              <w:rPr>
                <w:sz w:val="19"/>
              </w:rPr>
              <w:t>5.55</w:t>
            </w:r>
          </w:p>
        </w:tc>
        <w:tc>
          <w:tcPr>
            <w:tcW w:type="dxa" w:w="961"/>
          </w:tcPr>
          <w:p>
            <w:pPr>
              <w:pStyle w:val="CellText"/>
              <w:jc w:val="right"/>
            </w:pPr>
            <w:r>
              <w:rPr>
                <w:sz w:val="19"/>
              </w:rPr>
              <w:t>18.06</w:t>
            </w:r>
          </w:p>
        </w:tc>
        <w:tc>
          <w:tcPr>
            <w:tcW w:type="dxa" w:w="1374"/>
          </w:tcPr>
          <w:p>
            <w:pPr>
              <w:pStyle w:val="CellText"/>
              <w:jc w:val="right"/>
            </w:pPr>
            <w:r>
              <w:rPr>
                <w:sz w:val="19"/>
              </w:rPr>
              <w:t>82.48</w:t>
            </w:r>
          </w:p>
        </w:tc>
        <w:tc>
          <w:tcPr>
            <w:tcW w:type="dxa" w:w="2610"/>
          </w:tcPr>
          <w:p>
            <w:pPr>
              <w:pStyle w:val="CellText"/>
            </w:pPr>
            <w:r>
              <w:rPr>
                <w:sz w:val="19"/>
              </w:rPr>
              <w:t>page-metadata block zeroed at inference</w:t>
            </w:r>
          </w:p>
        </w:tc>
      </w:tr>
    </w:tbl>
    <w:p>
      <w:pPr>
        <w:spacing w:after="80"/>
      </w:pPr>
    </w:p>
    <w:p>
      <w:pPr>
        <w:pStyle w:val="Heading2"/>
      </w:pPr>
      <w:r>
        <w:t>8.2 Seed sensitivity and semantic ablation</w:t>
      </w:r>
    </w:p>
    <w:p>
      <w:r>
        <w:t>Table 10 repeats training with three model seeds (7, 13, 31) on a fixed split (seed 42, 8 epochs). The Model B advantage over Model A is stable across seeds (31.0% vs 21.8% mean top-1, non-overlapping intervals). Removing page metadata — above all object identity — costs the most accuracy, whereas removing query context costs comparatively little; this ordering holds for both inference-time zeroing and retraining. The v2 ablation on the parameter-bucket split (Section 8.5) reached the same conclusion: object identity alone accounts for 30.7 of the 33.5 top-1 points that the full semantic block adds, and removing page metadata costs 10.15 points.</w:t>
      </w:r>
    </w:p>
    <w:p>
      <w:pPr>
        <w:pStyle w:val="TableCaption"/>
      </w:pPr>
      <w:r>
        <w:rPr>
          <w:sz w:val="20"/>
        </w:rPr>
        <w:t>Table 10. Multi-seed training sweep: mean top-1 / top-5 accuracy with bootstrap 95% CI over seeds 7, 13, 31</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cantSplit w:val="true"/>
          <w:cantSplit w:val="true"/>
        </w:trPr>
        <w:tc>
          <w:tcPr>
            <w:tcW w:type="dxa" w:w="3571"/>
            <w:shd w:val="clear" w:color="auto" w:fill="D9E2F3"/>
          </w:tcPr>
          <w:p>
            <w:pPr>
              <w:pStyle w:val="CellText"/>
            </w:pPr>
            <w:r>
              <w:rPr>
                <w:b/>
                <w:sz w:val="19"/>
              </w:rPr>
              <w:t>Policy</w:t>
            </w:r>
          </w:p>
        </w:tc>
        <w:tc>
          <w:tcPr>
            <w:tcW w:type="dxa" w:w="1648"/>
            <w:shd w:val="clear" w:color="auto" w:fill="D9E2F3"/>
          </w:tcPr>
          <w:p>
            <w:pPr>
              <w:pStyle w:val="CellText"/>
            </w:pPr>
            <w:r>
              <w:rPr>
                <w:b/>
                <w:sz w:val="19"/>
              </w:rPr>
              <w:t>Top-1 mean (%)</w:t>
            </w:r>
          </w:p>
        </w:tc>
        <w:tc>
          <w:tcPr>
            <w:tcW w:type="dxa" w:w="2060"/>
            <w:shd w:val="clear" w:color="auto" w:fill="D9E2F3"/>
          </w:tcPr>
          <w:p>
            <w:pPr>
              <w:pStyle w:val="CellText"/>
            </w:pPr>
            <w:r>
              <w:rPr>
                <w:b/>
                <w:sz w:val="19"/>
              </w:rPr>
              <w:t>Top-1 95% CI (%)</w:t>
            </w:r>
          </w:p>
        </w:tc>
        <w:tc>
          <w:tcPr>
            <w:tcW w:type="dxa" w:w="1648"/>
            <w:shd w:val="clear" w:color="auto" w:fill="D9E2F3"/>
          </w:tcPr>
          <w:p>
            <w:pPr>
              <w:pStyle w:val="CellText"/>
            </w:pPr>
            <w:r>
              <w:rPr>
                <w:b/>
                <w:sz w:val="19"/>
              </w:rPr>
              <w:t>Top-5 mean (%)</w:t>
            </w:r>
          </w:p>
        </w:tc>
      </w:tr>
      <w:tr>
        <w:trPr>
          <w:cantSplit w:val="true"/>
        </w:trPr>
        <w:tc>
          <w:tcPr>
            <w:tcW w:type="dxa" w:w="3571"/>
          </w:tcPr>
          <w:p>
            <w:pPr>
              <w:pStyle w:val="CellText"/>
            </w:pPr>
            <w:r>
              <w:rPr>
                <w:sz w:val="19"/>
              </w:rPr>
              <w:t>markov2</w:t>
            </w:r>
          </w:p>
        </w:tc>
        <w:tc>
          <w:tcPr>
            <w:tcW w:type="dxa" w:w="1648"/>
          </w:tcPr>
          <w:p>
            <w:pPr>
              <w:pStyle w:val="CellText"/>
              <w:jc w:val="right"/>
            </w:pPr>
            <w:r>
              <w:rPr>
                <w:sz w:val="19"/>
              </w:rPr>
              <w:t>63.40</w:t>
            </w:r>
          </w:p>
        </w:tc>
        <w:tc>
          <w:tcPr>
            <w:tcW w:type="dxa" w:w="2060"/>
          </w:tcPr>
          <w:p>
            <w:pPr>
              <w:pStyle w:val="CellText"/>
              <w:jc w:val="center"/>
            </w:pPr>
            <w:r>
              <w:rPr>
                <w:sz w:val="19"/>
              </w:rPr>
              <w:t>[63.40, 63.40]</w:t>
            </w:r>
          </w:p>
        </w:tc>
        <w:tc>
          <w:tcPr>
            <w:tcW w:type="dxa" w:w="1648"/>
          </w:tcPr>
          <w:p>
            <w:pPr>
              <w:pStyle w:val="CellText"/>
              <w:jc w:val="right"/>
            </w:pPr>
            <w:r>
              <w:rPr>
                <w:sz w:val="19"/>
              </w:rPr>
              <w:t>75.71</w:t>
            </w:r>
          </w:p>
        </w:tc>
      </w:tr>
      <w:tr>
        <w:trPr>
          <w:cantSplit w:val="true"/>
        </w:trPr>
        <w:tc>
          <w:tcPr>
            <w:tcW w:type="dxa" w:w="3571"/>
          </w:tcPr>
          <w:p>
            <w:pPr>
              <w:pStyle w:val="CellText"/>
            </w:pPr>
            <w:r>
              <w:rPr>
                <w:sz w:val="19"/>
              </w:rPr>
              <w:t>markov1</w:t>
            </w:r>
          </w:p>
        </w:tc>
        <w:tc>
          <w:tcPr>
            <w:tcW w:type="dxa" w:w="1648"/>
          </w:tcPr>
          <w:p>
            <w:pPr>
              <w:pStyle w:val="CellText"/>
              <w:jc w:val="right"/>
            </w:pPr>
            <w:r>
              <w:rPr>
                <w:sz w:val="19"/>
              </w:rPr>
              <w:t>58.27</w:t>
            </w:r>
          </w:p>
        </w:tc>
        <w:tc>
          <w:tcPr>
            <w:tcW w:type="dxa" w:w="2060"/>
          </w:tcPr>
          <w:p>
            <w:pPr>
              <w:pStyle w:val="CellText"/>
              <w:jc w:val="center"/>
            </w:pPr>
            <w:r>
              <w:rPr>
                <w:sz w:val="19"/>
              </w:rPr>
              <w:t>[58.27, 58.27]</w:t>
            </w:r>
          </w:p>
        </w:tc>
        <w:tc>
          <w:tcPr>
            <w:tcW w:type="dxa" w:w="1648"/>
          </w:tcPr>
          <w:p>
            <w:pPr>
              <w:pStyle w:val="CellText"/>
              <w:jc w:val="right"/>
            </w:pPr>
            <w:r>
              <w:rPr>
                <w:sz w:val="19"/>
              </w:rPr>
              <w:t>79.59</w:t>
            </w:r>
          </w:p>
        </w:tc>
      </w:tr>
      <w:tr>
        <w:trPr>
          <w:cantSplit w:val="true"/>
        </w:trPr>
        <w:tc>
          <w:tcPr>
            <w:tcW w:type="dxa" w:w="3571"/>
          </w:tcPr>
          <w:p>
            <w:pPr>
              <w:pStyle w:val="CellText"/>
            </w:pPr>
            <w:r>
              <w:rPr>
                <w:sz w:val="19"/>
              </w:rPr>
              <w:t>model_b</w:t>
            </w:r>
          </w:p>
        </w:tc>
        <w:tc>
          <w:tcPr>
            <w:tcW w:type="dxa" w:w="1648"/>
          </w:tcPr>
          <w:p>
            <w:pPr>
              <w:pStyle w:val="CellText"/>
              <w:jc w:val="right"/>
            </w:pPr>
            <w:r>
              <w:rPr>
                <w:sz w:val="19"/>
              </w:rPr>
              <w:t>30.98</w:t>
            </w:r>
          </w:p>
        </w:tc>
        <w:tc>
          <w:tcPr>
            <w:tcW w:type="dxa" w:w="2060"/>
          </w:tcPr>
          <w:p>
            <w:pPr>
              <w:pStyle w:val="CellText"/>
              <w:jc w:val="center"/>
            </w:pPr>
            <w:r>
              <w:rPr>
                <w:sz w:val="19"/>
              </w:rPr>
              <w:t>[29.53, 33.41]</w:t>
            </w:r>
          </w:p>
        </w:tc>
        <w:tc>
          <w:tcPr>
            <w:tcW w:type="dxa" w:w="1648"/>
          </w:tcPr>
          <w:p>
            <w:pPr>
              <w:pStyle w:val="CellText"/>
              <w:jc w:val="right"/>
            </w:pPr>
            <w:r>
              <w:rPr>
                <w:sz w:val="19"/>
              </w:rPr>
              <w:t>68.07</w:t>
            </w:r>
          </w:p>
        </w:tc>
      </w:tr>
      <w:tr>
        <w:trPr>
          <w:cantSplit w:val="true"/>
        </w:trPr>
        <w:tc>
          <w:tcPr>
            <w:tcW w:type="dxa" w:w="3571"/>
          </w:tcPr>
          <w:p>
            <w:pPr>
              <w:pStyle w:val="CellText"/>
            </w:pPr>
            <w:r>
              <w:rPr>
                <w:sz w:val="19"/>
              </w:rPr>
              <w:t>model_b_retrained_no_query_context</w:t>
            </w:r>
          </w:p>
        </w:tc>
        <w:tc>
          <w:tcPr>
            <w:tcW w:type="dxa" w:w="1648"/>
          </w:tcPr>
          <w:p>
            <w:pPr>
              <w:pStyle w:val="CellText"/>
              <w:jc w:val="right"/>
            </w:pPr>
            <w:r>
              <w:rPr>
                <w:sz w:val="19"/>
              </w:rPr>
              <w:t>24.52</w:t>
            </w:r>
          </w:p>
        </w:tc>
        <w:tc>
          <w:tcPr>
            <w:tcW w:type="dxa" w:w="2060"/>
          </w:tcPr>
          <w:p>
            <w:pPr>
              <w:pStyle w:val="CellText"/>
              <w:jc w:val="center"/>
            </w:pPr>
            <w:r>
              <w:rPr>
                <w:sz w:val="19"/>
              </w:rPr>
              <w:t>[23.49, 25.43]</w:t>
            </w:r>
          </w:p>
        </w:tc>
        <w:tc>
          <w:tcPr>
            <w:tcW w:type="dxa" w:w="1648"/>
          </w:tcPr>
          <w:p>
            <w:pPr>
              <w:pStyle w:val="CellText"/>
              <w:jc w:val="right"/>
            </w:pPr>
            <w:r>
              <w:rPr>
                <w:sz w:val="19"/>
              </w:rPr>
              <w:t>61.61</w:t>
            </w:r>
          </w:p>
        </w:tc>
      </w:tr>
      <w:tr>
        <w:trPr>
          <w:cantSplit w:val="true"/>
        </w:trPr>
        <w:tc>
          <w:tcPr>
            <w:tcW w:type="dxa" w:w="3571"/>
          </w:tcPr>
          <w:p>
            <w:pPr>
              <w:pStyle w:val="CellText"/>
            </w:pPr>
            <w:r>
              <w:rPr>
                <w:sz w:val="19"/>
              </w:rPr>
              <w:t>model_b_retrained_no_object</w:t>
            </w:r>
          </w:p>
        </w:tc>
        <w:tc>
          <w:tcPr>
            <w:tcW w:type="dxa" w:w="1648"/>
          </w:tcPr>
          <w:p>
            <w:pPr>
              <w:pStyle w:val="CellText"/>
              <w:jc w:val="right"/>
            </w:pPr>
            <w:r>
              <w:rPr>
                <w:sz w:val="19"/>
              </w:rPr>
              <w:t>23.38</w:t>
            </w:r>
          </w:p>
        </w:tc>
        <w:tc>
          <w:tcPr>
            <w:tcW w:type="dxa" w:w="2060"/>
          </w:tcPr>
          <w:p>
            <w:pPr>
              <w:pStyle w:val="CellText"/>
              <w:jc w:val="center"/>
            </w:pPr>
            <w:r>
              <w:rPr>
                <w:sz w:val="19"/>
              </w:rPr>
              <w:t>[21.09, 25.09]</w:t>
            </w:r>
          </w:p>
        </w:tc>
        <w:tc>
          <w:tcPr>
            <w:tcW w:type="dxa" w:w="1648"/>
          </w:tcPr>
          <w:p>
            <w:pPr>
              <w:pStyle w:val="CellText"/>
              <w:jc w:val="right"/>
            </w:pPr>
            <w:r>
              <w:rPr>
                <w:sz w:val="19"/>
              </w:rPr>
              <w:t>57.39</w:t>
            </w:r>
          </w:p>
        </w:tc>
      </w:tr>
      <w:tr>
        <w:trPr>
          <w:cantSplit w:val="true"/>
        </w:trPr>
        <w:tc>
          <w:tcPr>
            <w:tcW w:type="dxa" w:w="3571"/>
          </w:tcPr>
          <w:p>
            <w:pPr>
              <w:pStyle w:val="CellText"/>
            </w:pPr>
            <w:r>
              <w:rPr>
                <w:sz w:val="19"/>
              </w:rPr>
              <w:t>model_a</w:t>
            </w:r>
          </w:p>
        </w:tc>
        <w:tc>
          <w:tcPr>
            <w:tcW w:type="dxa" w:w="1648"/>
          </w:tcPr>
          <w:p>
            <w:pPr>
              <w:pStyle w:val="CellText"/>
              <w:jc w:val="right"/>
            </w:pPr>
            <w:r>
              <w:rPr>
                <w:sz w:val="19"/>
              </w:rPr>
              <w:t>21.78</w:t>
            </w:r>
          </w:p>
        </w:tc>
        <w:tc>
          <w:tcPr>
            <w:tcW w:type="dxa" w:w="2060"/>
          </w:tcPr>
          <w:p>
            <w:pPr>
              <w:pStyle w:val="CellText"/>
              <w:jc w:val="center"/>
            </w:pPr>
            <w:r>
              <w:rPr>
                <w:sz w:val="19"/>
              </w:rPr>
              <w:t>[18.24, 24.86]</w:t>
            </w:r>
          </w:p>
        </w:tc>
        <w:tc>
          <w:tcPr>
            <w:tcW w:type="dxa" w:w="1648"/>
          </w:tcPr>
          <w:p>
            <w:pPr>
              <w:pStyle w:val="CellText"/>
              <w:jc w:val="right"/>
            </w:pPr>
            <w:r>
              <w:rPr>
                <w:sz w:val="19"/>
              </w:rPr>
              <w:t>48.69</w:t>
            </w:r>
          </w:p>
        </w:tc>
      </w:tr>
      <w:tr>
        <w:trPr>
          <w:cantSplit w:val="true"/>
        </w:trPr>
        <w:tc>
          <w:tcPr>
            <w:tcW w:type="dxa" w:w="3571"/>
          </w:tcPr>
          <w:p>
            <w:pPr>
              <w:pStyle w:val="CellText"/>
            </w:pPr>
            <w:r>
              <w:rPr>
                <w:sz w:val="19"/>
              </w:rPr>
              <w:t>model_b_retrained_no_page_metadata</w:t>
            </w:r>
          </w:p>
        </w:tc>
        <w:tc>
          <w:tcPr>
            <w:tcW w:type="dxa" w:w="1648"/>
          </w:tcPr>
          <w:p>
            <w:pPr>
              <w:pStyle w:val="CellText"/>
              <w:jc w:val="right"/>
            </w:pPr>
            <w:r>
              <w:rPr>
                <w:sz w:val="19"/>
              </w:rPr>
              <w:t>17.52</w:t>
            </w:r>
          </w:p>
        </w:tc>
        <w:tc>
          <w:tcPr>
            <w:tcW w:type="dxa" w:w="2060"/>
          </w:tcPr>
          <w:p>
            <w:pPr>
              <w:pStyle w:val="CellText"/>
              <w:jc w:val="center"/>
            </w:pPr>
            <w:r>
              <w:rPr>
                <w:sz w:val="19"/>
              </w:rPr>
              <w:t>[16.31, 19.16]</w:t>
            </w:r>
          </w:p>
        </w:tc>
        <w:tc>
          <w:tcPr>
            <w:tcW w:type="dxa" w:w="1648"/>
          </w:tcPr>
          <w:p>
            <w:pPr>
              <w:pStyle w:val="CellText"/>
              <w:jc w:val="right"/>
            </w:pPr>
            <w:r>
              <w:rPr>
                <w:sz w:val="19"/>
              </w:rPr>
              <w:t>47.78</w:t>
            </w:r>
          </w:p>
        </w:tc>
      </w:tr>
      <w:tr>
        <w:trPr>
          <w:cantSplit w:val="true"/>
        </w:trPr>
        <w:tc>
          <w:tcPr>
            <w:tcW w:type="dxa" w:w="3571"/>
          </w:tcPr>
          <w:p>
            <w:pPr>
              <w:pStyle w:val="CellText"/>
            </w:pPr>
            <w:r>
              <w:rPr>
                <w:sz w:val="19"/>
              </w:rPr>
              <w:t>sequential</w:t>
            </w:r>
          </w:p>
        </w:tc>
        <w:tc>
          <w:tcPr>
            <w:tcW w:type="dxa" w:w="1648"/>
          </w:tcPr>
          <w:p>
            <w:pPr>
              <w:pStyle w:val="CellText"/>
              <w:jc w:val="right"/>
            </w:pPr>
            <w:r>
              <w:rPr>
                <w:sz w:val="19"/>
              </w:rPr>
              <w:t>15.73</w:t>
            </w:r>
          </w:p>
        </w:tc>
        <w:tc>
          <w:tcPr>
            <w:tcW w:type="dxa" w:w="2060"/>
          </w:tcPr>
          <w:p>
            <w:pPr>
              <w:pStyle w:val="CellText"/>
              <w:jc w:val="center"/>
            </w:pPr>
            <w:r>
              <w:rPr>
                <w:sz w:val="19"/>
              </w:rPr>
              <w:t>[15.73, 15.73]</w:t>
            </w:r>
          </w:p>
        </w:tc>
        <w:tc>
          <w:tcPr>
            <w:tcW w:type="dxa" w:w="1648"/>
          </w:tcPr>
          <w:p>
            <w:pPr>
              <w:pStyle w:val="CellText"/>
              <w:jc w:val="right"/>
            </w:pPr>
            <w:r>
              <w:rPr>
                <w:sz w:val="19"/>
              </w:rPr>
              <w:t>15.73</w:t>
            </w:r>
          </w:p>
        </w:tc>
      </w:tr>
      <w:tr>
        <w:trPr>
          <w:cantSplit w:val="true"/>
        </w:trPr>
        <w:tc>
          <w:tcPr>
            <w:tcW w:type="dxa" w:w="3571"/>
          </w:tcPr>
          <w:p>
            <w:pPr>
              <w:pStyle w:val="CellText"/>
            </w:pPr>
            <w:r>
              <w:rPr>
                <w:sz w:val="19"/>
              </w:rPr>
              <w:t>model_b_ablate_no_object</w:t>
            </w:r>
          </w:p>
        </w:tc>
        <w:tc>
          <w:tcPr>
            <w:tcW w:type="dxa" w:w="1648"/>
          </w:tcPr>
          <w:p>
            <w:pPr>
              <w:pStyle w:val="CellText"/>
              <w:jc w:val="right"/>
            </w:pPr>
            <w:r>
              <w:rPr>
                <w:sz w:val="19"/>
              </w:rPr>
              <w:t>14.67</w:t>
            </w:r>
          </w:p>
        </w:tc>
        <w:tc>
          <w:tcPr>
            <w:tcW w:type="dxa" w:w="2060"/>
          </w:tcPr>
          <w:p>
            <w:pPr>
              <w:pStyle w:val="CellText"/>
              <w:jc w:val="center"/>
            </w:pPr>
            <w:r>
              <w:rPr>
                <w:sz w:val="19"/>
              </w:rPr>
              <w:t>[11.74, 16.76]</w:t>
            </w:r>
          </w:p>
        </w:tc>
        <w:tc>
          <w:tcPr>
            <w:tcW w:type="dxa" w:w="1648"/>
          </w:tcPr>
          <w:p>
            <w:pPr>
              <w:pStyle w:val="CellText"/>
              <w:jc w:val="right"/>
            </w:pPr>
            <w:r>
              <w:rPr>
                <w:sz w:val="19"/>
              </w:rPr>
              <w:t>33.64</w:t>
            </w:r>
          </w:p>
        </w:tc>
      </w:tr>
      <w:tr>
        <w:trPr>
          <w:cantSplit w:val="true"/>
        </w:trPr>
        <w:tc>
          <w:tcPr>
            <w:tcW w:type="dxa" w:w="3571"/>
          </w:tcPr>
          <w:p>
            <w:pPr>
              <w:pStyle w:val="CellText"/>
            </w:pPr>
            <w:r>
              <w:rPr>
                <w:sz w:val="19"/>
              </w:rPr>
              <w:t>model_b_ablate_no_query_context</w:t>
            </w:r>
          </w:p>
        </w:tc>
        <w:tc>
          <w:tcPr>
            <w:tcW w:type="dxa" w:w="1648"/>
          </w:tcPr>
          <w:p>
            <w:pPr>
              <w:pStyle w:val="CellText"/>
              <w:jc w:val="right"/>
            </w:pPr>
            <w:r>
              <w:rPr>
                <w:sz w:val="19"/>
              </w:rPr>
              <w:t>14.14</w:t>
            </w:r>
          </w:p>
        </w:tc>
        <w:tc>
          <w:tcPr>
            <w:tcW w:type="dxa" w:w="2060"/>
          </w:tcPr>
          <w:p>
            <w:pPr>
              <w:pStyle w:val="CellText"/>
              <w:jc w:val="center"/>
            </w:pPr>
            <w:r>
              <w:rPr>
                <w:sz w:val="19"/>
              </w:rPr>
              <w:t>[13.46, 14.94]</w:t>
            </w:r>
          </w:p>
        </w:tc>
        <w:tc>
          <w:tcPr>
            <w:tcW w:type="dxa" w:w="1648"/>
          </w:tcPr>
          <w:p>
            <w:pPr>
              <w:pStyle w:val="CellText"/>
              <w:jc w:val="right"/>
            </w:pPr>
            <w:r>
              <w:rPr>
                <w:sz w:val="19"/>
              </w:rPr>
              <w:t>37.67</w:t>
            </w:r>
          </w:p>
        </w:tc>
      </w:tr>
      <w:tr>
        <w:trPr>
          <w:cantSplit w:val="true"/>
        </w:trPr>
        <w:tc>
          <w:tcPr>
            <w:tcW w:type="dxa" w:w="3571"/>
          </w:tcPr>
          <w:p>
            <w:pPr>
              <w:pStyle w:val="CellText"/>
            </w:pPr>
            <w:r>
              <w:rPr>
                <w:sz w:val="19"/>
              </w:rPr>
              <w:t>model_b_ablate_no_page_metadata</w:t>
            </w:r>
          </w:p>
        </w:tc>
        <w:tc>
          <w:tcPr>
            <w:tcW w:type="dxa" w:w="1648"/>
          </w:tcPr>
          <w:p>
            <w:pPr>
              <w:pStyle w:val="CellText"/>
              <w:jc w:val="right"/>
            </w:pPr>
            <w:r>
              <w:rPr>
                <w:sz w:val="19"/>
              </w:rPr>
              <w:t>3.34</w:t>
            </w:r>
          </w:p>
        </w:tc>
        <w:tc>
          <w:tcPr>
            <w:tcW w:type="dxa" w:w="2060"/>
          </w:tcPr>
          <w:p>
            <w:pPr>
              <w:pStyle w:val="CellText"/>
              <w:jc w:val="center"/>
            </w:pPr>
            <w:r>
              <w:rPr>
                <w:sz w:val="19"/>
              </w:rPr>
              <w:t>[2.17, 4.22]</w:t>
            </w:r>
          </w:p>
        </w:tc>
        <w:tc>
          <w:tcPr>
            <w:tcW w:type="dxa" w:w="1648"/>
          </w:tcPr>
          <w:p>
            <w:pPr>
              <w:pStyle w:val="CellText"/>
              <w:jc w:val="right"/>
            </w:pPr>
            <w:r>
              <w:rPr>
                <w:sz w:val="19"/>
              </w:rPr>
              <w:t>22.73</w:t>
            </w:r>
          </w:p>
        </w:tc>
      </w:tr>
    </w:tbl>
    <w:p>
      <w:pPr>
        <w:spacing w:before="60" w:after="200"/>
      </w:pPr>
      <w:r>
        <w:rPr>
          <w:i/>
          <w:sz w:val="19"/>
        </w:rPr>
        <w:t>Markov tables and the sequential heuristic are deterministic for a fixed split, so their intervals collapse to a point.</w:t>
      </w:r>
    </w:p>
    <w:p>
      <w:pPr>
        <w:pStyle w:val="Heading2"/>
      </w:pPr>
      <w:r>
        <w:t>8.3 Runtime latency under the pre-registered protocol v1</w:t>
      </w:r>
    </w:p>
    <w:p>
      <w:r>
        <w:t xml:space="preserve">Table 11 and Figure 5 summarise the three final categories (seeds 901–903, 100 queries per seed and strategy, 32-page custom cache, degree 2). Category A injects a per-miss delay and is </w:t>
      </w:r>
      <w:r>
        <w:rPr>
          <w:b/>
        </w:rPr>
        <w:t>latency-injected evidence only</w:t>
      </w:r>
      <w:r>
        <w:t>; Category B uses the real storage path on a database that fits in the Windows operating-system cache, so its VFS reads are sub-millisecond.</w:t>
      </w:r>
    </w:p>
    <w:p>
      <w:pPr>
        <w:pStyle w:val="TableCaption"/>
      </w:pPr>
      <w:r>
        <w:rPr>
          <w:sz w:val="20"/>
        </w:rPr>
        <w:t xml:space="preserve">Table 11. Final evaluation suites (protocol v1): paired per-query latency delta versus </w:t>
      </w:r>
      <w:r>
        <w:rPr>
          <w:rFonts w:ascii="Consolas" w:hAnsi="Consolas" w:eastAsia="Consolas"/>
          <w:sz w:val="17"/>
        </w:rPr>
        <w:t>none</w:t>
      </w:r>
      <w:r>
        <w:rPr>
          <w:sz w:val="20"/>
        </w:rPr>
        <w:t>, bootstrap 95% CI and predictor time per run, for the three categories</w:t>
      </w:r>
    </w:p>
    <w:tbl>
      <w:tblPr>
        <w:tblStyle w:val="TableGrid"/>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cantSplit w:val="true"/>
          <w:cantSplit w:val="true"/>
        </w:trPr>
        <w:tc>
          <w:tcPr>
            <w:tcW w:type="dxa" w:w="967"/>
            <w:shd w:val="clear" w:color="auto" w:fill="D9E2F3"/>
          </w:tcPr>
          <w:p>
            <w:pPr>
              <w:pStyle w:val="CellText"/>
              <w:jc w:val="center"/>
            </w:pPr>
          </w:p>
        </w:tc>
        <w:tc>
          <w:tcPr>
            <w:tcW w:type="dxa" w:w="2654"/>
            <w:gridSpan w:val="3"/>
            <w:shd w:val="clear" w:color="auto" w:fill="D9E2F3"/>
          </w:tcPr>
          <w:p>
            <w:pPr>
              <w:pStyle w:val="CellText"/>
              <w:jc w:val="center"/>
            </w:pPr>
            <w:r>
              <w:rPr>
                <w:b/>
                <w:sz w:val="16"/>
              </w:rPr>
              <w:t>0.2 ms injected miss delay (≈ 0.56 ms achieved)</w:t>
            </w:r>
          </w:p>
        </w:tc>
        <w:tc>
          <w:tcPr>
            <w:tcW w:type="dxa" w:w="2654"/>
            <w:gridSpan w:val="3"/>
            <w:shd w:val="clear" w:color="auto" w:fill="D9E2F3"/>
          </w:tcPr>
          <w:p>
            <w:pPr>
              <w:pStyle w:val="CellText"/>
              <w:jc w:val="center"/>
            </w:pPr>
            <w:r>
              <w:rPr>
                <w:b/>
                <w:sz w:val="16"/>
              </w:rPr>
              <w:t>1.0 ms injected miss delay (≈ 1.54 ms achieved)</w:t>
            </w:r>
          </w:p>
        </w:tc>
        <w:tc>
          <w:tcPr>
            <w:tcW w:type="dxa" w:w="2654"/>
            <w:gridSpan w:val="3"/>
            <w:shd w:val="clear" w:color="auto" w:fill="D9E2F3"/>
          </w:tcPr>
          <w:p>
            <w:pPr>
              <w:pStyle w:val="CellText"/>
              <w:jc w:val="center"/>
            </w:pPr>
            <w:r>
              <w:rPr>
                <w:b/>
                <w:sz w:val="16"/>
              </w:rPr>
              <w:t>Real storage, no injected delay</w:t>
            </w:r>
          </w:p>
        </w:tc>
      </w:tr>
      <w:tr>
        <w:trPr>
          <w:tblHeader w:val="true"/>
          <w:cantSplit w:val="true"/>
          <w:cantSplit w:val="true"/>
        </w:trPr>
        <w:tc>
          <w:tcPr>
            <w:tcW w:type="dxa" w:w="967"/>
            <w:shd w:val="clear" w:color="auto" w:fill="D9E2F3"/>
          </w:tcPr>
          <w:p>
            <w:pPr>
              <w:pStyle w:val="CellText"/>
            </w:pPr>
            <w:r>
              <w:rPr>
                <w:b/>
                <w:sz w:val="16"/>
              </w:rPr>
              <w:t>Strategy</w:t>
            </w:r>
          </w:p>
        </w:tc>
        <w:tc>
          <w:tcPr>
            <w:tcW w:type="dxa" w:w="691"/>
            <w:shd w:val="clear" w:color="auto" w:fill="D9E2F3"/>
          </w:tcPr>
          <w:p>
            <w:pPr>
              <w:pStyle w:val="CellText"/>
            </w:pPr>
            <w:r>
              <w:rPr>
                <w:b/>
                <w:sz w:val="16"/>
              </w:rPr>
              <w:t>Δ (ms)</w:t>
            </w:r>
          </w:p>
        </w:tc>
        <w:tc>
          <w:tcPr>
            <w:tcW w:type="dxa" w:w="1382"/>
            <w:shd w:val="clear" w:color="auto" w:fill="D9E2F3"/>
          </w:tcPr>
          <w:p>
            <w:pPr>
              <w:pStyle w:val="CellText"/>
            </w:pPr>
            <w:r>
              <w:rPr>
                <w:b/>
                <w:sz w:val="16"/>
              </w:rPr>
              <w:t>95% CI (ms)</w:t>
            </w:r>
          </w:p>
        </w:tc>
        <w:tc>
          <w:tcPr>
            <w:tcW w:type="dxa" w:w="580"/>
            <w:shd w:val="clear" w:color="auto" w:fill="D9E2F3"/>
          </w:tcPr>
          <w:p>
            <w:pPr>
              <w:pStyle w:val="CellText"/>
            </w:pPr>
            <w:r>
              <w:rPr>
                <w:b/>
                <w:sz w:val="16"/>
              </w:rPr>
              <w:t>Infer. (ms)</w:t>
            </w:r>
          </w:p>
        </w:tc>
        <w:tc>
          <w:tcPr>
            <w:tcW w:type="dxa" w:w="691"/>
            <w:shd w:val="clear" w:color="auto" w:fill="D9E2F3"/>
          </w:tcPr>
          <w:p>
            <w:pPr>
              <w:pStyle w:val="CellText"/>
            </w:pPr>
            <w:r>
              <w:rPr>
                <w:b/>
                <w:sz w:val="16"/>
              </w:rPr>
              <w:t>Δ (ms)</w:t>
            </w:r>
          </w:p>
        </w:tc>
        <w:tc>
          <w:tcPr>
            <w:tcW w:type="dxa" w:w="1382"/>
            <w:shd w:val="clear" w:color="auto" w:fill="D9E2F3"/>
          </w:tcPr>
          <w:p>
            <w:pPr>
              <w:pStyle w:val="CellText"/>
            </w:pPr>
            <w:r>
              <w:rPr>
                <w:b/>
                <w:sz w:val="16"/>
              </w:rPr>
              <w:t>95% CI (ms)</w:t>
            </w:r>
          </w:p>
        </w:tc>
        <w:tc>
          <w:tcPr>
            <w:tcW w:type="dxa" w:w="580"/>
            <w:shd w:val="clear" w:color="auto" w:fill="D9E2F3"/>
          </w:tcPr>
          <w:p>
            <w:pPr>
              <w:pStyle w:val="CellText"/>
            </w:pPr>
            <w:r>
              <w:rPr>
                <w:b/>
                <w:sz w:val="16"/>
              </w:rPr>
              <w:t>Infer. (ms)</w:t>
            </w:r>
          </w:p>
        </w:tc>
        <w:tc>
          <w:tcPr>
            <w:tcW w:type="dxa" w:w="691"/>
            <w:shd w:val="clear" w:color="auto" w:fill="D9E2F3"/>
          </w:tcPr>
          <w:p>
            <w:pPr>
              <w:pStyle w:val="CellText"/>
            </w:pPr>
            <w:r>
              <w:rPr>
                <w:b/>
                <w:sz w:val="16"/>
              </w:rPr>
              <w:t>Δ (ms)</w:t>
            </w:r>
          </w:p>
        </w:tc>
        <w:tc>
          <w:tcPr>
            <w:tcW w:type="dxa" w:w="1382"/>
            <w:shd w:val="clear" w:color="auto" w:fill="D9E2F3"/>
          </w:tcPr>
          <w:p>
            <w:pPr>
              <w:pStyle w:val="CellText"/>
            </w:pPr>
            <w:r>
              <w:rPr>
                <w:b/>
                <w:sz w:val="16"/>
              </w:rPr>
              <w:t>95% CI (ms)</w:t>
            </w:r>
          </w:p>
        </w:tc>
        <w:tc>
          <w:tcPr>
            <w:tcW w:type="dxa" w:w="580"/>
            <w:shd w:val="clear" w:color="auto" w:fill="D9E2F3"/>
          </w:tcPr>
          <w:p>
            <w:pPr>
              <w:pStyle w:val="CellText"/>
            </w:pPr>
            <w:r>
              <w:rPr>
                <w:b/>
                <w:sz w:val="16"/>
              </w:rPr>
              <w:t>Infer. (ms)</w:t>
            </w:r>
          </w:p>
        </w:tc>
      </w:tr>
      <w:tr>
        <w:trPr>
          <w:cantSplit w:val="true"/>
        </w:trPr>
        <w:tc>
          <w:tcPr>
            <w:tcW w:type="dxa" w:w="967"/>
          </w:tcPr>
          <w:p>
            <w:pPr>
              <w:pStyle w:val="CellText"/>
            </w:pPr>
            <w:r>
              <w:rPr>
                <w:sz w:val="16"/>
              </w:rPr>
              <w:t>stock</w:t>
            </w:r>
          </w:p>
        </w:tc>
        <w:tc>
          <w:tcPr>
            <w:tcW w:type="dxa" w:w="691"/>
          </w:tcPr>
          <w:p>
            <w:pPr>
              <w:pStyle w:val="CellText"/>
              <w:jc w:val="right"/>
            </w:pPr>
            <w:r>
              <w:rPr>
                <w:b/>
                <w:sz w:val="16"/>
              </w:rPr>
              <w:t>+2.60</w:t>
            </w:r>
          </w:p>
        </w:tc>
        <w:tc>
          <w:tcPr>
            <w:tcW w:type="dxa" w:w="1382"/>
          </w:tcPr>
          <w:p>
            <w:pPr>
              <w:pStyle w:val="CellText"/>
              <w:jc w:val="center"/>
            </w:pPr>
            <w:r>
              <w:rPr>
                <w:sz w:val="16"/>
              </w:rPr>
              <w:t>[+1.95, +3.24]</w:t>
            </w:r>
          </w:p>
        </w:tc>
        <w:tc>
          <w:tcPr>
            <w:tcW w:type="dxa" w:w="580"/>
          </w:tcPr>
          <w:p>
            <w:pPr>
              <w:pStyle w:val="CellText"/>
              <w:jc w:val="right"/>
            </w:pPr>
            <w:r>
              <w:rPr>
                <w:sz w:val="16"/>
              </w:rPr>
              <w:t>—</w:t>
            </w:r>
          </w:p>
        </w:tc>
        <w:tc>
          <w:tcPr>
            <w:tcW w:type="dxa" w:w="691"/>
          </w:tcPr>
          <w:p>
            <w:pPr>
              <w:pStyle w:val="CellText"/>
              <w:jc w:val="right"/>
            </w:pPr>
            <w:r>
              <w:rPr>
                <w:b/>
                <w:sz w:val="16"/>
              </w:rPr>
              <w:t>+6.94</w:t>
            </w:r>
          </w:p>
        </w:tc>
        <w:tc>
          <w:tcPr>
            <w:tcW w:type="dxa" w:w="1382"/>
          </w:tcPr>
          <w:p>
            <w:pPr>
              <w:pStyle w:val="CellText"/>
              <w:jc w:val="center"/>
            </w:pPr>
            <w:r>
              <w:rPr>
                <w:sz w:val="16"/>
              </w:rPr>
              <w:t>[+6.08, +7.84]</w:t>
            </w:r>
          </w:p>
        </w:tc>
        <w:tc>
          <w:tcPr>
            <w:tcW w:type="dxa" w:w="580"/>
          </w:tcPr>
          <w:p>
            <w:pPr>
              <w:pStyle w:val="CellText"/>
              <w:jc w:val="right"/>
            </w:pPr>
            <w:r>
              <w:rPr>
                <w:sz w:val="16"/>
              </w:rPr>
              <w:t>—</w:t>
            </w:r>
          </w:p>
        </w:tc>
        <w:tc>
          <w:tcPr>
            <w:tcW w:type="dxa" w:w="691"/>
          </w:tcPr>
          <w:p>
            <w:pPr>
              <w:pStyle w:val="CellText"/>
              <w:jc w:val="right"/>
            </w:pPr>
            <w:r>
              <w:rPr>
                <w:b/>
                <w:sz w:val="16"/>
              </w:rPr>
              <w:t>−0.12</w:t>
            </w:r>
          </w:p>
        </w:tc>
        <w:tc>
          <w:tcPr>
            <w:tcW w:type="dxa" w:w="1382"/>
          </w:tcPr>
          <w:p>
            <w:pPr>
              <w:pStyle w:val="CellText"/>
              <w:jc w:val="center"/>
            </w:pPr>
            <w:r>
              <w:rPr>
                <w:sz w:val="16"/>
              </w:rPr>
              <w:t>[−0.15, −0.09]</w:t>
            </w:r>
          </w:p>
        </w:tc>
        <w:tc>
          <w:tcPr>
            <w:tcW w:type="dxa" w:w="580"/>
          </w:tcPr>
          <w:p>
            <w:pPr>
              <w:pStyle w:val="CellText"/>
              <w:jc w:val="right"/>
            </w:pPr>
            <w:r>
              <w:rPr>
                <w:sz w:val="16"/>
              </w:rPr>
              <w:t>—</w:t>
            </w:r>
          </w:p>
        </w:tc>
      </w:tr>
      <w:tr>
        <w:trPr>
          <w:cantSplit w:val="true"/>
        </w:trPr>
        <w:tc>
          <w:tcPr>
            <w:tcW w:type="dxa" w:w="967"/>
          </w:tcPr>
          <w:p>
            <w:pPr>
              <w:pStyle w:val="CellText"/>
            </w:pPr>
            <w:r>
              <w:rPr>
                <w:sz w:val="16"/>
              </w:rPr>
              <w:t>none</w:t>
            </w:r>
          </w:p>
        </w:tc>
        <w:tc>
          <w:tcPr>
            <w:tcW w:type="dxa" w:w="691"/>
          </w:tcPr>
          <w:p>
            <w:pPr>
              <w:pStyle w:val="CellText"/>
              <w:jc w:val="right"/>
            </w:pPr>
            <w:r>
              <w:rPr>
                <w:sz w:val="16"/>
              </w:rPr>
              <w:t>0.00</w:t>
            </w:r>
          </w:p>
        </w:tc>
        <w:tc>
          <w:tcPr>
            <w:tcW w:type="dxa" w:w="1382"/>
          </w:tcPr>
          <w:p>
            <w:pPr>
              <w:pStyle w:val="CellText"/>
              <w:jc w:val="center"/>
            </w:pPr>
            <w:r>
              <w:rPr>
                <w:sz w:val="16"/>
              </w:rPr>
              <w:t>baseline</w:t>
            </w:r>
          </w:p>
        </w:tc>
        <w:tc>
          <w:tcPr>
            <w:tcW w:type="dxa" w:w="580"/>
          </w:tcPr>
          <w:p>
            <w:pPr>
              <w:pStyle w:val="CellText"/>
              <w:jc w:val="right"/>
            </w:pPr>
            <w:r>
              <w:rPr>
                <w:sz w:val="16"/>
              </w:rPr>
              <w:t>0</w:t>
            </w:r>
          </w:p>
        </w:tc>
        <w:tc>
          <w:tcPr>
            <w:tcW w:type="dxa" w:w="691"/>
          </w:tcPr>
          <w:p>
            <w:pPr>
              <w:pStyle w:val="CellText"/>
              <w:jc w:val="right"/>
            </w:pPr>
            <w:r>
              <w:rPr>
                <w:sz w:val="16"/>
              </w:rPr>
              <w:t>0.00</w:t>
            </w:r>
          </w:p>
        </w:tc>
        <w:tc>
          <w:tcPr>
            <w:tcW w:type="dxa" w:w="1382"/>
          </w:tcPr>
          <w:p>
            <w:pPr>
              <w:pStyle w:val="CellText"/>
              <w:jc w:val="center"/>
            </w:pPr>
            <w:r>
              <w:rPr>
                <w:sz w:val="16"/>
              </w:rPr>
              <w:t>baseline</w:t>
            </w:r>
          </w:p>
        </w:tc>
        <w:tc>
          <w:tcPr>
            <w:tcW w:type="dxa" w:w="580"/>
          </w:tcPr>
          <w:p>
            <w:pPr>
              <w:pStyle w:val="CellText"/>
              <w:jc w:val="right"/>
            </w:pPr>
            <w:r>
              <w:rPr>
                <w:sz w:val="16"/>
              </w:rPr>
              <w:t>0</w:t>
            </w:r>
          </w:p>
        </w:tc>
        <w:tc>
          <w:tcPr>
            <w:tcW w:type="dxa" w:w="691"/>
          </w:tcPr>
          <w:p>
            <w:pPr>
              <w:pStyle w:val="CellText"/>
              <w:jc w:val="right"/>
            </w:pPr>
            <w:r>
              <w:rPr>
                <w:sz w:val="16"/>
              </w:rPr>
              <w:t>0.00</w:t>
            </w:r>
          </w:p>
        </w:tc>
        <w:tc>
          <w:tcPr>
            <w:tcW w:type="dxa" w:w="1382"/>
          </w:tcPr>
          <w:p>
            <w:pPr>
              <w:pStyle w:val="CellText"/>
              <w:jc w:val="center"/>
            </w:pPr>
            <w:r>
              <w:rPr>
                <w:sz w:val="16"/>
              </w:rPr>
              <w:t>baseline</w:t>
            </w:r>
          </w:p>
        </w:tc>
        <w:tc>
          <w:tcPr>
            <w:tcW w:type="dxa" w:w="580"/>
          </w:tcPr>
          <w:p>
            <w:pPr>
              <w:pStyle w:val="CellText"/>
              <w:jc w:val="right"/>
            </w:pPr>
            <w:r>
              <w:rPr>
                <w:sz w:val="16"/>
              </w:rPr>
              <w:t>0</w:t>
            </w:r>
          </w:p>
        </w:tc>
      </w:tr>
      <w:tr>
        <w:trPr>
          <w:cantSplit w:val="true"/>
        </w:trPr>
        <w:tc>
          <w:tcPr>
            <w:tcW w:type="dxa" w:w="967"/>
          </w:tcPr>
          <w:p>
            <w:pPr>
              <w:pStyle w:val="CellText"/>
            </w:pPr>
            <w:r>
              <w:rPr>
                <w:sz w:val="16"/>
              </w:rPr>
              <w:t>sequential</w:t>
            </w:r>
          </w:p>
        </w:tc>
        <w:tc>
          <w:tcPr>
            <w:tcW w:type="dxa" w:w="691"/>
          </w:tcPr>
          <w:p>
            <w:pPr>
              <w:pStyle w:val="CellText"/>
              <w:jc w:val="right"/>
            </w:pPr>
            <w:r>
              <w:rPr>
                <w:b/>
                <w:sz w:val="16"/>
              </w:rPr>
              <w:t>−3.81</w:t>
            </w:r>
          </w:p>
        </w:tc>
        <w:tc>
          <w:tcPr>
            <w:tcW w:type="dxa" w:w="1382"/>
          </w:tcPr>
          <w:p>
            <w:pPr>
              <w:pStyle w:val="CellText"/>
              <w:jc w:val="center"/>
            </w:pPr>
            <w:r>
              <w:rPr>
                <w:sz w:val="16"/>
              </w:rPr>
              <w:t>[−4.52, −3.13]</w:t>
            </w:r>
          </w:p>
        </w:tc>
        <w:tc>
          <w:tcPr>
            <w:tcW w:type="dxa" w:w="580"/>
          </w:tcPr>
          <w:p>
            <w:pPr>
              <w:pStyle w:val="CellText"/>
              <w:jc w:val="right"/>
            </w:pPr>
            <w:r>
              <w:rPr>
                <w:sz w:val="16"/>
              </w:rPr>
              <w:t>3</w:t>
            </w:r>
          </w:p>
        </w:tc>
        <w:tc>
          <w:tcPr>
            <w:tcW w:type="dxa" w:w="691"/>
          </w:tcPr>
          <w:p>
            <w:pPr>
              <w:pStyle w:val="CellText"/>
              <w:jc w:val="right"/>
            </w:pPr>
            <w:r>
              <w:rPr>
                <w:b/>
                <w:sz w:val="16"/>
              </w:rPr>
              <w:t>+0.96</w:t>
            </w:r>
          </w:p>
        </w:tc>
        <w:tc>
          <w:tcPr>
            <w:tcW w:type="dxa" w:w="1382"/>
          </w:tcPr>
          <w:p>
            <w:pPr>
              <w:pStyle w:val="CellText"/>
              <w:jc w:val="center"/>
            </w:pPr>
            <w:r>
              <w:rPr>
                <w:sz w:val="16"/>
              </w:rPr>
              <w:t>[+0.21, +1.75]</w:t>
            </w:r>
          </w:p>
        </w:tc>
        <w:tc>
          <w:tcPr>
            <w:tcW w:type="dxa" w:w="580"/>
          </w:tcPr>
          <w:p>
            <w:pPr>
              <w:pStyle w:val="CellText"/>
              <w:jc w:val="right"/>
            </w:pPr>
            <w:r>
              <w:rPr>
                <w:sz w:val="16"/>
              </w:rPr>
              <w:t>5</w:t>
            </w:r>
          </w:p>
        </w:tc>
        <w:tc>
          <w:tcPr>
            <w:tcW w:type="dxa" w:w="691"/>
          </w:tcPr>
          <w:p>
            <w:pPr>
              <w:pStyle w:val="CellText"/>
              <w:jc w:val="right"/>
            </w:pPr>
            <w:r>
              <w:rPr>
                <w:b/>
                <w:sz w:val="16"/>
              </w:rPr>
              <w:t>+0.62</w:t>
            </w:r>
          </w:p>
        </w:tc>
        <w:tc>
          <w:tcPr>
            <w:tcW w:type="dxa" w:w="1382"/>
          </w:tcPr>
          <w:p>
            <w:pPr>
              <w:pStyle w:val="CellText"/>
              <w:jc w:val="center"/>
            </w:pPr>
            <w:r>
              <w:rPr>
                <w:sz w:val="16"/>
              </w:rPr>
              <w:t>[+0.57, +0.68]</w:t>
            </w:r>
          </w:p>
        </w:tc>
        <w:tc>
          <w:tcPr>
            <w:tcW w:type="dxa" w:w="580"/>
          </w:tcPr>
          <w:p>
            <w:pPr>
              <w:pStyle w:val="CellText"/>
              <w:jc w:val="right"/>
            </w:pPr>
            <w:r>
              <w:rPr>
                <w:sz w:val="16"/>
              </w:rPr>
              <w:t>0</w:t>
            </w:r>
          </w:p>
        </w:tc>
      </w:tr>
      <w:tr>
        <w:trPr>
          <w:cantSplit w:val="true"/>
        </w:trPr>
        <w:tc>
          <w:tcPr>
            <w:tcW w:type="dxa" w:w="967"/>
          </w:tcPr>
          <w:p>
            <w:pPr>
              <w:pStyle w:val="CellText"/>
            </w:pPr>
            <w:r>
              <w:rPr>
                <w:sz w:val="16"/>
              </w:rPr>
              <w:t>markov1</w:t>
            </w:r>
          </w:p>
        </w:tc>
        <w:tc>
          <w:tcPr>
            <w:tcW w:type="dxa" w:w="691"/>
          </w:tcPr>
          <w:p>
            <w:pPr>
              <w:pStyle w:val="CellText"/>
              <w:jc w:val="right"/>
            </w:pPr>
            <w:r>
              <w:rPr>
                <w:b/>
                <w:sz w:val="16"/>
              </w:rPr>
              <w:t>−2.60</w:t>
            </w:r>
          </w:p>
        </w:tc>
        <w:tc>
          <w:tcPr>
            <w:tcW w:type="dxa" w:w="1382"/>
          </w:tcPr>
          <w:p>
            <w:pPr>
              <w:pStyle w:val="CellText"/>
              <w:jc w:val="center"/>
            </w:pPr>
            <w:r>
              <w:rPr>
                <w:sz w:val="16"/>
              </w:rPr>
              <w:t>[−3.30, −1.93]</w:t>
            </w:r>
          </w:p>
        </w:tc>
        <w:tc>
          <w:tcPr>
            <w:tcW w:type="dxa" w:w="580"/>
          </w:tcPr>
          <w:p>
            <w:pPr>
              <w:pStyle w:val="CellText"/>
              <w:jc w:val="right"/>
            </w:pPr>
            <w:r>
              <w:rPr>
                <w:sz w:val="16"/>
              </w:rPr>
              <w:t>8</w:t>
            </w:r>
          </w:p>
        </w:tc>
        <w:tc>
          <w:tcPr>
            <w:tcW w:type="dxa" w:w="691"/>
          </w:tcPr>
          <w:p>
            <w:pPr>
              <w:pStyle w:val="CellText"/>
              <w:jc w:val="right"/>
            </w:pPr>
            <w:r>
              <w:rPr>
                <w:b/>
                <w:sz w:val="16"/>
              </w:rPr>
              <w:t>+1.21</w:t>
            </w:r>
          </w:p>
        </w:tc>
        <w:tc>
          <w:tcPr>
            <w:tcW w:type="dxa" w:w="1382"/>
          </w:tcPr>
          <w:p>
            <w:pPr>
              <w:pStyle w:val="CellText"/>
              <w:jc w:val="center"/>
            </w:pPr>
            <w:r>
              <w:rPr>
                <w:sz w:val="16"/>
              </w:rPr>
              <w:t>[+0.33, +2.13]</w:t>
            </w:r>
          </w:p>
        </w:tc>
        <w:tc>
          <w:tcPr>
            <w:tcW w:type="dxa" w:w="580"/>
          </w:tcPr>
          <w:p>
            <w:pPr>
              <w:pStyle w:val="CellText"/>
              <w:jc w:val="right"/>
            </w:pPr>
            <w:r>
              <w:rPr>
                <w:sz w:val="16"/>
              </w:rPr>
              <w:t>12</w:t>
            </w:r>
          </w:p>
        </w:tc>
        <w:tc>
          <w:tcPr>
            <w:tcW w:type="dxa" w:w="691"/>
          </w:tcPr>
          <w:p>
            <w:pPr>
              <w:pStyle w:val="CellText"/>
              <w:jc w:val="right"/>
            </w:pPr>
            <w:r>
              <w:rPr>
                <w:b/>
                <w:sz w:val="16"/>
              </w:rPr>
              <w:t>+0.67</w:t>
            </w:r>
          </w:p>
        </w:tc>
        <w:tc>
          <w:tcPr>
            <w:tcW w:type="dxa" w:w="1382"/>
          </w:tcPr>
          <w:p>
            <w:pPr>
              <w:pStyle w:val="CellText"/>
              <w:jc w:val="center"/>
            </w:pPr>
            <w:r>
              <w:rPr>
                <w:sz w:val="16"/>
              </w:rPr>
              <w:t>[+0.61, +0.74]</w:t>
            </w:r>
          </w:p>
        </w:tc>
        <w:tc>
          <w:tcPr>
            <w:tcW w:type="dxa" w:w="580"/>
          </w:tcPr>
          <w:p>
            <w:pPr>
              <w:pStyle w:val="CellText"/>
              <w:jc w:val="right"/>
            </w:pPr>
            <w:r>
              <w:rPr>
                <w:sz w:val="16"/>
              </w:rPr>
              <w:t>1</w:t>
            </w:r>
          </w:p>
        </w:tc>
      </w:tr>
      <w:tr>
        <w:trPr>
          <w:cantSplit w:val="true"/>
        </w:trPr>
        <w:tc>
          <w:tcPr>
            <w:tcW w:type="dxa" w:w="967"/>
          </w:tcPr>
          <w:p>
            <w:pPr>
              <w:pStyle w:val="CellText"/>
            </w:pPr>
            <w:r>
              <w:rPr>
                <w:sz w:val="16"/>
              </w:rPr>
              <w:t>markov2</w:t>
            </w:r>
          </w:p>
        </w:tc>
        <w:tc>
          <w:tcPr>
            <w:tcW w:type="dxa" w:w="691"/>
          </w:tcPr>
          <w:p>
            <w:pPr>
              <w:pStyle w:val="CellText"/>
              <w:jc w:val="right"/>
            </w:pPr>
            <w:r>
              <w:rPr>
                <w:b/>
                <w:sz w:val="16"/>
              </w:rPr>
              <w:t>−4.18</w:t>
            </w:r>
          </w:p>
        </w:tc>
        <w:tc>
          <w:tcPr>
            <w:tcW w:type="dxa" w:w="1382"/>
          </w:tcPr>
          <w:p>
            <w:pPr>
              <w:pStyle w:val="CellText"/>
              <w:jc w:val="center"/>
            </w:pPr>
            <w:r>
              <w:rPr>
                <w:sz w:val="16"/>
              </w:rPr>
              <w:t>[−4.94, −3.51]</w:t>
            </w:r>
          </w:p>
        </w:tc>
        <w:tc>
          <w:tcPr>
            <w:tcW w:type="dxa" w:w="580"/>
          </w:tcPr>
          <w:p>
            <w:pPr>
              <w:pStyle w:val="CellText"/>
              <w:jc w:val="right"/>
            </w:pPr>
            <w:r>
              <w:rPr>
                <w:sz w:val="16"/>
              </w:rPr>
              <w:t>10</w:t>
            </w:r>
          </w:p>
        </w:tc>
        <w:tc>
          <w:tcPr>
            <w:tcW w:type="dxa" w:w="691"/>
          </w:tcPr>
          <w:p>
            <w:pPr>
              <w:pStyle w:val="CellText"/>
              <w:jc w:val="right"/>
            </w:pPr>
            <w:r>
              <w:rPr>
                <w:sz w:val="16"/>
              </w:rPr>
              <w:t>+0.52</w:t>
            </w:r>
          </w:p>
        </w:tc>
        <w:tc>
          <w:tcPr>
            <w:tcW w:type="dxa" w:w="1382"/>
          </w:tcPr>
          <w:p>
            <w:pPr>
              <w:pStyle w:val="CellText"/>
              <w:jc w:val="center"/>
            </w:pPr>
            <w:r>
              <w:rPr>
                <w:sz w:val="16"/>
              </w:rPr>
              <w:t>[−0.31, +1.40]</w:t>
            </w:r>
          </w:p>
        </w:tc>
        <w:tc>
          <w:tcPr>
            <w:tcW w:type="dxa" w:w="580"/>
          </w:tcPr>
          <w:p>
            <w:pPr>
              <w:pStyle w:val="CellText"/>
              <w:jc w:val="right"/>
            </w:pPr>
            <w:r>
              <w:rPr>
                <w:sz w:val="16"/>
              </w:rPr>
              <w:t>16</w:t>
            </w:r>
          </w:p>
        </w:tc>
        <w:tc>
          <w:tcPr>
            <w:tcW w:type="dxa" w:w="691"/>
          </w:tcPr>
          <w:p>
            <w:pPr>
              <w:pStyle w:val="CellText"/>
              <w:jc w:val="right"/>
            </w:pPr>
            <w:r>
              <w:rPr>
                <w:b/>
                <w:sz w:val="16"/>
              </w:rPr>
              <w:t>+0.60</w:t>
            </w:r>
          </w:p>
        </w:tc>
        <w:tc>
          <w:tcPr>
            <w:tcW w:type="dxa" w:w="1382"/>
          </w:tcPr>
          <w:p>
            <w:pPr>
              <w:pStyle w:val="CellText"/>
              <w:jc w:val="center"/>
            </w:pPr>
            <w:r>
              <w:rPr>
                <w:sz w:val="16"/>
              </w:rPr>
              <w:t>[+0.55, +0.65]</w:t>
            </w:r>
          </w:p>
        </w:tc>
        <w:tc>
          <w:tcPr>
            <w:tcW w:type="dxa" w:w="580"/>
          </w:tcPr>
          <w:p>
            <w:pPr>
              <w:pStyle w:val="CellText"/>
              <w:jc w:val="right"/>
            </w:pPr>
            <w:r>
              <w:rPr>
                <w:sz w:val="16"/>
              </w:rPr>
              <w:t>1</w:t>
            </w:r>
          </w:p>
        </w:tc>
      </w:tr>
      <w:tr>
        <w:trPr>
          <w:cantSplit w:val="true"/>
        </w:trPr>
        <w:tc>
          <w:tcPr>
            <w:tcW w:type="dxa" w:w="967"/>
          </w:tcPr>
          <w:p>
            <w:pPr>
              <w:pStyle w:val="CellText"/>
            </w:pPr>
            <w:r>
              <w:rPr>
                <w:sz w:val="16"/>
              </w:rPr>
              <w:t>model_a</w:t>
            </w:r>
          </w:p>
        </w:tc>
        <w:tc>
          <w:tcPr>
            <w:tcW w:type="dxa" w:w="691"/>
          </w:tcPr>
          <w:p>
            <w:pPr>
              <w:pStyle w:val="CellText"/>
              <w:jc w:val="right"/>
            </w:pPr>
            <w:r>
              <w:rPr>
                <w:b/>
                <w:sz w:val="16"/>
              </w:rPr>
              <w:t>−1.37</w:t>
            </w:r>
          </w:p>
        </w:tc>
        <w:tc>
          <w:tcPr>
            <w:tcW w:type="dxa" w:w="1382"/>
          </w:tcPr>
          <w:p>
            <w:pPr>
              <w:pStyle w:val="CellText"/>
              <w:jc w:val="center"/>
            </w:pPr>
            <w:r>
              <w:rPr>
                <w:sz w:val="16"/>
              </w:rPr>
              <w:t>[−2.08, −0.71]</w:t>
            </w:r>
          </w:p>
        </w:tc>
        <w:tc>
          <w:tcPr>
            <w:tcW w:type="dxa" w:w="580"/>
          </w:tcPr>
          <w:p>
            <w:pPr>
              <w:pStyle w:val="CellText"/>
              <w:jc w:val="right"/>
            </w:pPr>
            <w:r>
              <w:rPr>
                <w:sz w:val="16"/>
              </w:rPr>
              <w:t>434</w:t>
            </w:r>
          </w:p>
        </w:tc>
        <w:tc>
          <w:tcPr>
            <w:tcW w:type="dxa" w:w="691"/>
          </w:tcPr>
          <w:p>
            <w:pPr>
              <w:pStyle w:val="CellText"/>
              <w:jc w:val="right"/>
            </w:pPr>
            <w:r>
              <w:rPr>
                <w:b/>
                <w:sz w:val="16"/>
              </w:rPr>
              <w:t>+1.57</w:t>
            </w:r>
          </w:p>
        </w:tc>
        <w:tc>
          <w:tcPr>
            <w:tcW w:type="dxa" w:w="1382"/>
          </w:tcPr>
          <w:p>
            <w:pPr>
              <w:pStyle w:val="CellText"/>
              <w:jc w:val="center"/>
            </w:pPr>
            <w:r>
              <w:rPr>
                <w:sz w:val="16"/>
              </w:rPr>
              <w:t>[+0.74, +2.45]</w:t>
            </w:r>
          </w:p>
        </w:tc>
        <w:tc>
          <w:tcPr>
            <w:tcW w:type="dxa" w:w="580"/>
          </w:tcPr>
          <w:p>
            <w:pPr>
              <w:pStyle w:val="CellText"/>
              <w:jc w:val="right"/>
            </w:pPr>
            <w:r>
              <w:rPr>
                <w:sz w:val="16"/>
              </w:rPr>
              <w:t>706</w:t>
            </w:r>
          </w:p>
        </w:tc>
        <w:tc>
          <w:tcPr>
            <w:tcW w:type="dxa" w:w="691"/>
          </w:tcPr>
          <w:p>
            <w:pPr>
              <w:pStyle w:val="CellText"/>
              <w:jc w:val="right"/>
            </w:pPr>
            <w:r>
              <w:rPr>
                <w:b/>
                <w:sz w:val="16"/>
              </w:rPr>
              <w:t>+0.72</w:t>
            </w:r>
          </w:p>
        </w:tc>
        <w:tc>
          <w:tcPr>
            <w:tcW w:type="dxa" w:w="1382"/>
          </w:tcPr>
          <w:p>
            <w:pPr>
              <w:pStyle w:val="CellText"/>
              <w:jc w:val="center"/>
            </w:pPr>
            <w:r>
              <w:rPr>
                <w:sz w:val="16"/>
              </w:rPr>
              <w:t>[+0.65, +0.78]</w:t>
            </w:r>
          </w:p>
        </w:tc>
        <w:tc>
          <w:tcPr>
            <w:tcW w:type="dxa" w:w="580"/>
          </w:tcPr>
          <w:p>
            <w:pPr>
              <w:pStyle w:val="CellText"/>
              <w:jc w:val="right"/>
            </w:pPr>
            <w:r>
              <w:rPr>
                <w:sz w:val="16"/>
              </w:rPr>
              <w:t>78</w:t>
            </w:r>
          </w:p>
        </w:tc>
      </w:tr>
      <w:tr>
        <w:trPr>
          <w:cantSplit w:val="true"/>
        </w:trPr>
        <w:tc>
          <w:tcPr>
            <w:tcW w:type="dxa" w:w="967"/>
          </w:tcPr>
          <w:p>
            <w:pPr>
              <w:pStyle w:val="CellText"/>
            </w:pPr>
            <w:r>
              <w:rPr>
                <w:sz w:val="16"/>
              </w:rPr>
              <w:t>model_b</w:t>
            </w:r>
          </w:p>
        </w:tc>
        <w:tc>
          <w:tcPr>
            <w:tcW w:type="dxa" w:w="691"/>
          </w:tcPr>
          <w:p>
            <w:pPr>
              <w:pStyle w:val="CellText"/>
              <w:jc w:val="right"/>
            </w:pPr>
            <w:r>
              <w:rPr>
                <w:sz w:val="16"/>
              </w:rPr>
              <w:t>+0.20</w:t>
            </w:r>
          </w:p>
        </w:tc>
        <w:tc>
          <w:tcPr>
            <w:tcW w:type="dxa" w:w="1382"/>
          </w:tcPr>
          <w:p>
            <w:pPr>
              <w:pStyle w:val="CellText"/>
              <w:jc w:val="center"/>
            </w:pPr>
            <w:r>
              <w:rPr>
                <w:sz w:val="16"/>
              </w:rPr>
              <w:t>[−0.50, +0.92]</w:t>
            </w:r>
          </w:p>
        </w:tc>
        <w:tc>
          <w:tcPr>
            <w:tcW w:type="dxa" w:w="580"/>
          </w:tcPr>
          <w:p>
            <w:pPr>
              <w:pStyle w:val="CellText"/>
              <w:jc w:val="right"/>
            </w:pPr>
            <w:r>
              <w:rPr>
                <w:sz w:val="16"/>
              </w:rPr>
              <w:t>585</w:t>
            </w:r>
          </w:p>
        </w:tc>
        <w:tc>
          <w:tcPr>
            <w:tcW w:type="dxa" w:w="691"/>
          </w:tcPr>
          <w:p>
            <w:pPr>
              <w:pStyle w:val="CellText"/>
              <w:jc w:val="right"/>
            </w:pPr>
            <w:r>
              <w:rPr>
                <w:b/>
                <w:sz w:val="16"/>
              </w:rPr>
              <w:t>+3.00</w:t>
            </w:r>
          </w:p>
        </w:tc>
        <w:tc>
          <w:tcPr>
            <w:tcW w:type="dxa" w:w="1382"/>
          </w:tcPr>
          <w:p>
            <w:pPr>
              <w:pStyle w:val="CellText"/>
              <w:jc w:val="center"/>
            </w:pPr>
            <w:r>
              <w:rPr>
                <w:sz w:val="16"/>
              </w:rPr>
              <w:t>[+2.01, +4.00]</w:t>
            </w:r>
          </w:p>
        </w:tc>
        <w:tc>
          <w:tcPr>
            <w:tcW w:type="dxa" w:w="580"/>
          </w:tcPr>
          <w:p>
            <w:pPr>
              <w:pStyle w:val="CellText"/>
              <w:jc w:val="right"/>
            </w:pPr>
            <w:r>
              <w:rPr>
                <w:sz w:val="16"/>
              </w:rPr>
              <w:t>860</w:t>
            </w:r>
          </w:p>
        </w:tc>
        <w:tc>
          <w:tcPr>
            <w:tcW w:type="dxa" w:w="691"/>
          </w:tcPr>
          <w:p>
            <w:pPr>
              <w:pStyle w:val="CellText"/>
              <w:jc w:val="right"/>
            </w:pPr>
            <w:r>
              <w:rPr>
                <w:b/>
                <w:sz w:val="16"/>
              </w:rPr>
              <w:t>+0.75</w:t>
            </w:r>
          </w:p>
        </w:tc>
        <w:tc>
          <w:tcPr>
            <w:tcW w:type="dxa" w:w="1382"/>
          </w:tcPr>
          <w:p>
            <w:pPr>
              <w:pStyle w:val="CellText"/>
              <w:jc w:val="center"/>
            </w:pPr>
            <w:r>
              <w:rPr>
                <w:sz w:val="16"/>
              </w:rPr>
              <w:t>[+0.69, +0.82]</w:t>
            </w:r>
          </w:p>
        </w:tc>
        <w:tc>
          <w:tcPr>
            <w:tcW w:type="dxa" w:w="580"/>
          </w:tcPr>
          <w:p>
            <w:pPr>
              <w:pStyle w:val="CellText"/>
              <w:jc w:val="right"/>
            </w:pPr>
            <w:r>
              <w:rPr>
                <w:sz w:val="16"/>
              </w:rPr>
              <w:t>89</w:t>
            </w:r>
          </w:p>
        </w:tc>
      </w:tr>
      <w:tr>
        <w:trPr>
          <w:cantSplit w:val="true"/>
        </w:trPr>
        <w:tc>
          <w:tcPr>
            <w:tcW w:type="dxa" w:w="967"/>
          </w:tcPr>
          <w:p>
            <w:pPr>
              <w:pStyle w:val="CellText"/>
            </w:pPr>
            <w:r>
              <w:rPr>
                <w:sz w:val="16"/>
              </w:rPr>
              <w:t>hybrid</w:t>
            </w:r>
          </w:p>
        </w:tc>
        <w:tc>
          <w:tcPr>
            <w:tcW w:type="dxa" w:w="691"/>
          </w:tcPr>
          <w:p>
            <w:pPr>
              <w:pStyle w:val="CellText"/>
              <w:jc w:val="right"/>
            </w:pPr>
            <w:r>
              <w:rPr>
                <w:sz w:val="16"/>
              </w:rPr>
              <w:t>−0.32</w:t>
            </w:r>
          </w:p>
        </w:tc>
        <w:tc>
          <w:tcPr>
            <w:tcW w:type="dxa" w:w="1382"/>
          </w:tcPr>
          <w:p>
            <w:pPr>
              <w:pStyle w:val="CellText"/>
              <w:jc w:val="center"/>
            </w:pPr>
            <w:r>
              <w:rPr>
                <w:sz w:val="16"/>
              </w:rPr>
              <w:t>[−0.95, +0.33]</w:t>
            </w:r>
          </w:p>
        </w:tc>
        <w:tc>
          <w:tcPr>
            <w:tcW w:type="dxa" w:w="580"/>
          </w:tcPr>
          <w:p>
            <w:pPr>
              <w:pStyle w:val="CellText"/>
              <w:jc w:val="right"/>
            </w:pPr>
            <w:r>
              <w:rPr>
                <w:sz w:val="16"/>
              </w:rPr>
              <w:t>280</w:t>
            </w:r>
          </w:p>
        </w:tc>
        <w:tc>
          <w:tcPr>
            <w:tcW w:type="dxa" w:w="691"/>
          </w:tcPr>
          <w:p>
            <w:pPr>
              <w:pStyle w:val="CellText"/>
              <w:jc w:val="right"/>
            </w:pPr>
            <w:r>
              <w:rPr>
                <w:sz w:val="16"/>
              </w:rPr>
              <w:t>+0.78</w:t>
            </w:r>
          </w:p>
        </w:tc>
        <w:tc>
          <w:tcPr>
            <w:tcW w:type="dxa" w:w="1382"/>
          </w:tcPr>
          <w:p>
            <w:pPr>
              <w:pStyle w:val="CellText"/>
              <w:jc w:val="center"/>
            </w:pPr>
            <w:r>
              <w:rPr>
                <w:sz w:val="16"/>
              </w:rPr>
              <w:t>[−0.04, +1.61]</w:t>
            </w:r>
          </w:p>
        </w:tc>
        <w:tc>
          <w:tcPr>
            <w:tcW w:type="dxa" w:w="580"/>
          </w:tcPr>
          <w:p>
            <w:pPr>
              <w:pStyle w:val="CellText"/>
              <w:jc w:val="right"/>
            </w:pPr>
            <w:r>
              <w:rPr>
                <w:sz w:val="16"/>
              </w:rPr>
              <w:t>341</w:t>
            </w:r>
          </w:p>
        </w:tc>
        <w:tc>
          <w:tcPr>
            <w:tcW w:type="dxa" w:w="691"/>
          </w:tcPr>
          <w:p>
            <w:pPr>
              <w:pStyle w:val="CellText"/>
              <w:jc w:val="right"/>
            </w:pPr>
            <w:r>
              <w:rPr>
                <w:b/>
                <w:sz w:val="16"/>
              </w:rPr>
              <w:t>+0.72</w:t>
            </w:r>
          </w:p>
        </w:tc>
        <w:tc>
          <w:tcPr>
            <w:tcW w:type="dxa" w:w="1382"/>
          </w:tcPr>
          <w:p>
            <w:pPr>
              <w:pStyle w:val="CellText"/>
              <w:jc w:val="center"/>
            </w:pPr>
            <w:r>
              <w:rPr>
                <w:sz w:val="16"/>
              </w:rPr>
              <w:t>[+0.65, +0.79]</w:t>
            </w:r>
          </w:p>
        </w:tc>
        <w:tc>
          <w:tcPr>
            <w:tcW w:type="dxa" w:w="580"/>
          </w:tcPr>
          <w:p>
            <w:pPr>
              <w:pStyle w:val="CellText"/>
              <w:jc w:val="right"/>
            </w:pPr>
            <w:r>
              <w:rPr>
                <w:sz w:val="16"/>
              </w:rPr>
              <w:t>28</w:t>
            </w:r>
          </w:p>
        </w:tc>
      </w:tr>
    </w:tbl>
    <w:p>
      <w:pPr>
        <w:spacing w:before="60" w:after="200"/>
      </w:pPr>
      <w:r>
        <w:rPr>
          <w:i/>
          <w:sz w:val="19"/>
        </w:rPr>
        <w:t xml:space="preserve">Δ: paired mean per-query latency difference versus </w:t>
      </w:r>
      <w:r>
        <w:rPr>
          <w:rFonts w:ascii="Consolas" w:hAnsi="Consolas" w:eastAsia="Consolas"/>
          <w:i/>
          <w:sz w:val="16"/>
        </w:rPr>
        <w:t>none</w:t>
      </w:r>
      <w:r>
        <w:rPr>
          <w:i/>
          <w:sz w:val="19"/>
        </w:rPr>
        <w:t xml:space="preserve"> (negative = faster) over 300 matched queries (seeds 901–903 × 100 queries); bold = the 2,000-resample bootstrap 95% CI excludes zero. Infer.: mean total predictor time per run. Median per-query p50 latency of </w:t>
      </w:r>
      <w:r>
        <w:rPr>
          <w:rFonts w:ascii="Consolas" w:hAnsi="Consolas" w:eastAsia="Consolas"/>
          <w:i/>
          <w:sz w:val="16"/>
        </w:rPr>
        <w:t>none</w:t>
      </w:r>
      <w:r>
        <w:rPr>
          <w:i/>
          <w:sz w:val="19"/>
        </w:rPr>
        <w:t xml:space="preserve"> was 12.41 ms, 21.41 ms and 0.52 ms in the three categories; Category A rows are latency-injected evidence only. Full per-run p50/p95/total latency, cache statistics and useful/wasted prefetch counts are in </w:t>
      </w:r>
      <w:r>
        <w:rPr>
          <w:rFonts w:ascii="Consolas" w:hAnsi="Consolas" w:eastAsia="Consolas"/>
          <w:i/>
          <w:sz w:val="16"/>
        </w:rPr>
        <w:t>suite_summary.json</w:t>
      </w:r>
      <w:r>
        <w:rPr>
          <w:i/>
          <w:sz w:val="19"/>
        </w:rPr>
        <w:t xml:space="preserve"> and the dashboard snapshot.</w:t>
      </w:r>
    </w:p>
    <w:p>
      <w:pPr>
        <w:keepNext/>
        <w:spacing w:after="0"/>
        <w:jc w:val="center"/>
      </w:pPr>
      <w:r>
        <w:drawing>
          <wp:inline xmlns:a="http://schemas.openxmlformats.org/drawingml/2006/main" xmlns:pic="http://schemas.openxmlformats.org/drawingml/2006/picture">
            <wp:extent cx="5669280" cy="6456679"/>
            <wp:docPr id="5" name="Picture 5"/>
            <wp:cNvGraphicFramePr>
              <a:graphicFrameLocks noChangeAspect="1"/>
            </wp:cNvGraphicFramePr>
            <a:graphic>
              <a:graphicData uri="http://schemas.openxmlformats.org/drawingml/2006/picture">
                <pic:pic>
                  <pic:nvPicPr>
                    <pic:cNvPr id="0" name="fig5_paired_deltas.png"/>
                    <pic:cNvPicPr/>
                  </pic:nvPicPr>
                  <pic:blipFill>
                    <a:blip r:embed="rId15"/>
                    <a:stretch>
                      <a:fillRect/>
                    </a:stretch>
                  </pic:blipFill>
                  <pic:spPr>
                    <a:xfrm>
                      <a:off x="0" y="0"/>
                      <a:ext cx="5669280" cy="6456679"/>
                    </a:xfrm>
                    <a:prstGeom prst="rect"/>
                  </pic:spPr>
                </pic:pic>
              </a:graphicData>
            </a:graphic>
          </wp:inline>
        </w:drawing>
      </w:r>
    </w:p>
    <w:p>
      <w:pPr>
        <w:pStyle w:val="FigCaption"/>
      </w:pPr>
      <w:r>
        <w:rPr>
          <w:sz w:val="20"/>
        </w:rPr>
        <w:t xml:space="preserve">Figure 5. Paired per-query latency delta versus the custom-cache </w:t>
      </w:r>
      <w:r>
        <w:rPr>
          <w:rFonts w:ascii="Consolas" w:hAnsi="Consolas" w:eastAsia="Consolas"/>
          <w:sz w:val="17"/>
        </w:rPr>
        <w:t>none</w:t>
      </w:r>
      <w:r>
        <w:rPr>
          <w:sz w:val="20"/>
        </w:rPr>
        <w:t xml:space="preserve"> baseline for the three final categories (bar = mean, whisker = bootstrap 95% CI; green/red = interval excludes zero, grey = inconclusive).</w:t>
      </w:r>
    </w:p>
    <w:p>
      <w:pPr>
        <w:keepNext/>
      </w:pPr>
      <w:r>
        <w:rPr>
          <w:b/>
        </w:rPr>
        <w:t>Observations.</w:t>
      </w:r>
    </w:p>
    <w:p>
      <w:pPr>
        <w:pStyle w:val="ListBullet"/>
        <w:jc w:val="left"/>
      </w:pPr>
      <w:r>
        <w:t>At 0.2 ms per miss, Markov-2 gives the best paired improvement (−4.18 ms per query, 85.7% of queries faster), followed by sequential (−3.81 ms) and Markov-1 (−2.60 ms); all three intervals exclude zero. Model A is also significant (−1.37 ms), whereas Model B (+0.20 ms) and hybrid (−0.32 ms) are inconclusive.</w:t>
      </w:r>
    </w:p>
    <w:p>
      <w:pPr>
        <w:pStyle w:val="ListBullet"/>
        <w:jc w:val="left"/>
      </w:pPr>
      <w:r>
        <w:t>The neural strategies prefetch about as usefully as Markov-2 (105 vs 108 useful pages per run) and waste fewer pages, but spend 585 ms (Model B) and 434 ms (Model A) per run in inference against 10 ms for Markov-2, and complete only about half as many jobs — inference cost, not accuracy, is the binding constraint.</w:t>
      </w:r>
    </w:p>
    <w:p>
      <w:pPr>
        <w:pStyle w:val="ListBullet"/>
        <w:jc w:val="left"/>
      </w:pPr>
      <w:r>
        <w:t xml:space="preserve">At 1.0 ms per miss no strategy significantly beats </w:t>
      </w:r>
      <w:r>
        <w:rPr>
          <w:rFonts w:ascii="Consolas" w:hAnsi="Consolas" w:eastAsia="Consolas"/>
          <w:sz w:val="21"/>
        </w:rPr>
        <w:t>none</w:t>
      </w:r>
      <w:r>
        <w:t>; Markov-2 is closest (+0.52 ms, interval includes zero). The larger delay amplifies both the benefit of a correct prefetch and the cost of serialising behind speculative reads at this cache and queue configuration.</w:t>
      </w:r>
    </w:p>
    <w:p>
      <w:pPr>
        <w:pStyle w:val="ListBullet"/>
        <w:jc w:val="left"/>
      </w:pPr>
      <w:r>
        <w:t xml:space="preserve">On real storage every prefetching strategy is slower than </w:t>
      </w:r>
      <w:r>
        <w:rPr>
          <w:rFonts w:ascii="Consolas" w:hAnsi="Consolas" w:eastAsia="Consolas"/>
          <w:sz w:val="21"/>
        </w:rPr>
        <w:t>none</w:t>
      </w:r>
      <w:r>
        <w:t xml:space="preserve"> (all intervals positive, +0.60 to +0.75 ms), and the custom-cache </w:t>
      </w:r>
      <w:r>
        <w:rPr>
          <w:rFonts w:ascii="Consolas" w:hAnsi="Consolas" w:eastAsia="Consolas"/>
          <w:sz w:val="21"/>
        </w:rPr>
        <w:t>none</w:t>
      </w:r>
      <w:r>
        <w:t xml:space="preserve"> is itself slower than stock SQLite (−0.12 ms): with a 3.2 MB database resident in RAM there is no I/O latency to hide, so any scheduling work is pure overhead.</w:t>
      </w:r>
    </w:p>
    <w:p>
      <w:pPr>
        <w:pStyle w:val="ListBullet"/>
        <w:jc w:val="left"/>
      </w:pPr>
      <w:r>
        <w:t xml:space="preserve">The hybrid gate cuts Model B’s inference time by half or more in every category; in the earlier three-seed development validation (200 queries per seed) it reduced Model B inference from 979.9 ms to 403.1 ms per run and achieved a −3.19 ms paired delta versus </w:t>
      </w:r>
      <w:r>
        <w:rPr>
          <w:rFonts w:ascii="Consolas" w:hAnsi="Consolas" w:eastAsia="Consolas"/>
          <w:sz w:val="21"/>
        </w:rPr>
        <w:t>none</w:t>
      </w:r>
      <w:r>
        <w:t xml:space="preserve"> (Markov-2: −3.42 ms). That suite was a tuning artefact and is not pooled with the final results.</w:t>
      </w:r>
    </w:p>
    <w:p>
      <w:pPr>
        <w:pStyle w:val="Heading2"/>
      </w:pPr>
      <w:r>
        <w:t>8.4 Benchmark audit and repairs</w:t>
      </w:r>
    </w:p>
    <w:p>
      <w:pPr>
        <w:keepNext/>
      </w:pPr>
      <w:r>
        <w:t xml:space="preserve">Before protocol v2 was frozen, the runtime measurement harness was audited. The audit found and repaired three defects and verified one invariant, each with a regression test in </w:t>
      </w:r>
      <w:r>
        <w:rPr>
          <w:rFonts w:ascii="Consolas" w:hAnsi="Consolas" w:eastAsia="Consolas"/>
          <w:sz w:val="21"/>
        </w:rPr>
        <w:t>test_benchmark_audit_and_repair.py</w:t>
      </w:r>
      <w:r>
        <w:t>:</w:t>
      </w:r>
    </w:p>
    <w:p>
      <w:pPr>
        <w:pStyle w:val="ListBullet"/>
        <w:jc w:val="left"/>
      </w:pPr>
      <w:r>
        <w:rPr>
          <w:b/>
        </w:rPr>
        <w:t>Queue staleness.</w:t>
      </w:r>
      <w:r>
        <w:t xml:space="preserve"> Timestamped diagnostics showed that 71–74% of queued prediction jobs executed for queries that had already finished. Active-query synchronisation and </w:t>
      </w:r>
      <w:r>
        <w:rPr>
          <w:rFonts w:ascii="Consolas" w:hAnsi="Consolas" w:eastAsia="Consolas"/>
          <w:sz w:val="21"/>
        </w:rPr>
        <w:t>--drop-stale-jobs</w:t>
      </w:r>
      <w:r>
        <w:t xml:space="preserve"> cut queue wait by 52.7% and neural inference overhead by 76.6%.</w:t>
      </w:r>
    </w:p>
    <w:p>
      <w:pPr>
        <w:pStyle w:val="ListBullet"/>
        <w:jc w:val="left"/>
      </w:pPr>
      <w:r>
        <w:rPr>
          <w:b/>
        </w:rPr>
        <w:t>Storage-channel contention.</w:t>
      </w:r>
      <w:r>
        <w:t xml:space="preserve"> Independent </w:t>
      </w:r>
      <w:r>
        <w:rPr>
          <w:rFonts w:ascii="Consolas" w:hAnsi="Consolas" w:eastAsia="Consolas"/>
          <w:sz w:val="21"/>
        </w:rPr>
        <w:t>time.sleep</w:t>
      </w:r>
      <w:r>
        <w:t xml:space="preserve"> delays modelled infinite storage bandwidth, hiding the cost of wasted prefetches. </w:t>
      </w:r>
      <w:r>
        <w:rPr>
          <w:rFonts w:ascii="Consolas" w:hAnsi="Consolas" w:eastAsia="Consolas"/>
          <w:sz w:val="21"/>
        </w:rPr>
        <w:t>SimulatedStorageDevice</w:t>
      </w:r>
      <w:r>
        <w:t xml:space="preserve"> with </w:t>
      </w:r>
      <w:r>
        <w:rPr>
          <w:rFonts w:ascii="Consolas" w:hAnsi="Consolas" w:eastAsia="Consolas"/>
          <w:sz w:val="21"/>
        </w:rPr>
        <w:t>--storage-model shared</w:t>
      </w:r>
      <w:r>
        <w:t xml:space="preserve"> serialises access and charges demand misses for in-flight speculative I/O.</w:t>
      </w:r>
    </w:p>
    <w:p>
      <w:pPr>
        <w:pStyle w:val="ListBullet"/>
        <w:jc w:val="left"/>
      </w:pPr>
      <w:r>
        <w:rPr>
          <w:b/>
        </w:rPr>
        <w:t>Lock boundaries.</w:t>
      </w:r>
      <w:r>
        <w:t xml:space="preserve"> It was verified that injected delay is executed strictly outside </w:t>
      </w:r>
      <w:r>
        <w:rPr>
          <w:rFonts w:ascii="Consolas" w:hAnsi="Consolas" w:eastAsia="Consolas"/>
          <w:sz w:val="21"/>
        </w:rPr>
        <w:t>BoundedPageCache._lock</w:t>
      </w:r>
      <w:r>
        <w:t xml:space="preserve"> and the runtime locks on both the demand and prefetch paths.</w:t>
      </w:r>
    </w:p>
    <w:p>
      <w:pPr>
        <w:pStyle w:val="ListBullet"/>
        <w:jc w:val="left"/>
      </w:pPr>
      <w:r>
        <w:rPr>
          <w:b/>
        </w:rPr>
        <w:t>Consistent denominators.</w:t>
      </w:r>
      <w:r>
        <w:t xml:space="preserve"> Useful-prefetch % and total-wasted-prefetch % now share the same denominator (the number of pages prefetched), so they sum to 100%.</w:t>
      </w:r>
    </w:p>
    <w:p>
      <w:r>
        <w:t xml:space="preserve">In addition, the original oracle was found to target pages that were often already cached, under-stating the attainable headroom by roughly an order of magnitude (Decision D7). The replacement </w:t>
      </w:r>
      <w:r>
        <w:rPr>
          <w:rFonts w:ascii="Consolas" w:hAnsi="Consolas" w:eastAsia="Consolas"/>
          <w:sz w:val="21"/>
        </w:rPr>
        <w:t>oracle_miss</w:t>
      </w:r>
      <w:r>
        <w:t xml:space="preserve">, combined with a prefetch worker pool, achieves −11.2 / −17.3 / −28.5 / −65.7 ms per query versus </w:t>
      </w:r>
      <w:r>
        <w:rPr>
          <w:rFonts w:ascii="Consolas" w:hAnsi="Consolas" w:eastAsia="Consolas"/>
          <w:sz w:val="21"/>
        </w:rPr>
        <w:t>none</w:t>
      </w:r>
      <w:r>
        <w:t xml:space="preserve"> at 0.5 / 1.0 / 2.0 / 5.0 ms delay under the independent model (cache 32, </w:t>
      </w:r>
      <w:r>
        <w:rPr>
          <w:i/>
        </w:rPr>
        <w:t>K</w:t>
      </w:r>
      <w:r>
        <w:t xml:space="preserve"> = 4, four workers, 70–75% useful prefetches). Under the shared model the oracle still loses (+4.6 to +10.5 ms per query), which is recorded as genuine device saturation rather than a harness bug (Decision D9) and feeds the headroom decision of milestone M4.</w:t>
      </w:r>
    </w:p>
    <w:p>
      <w:pPr>
        <w:pStyle w:val="Heading2"/>
      </w:pPr>
      <w:r>
        <w:t>8.5 Offline study under protocol v2 (milestone M2)</w:t>
      </w:r>
    </w:p>
    <w:p>
      <w:r>
        <w:t>The v2 offline study re-evaluated prediction on the frozen 300-execution trace with five model seeds, 12 epochs, a parameter-bucket split and a held-out-template split, and added the two context-keyed table controls. Table 12 gives the mean top-1 accuracy on the parameter split.</w:t>
      </w:r>
    </w:p>
    <w:p>
      <w:pPr>
        <w:pStyle w:val="TableCaption"/>
      </w:pPr>
      <w:r>
        <w:rPr>
          <w:sz w:val="20"/>
        </w:rPr>
        <w:t>Table 12. v2 offline study — mean top-1 accuracy on the held-out-parameter split (5 model seeds, 12 epochs)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cantSplit w:val="true"/>
          <w:cantSplit w:val="true"/>
        </w:trPr>
        <w:tc>
          <w:tcPr>
            <w:tcW w:type="dxa" w:w="3296"/>
            <w:shd w:val="clear" w:color="auto" w:fill="D9E2F3"/>
          </w:tcPr>
          <w:p>
            <w:pPr>
              <w:pStyle w:val="CellText"/>
            </w:pPr>
            <w:r>
              <w:rPr>
                <w:b/>
                <w:sz w:val="19"/>
              </w:rPr>
              <w:t>Policy</w:t>
            </w:r>
          </w:p>
        </w:tc>
        <w:tc>
          <w:tcPr>
            <w:tcW w:type="dxa" w:w="1168"/>
            <w:shd w:val="clear" w:color="auto" w:fill="D9E2F3"/>
          </w:tcPr>
          <w:p>
            <w:pPr>
              <w:pStyle w:val="CellText"/>
            </w:pPr>
            <w:r>
              <w:rPr>
                <w:b/>
                <w:sz w:val="19"/>
              </w:rPr>
              <w:t>Top-1 (%)</w:t>
            </w:r>
          </w:p>
        </w:tc>
        <w:tc>
          <w:tcPr>
            <w:tcW w:type="dxa" w:w="3296"/>
            <w:shd w:val="clear" w:color="auto" w:fill="D9E2F3"/>
          </w:tcPr>
          <w:p>
            <w:pPr>
              <w:pStyle w:val="CellText"/>
            </w:pPr>
            <w:r>
              <w:rPr>
                <w:b/>
                <w:sz w:val="19"/>
              </w:rPr>
              <w:t>Policy</w:t>
            </w:r>
          </w:p>
        </w:tc>
        <w:tc>
          <w:tcPr>
            <w:tcW w:type="dxa" w:w="1168"/>
            <w:shd w:val="clear" w:color="auto" w:fill="D9E2F3"/>
          </w:tcPr>
          <w:p>
            <w:pPr>
              <w:pStyle w:val="CellText"/>
            </w:pPr>
            <w:r>
              <w:rPr>
                <w:b/>
                <w:sz w:val="19"/>
              </w:rPr>
              <w:t>Top-1 (%)</w:t>
            </w:r>
          </w:p>
        </w:tc>
      </w:tr>
      <w:tr>
        <w:trPr>
          <w:cantSplit w:val="true"/>
        </w:trPr>
        <w:tc>
          <w:tcPr>
            <w:tcW w:type="dxa" w:w="3296"/>
          </w:tcPr>
          <w:p>
            <w:pPr>
              <w:pStyle w:val="CellText"/>
            </w:pPr>
            <w:r>
              <w:rPr>
                <w:rFonts w:ascii="Consolas" w:hAnsi="Consolas" w:eastAsia="Consolas"/>
                <w:sz w:val="16"/>
              </w:rPr>
              <w:t>markov1</w:t>
            </w:r>
          </w:p>
        </w:tc>
        <w:tc>
          <w:tcPr>
            <w:tcW w:type="dxa" w:w="1168"/>
          </w:tcPr>
          <w:p>
            <w:pPr>
              <w:pStyle w:val="CellText"/>
              <w:jc w:val="right"/>
            </w:pPr>
            <w:r>
              <w:rPr>
                <w:sz w:val="19"/>
              </w:rPr>
              <w:t>56.78</w:t>
            </w:r>
          </w:p>
        </w:tc>
        <w:tc>
          <w:tcPr>
            <w:tcW w:type="dxa" w:w="3296"/>
          </w:tcPr>
          <w:p>
            <w:pPr>
              <w:pStyle w:val="CellText"/>
            </w:pPr>
            <w:r>
              <w:rPr>
                <w:rFonts w:ascii="Consolas" w:hAnsi="Consolas" w:eastAsia="Consolas"/>
                <w:sz w:val="16"/>
              </w:rPr>
              <w:t>model_a</w:t>
            </w:r>
          </w:p>
        </w:tc>
        <w:tc>
          <w:tcPr>
            <w:tcW w:type="dxa" w:w="1168"/>
          </w:tcPr>
          <w:p>
            <w:pPr>
              <w:pStyle w:val="CellText"/>
              <w:jc w:val="right"/>
            </w:pPr>
            <w:r>
              <w:rPr>
                <w:sz w:val="19"/>
              </w:rPr>
              <w:t>22.15</w:t>
            </w:r>
          </w:p>
        </w:tc>
      </w:tr>
      <w:tr>
        <w:trPr>
          <w:cantSplit w:val="true"/>
        </w:trPr>
        <w:tc>
          <w:tcPr>
            <w:tcW w:type="dxa" w:w="3296"/>
          </w:tcPr>
          <w:p>
            <w:pPr>
              <w:pStyle w:val="CellText"/>
            </w:pPr>
            <w:r>
              <w:rPr>
                <w:rFonts w:ascii="Consolas" w:hAnsi="Consolas" w:eastAsia="Consolas"/>
                <w:sz w:val="16"/>
              </w:rPr>
              <w:t>markov2</w:t>
            </w:r>
          </w:p>
        </w:tc>
        <w:tc>
          <w:tcPr>
            <w:tcW w:type="dxa" w:w="1168"/>
          </w:tcPr>
          <w:p>
            <w:pPr>
              <w:pStyle w:val="CellText"/>
              <w:jc w:val="right"/>
            </w:pPr>
            <w:r>
              <w:rPr>
                <w:sz w:val="19"/>
              </w:rPr>
              <w:t>59.93</w:t>
            </w:r>
          </w:p>
        </w:tc>
        <w:tc>
          <w:tcPr>
            <w:tcW w:type="dxa" w:w="3296"/>
          </w:tcPr>
          <w:p>
            <w:pPr>
              <w:pStyle w:val="CellText"/>
            </w:pPr>
            <w:r>
              <w:rPr>
                <w:rFonts w:ascii="Consolas" w:hAnsi="Consolas" w:eastAsia="Consolas"/>
                <w:sz w:val="16"/>
              </w:rPr>
              <w:t>model_b</w:t>
            </w:r>
          </w:p>
        </w:tc>
        <w:tc>
          <w:tcPr>
            <w:tcW w:type="dxa" w:w="1168"/>
          </w:tcPr>
          <w:p>
            <w:pPr>
              <w:pStyle w:val="CellText"/>
              <w:jc w:val="right"/>
            </w:pPr>
            <w:r>
              <w:rPr>
                <w:sz w:val="19"/>
              </w:rPr>
              <w:t>34.66</w:t>
            </w:r>
          </w:p>
        </w:tc>
      </w:tr>
      <w:tr>
        <w:trPr>
          <w:cantSplit w:val="true"/>
        </w:trPr>
        <w:tc>
          <w:tcPr>
            <w:tcW w:type="dxa" w:w="3296"/>
          </w:tcPr>
          <w:p>
            <w:pPr>
              <w:pStyle w:val="CellText"/>
            </w:pPr>
            <w:r>
              <w:rPr>
                <w:rFonts w:ascii="Consolas" w:hAnsi="Consolas" w:eastAsia="Consolas"/>
                <w:sz w:val="16"/>
              </w:rPr>
              <w:t>markov_ctx</w:t>
            </w:r>
            <w:r>
              <w:rPr>
                <w:sz w:val="19"/>
              </w:rPr>
              <w:t xml:space="preserve"> (context-keyed table)</w:t>
            </w:r>
          </w:p>
        </w:tc>
        <w:tc>
          <w:tcPr>
            <w:tcW w:type="dxa" w:w="1168"/>
          </w:tcPr>
          <w:p>
            <w:pPr>
              <w:pStyle w:val="CellText"/>
              <w:jc w:val="right"/>
            </w:pPr>
            <w:r>
              <w:rPr>
                <w:sz w:val="19"/>
              </w:rPr>
              <w:t>58.78</w:t>
            </w:r>
          </w:p>
        </w:tc>
        <w:tc>
          <w:tcPr>
            <w:tcW w:type="dxa" w:w="3296"/>
          </w:tcPr>
          <w:p>
            <w:pPr>
              <w:pStyle w:val="CellText"/>
            </w:pPr>
            <w:r>
              <w:rPr>
                <w:rFonts w:ascii="Consolas" w:hAnsi="Consolas" w:eastAsia="Consolas"/>
                <w:sz w:val="16"/>
              </w:rPr>
              <w:t>model_b_table</w:t>
            </w:r>
            <w:r>
              <w:rPr>
                <w:sz w:val="19"/>
              </w:rPr>
              <w:t xml:space="preserve"> (Model B top-k per context key)</w:t>
            </w:r>
          </w:p>
        </w:tc>
        <w:tc>
          <w:tcPr>
            <w:tcW w:type="dxa" w:w="1168"/>
          </w:tcPr>
          <w:p>
            <w:pPr>
              <w:pStyle w:val="CellText"/>
              <w:jc w:val="right"/>
            </w:pPr>
            <w:r>
              <w:rPr>
                <w:sz w:val="19"/>
              </w:rPr>
              <w:t>31.84</w:t>
            </w:r>
          </w:p>
        </w:tc>
      </w:tr>
    </w:tbl>
    <w:p>
      <w:pPr>
        <w:spacing w:after="80"/>
      </w:pPr>
    </w:p>
    <w:p>
      <w:pPr>
        <w:pStyle w:val="ListBullet"/>
        <w:jc w:val="left"/>
      </w:pPr>
      <w:r>
        <w:rPr>
          <w:b/>
        </w:rPr>
        <w:t>H1 — supported.</w:t>
      </w:r>
      <w:r>
        <w:t xml:space="preserve"> Model B − Model A = +12.52 top-1 points, 95% CI [11.10, 13.96].</w:t>
      </w:r>
    </w:p>
    <w:p>
      <w:pPr>
        <w:pStyle w:val="ListBullet"/>
        <w:jc w:val="left"/>
      </w:pPr>
      <w:r>
        <w:rPr>
          <w:b/>
        </w:rPr>
        <w:t>H2 — not supported.</w:t>
      </w:r>
      <w:r>
        <w:t xml:space="preserve"> Model B − </w:t>
      </w:r>
      <w:r>
        <w:rPr>
          <w:rFonts w:ascii="Consolas" w:hAnsi="Consolas" w:eastAsia="Consolas"/>
          <w:sz w:val="21"/>
        </w:rPr>
        <w:t>markov_ctx</w:t>
      </w:r>
      <w:r>
        <w:t xml:space="preserve"> = −24.12 [−28.01, −20.20]; Model B − </w:t>
      </w:r>
      <w:r>
        <w:rPr>
          <w:rFonts w:ascii="Consolas" w:hAnsi="Consolas" w:eastAsia="Consolas"/>
          <w:sz w:val="21"/>
        </w:rPr>
        <w:t>markov2</w:t>
      </w:r>
      <w:r>
        <w:t xml:space="preserve"> = −25.26 [−29.25, −21.30].</w:t>
      </w:r>
    </w:p>
    <w:p>
      <w:pPr>
        <w:pStyle w:val="ListBullet"/>
        <w:jc w:val="left"/>
      </w:pPr>
      <w:r>
        <w:rPr>
          <w:b/>
        </w:rPr>
        <w:t>H5 (offline part) — inconclusive.</w:t>
      </w:r>
      <w:r>
        <w:t xml:space="preserve"> On held-out templates Model B − Model A = +0.13 [−0.13, +0.41]; both models are near chance and the context table has 0% coverage, so it falls back to Markov-1.</w:t>
      </w:r>
    </w:p>
    <w:p>
      <w:pPr>
        <w:pStyle w:val="ListBullet"/>
        <w:jc w:val="left"/>
      </w:pPr>
      <w:r>
        <w:t xml:space="preserve">The mechanical claim mapping therefore currently selects: </w:t>
      </w:r>
      <w:r>
        <w:rPr>
          <w:i/>
        </w:rPr>
        <w:t>“Semantic context helps, but a cheap context-keyed table captures it, so a neural network is not required.”</w:t>
      </w:r>
      <w:r>
        <w:t xml:space="preserve"> The final sentence is produced by the report generator after milestone M7, not written by hand.</w:t>
      </w:r>
    </w:p>
    <w:p>
      <w:pPr>
        <w:pStyle w:val="Heading2"/>
      </w:pPr>
      <w:r>
        <w:t>8.6 Interpretation and threats to validity</w:t>
      </w:r>
    </w:p>
    <w:p>
      <w:pPr>
        <w:keepNext/>
      </w:pPr>
      <w:r>
        <w:t>Taken together, the evidence supports a precise and modest claim: semantic page metadata — object identity in particular — carries real predictive signal for SQLite page sequences, but on this workload the signal is captured at least as well by a second-order or context-keyed transition table whose cost is negligible, and the neural ranker’s inference cost cancels its benefit at sub-millisecond storage latencies. The main threats to validity are:</w:t>
      </w:r>
    </w:p>
    <w:p>
      <w:pPr>
        <w:pStyle w:val="ListBullet"/>
        <w:jc w:val="left"/>
      </w:pPr>
      <w:r>
        <w:rPr>
          <w:b/>
        </w:rPr>
        <w:t>Trace completeness.</w:t>
      </w:r>
      <w:r>
        <w:t xml:space="preserve"> VFS reads under-represent logical page references and do not prove physical I/O; results describe the VFS layer of a specific configuration.</w:t>
      </w:r>
    </w:p>
    <w:p>
      <w:pPr>
        <w:pStyle w:val="ListBullet"/>
        <w:jc w:val="left"/>
      </w:pPr>
      <w:r>
        <w:rPr>
          <w:b/>
        </w:rPr>
        <w:t>Synthetic latency.</w:t>
      </w:r>
      <w:r>
        <w:t xml:space="preserve"> Injected delays are software sleeps with measurable overshoot; they emulate, rather than measure, slow storage.</w:t>
      </w:r>
    </w:p>
    <w:p>
      <w:pPr>
        <w:pStyle w:val="ListBullet"/>
        <w:jc w:val="left"/>
      </w:pPr>
      <w:r>
        <w:rPr>
          <w:b/>
        </w:rPr>
        <w:t>Scale.</w:t>
      </w:r>
      <w:r>
        <w:t xml:space="preserve"> An 800-page database with a 32-page cache is a small working set; headroom may differ on a multi-gigabyte database (addressed by the v2 large-database branch).</w:t>
      </w:r>
    </w:p>
    <w:p>
      <w:pPr>
        <w:pStyle w:val="ListBullet"/>
        <w:jc w:val="left"/>
      </w:pPr>
      <w:r>
        <w:rPr>
          <w:b/>
        </w:rPr>
        <w:t>Replication.</w:t>
      </w:r>
      <w:r>
        <w:t xml:space="preserve"> Three workload seeds per category give coarse run-level uncertainty; the per-query bootstrap quantifies effect size, not generalisation.</w:t>
      </w:r>
    </w:p>
    <w:p>
      <w:pPr>
        <w:pStyle w:val="ListBullet"/>
        <w:jc w:val="left"/>
      </w:pPr>
      <w:r>
        <w:rPr>
          <w:b/>
        </w:rPr>
        <w:t>Implementation language.</w:t>
      </w:r>
      <w:r>
        <w:t xml:space="preserve"> A Python runtime inflates scheduling and inference costs relative to an engine-native implementation; the virtual-time simulator will separate algorithmic headroom from harness overhead.</w:t>
      </w:r>
    </w:p>
    <w:p>
      <w:pPr>
        <w:pStyle w:val="ListBullet"/>
        <w:jc w:val="left"/>
      </w:pPr>
      <w:r>
        <w:rPr>
          <w:b/>
        </w:rPr>
        <w:t>Candidate ceiling.</w:t>
      </w:r>
      <w:r>
        <w:t xml:space="preserve"> With 82.5% candidate recall, roughly one target in six cannot be predicted by either MLP regardless of features.</w:t>
      </w:r>
    </w:p>
    <w:p>
      <w:pPr>
        <w:pStyle w:val="Heading1"/>
      </w:pPr>
      <w:r>
        <w:t>9. Implementation status</w:t>
      </w:r>
    </w:p>
    <w:p>
      <w:pPr>
        <w:keepNext/>
      </w:pPr>
      <w:r>
        <w:t>Table 13 summarises the status of every milestone of the v2 plan.</w:t>
      </w:r>
    </w:p>
    <w:p>
      <w:pPr>
        <w:pStyle w:val="TableCaption"/>
      </w:pPr>
      <w:r>
        <w:rPr>
          <w:sz w:val="20"/>
        </w:rPr>
        <w:t xml:space="preserve">Table 13. Milestone status of the v2 plan (from </w:t>
      </w:r>
      <w:r>
        <w:rPr>
          <w:rFonts w:ascii="Consolas" w:hAnsi="Consolas" w:eastAsia="Consolas"/>
          <w:sz w:val="17"/>
        </w:rPr>
        <w:t>PROGRESS.md</w:t>
      </w:r>
      <w:r>
        <w:rPr>
          <w:sz w:val="20"/>
        </w:rPr>
        <w:t xml:space="preserve">, </w:t>
      </w:r>
      <w:r>
        <w:rPr>
          <w:rFonts w:ascii="Consolas" w:hAnsi="Consolas" w:eastAsia="Consolas"/>
          <w:sz w:val="17"/>
        </w:rPr>
        <w:t>FINAL_SUMMARY.md</w:t>
      </w:r>
      <w:r>
        <w:rPr>
          <w:sz w:val="20"/>
        </w:rPr>
        <w:t xml:space="preserve"> and the current source tree)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2335"/>
            <w:shd w:val="clear" w:color="auto" w:fill="D9E2F3"/>
          </w:tcPr>
          <w:p>
            <w:pPr>
              <w:pStyle w:val="CellText"/>
            </w:pPr>
            <w:r>
              <w:rPr>
                <w:b/>
                <w:sz w:val="19"/>
              </w:rPr>
              <w:t>Milestone</w:t>
            </w:r>
          </w:p>
        </w:tc>
        <w:tc>
          <w:tcPr>
            <w:tcW w:type="dxa" w:w="1786"/>
            <w:shd w:val="clear" w:color="auto" w:fill="D9E2F3"/>
          </w:tcPr>
          <w:p>
            <w:pPr>
              <w:pStyle w:val="CellText"/>
            </w:pPr>
            <w:r>
              <w:rPr>
                <w:b/>
                <w:sz w:val="19"/>
              </w:rPr>
              <w:t>Status</w:t>
            </w:r>
          </w:p>
        </w:tc>
        <w:tc>
          <w:tcPr>
            <w:tcW w:type="dxa" w:w="4807"/>
            <w:shd w:val="clear" w:color="auto" w:fill="D9E2F3"/>
          </w:tcPr>
          <w:p>
            <w:pPr>
              <w:pStyle w:val="CellText"/>
            </w:pPr>
            <w:r>
              <w:rPr>
                <w:b/>
                <w:sz w:val="19"/>
              </w:rPr>
              <w:t>Evidence</w:t>
            </w:r>
          </w:p>
        </w:tc>
      </w:tr>
      <w:tr>
        <w:trPr>
          <w:cantSplit w:val="true"/>
        </w:trPr>
        <w:tc>
          <w:tcPr>
            <w:tcW w:type="dxa" w:w="2335"/>
          </w:tcPr>
          <w:p>
            <w:pPr>
              <w:pStyle w:val="CellText"/>
            </w:pPr>
            <w:r>
              <w:rPr>
                <w:sz w:val="19"/>
              </w:rPr>
              <w:t>Pipeline, protocol v1 runs, dashboard</w:t>
            </w:r>
          </w:p>
        </w:tc>
        <w:tc>
          <w:tcPr>
            <w:tcW w:type="dxa" w:w="1786"/>
          </w:tcPr>
          <w:p>
            <w:pPr>
              <w:pStyle w:val="CellText"/>
            </w:pPr>
            <w:r>
              <w:rPr>
                <w:sz w:val="19"/>
              </w:rPr>
              <w:t>Done</w:t>
            </w:r>
          </w:p>
        </w:tc>
        <w:tc>
          <w:tcPr>
            <w:tcW w:type="dxa" w:w="4807"/>
          </w:tcPr>
          <w:p>
            <w:pPr>
              <w:pStyle w:val="CellText"/>
            </w:pPr>
            <w:r>
              <w:rPr>
                <w:sz w:val="19"/>
              </w:rPr>
              <w:t xml:space="preserve">three final suites, </w:t>
            </w:r>
            <w:r>
              <w:rPr>
                <w:rFonts w:ascii="Consolas" w:hAnsi="Consolas" w:eastAsia="Consolas"/>
                <w:sz w:val="16"/>
              </w:rPr>
              <w:t>research_report.md</w:t>
            </w:r>
            <w:r>
              <w:rPr>
                <w:sz w:val="19"/>
              </w:rPr>
              <w:t xml:space="preserve">, </w:t>
            </w:r>
            <w:r>
              <w:rPr>
                <w:rFonts w:ascii="Consolas" w:hAnsi="Consolas" w:eastAsia="Consolas"/>
                <w:sz w:val="16"/>
              </w:rPr>
              <w:t>pagewise-dashboard.json</w:t>
            </w:r>
            <w:r>
              <w:rPr>
                <w:sz w:val="19"/>
              </w:rPr>
              <w:t>, React dashboard</w:t>
            </w:r>
          </w:p>
        </w:tc>
      </w:tr>
      <w:tr>
        <w:trPr>
          <w:cantSplit w:val="true"/>
        </w:trPr>
        <w:tc>
          <w:tcPr>
            <w:tcW w:type="dxa" w:w="2335"/>
          </w:tcPr>
          <w:p>
            <w:pPr>
              <w:pStyle w:val="CellText"/>
            </w:pPr>
            <w:r>
              <w:rPr>
                <w:sz w:val="19"/>
              </w:rPr>
              <w:t>Benchmark audit and repairs</w:t>
            </w:r>
          </w:p>
        </w:tc>
        <w:tc>
          <w:tcPr>
            <w:tcW w:type="dxa" w:w="1786"/>
          </w:tcPr>
          <w:p>
            <w:pPr>
              <w:pStyle w:val="CellText"/>
            </w:pPr>
            <w:r>
              <w:rPr>
                <w:sz w:val="19"/>
              </w:rPr>
              <w:t>Done</w:t>
            </w:r>
          </w:p>
        </w:tc>
        <w:tc>
          <w:tcPr>
            <w:tcW w:type="dxa" w:w="4807"/>
          </w:tcPr>
          <w:p>
            <w:pPr>
              <w:pStyle w:val="CellText"/>
            </w:pPr>
            <w:r>
              <w:rPr>
                <w:sz w:val="19"/>
              </w:rPr>
              <w:t>stale-job dropping, shared storage device, lock-boundary verification, consistent denominators, lifecycle timestamps</w:t>
            </w:r>
          </w:p>
        </w:tc>
      </w:tr>
      <w:tr>
        <w:trPr>
          <w:cantSplit w:val="true"/>
        </w:trPr>
        <w:tc>
          <w:tcPr>
            <w:tcW w:type="dxa" w:w="2335"/>
          </w:tcPr>
          <w:p>
            <w:pPr>
              <w:pStyle w:val="CellText"/>
            </w:pPr>
            <w:r>
              <w:rPr>
                <w:sz w:val="19"/>
              </w:rPr>
              <w:t>M0 Housekeeping</w:t>
            </w:r>
          </w:p>
        </w:tc>
        <w:tc>
          <w:tcPr>
            <w:tcW w:type="dxa" w:w="1786"/>
          </w:tcPr>
          <w:p>
            <w:pPr>
              <w:pStyle w:val="CellText"/>
            </w:pPr>
            <w:r>
              <w:rPr>
                <w:sz w:val="19"/>
              </w:rPr>
              <w:t>Done</w:t>
            </w:r>
          </w:p>
        </w:tc>
        <w:tc>
          <w:tcPr>
            <w:tcW w:type="dxa" w:w="4807"/>
          </w:tcPr>
          <w:p>
            <w:pPr>
              <w:pStyle w:val="CellText"/>
            </w:pPr>
            <w:r>
              <w:rPr>
                <w:rFonts w:ascii="Consolas" w:hAnsi="Consolas" w:eastAsia="Consolas"/>
                <w:sz w:val="16"/>
              </w:rPr>
              <w:t>FROZEN_MANIFEST.json</w:t>
            </w:r>
            <w:r>
              <w:rPr>
                <w:sz w:val="19"/>
              </w:rPr>
              <w:t xml:space="preserve"> (SHA-256 of 1,338 frozen files, verified by </w:t>
            </w:r>
            <w:r>
              <w:rPr>
                <w:rFonts w:ascii="Consolas" w:hAnsi="Consolas" w:eastAsia="Consolas"/>
                <w:sz w:val="16"/>
              </w:rPr>
              <w:t>scripts/verify_frozen.py</w:t>
            </w:r>
            <w:r>
              <w:rPr>
                <w:sz w:val="19"/>
              </w:rPr>
              <w:t xml:space="preserve">), protocol v2, </w:t>
            </w:r>
            <w:r>
              <w:rPr>
                <w:rFonts w:ascii="Consolas" w:hAnsi="Consolas" w:eastAsia="Consolas"/>
                <w:sz w:val="16"/>
              </w:rPr>
              <w:t>PROGRESS.md</w:t>
            </w:r>
            <w:r>
              <w:rPr>
                <w:sz w:val="19"/>
              </w:rPr>
              <w:t xml:space="preserve">, </w:t>
            </w:r>
            <w:r>
              <w:rPr>
                <w:rFonts w:ascii="Consolas" w:hAnsi="Consolas" w:eastAsia="Consolas"/>
                <w:sz w:val="16"/>
              </w:rPr>
              <w:t>DECISIONS.md</w:t>
            </w:r>
            <w:r>
              <w:rPr>
                <w:sz w:val="19"/>
              </w:rPr>
              <w:t xml:space="preserve"> D1–D12</w:t>
            </w:r>
          </w:p>
        </w:tc>
      </w:tr>
      <w:tr>
        <w:trPr>
          <w:cantSplit w:val="true"/>
        </w:trPr>
        <w:tc>
          <w:tcPr>
            <w:tcW w:type="dxa" w:w="2335"/>
          </w:tcPr>
          <w:p>
            <w:pPr>
              <w:pStyle w:val="CellText"/>
            </w:pPr>
            <w:r>
              <w:rPr>
                <w:sz w:val="19"/>
              </w:rPr>
              <w:t>M1 Oracle repair</w:t>
            </w:r>
          </w:p>
        </w:tc>
        <w:tc>
          <w:tcPr>
            <w:tcW w:type="dxa" w:w="1786"/>
          </w:tcPr>
          <w:p>
            <w:pPr>
              <w:pStyle w:val="CellText"/>
            </w:pPr>
            <w:r>
              <w:rPr>
                <w:sz w:val="19"/>
              </w:rPr>
              <w:t>Done</w:t>
            </w:r>
          </w:p>
        </w:tc>
        <w:tc>
          <w:tcPr>
            <w:tcW w:type="dxa" w:w="4807"/>
          </w:tcPr>
          <w:p>
            <w:pPr>
              <w:pStyle w:val="CellText"/>
            </w:pPr>
            <w:r>
              <w:rPr>
                <w:rFonts w:ascii="Consolas" w:hAnsi="Consolas" w:eastAsia="Consolas"/>
                <w:sz w:val="16"/>
              </w:rPr>
              <w:t>oracle_miss</w:t>
            </w:r>
            <w:r>
              <w:rPr>
                <w:sz w:val="19"/>
              </w:rPr>
              <w:t xml:space="preserve">, </w:t>
            </w:r>
            <w:r>
              <w:rPr>
                <w:rFonts w:ascii="Consolas" w:hAnsi="Consolas" w:eastAsia="Consolas"/>
                <w:sz w:val="16"/>
              </w:rPr>
              <w:t>oracle_next</w:t>
            </w:r>
            <w:r>
              <w:rPr>
                <w:sz w:val="19"/>
              </w:rPr>
              <w:t xml:space="preserve"> relabelled as naive control, </w:t>
            </w:r>
            <w:r>
              <w:rPr>
                <w:rFonts w:ascii="Consolas" w:hAnsi="Consolas" w:eastAsia="Consolas"/>
                <w:sz w:val="16"/>
              </w:rPr>
              <w:t>--prefetch-workers</w:t>
            </w:r>
            <w:r>
              <w:rPr>
                <w:sz w:val="19"/>
              </w:rPr>
              <w:t>, sanity checks (a)–(c) pass under the independent model</w:t>
            </w:r>
          </w:p>
        </w:tc>
      </w:tr>
      <w:tr>
        <w:trPr>
          <w:cantSplit w:val="true"/>
        </w:trPr>
        <w:tc>
          <w:tcPr>
            <w:tcW w:type="dxa" w:w="2335"/>
          </w:tcPr>
          <w:p>
            <w:pPr>
              <w:pStyle w:val="CellText"/>
            </w:pPr>
            <w:r>
              <w:rPr>
                <w:sz w:val="19"/>
              </w:rPr>
              <w:t>M2 Offline prediction study</w:t>
            </w:r>
          </w:p>
        </w:tc>
        <w:tc>
          <w:tcPr>
            <w:tcW w:type="dxa" w:w="1786"/>
          </w:tcPr>
          <w:p>
            <w:pPr>
              <w:pStyle w:val="CellText"/>
            </w:pPr>
            <w:r>
              <w:rPr>
                <w:sz w:val="19"/>
              </w:rPr>
              <w:t>Done</w:t>
            </w:r>
          </w:p>
        </w:tc>
        <w:tc>
          <w:tcPr>
            <w:tcW w:type="dxa" w:w="4807"/>
          </w:tcPr>
          <w:p>
            <w:pPr>
              <w:pStyle w:val="CellText"/>
            </w:pPr>
            <w:r>
              <w:rPr>
                <w:rFonts w:ascii="Consolas" w:hAnsi="Consolas" w:eastAsia="Consolas"/>
                <w:sz w:val="16"/>
              </w:rPr>
              <w:t>offline.py</w:t>
            </w:r>
            <w:r>
              <w:rPr>
                <w:sz w:val="19"/>
              </w:rPr>
              <w:t xml:space="preserve">, parameter-bucket and template splits, </w:t>
            </w:r>
            <w:r>
              <w:rPr>
                <w:rFonts w:ascii="Consolas" w:hAnsi="Consolas" w:eastAsia="Consolas"/>
                <w:sz w:val="16"/>
              </w:rPr>
              <w:t>markov_ctx</w:t>
            </w:r>
            <w:r>
              <w:rPr>
                <w:sz w:val="19"/>
              </w:rPr>
              <w:t xml:space="preserve">, </w:t>
            </w:r>
            <w:r>
              <w:rPr>
                <w:rFonts w:ascii="Consolas" w:hAnsi="Consolas" w:eastAsia="Consolas"/>
                <w:sz w:val="16"/>
              </w:rPr>
              <w:t>model_b_table</w:t>
            </w:r>
            <w:r>
              <w:rPr>
                <w:sz w:val="19"/>
              </w:rPr>
              <w:t>, 10,000-resample paired bootstrap, H1/H2/H5-offline outcomes, feature ablation and charts</w:t>
            </w:r>
          </w:p>
        </w:tc>
      </w:tr>
      <w:tr>
        <w:trPr>
          <w:cantSplit w:val="true"/>
        </w:trPr>
        <w:tc>
          <w:tcPr>
            <w:tcW w:type="dxa" w:w="2335"/>
          </w:tcPr>
          <w:p>
            <w:pPr>
              <w:pStyle w:val="CellText"/>
            </w:pPr>
            <w:r>
              <w:rPr>
                <w:sz w:val="19"/>
              </w:rPr>
              <w:t>M3 Virtual-time simulator</w:t>
            </w:r>
          </w:p>
        </w:tc>
        <w:tc>
          <w:tcPr>
            <w:tcW w:type="dxa" w:w="1786"/>
          </w:tcPr>
          <w:p>
            <w:pPr>
              <w:pStyle w:val="CellText"/>
            </w:pPr>
            <w:r>
              <w:rPr>
                <w:sz w:val="19"/>
              </w:rPr>
              <w:t>Implemented; calibration runs pending</w:t>
            </w:r>
          </w:p>
        </w:tc>
        <w:tc>
          <w:tcPr>
            <w:tcW w:type="dxa" w:w="4807"/>
          </w:tcPr>
          <w:p>
            <w:pPr>
              <w:pStyle w:val="CellText"/>
            </w:pPr>
            <w:r>
              <w:rPr>
                <w:rFonts w:ascii="Consolas" w:hAnsi="Consolas" w:eastAsia="Consolas"/>
                <w:sz w:val="16"/>
              </w:rPr>
              <w:t>sim.py</w:t>
            </w:r>
            <w:r>
              <w:rPr>
                <w:sz w:val="19"/>
              </w:rPr>
              <w:t xml:space="preserve"> (discrete-event replay, no threads or sleeping), </w:t>
            </w:r>
            <w:r>
              <w:rPr>
                <w:rFonts w:ascii="Consolas" w:hAnsi="Consolas" w:eastAsia="Consolas"/>
                <w:sz w:val="16"/>
              </w:rPr>
              <w:t>scripts/run_sim_studies.py</w:t>
            </w:r>
            <w:r>
              <w:rPr>
                <w:sz w:val="19"/>
              </w:rPr>
              <w:t xml:space="preserve"> (calibrate / validate / headroom), 8 unit tests; measured calibration and headroom grid not yet frozen</w:t>
            </w:r>
          </w:p>
        </w:tc>
      </w:tr>
      <w:tr>
        <w:trPr>
          <w:cantSplit w:val="true"/>
        </w:trPr>
        <w:tc>
          <w:tcPr>
            <w:tcW w:type="dxa" w:w="2335"/>
          </w:tcPr>
          <w:p>
            <w:pPr>
              <w:pStyle w:val="CellText"/>
            </w:pPr>
            <w:r>
              <w:rPr>
                <w:sz w:val="19"/>
              </w:rPr>
              <w:t>M4 Headroom decision</w:t>
            </w:r>
          </w:p>
        </w:tc>
        <w:tc>
          <w:tcPr>
            <w:tcW w:type="dxa" w:w="1786"/>
          </w:tcPr>
          <w:p>
            <w:pPr>
              <w:pStyle w:val="CellText"/>
            </w:pPr>
            <w:r>
              <w:rPr>
                <w:sz w:val="19"/>
              </w:rPr>
              <w:t>Pending</w:t>
            </w:r>
          </w:p>
        </w:tc>
        <w:tc>
          <w:tcPr>
            <w:tcW w:type="dxa" w:w="4807"/>
          </w:tcPr>
          <w:p>
            <w:pPr>
              <w:pStyle w:val="CellText"/>
            </w:pPr>
            <w:r>
              <w:rPr>
                <w:sz w:val="19"/>
              </w:rPr>
              <w:t>depends on M3 headroom heatmap (≥ 10% rule, large-database branch)</w:t>
            </w:r>
          </w:p>
        </w:tc>
      </w:tr>
      <w:tr>
        <w:trPr>
          <w:cantSplit w:val="true"/>
        </w:trPr>
        <w:tc>
          <w:tcPr>
            <w:tcW w:type="dxa" w:w="2335"/>
          </w:tcPr>
          <w:p>
            <w:pPr>
              <w:pStyle w:val="CellText"/>
            </w:pPr>
            <w:r>
              <w:rPr>
                <w:sz w:val="19"/>
              </w:rPr>
              <w:t>M5 Runtime pipeline repair</w:t>
            </w:r>
          </w:p>
        </w:tc>
        <w:tc>
          <w:tcPr>
            <w:tcW w:type="dxa" w:w="1786"/>
          </w:tcPr>
          <w:p>
            <w:pPr>
              <w:pStyle w:val="CellText"/>
            </w:pPr>
            <w:r>
              <w:rPr>
                <w:sz w:val="19"/>
              </w:rPr>
              <w:t>Pending (gated on M4)</w:t>
            </w:r>
          </w:p>
        </w:tc>
        <w:tc>
          <w:tcPr>
            <w:tcW w:type="dxa" w:w="4807"/>
          </w:tcPr>
          <w:p>
            <w:pPr>
              <w:pStyle w:val="CellText"/>
            </w:pPr>
            <w:r>
              <w:rPr>
                <w:sz w:val="19"/>
              </w:rPr>
              <w:t>deep-queue bottleneck, shared-model defaults</w:t>
            </w:r>
          </w:p>
        </w:tc>
      </w:tr>
      <w:tr>
        <w:trPr>
          <w:cantSplit w:val="true"/>
        </w:trPr>
        <w:tc>
          <w:tcPr>
            <w:tcW w:type="dxa" w:w="2335"/>
          </w:tcPr>
          <w:p>
            <w:pPr>
              <w:pStyle w:val="CellText"/>
            </w:pPr>
            <w:r>
              <w:rPr>
                <w:sz w:val="19"/>
              </w:rPr>
              <w:t>M6 Cheaper Model B</w:t>
            </w:r>
          </w:p>
        </w:tc>
        <w:tc>
          <w:tcPr>
            <w:tcW w:type="dxa" w:w="1786"/>
          </w:tcPr>
          <w:p>
            <w:pPr>
              <w:pStyle w:val="CellText"/>
            </w:pPr>
            <w:r>
              <w:rPr>
                <w:sz w:val="19"/>
              </w:rPr>
              <w:t>Pending (gated on M4)</w:t>
            </w:r>
          </w:p>
        </w:tc>
        <w:tc>
          <w:tcPr>
            <w:tcW w:type="dxa" w:w="4807"/>
          </w:tcPr>
          <w:p>
            <w:pPr>
              <w:pStyle w:val="CellText"/>
            </w:pPr>
            <w:r>
              <w:rPr>
                <w:rFonts w:ascii="Consolas" w:hAnsi="Consolas" w:eastAsia="Consolas"/>
                <w:sz w:val="16"/>
              </w:rPr>
              <w:t>model_b_table</w:t>
            </w:r>
            <w:r>
              <w:rPr>
                <w:sz w:val="19"/>
              </w:rPr>
              <w:t xml:space="preserve"> / </w:t>
            </w:r>
            <w:r>
              <w:rPr>
                <w:rFonts w:ascii="Consolas" w:hAnsi="Consolas" w:eastAsia="Consolas"/>
                <w:sz w:val="16"/>
              </w:rPr>
              <w:t>model_b_gated</w:t>
            </w:r>
            <w:r>
              <w:rPr>
                <w:sz w:val="19"/>
              </w:rPr>
              <w:t xml:space="preserve"> runtime variants</w:t>
            </w:r>
          </w:p>
        </w:tc>
      </w:tr>
      <w:tr>
        <w:trPr>
          <w:cantSplit w:val="true"/>
        </w:trPr>
        <w:tc>
          <w:tcPr>
            <w:tcW w:type="dxa" w:w="2335"/>
          </w:tcPr>
          <w:p>
            <w:pPr>
              <w:pStyle w:val="CellText"/>
            </w:pPr>
            <w:r>
              <w:rPr>
                <w:sz w:val="19"/>
              </w:rPr>
              <w:t>M7 Tuning and final protocol v2 run</w:t>
            </w:r>
          </w:p>
        </w:tc>
        <w:tc>
          <w:tcPr>
            <w:tcW w:type="dxa" w:w="1786"/>
          </w:tcPr>
          <w:p>
            <w:pPr>
              <w:pStyle w:val="CellText"/>
            </w:pPr>
            <w:r>
              <w:rPr>
                <w:sz w:val="19"/>
              </w:rPr>
              <w:t>Pending</w:t>
            </w:r>
          </w:p>
        </w:tc>
        <w:tc>
          <w:tcPr>
            <w:tcW w:type="dxa" w:w="4807"/>
          </w:tcPr>
          <w:p>
            <w:pPr>
              <w:pStyle w:val="CellText"/>
            </w:pPr>
            <w:r>
              <w:rPr>
                <w:sz w:val="19"/>
              </w:rPr>
              <w:t>seeds 911–915 after freeze; Holm-corrected H3/H4</w:t>
            </w:r>
          </w:p>
        </w:tc>
      </w:tr>
      <w:tr>
        <w:trPr>
          <w:cantSplit w:val="true"/>
        </w:trPr>
        <w:tc>
          <w:tcPr>
            <w:tcW w:type="dxa" w:w="2335"/>
          </w:tcPr>
          <w:p>
            <w:pPr>
              <w:pStyle w:val="CellText"/>
            </w:pPr>
            <w:r>
              <w:rPr>
                <w:sz w:val="19"/>
              </w:rPr>
              <w:t>M8 Report and paper</w:t>
            </w:r>
          </w:p>
        </w:tc>
        <w:tc>
          <w:tcPr>
            <w:tcW w:type="dxa" w:w="1786"/>
          </w:tcPr>
          <w:p>
            <w:pPr>
              <w:pStyle w:val="CellText"/>
            </w:pPr>
            <w:r>
              <w:rPr>
                <w:sz w:val="19"/>
              </w:rPr>
              <w:t>Pending</w:t>
            </w:r>
          </w:p>
        </w:tc>
        <w:tc>
          <w:tcPr>
            <w:tcW w:type="dxa" w:w="4807"/>
          </w:tcPr>
          <w:p>
            <w:pPr>
              <w:pStyle w:val="CellText"/>
            </w:pPr>
            <w:r>
              <w:rPr>
                <w:rFonts w:ascii="Consolas" w:hAnsi="Consolas" w:eastAsia="Consolas"/>
                <w:sz w:val="16"/>
              </w:rPr>
              <w:t>hypothesis_report.py</w:t>
            </w:r>
            <w:r>
              <w:rPr>
                <w:sz w:val="19"/>
              </w:rPr>
              <w:t xml:space="preserve"> claim mapping to be implemented</w:t>
            </w:r>
          </w:p>
        </w:tc>
      </w:tr>
      <w:tr>
        <w:trPr>
          <w:cantSplit w:val="true"/>
        </w:trPr>
        <w:tc>
          <w:tcPr>
            <w:tcW w:type="dxa" w:w="2335"/>
          </w:tcPr>
          <w:p>
            <w:pPr>
              <w:pStyle w:val="CellText"/>
            </w:pPr>
            <w:r>
              <w:rPr>
                <w:sz w:val="19"/>
              </w:rPr>
              <w:t>M9 Dashboard and demo</w:t>
            </w:r>
          </w:p>
        </w:tc>
        <w:tc>
          <w:tcPr>
            <w:tcW w:type="dxa" w:w="1786"/>
          </w:tcPr>
          <w:p>
            <w:pPr>
              <w:pStyle w:val="CellText"/>
            </w:pPr>
            <w:r>
              <w:rPr>
                <w:sz w:val="19"/>
              </w:rPr>
              <w:t>Partially done</w:t>
            </w:r>
          </w:p>
        </w:tc>
        <w:tc>
          <w:tcPr>
            <w:tcW w:type="dxa" w:w="4807"/>
          </w:tcPr>
          <w:p>
            <w:pPr>
              <w:pStyle w:val="CellText"/>
            </w:pPr>
            <w:r>
              <w:rPr>
                <w:sz w:val="19"/>
              </w:rPr>
              <w:t>React/Vite dashboard loads measured snapshot; v2 rows and demo pending</w:t>
            </w:r>
          </w:p>
        </w:tc>
      </w:tr>
    </w:tbl>
    <w:p>
      <w:pPr>
        <w:spacing w:after="80"/>
      </w:pPr>
    </w:p>
    <w:p>
      <w:r>
        <w:rPr>
          <w:b/>
        </w:rPr>
        <w:t>Verification record.</w:t>
      </w:r>
      <w:r>
        <w:t xml:space="preserve"> On the measurement machine, </w:t>
      </w:r>
      <w:r>
        <w:rPr>
          <w:rFonts w:ascii="Consolas" w:hAnsi="Consolas" w:eastAsia="Consolas"/>
          <w:sz w:val="21"/>
        </w:rPr>
        <w:t>check-env</w:t>
      </w:r>
      <w:r>
        <w:t xml:space="preserve"> reports APSW 3.54.0.0 with SQLite 3.54.0 and </w:t>
      </w:r>
      <w:r>
        <w:rPr>
          <w:rFonts w:ascii="Consolas" w:hAnsi="Consolas" w:eastAsia="Consolas"/>
          <w:sz w:val="21"/>
        </w:rPr>
        <w:t>dbstat</w:t>
      </w:r>
      <w:r>
        <w:t xml:space="preserve"> support through APSW, the APSW VFS integration test passes, and the frozen manifest verifies unchanged; the most recent logged run of the test suite passed in full (53 tests at the M2 log; the current tree contains 61 tests). The suite (</w:t>
      </w:r>
      <w:r>
        <w:rPr>
          <w:rFonts w:ascii="Consolas" w:hAnsi="Consolas" w:eastAsia="Consolas"/>
          <w:sz w:val="21"/>
        </w:rPr>
        <w:t>python -m pytest -q</w:t>
      </w:r>
      <w:r>
        <w:t xml:space="preserve"> from </w:t>
      </w:r>
      <w:r>
        <w:rPr>
          <w:rFonts w:ascii="Consolas" w:hAnsi="Consolas" w:eastAsia="Consolas"/>
          <w:sz w:val="21"/>
        </w:rPr>
        <w:t>backend/</w:t>
      </w:r>
      <w:r>
        <w:t xml:space="preserve">) and </w:t>
      </w:r>
      <w:r>
        <w:rPr>
          <w:rFonts w:ascii="Consolas" w:hAnsi="Consolas" w:eastAsia="Consolas"/>
          <w:sz w:val="21"/>
        </w:rPr>
        <w:t>verify-frozen</w:t>
      </w:r>
      <w:r>
        <w:t xml:space="preserve"> will be re-run and the output attached before Review 3.</w:t>
      </w:r>
    </w:p>
    <w:p>
      <w:pPr>
        <w:pStyle w:val="Heading1"/>
      </w:pPr>
      <w:r>
        <w:t>10. Plan for the next review</w:t>
      </w:r>
    </w:p>
    <w:p>
      <w:pPr>
        <w:keepNext/>
      </w:pPr>
      <w:r>
        <w:t>Table 14 lists the work scheduled between this review and Review 3, in dependency order, with the acceptance criterion for each item.</w:t>
      </w:r>
    </w:p>
    <w:p>
      <w:pPr>
        <w:pStyle w:val="TableCaption"/>
      </w:pPr>
      <w:r>
        <w:rPr>
          <w:sz w:val="20"/>
        </w:rPr>
        <w:t>Table 14. Work plan from Review 2 to Review 3</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cantSplit w:val="true"/>
          <w:cantSplit w:val="true"/>
        </w:trPr>
        <w:tc>
          <w:tcPr>
            <w:tcW w:type="dxa" w:w="412"/>
            <w:shd w:val="clear" w:color="auto" w:fill="D9E2F3"/>
          </w:tcPr>
          <w:p>
            <w:pPr>
              <w:pStyle w:val="CellText"/>
            </w:pPr>
            <w:r>
              <w:rPr>
                <w:b/>
                <w:sz w:val="19"/>
              </w:rPr>
              <w:t>#</w:t>
            </w:r>
          </w:p>
        </w:tc>
        <w:tc>
          <w:tcPr>
            <w:tcW w:type="dxa" w:w="2610"/>
            <w:shd w:val="clear" w:color="auto" w:fill="D9E2F3"/>
          </w:tcPr>
          <w:p>
            <w:pPr>
              <w:pStyle w:val="CellText"/>
            </w:pPr>
            <w:r>
              <w:rPr>
                <w:b/>
                <w:sz w:val="19"/>
              </w:rPr>
              <w:t>Task</w:t>
            </w:r>
          </w:p>
        </w:tc>
        <w:tc>
          <w:tcPr>
            <w:tcW w:type="dxa" w:w="2747"/>
            <w:shd w:val="clear" w:color="auto" w:fill="D9E2F3"/>
          </w:tcPr>
          <w:p>
            <w:pPr>
              <w:pStyle w:val="CellText"/>
            </w:pPr>
            <w:r>
              <w:rPr>
                <w:b/>
                <w:sz w:val="19"/>
              </w:rPr>
              <w:t>Deliverable</w:t>
            </w:r>
          </w:p>
        </w:tc>
        <w:tc>
          <w:tcPr>
            <w:tcW w:type="dxa" w:w="3159"/>
            <w:shd w:val="clear" w:color="auto" w:fill="D9E2F3"/>
          </w:tcPr>
          <w:p>
            <w:pPr>
              <w:pStyle w:val="CellText"/>
            </w:pPr>
            <w:r>
              <w:rPr>
                <w:b/>
                <w:sz w:val="19"/>
              </w:rPr>
              <w:t>Acceptance criterion</w:t>
            </w:r>
          </w:p>
        </w:tc>
      </w:tr>
      <w:tr>
        <w:trPr>
          <w:cantSplit w:val="true"/>
        </w:trPr>
        <w:tc>
          <w:tcPr>
            <w:tcW w:type="dxa" w:w="412"/>
          </w:tcPr>
          <w:p>
            <w:pPr>
              <w:pStyle w:val="CellText"/>
            </w:pPr>
            <w:r>
              <w:rPr>
                <w:sz w:val="19"/>
              </w:rPr>
              <w:t>1</w:t>
            </w:r>
          </w:p>
        </w:tc>
        <w:tc>
          <w:tcPr>
            <w:tcW w:type="dxa" w:w="2610"/>
          </w:tcPr>
          <w:p>
            <w:pPr>
              <w:pStyle w:val="CellText"/>
            </w:pPr>
            <w:r>
              <w:rPr>
                <w:sz w:val="19"/>
              </w:rPr>
              <w:t>Calibrate and validate the virtual-time simulator</w:t>
            </w:r>
          </w:p>
        </w:tc>
        <w:tc>
          <w:tcPr>
            <w:tcW w:type="dxa" w:w="2747"/>
          </w:tcPr>
          <w:p>
            <w:pPr>
              <w:pStyle w:val="CellText"/>
            </w:pPr>
            <w:r>
              <w:rPr>
                <w:rFonts w:ascii="Consolas" w:hAnsi="Consolas" w:eastAsia="Consolas"/>
                <w:sz w:val="16"/>
              </w:rPr>
              <w:t>runs/calibration.json</w:t>
            </w:r>
            <w:r>
              <w:rPr>
                <w:sz w:val="19"/>
              </w:rPr>
              <w:t>, validation table</w:t>
            </w:r>
          </w:p>
        </w:tc>
        <w:tc>
          <w:tcPr>
            <w:tcW w:type="dxa" w:w="3159"/>
          </w:tcPr>
          <w:p>
            <w:pPr>
              <w:pStyle w:val="CellText"/>
            </w:pPr>
            <w:r>
              <w:rPr>
                <w:sz w:val="19"/>
              </w:rPr>
              <w:t>simulated vs real run time within 15% on at least three configurations</w:t>
            </w:r>
          </w:p>
        </w:tc>
      </w:tr>
      <w:tr>
        <w:trPr>
          <w:cantSplit w:val="true"/>
        </w:trPr>
        <w:tc>
          <w:tcPr>
            <w:tcW w:type="dxa" w:w="412"/>
          </w:tcPr>
          <w:p>
            <w:pPr>
              <w:pStyle w:val="CellText"/>
            </w:pPr>
            <w:r>
              <w:rPr>
                <w:sz w:val="19"/>
              </w:rPr>
              <w:t>2</w:t>
            </w:r>
          </w:p>
        </w:tc>
        <w:tc>
          <w:tcPr>
            <w:tcW w:type="dxa" w:w="2610"/>
          </w:tcPr>
          <w:p>
            <w:pPr>
              <w:pStyle w:val="CellText"/>
            </w:pPr>
            <w:r>
              <w:rPr>
                <w:sz w:val="19"/>
              </w:rPr>
              <w:t xml:space="preserve">Compute the </w:t>
            </w:r>
            <w:r>
              <w:rPr>
                <w:rFonts w:ascii="Consolas" w:hAnsi="Consolas" w:eastAsia="Consolas"/>
                <w:sz w:val="16"/>
              </w:rPr>
              <w:t>oracle_miss</w:t>
            </w:r>
            <w:r>
              <w:rPr>
                <w:sz w:val="19"/>
              </w:rPr>
              <w:t xml:space="preserve"> headroom grid</w:t>
            </w:r>
          </w:p>
        </w:tc>
        <w:tc>
          <w:tcPr>
            <w:tcW w:type="dxa" w:w="2747"/>
          </w:tcPr>
          <w:p>
            <w:pPr>
              <w:pStyle w:val="CellText"/>
            </w:pPr>
            <w:r>
              <w:rPr>
                <w:sz w:val="19"/>
              </w:rPr>
              <w:t>heatmap over cache ∈ {32…512} × delay ∈ {0.1…1.0} ms</w:t>
            </w:r>
          </w:p>
        </w:tc>
        <w:tc>
          <w:tcPr>
            <w:tcW w:type="dxa" w:w="3159"/>
          </w:tcPr>
          <w:p>
            <w:pPr>
              <w:pStyle w:val="CellText"/>
            </w:pPr>
            <w:r>
              <w:rPr>
                <w:sz w:val="19"/>
              </w:rPr>
              <w:t>primary configuration selected by the pre-registered rule, or large-database branch triggered</w:t>
            </w:r>
          </w:p>
        </w:tc>
      </w:tr>
      <w:tr>
        <w:trPr>
          <w:cantSplit w:val="true"/>
        </w:trPr>
        <w:tc>
          <w:tcPr>
            <w:tcW w:type="dxa" w:w="412"/>
          </w:tcPr>
          <w:p>
            <w:pPr>
              <w:pStyle w:val="CellText"/>
            </w:pPr>
            <w:r>
              <w:rPr>
                <w:sz w:val="19"/>
              </w:rPr>
              <w:t>3</w:t>
            </w:r>
          </w:p>
        </w:tc>
        <w:tc>
          <w:tcPr>
            <w:tcW w:type="dxa" w:w="2610"/>
          </w:tcPr>
          <w:p>
            <w:pPr>
              <w:pStyle w:val="CellText"/>
            </w:pPr>
            <w:r>
              <w:rPr>
                <w:sz w:val="19"/>
              </w:rPr>
              <w:t>Runtime pipeline repair (M5)</w:t>
            </w:r>
          </w:p>
        </w:tc>
        <w:tc>
          <w:tcPr>
            <w:tcW w:type="dxa" w:w="2747"/>
          </w:tcPr>
          <w:p>
            <w:pPr>
              <w:pStyle w:val="CellText"/>
            </w:pPr>
            <w:r>
              <w:rPr>
                <w:sz w:val="19"/>
              </w:rPr>
              <w:t>shared-model defaults, stale-job dropping, worker pool</w:t>
            </w:r>
          </w:p>
        </w:tc>
        <w:tc>
          <w:tcPr>
            <w:tcW w:type="dxa" w:w="3159"/>
          </w:tcPr>
          <w:p>
            <w:pPr>
              <w:pStyle w:val="CellText"/>
            </w:pPr>
            <w:r>
              <w:rPr>
                <w:rFonts w:ascii="Consolas" w:hAnsi="Consolas" w:eastAsia="Consolas"/>
                <w:sz w:val="16"/>
              </w:rPr>
              <w:t>null</w:t>
            </w:r>
            <w:r>
              <w:rPr>
                <w:sz w:val="19"/>
              </w:rPr>
              <w:t xml:space="preserve"> control overhead and queue wait reported; no spin-waits</w:t>
            </w:r>
          </w:p>
        </w:tc>
      </w:tr>
      <w:tr>
        <w:trPr>
          <w:cantSplit w:val="true"/>
        </w:trPr>
        <w:tc>
          <w:tcPr>
            <w:tcW w:type="dxa" w:w="412"/>
          </w:tcPr>
          <w:p>
            <w:pPr>
              <w:pStyle w:val="CellText"/>
            </w:pPr>
            <w:r>
              <w:rPr>
                <w:sz w:val="19"/>
              </w:rPr>
              <w:t>4</w:t>
            </w:r>
          </w:p>
        </w:tc>
        <w:tc>
          <w:tcPr>
            <w:tcW w:type="dxa" w:w="2610"/>
          </w:tcPr>
          <w:p>
            <w:pPr>
              <w:pStyle w:val="CellText"/>
            </w:pPr>
            <w:r>
              <w:rPr>
                <w:sz w:val="19"/>
              </w:rPr>
              <w:t>Cheaper Model B variants (M6)</w:t>
            </w:r>
          </w:p>
        </w:tc>
        <w:tc>
          <w:tcPr>
            <w:tcW w:type="dxa" w:w="2747"/>
          </w:tcPr>
          <w:p>
            <w:pPr>
              <w:pStyle w:val="CellText"/>
            </w:pPr>
            <w:r>
              <w:rPr>
                <w:rFonts w:ascii="Consolas" w:hAnsi="Consolas" w:eastAsia="Consolas"/>
                <w:sz w:val="16"/>
              </w:rPr>
              <w:t>model_b_table</w:t>
            </w:r>
            <w:r>
              <w:rPr>
                <w:sz w:val="19"/>
              </w:rPr>
              <w:t xml:space="preserve">, </w:t>
            </w:r>
            <w:r>
              <w:rPr>
                <w:rFonts w:ascii="Consolas" w:hAnsi="Consolas" w:eastAsia="Consolas"/>
                <w:sz w:val="16"/>
              </w:rPr>
              <w:t>model_b_gated</w:t>
            </w:r>
            <w:r>
              <w:rPr>
                <w:sz w:val="19"/>
              </w:rPr>
              <w:t xml:space="preserve"> runtime strategies</w:t>
            </w:r>
          </w:p>
        </w:tc>
        <w:tc>
          <w:tcPr>
            <w:tcW w:type="dxa" w:w="3159"/>
          </w:tcPr>
          <w:p>
            <w:pPr>
              <w:pStyle w:val="CellText"/>
            </w:pPr>
            <w:r>
              <w:rPr>
                <w:sz w:val="19"/>
              </w:rPr>
              <w:t>inference µs per prediction within an order of magnitude of Markov-2</w:t>
            </w:r>
          </w:p>
        </w:tc>
      </w:tr>
      <w:tr>
        <w:trPr>
          <w:cantSplit w:val="true"/>
        </w:trPr>
        <w:tc>
          <w:tcPr>
            <w:tcW w:type="dxa" w:w="412"/>
          </w:tcPr>
          <w:p>
            <w:pPr>
              <w:pStyle w:val="CellText"/>
            </w:pPr>
            <w:r>
              <w:rPr>
                <w:sz w:val="19"/>
              </w:rPr>
              <w:t>5</w:t>
            </w:r>
          </w:p>
        </w:tc>
        <w:tc>
          <w:tcPr>
            <w:tcW w:type="dxa" w:w="2610"/>
          </w:tcPr>
          <w:p>
            <w:pPr>
              <w:pStyle w:val="CellText"/>
            </w:pPr>
            <w:r>
              <w:rPr>
                <w:sz w:val="19"/>
              </w:rPr>
              <w:t>Final protocol v2 run (M7)</w:t>
            </w:r>
          </w:p>
        </w:tc>
        <w:tc>
          <w:tcPr>
            <w:tcW w:type="dxa" w:w="2747"/>
          </w:tcPr>
          <w:p>
            <w:pPr>
              <w:pStyle w:val="CellText"/>
            </w:pPr>
            <w:r>
              <w:rPr>
                <w:sz w:val="19"/>
              </w:rPr>
              <w:t>suites on seeds 911–915 under the shared model</w:t>
            </w:r>
          </w:p>
        </w:tc>
        <w:tc>
          <w:tcPr>
            <w:tcW w:type="dxa" w:w="3159"/>
          </w:tcPr>
          <w:p>
            <w:pPr>
              <w:pStyle w:val="CellText"/>
            </w:pPr>
            <w:r>
              <w:rPr>
                <w:sz w:val="19"/>
              </w:rPr>
              <w:t>all strategies reported; Holm-corrected H3/H4 decisions with raw CIs</w:t>
            </w:r>
          </w:p>
        </w:tc>
      </w:tr>
      <w:tr>
        <w:trPr>
          <w:cantSplit w:val="true"/>
        </w:trPr>
        <w:tc>
          <w:tcPr>
            <w:tcW w:type="dxa" w:w="412"/>
          </w:tcPr>
          <w:p>
            <w:pPr>
              <w:pStyle w:val="CellText"/>
            </w:pPr>
            <w:r>
              <w:rPr>
                <w:sz w:val="19"/>
              </w:rPr>
              <w:t>6</w:t>
            </w:r>
          </w:p>
        </w:tc>
        <w:tc>
          <w:tcPr>
            <w:tcW w:type="dxa" w:w="2610"/>
          </w:tcPr>
          <w:p>
            <w:pPr>
              <w:pStyle w:val="CellText"/>
            </w:pPr>
            <w:r>
              <w:rPr>
                <w:sz w:val="19"/>
              </w:rPr>
              <w:t>Report generator and paper draft (M8)</w:t>
            </w:r>
          </w:p>
        </w:tc>
        <w:tc>
          <w:tcPr>
            <w:tcW w:type="dxa" w:w="2747"/>
          </w:tcPr>
          <w:p>
            <w:pPr>
              <w:pStyle w:val="CellText"/>
            </w:pPr>
            <w:r>
              <w:rPr>
                <w:rFonts w:ascii="Consolas" w:hAnsi="Consolas" w:eastAsia="Consolas"/>
                <w:sz w:val="16"/>
              </w:rPr>
              <w:t>hypothesis_report.py</w:t>
            </w:r>
            <w:r>
              <w:rPr>
                <w:sz w:val="19"/>
              </w:rPr>
              <w:t>, consolidated report</w:t>
            </w:r>
          </w:p>
        </w:tc>
        <w:tc>
          <w:tcPr>
            <w:tcW w:type="dxa" w:w="3159"/>
          </w:tcPr>
          <w:p>
            <w:pPr>
              <w:pStyle w:val="CellText"/>
            </w:pPr>
            <w:r>
              <w:rPr>
                <w:sz w:val="19"/>
              </w:rPr>
              <w:t>headline sentence selected mechanically from H1–H5 outcomes</w:t>
            </w:r>
          </w:p>
        </w:tc>
      </w:tr>
      <w:tr>
        <w:trPr>
          <w:cantSplit w:val="true"/>
        </w:trPr>
        <w:tc>
          <w:tcPr>
            <w:tcW w:type="dxa" w:w="412"/>
          </w:tcPr>
          <w:p>
            <w:pPr>
              <w:pStyle w:val="CellText"/>
            </w:pPr>
            <w:r>
              <w:rPr>
                <w:sz w:val="19"/>
              </w:rPr>
              <w:t>7</w:t>
            </w:r>
          </w:p>
        </w:tc>
        <w:tc>
          <w:tcPr>
            <w:tcW w:type="dxa" w:w="2610"/>
          </w:tcPr>
          <w:p>
            <w:pPr>
              <w:pStyle w:val="CellText"/>
            </w:pPr>
            <w:r>
              <w:rPr>
                <w:sz w:val="19"/>
              </w:rPr>
              <w:t>Dashboard v2 and demonstration (M9)</w:t>
            </w:r>
          </w:p>
        </w:tc>
        <w:tc>
          <w:tcPr>
            <w:tcW w:type="dxa" w:w="2747"/>
          </w:tcPr>
          <w:p>
            <w:pPr>
              <w:pStyle w:val="CellText"/>
            </w:pPr>
            <w:r>
              <w:rPr>
                <w:sz w:val="19"/>
              </w:rPr>
              <w:t xml:space="preserve">updated </w:t>
            </w:r>
            <w:r>
              <w:rPr>
                <w:rFonts w:ascii="Consolas" w:hAnsi="Consolas" w:eastAsia="Consolas"/>
                <w:sz w:val="16"/>
              </w:rPr>
              <w:t>pagewise-dashboard.json</w:t>
            </w:r>
            <w:r>
              <w:rPr>
                <w:sz w:val="19"/>
              </w:rPr>
              <w:t>, demo script</w:t>
            </w:r>
          </w:p>
        </w:tc>
        <w:tc>
          <w:tcPr>
            <w:tcW w:type="dxa" w:w="3159"/>
          </w:tcPr>
          <w:p>
            <w:pPr>
              <w:pStyle w:val="CellText"/>
            </w:pPr>
            <w:r>
              <w:rPr>
                <w:sz w:val="19"/>
              </w:rPr>
              <w:t>every dashboard number traceable to a measured artefact</w:t>
            </w:r>
          </w:p>
        </w:tc>
      </w:tr>
    </w:tbl>
    <w:p>
      <w:pPr>
        <w:spacing w:after="80"/>
      </w:pPr>
    </w:p>
    <w:p>
      <w:pPr>
        <w:pStyle w:val="Heading1"/>
      </w:pPr>
      <w:r>
        <w:t>11. Conclusion</w:t>
      </w:r>
    </w:p>
    <w:p>
      <w:r>
        <w:t xml:space="preserve">Review 2 delivers a complete, reproducible and audited experimental system for studying semantics-aware page prefetching in SQLite: a seven-stage pipeline, a runtime architecture that separates demand and speculative work while modelling their contention, and four well-tested modules exposed through a single command-line interface. The measured evidence so far is consistent and honest — semantic features (chiefly object identity) improve neural next-page prediction markedly over a history-only model, yet inexpensive Markov and context-keyed tables are more accurate still, and at the storage latencies tested the neural predictors' inference cost prevents the accuracy gain from becoming a latency gain. The remaining work is fully specified by the pre-registered v2 protocol: establish the achievable headroom with the virtual-time simulator and the </w:t>
      </w:r>
      <w:r>
        <w:rPr>
          <w:rFonts w:ascii="Consolas" w:hAnsi="Consolas" w:eastAsia="Consolas"/>
          <w:sz w:val="21"/>
        </w:rPr>
        <w:t>oracle_miss</w:t>
      </w:r>
      <w:r>
        <w:t xml:space="preserve"> bound, repair the runtime pipeline, evaluate cheaper semantic predictors, and run the final protocol once on fresh seeds so that the final claim is selected mechanically from the hypothesis outcomes.</w:t>
      </w:r>
    </w:p>
    <w:p>
      <w:pPr>
        <w:pStyle w:val="Heading1"/>
      </w:pPr>
      <w:r>
        <w:t>References</w:t>
      </w:r>
    </w:p>
    <w:p>
      <w:pPr>
        <w:spacing w:after="80"/>
        <w:ind w:left="648" w:hanging="648"/>
        <w:jc w:val="left"/>
      </w:pPr>
      <w:r>
        <w:rPr>
          <w:sz w:val="22"/>
        </w:rPr>
        <w:t>[1] SQLite Consortium, “The SQLite OS Interface or ‘VFS’,” SQLite Documentation. [Online]. Available: https://www.sqlite.org/vfs.html</w:t>
      </w:r>
    </w:p>
    <w:p>
      <w:pPr>
        <w:spacing w:after="80"/>
        <w:ind w:left="648" w:hanging="648"/>
        <w:jc w:val="left"/>
      </w:pPr>
      <w:r>
        <w:rPr>
          <w:sz w:val="22"/>
        </w:rPr>
        <w:t>[2] SQLite Consortium, “The DBSTAT Virtual Table,” SQLite Documentation. [Online]. Available: https://www.sqlite.org/dbstat.html</w:t>
      </w:r>
    </w:p>
    <w:p>
      <w:pPr>
        <w:spacing w:after="80"/>
        <w:ind w:left="648" w:hanging="648"/>
        <w:jc w:val="left"/>
      </w:pPr>
      <w:r>
        <w:rPr>
          <w:sz w:val="22"/>
        </w:rPr>
        <w:t>[3] SQLite Consortium, “Database File Format,” SQLite Documentation. [Online]. Available: https://www.sqlite.org/fileformat2.html</w:t>
      </w:r>
    </w:p>
    <w:p>
      <w:pPr>
        <w:spacing w:after="80"/>
        <w:ind w:left="648" w:hanging="648"/>
        <w:jc w:val="left"/>
      </w:pPr>
      <w:r>
        <w:rPr>
          <w:sz w:val="22"/>
        </w:rPr>
        <w:t>[4] R. Binns, “APSW: Another Python SQLite Wrapper,” Documentation. [Online]. Available: https://rogerbinns.github.io/apsw/</w:t>
      </w:r>
    </w:p>
    <w:p>
      <w:pPr>
        <w:spacing w:after="80"/>
        <w:ind w:left="648" w:hanging="648"/>
        <w:jc w:val="left"/>
      </w:pPr>
      <w:r>
        <w:rPr>
          <w:sz w:val="22"/>
        </w:rPr>
        <w:t xml:space="preserve">[5] M. Hashemi, K. Swersky, J. A. Smith, G. Ayers, H. Litz, J. Chang, C. Kozyrakis, and P. Ranganathan, “Learning memory access patterns,” in </w:t>
      </w:r>
      <w:r>
        <w:rPr>
          <w:i/>
          <w:sz w:val="22"/>
        </w:rPr>
        <w:t>Proc. 35th Int. Conf. Machine Learning (ICML)</w:t>
      </w:r>
      <w:r>
        <w:rPr>
          <w:sz w:val="22"/>
        </w:rPr>
        <w:t>, 2018.</w:t>
      </w:r>
    </w:p>
    <w:p>
      <w:pPr>
        <w:spacing w:after="80"/>
        <w:ind w:left="648" w:hanging="648"/>
        <w:jc w:val="left"/>
      </w:pPr>
      <w:r>
        <w:rPr>
          <w:sz w:val="22"/>
        </w:rPr>
        <w:t xml:space="preserve">[6] Z. Shi, A. Jain, K. Swersky, M. Hashemi, P. Ranganathan, and C. Lin, “A hierarchical neural model of data prefetching,” in </w:t>
      </w:r>
      <w:r>
        <w:rPr>
          <w:i/>
          <w:sz w:val="22"/>
        </w:rPr>
        <w:t>Proc. 26th ACM Int. Conf. Architectural Support for Programming Languages and Operating Systems (ASPLOS)</w:t>
      </w:r>
      <w:r>
        <w:rPr>
          <w:sz w:val="22"/>
        </w:rPr>
        <w:t>, 2021.</w:t>
      </w:r>
    </w:p>
    <w:p>
      <w:pPr>
        <w:spacing w:after="80"/>
        <w:ind w:left="648" w:hanging="648"/>
        <w:jc w:val="left"/>
      </w:pPr>
      <w:r>
        <w:rPr>
          <w:sz w:val="22"/>
        </w:rPr>
        <w:t xml:space="preserve">[7] L. Peled, S. Mannor, U. Weiser, and Y. Etsion, “Semantic locality and context-based prefetching using reinforcement learning,” in </w:t>
      </w:r>
      <w:r>
        <w:rPr>
          <w:i/>
          <w:sz w:val="22"/>
        </w:rPr>
        <w:t>Proc. 42nd Annu. Int. Symp. Computer Architecture (ISCA)</w:t>
      </w:r>
      <w:r>
        <w:rPr>
          <w:sz w:val="22"/>
        </w:rPr>
        <w:t>, 2015.</w:t>
      </w:r>
    </w:p>
    <w:p>
      <w:pPr>
        <w:spacing w:after="80"/>
        <w:ind w:left="648" w:hanging="648"/>
        <w:jc w:val="left"/>
      </w:pPr>
      <w:r>
        <w:rPr>
          <w:sz w:val="22"/>
        </w:rPr>
        <w:t xml:space="preserve">[8] K. J. Nesbit and J. E. Smith, “Data cache prefetching using a global history buffer,” in </w:t>
      </w:r>
      <w:r>
        <w:rPr>
          <w:i/>
          <w:sz w:val="22"/>
        </w:rPr>
        <w:t>Proc. 10th Int. Symp. High-Performance Computer Architecture (HPCA)</w:t>
      </w:r>
      <w:r>
        <w:rPr>
          <w:sz w:val="22"/>
        </w:rPr>
        <w:t>, 2004.</w:t>
      </w:r>
    </w:p>
    <w:p>
      <w:pPr>
        <w:spacing w:after="80"/>
        <w:ind w:left="648" w:hanging="648"/>
        <w:jc w:val="left"/>
      </w:pPr>
      <w:r>
        <w:rPr>
          <w:sz w:val="22"/>
        </w:rPr>
        <w:t xml:space="preserve">[9] R. H. Patterson, G. A. Gibson, E. Ginting, D. Stodolsky, and J. Zelenka, “Informed prefetching and caching,” in </w:t>
      </w:r>
      <w:r>
        <w:rPr>
          <w:i/>
          <w:sz w:val="22"/>
        </w:rPr>
        <w:t>Proc. 15th ACM Symp. Operating Systems Principles (SOSP)</w:t>
      </w:r>
      <w:r>
        <w:rPr>
          <w:sz w:val="22"/>
        </w:rPr>
        <w:t>, 1995.</w:t>
      </w:r>
    </w:p>
    <w:p>
      <w:pPr>
        <w:spacing w:after="80"/>
        <w:ind w:left="648" w:hanging="648"/>
        <w:jc w:val="left"/>
      </w:pPr>
      <w:r>
        <w:rPr>
          <w:sz w:val="22"/>
        </w:rPr>
        <w:t xml:space="preserve">[10] T. Kraska, A. Beutel, E. H. Chi, J. Dean, and N. Polyzotis, “The case for learned index structures,” in </w:t>
      </w:r>
      <w:r>
        <w:rPr>
          <w:i/>
          <w:sz w:val="22"/>
        </w:rPr>
        <w:t>Proc. ACM SIGMOD Int. Conf. Management of Data</w:t>
      </w:r>
      <w:r>
        <w:rPr>
          <w:sz w:val="22"/>
        </w:rPr>
        <w:t>, 2018.</w:t>
      </w:r>
    </w:p>
    <w:p>
      <w:pPr>
        <w:spacing w:after="80"/>
        <w:ind w:left="648" w:hanging="648"/>
        <w:jc w:val="left"/>
      </w:pPr>
      <w:r>
        <w:rPr>
          <w:sz w:val="22"/>
        </w:rPr>
        <w:t xml:space="preserve">[11] A. Paszke et al., “PyTorch: An imperative style, high-performance deep learning library,” in </w:t>
      </w:r>
      <w:r>
        <w:rPr>
          <w:i/>
          <w:sz w:val="22"/>
        </w:rPr>
        <w:t>Advances in Neural Information Processing Systems 32 (NeurIPS)</w:t>
      </w:r>
      <w:r>
        <w:rPr>
          <w:sz w:val="22"/>
        </w:rPr>
        <w:t>, 2019.</w:t>
      </w:r>
    </w:p>
    <w:p>
      <w:pPr>
        <w:spacing w:after="80"/>
        <w:ind w:left="648" w:hanging="648"/>
        <w:jc w:val="left"/>
      </w:pPr>
      <w:r>
        <w:rPr>
          <w:sz w:val="22"/>
        </w:rPr>
        <w:t xml:space="preserve">[12] B. Efron and R. J. Tibshirani, </w:t>
      </w:r>
      <w:r>
        <w:rPr>
          <w:i/>
          <w:sz w:val="22"/>
        </w:rPr>
        <w:t>An Introduction to the Bootstrap</w:t>
      </w:r>
      <w:r>
        <w:rPr>
          <w:sz w:val="22"/>
        </w:rPr>
        <w:t>. New York, NY, USA: Chapman &amp; Hall, 1993.</w:t>
      </w:r>
    </w:p>
    <w:p>
      <w:pPr>
        <w:spacing w:after="80"/>
        <w:ind w:left="648" w:hanging="648"/>
        <w:jc w:val="left"/>
      </w:pPr>
      <w:r>
        <w:rPr>
          <w:sz w:val="22"/>
        </w:rPr>
        <w:t xml:space="preserve">[13] S. Holm, “A simple sequentially rejective multiple test procedure,” </w:t>
      </w:r>
      <w:r>
        <w:rPr>
          <w:i/>
          <w:sz w:val="22"/>
        </w:rPr>
        <w:t>Scandinavian Journal of Statistics</w:t>
      </w:r>
      <w:r>
        <w:rPr>
          <w:sz w:val="22"/>
        </w:rPr>
        <w:t>, vol. 6, no. 2, pp. 65–70, 1979.</w:t>
      </w:r>
    </w:p>
    <w:p>
      <w:pPr>
        <w:spacing w:after="80"/>
        <w:ind w:left="648" w:hanging="648"/>
        <w:jc w:val="left"/>
      </w:pPr>
      <w:r>
        <w:rPr>
          <w:sz w:val="22"/>
        </w:rPr>
        <w:t xml:space="preserve">[14] A. J. Smith, “Cache memories,” </w:t>
      </w:r>
      <w:r>
        <w:rPr>
          <w:i/>
          <w:sz w:val="22"/>
        </w:rPr>
        <w:t>ACM Computing Surveys</w:t>
      </w:r>
      <w:r>
        <w:rPr>
          <w:sz w:val="22"/>
        </w:rPr>
        <w:t>, vol. 14, no. 3, pp. 473–530, 1982.</w:t>
      </w:r>
    </w:p>
    <w:p>
      <w:r>
        <w:br w:type="page"/>
      </w:r>
    </w:p>
    <w:p>
      <w:pPr>
        <w:pStyle w:val="Heading1"/>
      </w:pPr>
      <w:r>
        <w:t>Appendix A. Command-line reference</w:t>
      </w:r>
    </w:p>
    <w:p>
      <w:r>
        <w:t xml:space="preserve">All commands run from </w:t>
      </w:r>
      <w:r>
        <w:rPr>
          <w:rFonts w:ascii="Consolas" w:hAnsi="Consolas" w:eastAsia="Consolas"/>
          <w:sz w:val="21"/>
        </w:rPr>
        <w:t>backend/</w:t>
      </w:r>
      <w:r>
        <w:t xml:space="preserve"> as </w:t>
      </w:r>
      <w:r>
        <w:rPr>
          <w:rFonts w:ascii="Consolas" w:hAnsi="Consolas" w:eastAsia="Consolas"/>
          <w:sz w:val="21"/>
        </w:rPr>
        <w:t>python -m pagewise.cli &lt;command&gt;</w:t>
      </w:r>
      <w:r>
        <w:t>.</w:t>
      </w:r>
    </w:p>
    <w:p>
      <w:pPr>
        <w:pStyle w:val="TableCaption"/>
      </w:pPr>
      <w:r>
        <w:rPr>
          <w:sz w:val="20"/>
        </w:rPr>
        <w:t>Table 15. Unified CLI sub-commands and their purpose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2060"/>
            <w:shd w:val="clear" w:color="auto" w:fill="D9E2F3"/>
          </w:tcPr>
          <w:p>
            <w:pPr>
              <w:pStyle w:val="CellText"/>
            </w:pPr>
            <w:r>
              <w:rPr>
                <w:b/>
                <w:sz w:val="19"/>
              </w:rPr>
              <w:t>Command</w:t>
            </w:r>
          </w:p>
        </w:tc>
        <w:tc>
          <w:tcPr>
            <w:tcW w:type="dxa" w:w="3434"/>
            <w:shd w:val="clear" w:color="auto" w:fill="D9E2F3"/>
          </w:tcPr>
          <w:p>
            <w:pPr>
              <w:pStyle w:val="CellText"/>
            </w:pPr>
            <w:r>
              <w:rPr>
                <w:b/>
                <w:sz w:val="19"/>
              </w:rPr>
              <w:t>Key arguments</w:t>
            </w:r>
          </w:p>
        </w:tc>
        <w:tc>
          <w:tcPr>
            <w:tcW w:type="dxa" w:w="3434"/>
            <w:shd w:val="clear" w:color="auto" w:fill="D9E2F3"/>
          </w:tcPr>
          <w:p>
            <w:pPr>
              <w:pStyle w:val="CellText"/>
            </w:pPr>
            <w:r>
              <w:rPr>
                <w:b/>
                <w:sz w:val="19"/>
              </w:rPr>
              <w:t>Purpose</w:t>
            </w:r>
          </w:p>
        </w:tc>
      </w:tr>
      <w:tr>
        <w:trPr>
          <w:cantSplit w:val="true"/>
        </w:trPr>
        <w:tc>
          <w:tcPr>
            <w:tcW w:type="dxa" w:w="2060"/>
          </w:tcPr>
          <w:p>
            <w:pPr>
              <w:pStyle w:val="CellText"/>
            </w:pPr>
            <w:r>
              <w:rPr>
                <w:rFonts w:ascii="Consolas" w:hAnsi="Consolas" w:eastAsia="Consolas"/>
                <w:sz w:val="16"/>
              </w:rPr>
              <w:t>check-env</w:t>
            </w:r>
          </w:p>
        </w:tc>
        <w:tc>
          <w:tcPr>
            <w:tcW w:type="dxa" w:w="3434"/>
          </w:tcPr>
          <w:p>
            <w:pPr>
              <w:pStyle w:val="CellText"/>
            </w:pPr>
            <w:r>
              <w:rPr>
                <w:sz w:val="19"/>
              </w:rPr>
              <w:t>—</w:t>
            </w:r>
          </w:p>
        </w:tc>
        <w:tc>
          <w:tcPr>
            <w:tcW w:type="dxa" w:w="3434"/>
          </w:tcPr>
          <w:p>
            <w:pPr>
              <w:pStyle w:val="CellText"/>
            </w:pPr>
            <w:r>
              <w:rPr>
                <w:sz w:val="19"/>
              </w:rPr>
              <w:t xml:space="preserve">Report Python, SQLite, APSW, PyTorch and </w:t>
            </w:r>
            <w:r>
              <w:rPr>
                <w:rFonts w:ascii="Consolas" w:hAnsi="Consolas" w:eastAsia="Consolas"/>
                <w:sz w:val="16"/>
              </w:rPr>
              <w:t>dbstat</w:t>
            </w:r>
            <w:r>
              <w:rPr>
                <w:sz w:val="19"/>
              </w:rPr>
              <w:t xml:space="preserve"> support</w:t>
            </w:r>
          </w:p>
        </w:tc>
      </w:tr>
      <w:tr>
        <w:trPr>
          <w:cantSplit w:val="true"/>
        </w:trPr>
        <w:tc>
          <w:tcPr>
            <w:tcW w:type="dxa" w:w="2060"/>
          </w:tcPr>
          <w:p>
            <w:pPr>
              <w:pStyle w:val="CellText"/>
            </w:pPr>
            <w:r>
              <w:rPr>
                <w:rFonts w:ascii="Consolas" w:hAnsi="Consolas" w:eastAsia="Consolas"/>
                <w:sz w:val="16"/>
              </w:rPr>
              <w:t>generate-db</w:t>
            </w:r>
          </w:p>
        </w:tc>
        <w:tc>
          <w:tcPr>
            <w:tcW w:type="dxa" w:w="3434"/>
          </w:tcPr>
          <w:p>
            <w:pPr>
              <w:pStyle w:val="CellText"/>
            </w:pPr>
            <w:r>
              <w:rPr>
                <w:rFonts w:ascii="Consolas" w:hAnsi="Consolas" w:eastAsia="Consolas"/>
                <w:sz w:val="16"/>
              </w:rPr>
              <w:t>--db --customers --products --orders --seed</w:t>
            </w:r>
          </w:p>
        </w:tc>
        <w:tc>
          <w:tcPr>
            <w:tcW w:type="dxa" w:w="3434"/>
          </w:tcPr>
          <w:p>
            <w:pPr>
              <w:pStyle w:val="CellText"/>
            </w:pPr>
            <w:r>
              <w:rPr>
                <w:sz w:val="19"/>
              </w:rPr>
              <w:t>Generate the reproducible synthetic database</w:t>
            </w:r>
          </w:p>
        </w:tc>
      </w:tr>
      <w:tr>
        <w:trPr>
          <w:cantSplit w:val="true"/>
        </w:trPr>
        <w:tc>
          <w:tcPr>
            <w:tcW w:type="dxa" w:w="2060"/>
          </w:tcPr>
          <w:p>
            <w:pPr>
              <w:pStyle w:val="CellText"/>
            </w:pPr>
            <w:r>
              <w:rPr>
                <w:rFonts w:ascii="Consolas" w:hAnsi="Consolas" w:eastAsia="Consolas"/>
                <w:sz w:val="16"/>
              </w:rPr>
              <w:t>trace</w:t>
            </w:r>
          </w:p>
        </w:tc>
        <w:tc>
          <w:tcPr>
            <w:tcW w:type="dxa" w:w="3434"/>
          </w:tcPr>
          <w:p>
            <w:pPr>
              <w:pStyle w:val="CellText"/>
            </w:pPr>
            <w:r>
              <w:rPr>
                <w:rFonts w:ascii="Consolas" w:hAnsi="Consolas" w:eastAsia="Consolas"/>
                <w:sz w:val="16"/>
              </w:rPr>
              <w:t>--db --out --queries --seed --cache-kib</w:t>
            </w:r>
          </w:p>
        </w:tc>
        <w:tc>
          <w:tcPr>
            <w:tcW w:type="dxa" w:w="3434"/>
          </w:tcPr>
          <w:p>
            <w:pPr>
              <w:pStyle w:val="CellText"/>
            </w:pPr>
            <w:r>
              <w:rPr>
                <w:sz w:val="19"/>
              </w:rPr>
              <w:t xml:space="preserve">Trace VFS </w:t>
            </w:r>
            <w:r>
              <w:rPr>
                <w:rFonts w:ascii="Consolas" w:hAnsi="Consolas" w:eastAsia="Consolas"/>
                <w:sz w:val="16"/>
              </w:rPr>
              <w:t>xRead</w:t>
            </w:r>
            <w:r>
              <w:rPr>
                <w:sz w:val="19"/>
              </w:rPr>
              <w:t xml:space="preserve"> requests with query context and page map</w:t>
            </w:r>
          </w:p>
        </w:tc>
      </w:tr>
      <w:tr>
        <w:trPr>
          <w:cantSplit w:val="true"/>
        </w:trPr>
        <w:tc>
          <w:tcPr>
            <w:tcW w:type="dxa" w:w="2060"/>
          </w:tcPr>
          <w:p>
            <w:pPr>
              <w:pStyle w:val="CellText"/>
            </w:pPr>
            <w:r>
              <w:rPr>
                <w:rFonts w:ascii="Consolas" w:hAnsi="Consolas" w:eastAsia="Consolas"/>
                <w:sz w:val="16"/>
              </w:rPr>
              <w:t>build-sequences</w:t>
            </w:r>
          </w:p>
        </w:tc>
        <w:tc>
          <w:tcPr>
            <w:tcW w:type="dxa" w:w="3434"/>
          </w:tcPr>
          <w:p>
            <w:pPr>
              <w:pStyle w:val="CellText"/>
            </w:pPr>
            <w:r>
              <w:rPr>
                <w:rFonts w:ascii="Consolas" w:hAnsi="Consolas" w:eastAsia="Consolas"/>
                <w:sz w:val="16"/>
              </w:rPr>
              <w:t>--trace --page-map --out</w:t>
            </w:r>
          </w:p>
        </w:tc>
        <w:tc>
          <w:tcPr>
            <w:tcW w:type="dxa" w:w="3434"/>
          </w:tcPr>
          <w:p>
            <w:pPr>
              <w:pStyle w:val="CellText"/>
            </w:pPr>
            <w:r>
              <w:rPr>
                <w:sz w:val="19"/>
              </w:rPr>
              <w:t>Convert the trace to per-query page sequences</w:t>
            </w:r>
          </w:p>
        </w:tc>
      </w:tr>
      <w:tr>
        <w:trPr>
          <w:cantSplit w:val="true"/>
        </w:trPr>
        <w:tc>
          <w:tcPr>
            <w:tcW w:type="dxa" w:w="2060"/>
          </w:tcPr>
          <w:p>
            <w:pPr>
              <w:pStyle w:val="CellText"/>
            </w:pPr>
            <w:r>
              <w:rPr>
                <w:rFonts w:ascii="Consolas" w:hAnsi="Consolas" w:eastAsia="Consolas"/>
                <w:sz w:val="16"/>
              </w:rPr>
              <w:t>train</w:t>
            </w:r>
          </w:p>
        </w:tc>
        <w:tc>
          <w:tcPr>
            <w:tcW w:type="dxa" w:w="3434"/>
          </w:tcPr>
          <w:p>
            <w:pPr>
              <w:pStyle w:val="CellText"/>
            </w:pPr>
            <w:r>
              <w:rPr>
                <w:rFonts w:ascii="Consolas" w:hAnsi="Consolas" w:eastAsia="Consolas"/>
                <w:sz w:val="16"/>
              </w:rPr>
              <w:t>--sequences --page-map --out --seed --epochs --candidates --hidden [--semantic-ablations]</w:t>
            </w:r>
          </w:p>
        </w:tc>
        <w:tc>
          <w:tcPr>
            <w:tcW w:type="dxa" w:w="3434"/>
          </w:tcPr>
          <w:p>
            <w:pPr>
              <w:pStyle w:val="CellText"/>
            </w:pPr>
            <w:r>
              <w:rPr>
                <w:sz w:val="19"/>
              </w:rPr>
              <w:t>Train matched Model A and Model B (plus retrained ablations)</w:t>
            </w:r>
          </w:p>
        </w:tc>
      </w:tr>
      <w:tr>
        <w:trPr>
          <w:cantSplit w:val="true"/>
        </w:trPr>
        <w:tc>
          <w:tcPr>
            <w:tcW w:type="dxa" w:w="2060"/>
          </w:tcPr>
          <w:p>
            <w:pPr>
              <w:pStyle w:val="CellText"/>
            </w:pPr>
            <w:r>
              <w:rPr>
                <w:rFonts w:ascii="Consolas" w:hAnsi="Consolas" w:eastAsia="Consolas"/>
                <w:sz w:val="16"/>
              </w:rPr>
              <w:t>train-sweep</w:t>
            </w:r>
          </w:p>
        </w:tc>
        <w:tc>
          <w:tcPr>
            <w:tcW w:type="dxa" w:w="3434"/>
          </w:tcPr>
          <w:p>
            <w:pPr>
              <w:pStyle w:val="CellText"/>
            </w:pPr>
            <w:r>
              <w:rPr>
                <w:rFonts w:ascii="Consolas" w:hAnsi="Consolas" w:eastAsia="Consolas"/>
                <w:sz w:val="16"/>
              </w:rPr>
              <w:t>--seeds --split-seed --epochs</w:t>
            </w:r>
          </w:p>
        </w:tc>
        <w:tc>
          <w:tcPr>
            <w:tcW w:type="dxa" w:w="3434"/>
          </w:tcPr>
          <w:p>
            <w:pPr>
              <w:pStyle w:val="CellText"/>
            </w:pPr>
            <w:r>
              <w:rPr>
                <w:sz w:val="19"/>
              </w:rPr>
              <w:t>Multi-seed training and evaluation on a fixed split</w:t>
            </w:r>
          </w:p>
        </w:tc>
      </w:tr>
      <w:tr>
        <w:trPr>
          <w:cantSplit w:val="true"/>
        </w:trPr>
        <w:tc>
          <w:tcPr>
            <w:tcW w:type="dxa" w:w="2060"/>
          </w:tcPr>
          <w:p>
            <w:pPr>
              <w:pStyle w:val="CellText"/>
            </w:pPr>
            <w:r>
              <w:rPr>
                <w:rFonts w:ascii="Consolas" w:hAnsi="Consolas" w:eastAsia="Consolas"/>
                <w:sz w:val="16"/>
              </w:rPr>
              <w:t>evaluate</w:t>
            </w:r>
          </w:p>
        </w:tc>
        <w:tc>
          <w:tcPr>
            <w:tcW w:type="dxa" w:w="3434"/>
          </w:tcPr>
          <w:p>
            <w:pPr>
              <w:pStyle w:val="CellText"/>
            </w:pPr>
            <w:r>
              <w:rPr>
                <w:rFonts w:ascii="Consolas" w:hAnsi="Consolas" w:eastAsia="Consolas"/>
                <w:sz w:val="16"/>
              </w:rPr>
              <w:t>--sequences --candidate-index --model-a --model-b --out</w:t>
            </w:r>
          </w:p>
        </w:tc>
        <w:tc>
          <w:tcPr>
            <w:tcW w:type="dxa" w:w="3434"/>
          </w:tcPr>
          <w:p>
            <w:pPr>
              <w:pStyle w:val="CellText"/>
            </w:pPr>
            <w:r>
              <w:rPr>
                <w:sz w:val="19"/>
              </w:rPr>
              <w:t>Held-out top-1/top-5, candidate recall, baselines, ablations</w:t>
            </w:r>
          </w:p>
        </w:tc>
      </w:tr>
      <w:tr>
        <w:trPr>
          <w:cantSplit w:val="true"/>
        </w:trPr>
        <w:tc>
          <w:tcPr>
            <w:tcW w:type="dxa" w:w="2060"/>
          </w:tcPr>
          <w:p>
            <w:pPr>
              <w:pStyle w:val="CellText"/>
            </w:pPr>
            <w:r>
              <w:rPr>
                <w:rFonts w:ascii="Consolas" w:hAnsi="Consolas" w:eastAsia="Consolas"/>
                <w:sz w:val="16"/>
              </w:rPr>
              <w:t>offline-study</w:t>
            </w:r>
            <w:r>
              <w:rPr>
                <w:sz w:val="19"/>
              </w:rPr>
              <w:t xml:space="preserve"> / </w:t>
            </w:r>
            <w:r>
              <w:rPr>
                <w:rFonts w:ascii="Consolas" w:hAnsi="Consolas" w:eastAsia="Consolas"/>
                <w:sz w:val="16"/>
              </w:rPr>
              <w:t>offline-ablation</w:t>
            </w:r>
          </w:p>
        </w:tc>
        <w:tc>
          <w:tcPr>
            <w:tcW w:type="dxa" w:w="3434"/>
          </w:tcPr>
          <w:p>
            <w:pPr>
              <w:pStyle w:val="CellText"/>
            </w:pPr>
            <w:r>
              <w:rPr>
                <w:rFonts w:ascii="Consolas" w:hAnsi="Consolas" w:eastAsia="Consolas"/>
                <w:sz w:val="16"/>
              </w:rPr>
              <w:t>--split params|templates --seeds --epochs</w:t>
            </w:r>
          </w:p>
        </w:tc>
        <w:tc>
          <w:tcPr>
            <w:tcW w:type="dxa" w:w="3434"/>
          </w:tcPr>
          <w:p>
            <w:pPr>
              <w:pStyle w:val="CellText"/>
            </w:pPr>
            <w:r>
              <w:rPr>
                <w:sz w:val="19"/>
              </w:rPr>
              <w:t>v2 offline study with context-keyed tables and paired bootstrap</w:t>
            </w:r>
          </w:p>
        </w:tc>
      </w:tr>
      <w:tr>
        <w:trPr>
          <w:cantSplit w:val="true"/>
        </w:trPr>
        <w:tc>
          <w:tcPr>
            <w:tcW w:type="dxa" w:w="2060"/>
          </w:tcPr>
          <w:p>
            <w:pPr>
              <w:pStyle w:val="CellText"/>
            </w:pPr>
            <w:r>
              <w:rPr>
                <w:rFonts w:ascii="Consolas" w:hAnsi="Consolas" w:eastAsia="Consolas"/>
                <w:sz w:val="16"/>
              </w:rPr>
              <w:t>run-prefetch</w:t>
            </w:r>
          </w:p>
        </w:tc>
        <w:tc>
          <w:tcPr>
            <w:tcW w:type="dxa" w:w="3434"/>
          </w:tcPr>
          <w:p>
            <w:pPr>
              <w:pStyle w:val="CellText"/>
            </w:pPr>
            <w:r>
              <w:rPr>
                <w:rFonts w:ascii="Consolas" w:hAnsi="Consolas" w:eastAsia="Consolas"/>
                <w:sz w:val="16"/>
              </w:rPr>
              <w:t>--db --model-dir --strategy --cache-pages --degree --miss-delay-ms --storage-model</w:t>
            </w:r>
          </w:p>
        </w:tc>
        <w:tc>
          <w:tcPr>
            <w:tcW w:type="dxa" w:w="3434"/>
          </w:tcPr>
          <w:p>
            <w:pPr>
              <w:pStyle w:val="CellText"/>
            </w:pPr>
            <w:r>
              <w:rPr>
                <w:sz w:val="19"/>
              </w:rPr>
              <w:t>One strategy, one seed, with the bounded cache and async prefetcher</w:t>
            </w:r>
          </w:p>
        </w:tc>
      </w:tr>
      <w:tr>
        <w:trPr>
          <w:cantSplit w:val="true"/>
        </w:trPr>
        <w:tc>
          <w:tcPr>
            <w:tcW w:type="dxa" w:w="2060"/>
          </w:tcPr>
          <w:p>
            <w:pPr>
              <w:pStyle w:val="CellText"/>
            </w:pPr>
            <w:r>
              <w:rPr>
                <w:rFonts w:ascii="Consolas" w:hAnsi="Consolas" w:eastAsia="Consolas"/>
                <w:sz w:val="16"/>
              </w:rPr>
              <w:t>run-suite</w:t>
            </w:r>
          </w:p>
        </w:tc>
        <w:tc>
          <w:tcPr>
            <w:tcW w:type="dxa" w:w="3434"/>
          </w:tcPr>
          <w:p>
            <w:pPr>
              <w:pStyle w:val="CellText"/>
            </w:pPr>
            <w:r>
              <w:rPr>
                <w:rFonts w:ascii="Consolas" w:hAnsi="Consolas" w:eastAsia="Consolas"/>
                <w:sz w:val="16"/>
              </w:rPr>
              <w:t>--seeds --strategies --queries --drop-stale-jobs --prefetch-workers</w:t>
            </w:r>
          </w:p>
        </w:tc>
        <w:tc>
          <w:tcPr>
            <w:tcW w:type="dxa" w:w="3434"/>
          </w:tcPr>
          <w:p>
            <w:pPr>
              <w:pStyle w:val="CellText"/>
            </w:pPr>
            <w:r>
              <w:rPr>
                <w:sz w:val="19"/>
              </w:rPr>
              <w:t>Repeated paired multi-strategy benchmark</w:t>
            </w:r>
          </w:p>
        </w:tc>
      </w:tr>
      <w:tr>
        <w:trPr>
          <w:cantSplit w:val="true"/>
        </w:trPr>
        <w:tc>
          <w:tcPr>
            <w:tcW w:type="dxa" w:w="2060"/>
          </w:tcPr>
          <w:p>
            <w:pPr>
              <w:pStyle w:val="CellText"/>
            </w:pPr>
            <w:r>
              <w:rPr>
                <w:rFonts w:ascii="Consolas" w:hAnsi="Consolas" w:eastAsia="Consolas"/>
                <w:sz w:val="16"/>
              </w:rPr>
              <w:t>runtime-sweep</w:t>
            </w:r>
          </w:p>
        </w:tc>
        <w:tc>
          <w:tcPr>
            <w:tcW w:type="dxa" w:w="3434"/>
          </w:tcPr>
          <w:p>
            <w:pPr>
              <w:pStyle w:val="CellText"/>
            </w:pPr>
            <w:r>
              <w:rPr>
                <w:sz w:val="19"/>
              </w:rPr>
              <w:t>grid of cache/scheduler settings</w:t>
            </w:r>
          </w:p>
        </w:tc>
        <w:tc>
          <w:tcPr>
            <w:tcW w:type="dxa" w:w="3434"/>
          </w:tcPr>
          <w:p>
            <w:pPr>
              <w:pStyle w:val="CellText"/>
            </w:pPr>
            <w:r>
              <w:rPr>
                <w:sz w:val="19"/>
              </w:rPr>
              <w:t>Sensitivity sweep with ranked report</w:t>
            </w:r>
          </w:p>
        </w:tc>
      </w:tr>
      <w:tr>
        <w:trPr>
          <w:cantSplit w:val="true"/>
        </w:trPr>
        <w:tc>
          <w:tcPr>
            <w:tcW w:type="dxa" w:w="2060"/>
          </w:tcPr>
          <w:p>
            <w:pPr>
              <w:pStyle w:val="CellText"/>
            </w:pPr>
            <w:r>
              <w:rPr>
                <w:rFonts w:ascii="Consolas" w:hAnsi="Consolas" w:eastAsia="Consolas"/>
                <w:sz w:val="16"/>
              </w:rPr>
              <w:t>summarize-suite</w:t>
            </w:r>
            <w:r>
              <w:rPr>
                <w:sz w:val="19"/>
              </w:rPr>
              <w:t xml:space="preserve"> / </w:t>
            </w:r>
            <w:r>
              <w:rPr>
                <w:rFonts w:ascii="Consolas" w:hAnsi="Consolas" w:eastAsia="Consolas"/>
                <w:sz w:val="16"/>
              </w:rPr>
              <w:t>recover-suite</w:t>
            </w:r>
          </w:p>
        </w:tc>
        <w:tc>
          <w:tcPr>
            <w:tcW w:type="dxa" w:w="3434"/>
          </w:tcPr>
          <w:p>
            <w:pPr>
              <w:pStyle w:val="CellText"/>
            </w:pPr>
            <w:r>
              <w:rPr>
                <w:rFonts w:ascii="Consolas" w:hAnsi="Consolas" w:eastAsia="Consolas"/>
                <w:sz w:val="16"/>
              </w:rPr>
              <w:t>--out</w:t>
            </w:r>
          </w:p>
        </w:tc>
        <w:tc>
          <w:tcPr>
            <w:tcW w:type="dxa" w:w="3434"/>
          </w:tcPr>
          <w:p>
            <w:pPr>
              <w:pStyle w:val="CellText"/>
            </w:pPr>
            <w:r>
              <w:rPr>
                <w:sz w:val="19"/>
              </w:rPr>
              <w:t>Rebuild summaries or recover an interrupted suite</w:t>
            </w:r>
          </w:p>
        </w:tc>
      </w:tr>
      <w:tr>
        <w:trPr>
          <w:cantSplit w:val="true"/>
        </w:trPr>
        <w:tc>
          <w:tcPr>
            <w:tcW w:type="dxa" w:w="2060"/>
          </w:tcPr>
          <w:p>
            <w:pPr>
              <w:pStyle w:val="CellText"/>
            </w:pPr>
            <w:r>
              <w:rPr>
                <w:rFonts w:ascii="Consolas" w:hAnsi="Consolas" w:eastAsia="Consolas"/>
                <w:sz w:val="16"/>
              </w:rPr>
              <w:t>report</w:t>
            </w:r>
            <w:r>
              <w:rPr>
                <w:sz w:val="19"/>
              </w:rPr>
              <w:t xml:space="preserve"> / </w:t>
            </w:r>
            <w:r>
              <w:rPr>
                <w:rFonts w:ascii="Consolas" w:hAnsi="Consolas" w:eastAsia="Consolas"/>
                <w:sz w:val="16"/>
              </w:rPr>
              <w:t>research-report</w:t>
            </w:r>
          </w:p>
        </w:tc>
        <w:tc>
          <w:tcPr>
            <w:tcW w:type="dxa" w:w="3434"/>
          </w:tcPr>
          <w:p>
            <w:pPr>
              <w:pStyle w:val="CellText"/>
            </w:pPr>
            <w:r>
              <w:rPr>
                <w:rFonts w:ascii="Consolas" w:hAnsi="Consolas" w:eastAsia="Consolas"/>
                <w:sz w:val="16"/>
              </w:rPr>
              <w:t>--input</w:t>
            </w:r>
            <w:r>
              <w:rPr>
                <w:sz w:val="19"/>
              </w:rPr>
              <w:t xml:space="preserve"> / </w:t>
            </w:r>
            <w:r>
              <w:rPr>
                <w:rFonts w:ascii="Consolas" w:hAnsi="Consolas" w:eastAsia="Consolas"/>
                <w:sz w:val="16"/>
              </w:rPr>
              <w:t>--run-dir --out</w:t>
            </w:r>
          </w:p>
        </w:tc>
        <w:tc>
          <w:tcPr>
            <w:tcW w:type="dxa" w:w="3434"/>
          </w:tcPr>
          <w:p>
            <w:pPr>
              <w:pStyle w:val="CellText"/>
            </w:pPr>
            <w:r>
              <w:rPr>
                <w:sz w:val="19"/>
              </w:rPr>
              <w:t>Markdown tables and the consolidated research report</w:t>
            </w:r>
          </w:p>
        </w:tc>
      </w:tr>
      <w:tr>
        <w:trPr>
          <w:cantSplit w:val="true"/>
        </w:trPr>
        <w:tc>
          <w:tcPr>
            <w:tcW w:type="dxa" w:w="2060"/>
          </w:tcPr>
          <w:p>
            <w:pPr>
              <w:pStyle w:val="CellText"/>
            </w:pPr>
            <w:r>
              <w:rPr>
                <w:rFonts w:ascii="Consolas" w:hAnsi="Consolas" w:eastAsia="Consolas"/>
                <w:sz w:val="16"/>
              </w:rPr>
              <w:t>dashboard-export</w:t>
            </w:r>
          </w:p>
        </w:tc>
        <w:tc>
          <w:tcPr>
            <w:tcW w:type="dxa" w:w="3434"/>
          </w:tcPr>
          <w:p>
            <w:pPr>
              <w:pStyle w:val="CellText"/>
            </w:pPr>
            <w:r>
              <w:rPr>
                <w:rFonts w:ascii="Consolas" w:hAnsi="Consolas" w:eastAsia="Consolas"/>
                <w:sz w:val="16"/>
              </w:rPr>
              <w:t>--run-dir --out public/pagewise-dashboard.json</w:t>
            </w:r>
          </w:p>
        </w:tc>
        <w:tc>
          <w:tcPr>
            <w:tcW w:type="dxa" w:w="3434"/>
          </w:tcPr>
          <w:p>
            <w:pPr>
              <w:pStyle w:val="CellText"/>
            </w:pPr>
            <w:r>
              <w:rPr>
                <w:sz w:val="19"/>
              </w:rPr>
              <w:t>Snapshot for the React dashboard</w:t>
            </w:r>
          </w:p>
        </w:tc>
      </w:tr>
    </w:tbl>
    <w:p>
      <w:pPr>
        <w:spacing w:after="80"/>
      </w:pPr>
    </w:p>
    <w:p>
      <w:pPr>
        <w:pStyle w:val="Heading1"/>
      </w:pPr>
      <w:r>
        <w:t>Appendix B. Pre-submission verification record</w:t>
      </w:r>
    </w:p>
    <w:p>
      <w:r>
        <w:t>In line with the assessment requirement that students verify technical accuracy, grammar and formatting before submission, the following checks were performed while preparing this document.</w:t>
      </w:r>
    </w:p>
    <w:p>
      <w:pPr>
        <w:pStyle w:val="TableCaption"/>
      </w:pPr>
      <w:r>
        <w:rPr>
          <w:sz w:val="20"/>
        </w:rPr>
        <w:t>Table 16. Verification checklist</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cantSplit w:val="true"/>
          <w:cantSplit w:val="true"/>
        </w:trPr>
        <w:tc>
          <w:tcPr>
            <w:tcW w:type="dxa" w:w="2472"/>
            <w:shd w:val="clear" w:color="auto" w:fill="D9E2F3"/>
          </w:tcPr>
          <w:p>
            <w:pPr>
              <w:pStyle w:val="CellText"/>
            </w:pPr>
            <w:r>
              <w:rPr>
                <w:b/>
                <w:sz w:val="19"/>
              </w:rPr>
              <w:t>Check</w:t>
            </w:r>
          </w:p>
        </w:tc>
        <w:tc>
          <w:tcPr>
            <w:tcW w:type="dxa" w:w="3159"/>
            <w:shd w:val="clear" w:color="auto" w:fill="D9E2F3"/>
          </w:tcPr>
          <w:p>
            <w:pPr>
              <w:pStyle w:val="CellText"/>
            </w:pPr>
            <w:r>
              <w:rPr>
                <w:b/>
                <w:sz w:val="19"/>
              </w:rPr>
              <w:t>Method</w:t>
            </w:r>
          </w:p>
        </w:tc>
        <w:tc>
          <w:tcPr>
            <w:tcW w:type="dxa" w:w="3296"/>
            <w:shd w:val="clear" w:color="auto" w:fill="D9E2F3"/>
          </w:tcPr>
          <w:p>
            <w:pPr>
              <w:pStyle w:val="CellText"/>
            </w:pPr>
            <w:r>
              <w:rPr>
                <w:b/>
                <w:sz w:val="19"/>
              </w:rPr>
              <w:t>Result</w:t>
            </w:r>
          </w:p>
        </w:tc>
      </w:tr>
      <w:tr>
        <w:trPr>
          <w:cantSplit w:val="true"/>
        </w:trPr>
        <w:tc>
          <w:tcPr>
            <w:tcW w:type="dxa" w:w="2472"/>
          </w:tcPr>
          <w:p>
            <w:pPr>
              <w:pStyle w:val="CellText"/>
            </w:pPr>
            <w:r>
              <w:rPr>
                <w:sz w:val="19"/>
              </w:rPr>
              <w:t>Template count and weights (Table 7)</w:t>
            </w:r>
          </w:p>
        </w:tc>
        <w:tc>
          <w:tcPr>
            <w:tcW w:type="dxa" w:w="3159"/>
          </w:tcPr>
          <w:p>
            <w:pPr>
              <w:pStyle w:val="CellText"/>
            </w:pPr>
            <w:r>
              <w:rPr>
                <w:rFonts w:ascii="Consolas" w:hAnsi="Consolas" w:eastAsia="Consolas"/>
                <w:sz w:val="16"/>
              </w:rPr>
              <w:t>workloads.py</w:t>
            </w:r>
            <w:r>
              <w:rPr>
                <w:sz w:val="19"/>
              </w:rPr>
              <w:t xml:space="preserve"> → </w:t>
            </w:r>
            <w:r>
              <w:rPr>
                <w:rFonts w:ascii="Consolas" w:hAnsi="Consolas" w:eastAsia="Consolas"/>
                <w:sz w:val="16"/>
              </w:rPr>
              <w:t>TEMPLATES</w:t>
            </w:r>
            <w:r>
              <w:rPr>
                <w:sz w:val="19"/>
              </w:rPr>
              <w:t xml:space="preserve">, </w:t>
            </w:r>
            <w:r>
              <w:rPr>
                <w:rFonts w:ascii="Consolas" w:hAnsi="Consolas" w:eastAsia="Consolas"/>
                <w:sz w:val="16"/>
              </w:rPr>
              <w:t>weights</w:t>
            </w:r>
          </w:p>
        </w:tc>
        <w:tc>
          <w:tcPr>
            <w:tcW w:type="dxa" w:w="3296"/>
          </w:tcPr>
          <w:p>
            <w:pPr>
              <w:pStyle w:val="CellText"/>
            </w:pPr>
            <w:r>
              <w:rPr>
                <w:sz w:val="19"/>
              </w:rPr>
              <w:t xml:space="preserve">6 templates; weights sum to 1.00 ✓ (the stale count of 7 in </w:t>
            </w:r>
            <w:r>
              <w:rPr>
                <w:rFonts w:ascii="Consolas" w:hAnsi="Consolas" w:eastAsia="Consolas"/>
                <w:sz w:val="16"/>
              </w:rPr>
              <w:t>PROJECT_CONTEXT.md</w:t>
            </w:r>
            <w:r>
              <w:rPr>
                <w:sz w:val="19"/>
              </w:rPr>
              <w:t xml:space="preserve"> was corrected)</w:t>
            </w:r>
          </w:p>
        </w:tc>
      </w:tr>
      <w:tr>
        <w:trPr>
          <w:cantSplit w:val="true"/>
        </w:trPr>
        <w:tc>
          <w:tcPr>
            <w:tcW w:type="dxa" w:w="2472"/>
          </w:tcPr>
          <w:p>
            <w:pPr>
              <w:pStyle w:val="CellText"/>
            </w:pPr>
            <w:r>
              <w:rPr>
                <w:sz w:val="19"/>
              </w:rPr>
              <w:t>Schema: tables, indexes, page size</w:t>
            </w:r>
          </w:p>
        </w:tc>
        <w:tc>
          <w:tcPr>
            <w:tcW w:type="dxa" w:w="3159"/>
          </w:tcPr>
          <w:p>
            <w:pPr>
              <w:pStyle w:val="CellText"/>
            </w:pPr>
            <w:r>
              <w:rPr>
                <w:rFonts w:ascii="Consolas" w:hAnsi="Consolas" w:eastAsia="Consolas"/>
                <w:sz w:val="16"/>
              </w:rPr>
              <w:t>database.py</w:t>
            </w:r>
            <w:r>
              <w:rPr>
                <w:sz w:val="19"/>
              </w:rPr>
              <w:t xml:space="preserve"> → </w:t>
            </w:r>
            <w:r>
              <w:rPr>
                <w:rFonts w:ascii="Consolas" w:hAnsi="Consolas" w:eastAsia="Consolas"/>
                <w:sz w:val="16"/>
              </w:rPr>
              <w:t>SCHEMA</w:t>
            </w:r>
            <w:r>
              <w:rPr>
                <w:sz w:val="19"/>
              </w:rPr>
              <w:t xml:space="preserve">, </w:t>
            </w:r>
            <w:r>
              <w:rPr>
                <w:rFonts w:ascii="Consolas" w:hAnsi="Consolas" w:eastAsia="Consolas"/>
                <w:sz w:val="16"/>
              </w:rPr>
              <w:t>INDEXES</w:t>
            </w:r>
          </w:p>
        </w:tc>
        <w:tc>
          <w:tcPr>
            <w:tcW w:type="dxa" w:w="3296"/>
          </w:tcPr>
          <w:p>
            <w:pPr>
              <w:pStyle w:val="CellText"/>
            </w:pPr>
            <w:r>
              <w:rPr>
                <w:sz w:val="19"/>
              </w:rPr>
              <w:t xml:space="preserve">6 tables, 6 indexes, </w:t>
            </w:r>
            <w:r>
              <w:rPr>
                <w:rFonts w:ascii="Consolas" w:hAnsi="Consolas" w:eastAsia="Consolas"/>
                <w:sz w:val="16"/>
              </w:rPr>
              <w:t>PRAGMA page_size=4096</w:t>
            </w:r>
            <w:r>
              <w:rPr>
                <w:sz w:val="19"/>
              </w:rPr>
              <w:t xml:space="preserve"> ✓</w:t>
            </w:r>
          </w:p>
        </w:tc>
      </w:tr>
      <w:tr>
        <w:trPr>
          <w:cantSplit w:val="true"/>
        </w:trPr>
        <w:tc>
          <w:tcPr>
            <w:tcW w:type="dxa" w:w="2472"/>
          </w:tcPr>
          <w:p>
            <w:pPr>
              <w:pStyle w:val="CellText"/>
            </w:pPr>
            <w:r>
              <w:rPr>
                <w:sz w:val="19"/>
              </w:rPr>
              <w:t>Feature dimensions 19 / 86</w:t>
            </w:r>
          </w:p>
        </w:tc>
        <w:tc>
          <w:tcPr>
            <w:tcW w:type="dxa" w:w="3159"/>
          </w:tcPr>
          <w:p>
            <w:pPr>
              <w:pStyle w:val="CellText"/>
            </w:pPr>
            <w:r>
              <w:rPr>
                <w:rFonts w:ascii="Consolas" w:hAnsi="Consolas" w:eastAsia="Consolas"/>
                <w:sz w:val="16"/>
              </w:rPr>
              <w:t>models.py</w:t>
            </w:r>
            <w:r>
              <w:rPr>
                <w:sz w:val="19"/>
              </w:rPr>
              <w:t xml:space="preserve"> → </w:t>
            </w:r>
            <w:r>
              <w:rPr>
                <w:rFonts w:ascii="Consolas" w:hAnsi="Consolas" w:eastAsia="Consolas"/>
                <w:sz w:val="16"/>
              </w:rPr>
              <w:t>HISTORY_FEATURE_DIM</w:t>
            </w:r>
            <w:r>
              <w:rPr>
                <w:sz w:val="19"/>
              </w:rPr>
              <w:t xml:space="preserve">, </w:t>
            </w:r>
            <w:r>
              <w:rPr>
                <w:rFonts w:ascii="Consolas" w:hAnsi="Consolas" w:eastAsia="Consolas"/>
                <w:sz w:val="16"/>
              </w:rPr>
              <w:t>SEMANTIC_FEATURE_GROUPS</w:t>
            </w:r>
          </w:p>
        </w:tc>
        <w:tc>
          <w:tcPr>
            <w:tcW w:type="dxa" w:w="3296"/>
          </w:tcPr>
          <w:p>
            <w:pPr>
              <w:pStyle w:val="CellText"/>
            </w:pPr>
            <w:r>
              <w:rPr>
                <w:sz w:val="19"/>
              </w:rPr>
              <w:t>8+8+3 = 19; 5+1+32+6+16+6+1 = 67; 19+67 = 86 ✓</w:t>
            </w:r>
          </w:p>
        </w:tc>
      </w:tr>
      <w:tr>
        <w:trPr>
          <w:cantSplit w:val="true"/>
        </w:trPr>
        <w:tc>
          <w:tcPr>
            <w:tcW w:type="dxa" w:w="2472"/>
          </w:tcPr>
          <w:p>
            <w:pPr>
              <w:pStyle w:val="CellText"/>
            </w:pPr>
            <w:r>
              <w:rPr>
                <w:sz w:val="19"/>
              </w:rPr>
              <w:t>Network shape and optimiser</w:t>
            </w:r>
          </w:p>
        </w:tc>
        <w:tc>
          <w:tcPr>
            <w:tcW w:type="dxa" w:w="3159"/>
          </w:tcPr>
          <w:p>
            <w:pPr>
              <w:pStyle w:val="CellText"/>
            </w:pPr>
            <w:r>
              <w:rPr>
                <w:rFonts w:ascii="Consolas" w:hAnsi="Consolas" w:eastAsia="Consolas"/>
                <w:sz w:val="16"/>
              </w:rPr>
              <w:t>models.py</w:t>
            </w:r>
            <w:r>
              <w:rPr>
                <w:sz w:val="19"/>
              </w:rPr>
              <w:t xml:space="preserve"> → </w:t>
            </w:r>
            <w:r>
              <w:rPr>
                <w:rFonts w:ascii="Consolas" w:hAnsi="Consolas" w:eastAsia="Consolas"/>
                <w:sz w:val="16"/>
              </w:rPr>
              <w:t>MLPScorer</w:t>
            </w:r>
            <w:r>
              <w:rPr>
                <w:sz w:val="19"/>
              </w:rPr>
              <w:t xml:space="preserve">, </w:t>
            </w:r>
            <w:r>
              <w:rPr>
                <w:rFonts w:ascii="Consolas" w:hAnsi="Consolas" w:eastAsia="Consolas"/>
                <w:sz w:val="16"/>
              </w:rPr>
              <w:t>_fit</w:t>
            </w:r>
          </w:p>
        </w:tc>
        <w:tc>
          <w:tcPr>
            <w:tcW w:type="dxa" w:w="3296"/>
          </w:tcPr>
          <w:p>
            <w:pPr>
              <w:pStyle w:val="CellText"/>
            </w:pPr>
            <w:r>
              <w:rPr>
                <w:sz w:val="19"/>
              </w:rPr>
              <w:t>H → H/2 → 1, dropout 0.15/0.10, AdamW 1e-3, wd 1e-4, batch 512, patience 4 ✓</w:t>
            </w:r>
          </w:p>
        </w:tc>
      </w:tr>
      <w:tr>
        <w:trPr>
          <w:cantSplit w:val="true"/>
        </w:trPr>
        <w:tc>
          <w:tcPr>
            <w:tcW w:type="dxa" w:w="2472"/>
          </w:tcPr>
          <w:p>
            <w:pPr>
              <w:pStyle w:val="CellText"/>
            </w:pPr>
            <w:r>
              <w:rPr>
                <w:sz w:val="19"/>
              </w:rPr>
              <w:t>Frozen-model hyper-parameters</w:t>
            </w:r>
          </w:p>
        </w:tc>
        <w:tc>
          <w:tcPr>
            <w:tcW w:type="dxa" w:w="3159"/>
          </w:tcPr>
          <w:p>
            <w:pPr>
              <w:pStyle w:val="CellText"/>
            </w:pPr>
            <w:r>
              <w:rPr>
                <w:rFonts w:ascii="Consolas" w:hAnsi="Consolas" w:eastAsia="Consolas"/>
                <w:sz w:val="16"/>
              </w:rPr>
              <w:t>scripts/run_medium_experiment.ps1</w:t>
            </w:r>
          </w:p>
        </w:tc>
        <w:tc>
          <w:tcPr>
            <w:tcW w:type="dxa" w:w="3296"/>
          </w:tcPr>
          <w:p>
            <w:pPr>
              <w:pStyle w:val="CellText"/>
            </w:pPr>
            <w:r>
              <w:rPr>
                <w:sz w:val="19"/>
              </w:rPr>
              <w:t>seed 7, 12 epochs, 24 candidates, hidden 64, 300 traced queries ✓</w:t>
            </w:r>
          </w:p>
        </w:tc>
      </w:tr>
      <w:tr>
        <w:trPr>
          <w:cantSplit w:val="true"/>
        </w:trPr>
        <w:tc>
          <w:tcPr>
            <w:tcW w:type="dxa" w:w="2472"/>
          </w:tcPr>
          <w:p>
            <w:pPr>
              <w:pStyle w:val="CellText"/>
            </w:pPr>
            <w:r>
              <w:rPr>
                <w:sz w:val="19"/>
              </w:rPr>
              <w:t>Final protocol settings</w:t>
            </w:r>
          </w:p>
        </w:tc>
        <w:tc>
          <w:tcPr>
            <w:tcW w:type="dxa" w:w="3159"/>
          </w:tcPr>
          <w:p>
            <w:pPr>
              <w:pStyle w:val="CellText"/>
            </w:pPr>
            <w:r>
              <w:rPr>
                <w:rFonts w:ascii="Consolas" w:hAnsi="Consolas" w:eastAsia="Consolas"/>
                <w:sz w:val="16"/>
              </w:rPr>
              <w:t>experiment_protocol_v1.json</w:t>
            </w:r>
            <w:r>
              <w:rPr>
                <w:sz w:val="19"/>
              </w:rPr>
              <w:t xml:space="preserve">, </w:t>
            </w:r>
            <w:r>
              <w:rPr>
                <w:rFonts w:ascii="Consolas" w:hAnsi="Consolas" w:eastAsia="Consolas"/>
                <w:sz w:val="16"/>
              </w:rPr>
              <w:t>run_final_evaluation.ps1</w:t>
            </w:r>
          </w:p>
        </w:tc>
        <w:tc>
          <w:tcPr>
            <w:tcW w:type="dxa" w:w="3296"/>
          </w:tcPr>
          <w:p>
            <w:pPr>
              <w:pStyle w:val="CellText"/>
            </w:pPr>
            <w:r>
              <w:rPr>
                <w:sz w:val="19"/>
              </w:rPr>
              <w:t>seeds 901–903, 100 queries, cache 32, degree 2, queue 32, miss-only, cap 12 ✓</w:t>
            </w:r>
          </w:p>
        </w:tc>
      </w:tr>
      <w:tr>
        <w:trPr>
          <w:cantSplit w:val="true"/>
        </w:trPr>
        <w:tc>
          <w:tcPr>
            <w:tcW w:type="dxa" w:w="2472"/>
          </w:tcPr>
          <w:p>
            <w:pPr>
              <w:pStyle w:val="CellText"/>
            </w:pPr>
            <w:r>
              <w:rPr>
                <w:sz w:val="19"/>
              </w:rPr>
              <w:t>All result tables and Figures 4–5</w:t>
            </w:r>
          </w:p>
        </w:tc>
        <w:tc>
          <w:tcPr>
            <w:tcW w:type="dxa" w:w="3159"/>
          </w:tcPr>
          <w:p>
            <w:pPr>
              <w:pStyle w:val="CellText"/>
            </w:pPr>
            <w:r>
              <w:rPr>
                <w:sz w:val="19"/>
              </w:rPr>
              <w:t xml:space="preserve">generated programmatically from </w:t>
            </w:r>
            <w:r>
              <w:rPr>
                <w:rFonts w:ascii="Consolas" w:hAnsi="Consolas" w:eastAsia="Consolas"/>
                <w:sz w:val="16"/>
              </w:rPr>
              <w:t>public/pagewise-dashboard.json</w:t>
            </w:r>
          </w:p>
        </w:tc>
        <w:tc>
          <w:tcPr>
            <w:tcW w:type="dxa" w:w="3296"/>
          </w:tcPr>
          <w:p>
            <w:pPr>
              <w:pStyle w:val="CellText"/>
            </w:pPr>
            <w:r>
              <w:rPr>
                <w:sz w:val="19"/>
              </w:rPr>
              <w:t>no hand-typed measurements ✓</w:t>
            </w:r>
          </w:p>
        </w:tc>
      </w:tr>
      <w:tr>
        <w:trPr>
          <w:cantSplit w:val="true"/>
        </w:trPr>
        <w:tc>
          <w:tcPr>
            <w:tcW w:type="dxa" w:w="2472"/>
          </w:tcPr>
          <w:p>
            <w:pPr>
              <w:pStyle w:val="CellText"/>
            </w:pPr>
            <w:r>
              <w:rPr>
                <w:sz w:val="19"/>
              </w:rPr>
              <w:t>Runtime behaviour described in Section 4</w:t>
            </w:r>
          </w:p>
        </w:tc>
        <w:tc>
          <w:tcPr>
            <w:tcW w:type="dxa" w:w="3159"/>
          </w:tcPr>
          <w:p>
            <w:pPr>
              <w:pStyle w:val="CellText"/>
            </w:pPr>
            <w:r>
              <w:rPr>
                <w:rFonts w:ascii="Consolas" w:hAnsi="Consolas" w:eastAsia="Consolas"/>
                <w:sz w:val="16"/>
              </w:rPr>
              <w:t>runtime.py</w:t>
            </w:r>
            <w:r>
              <w:rPr>
                <w:sz w:val="19"/>
              </w:rPr>
              <w:t xml:space="preserve">, </w:t>
            </w:r>
            <w:r>
              <w:rPr>
                <w:rFonts w:ascii="Consolas" w:hAnsi="Consolas" w:eastAsia="Consolas"/>
                <w:sz w:val="16"/>
              </w:rPr>
              <w:t>tracing.py</w:t>
            </w:r>
            <w:r>
              <w:rPr>
                <w:sz w:val="19"/>
              </w:rPr>
              <w:t xml:space="preserve"> read line by line</w:t>
            </w:r>
          </w:p>
        </w:tc>
        <w:tc>
          <w:tcPr>
            <w:tcW w:type="dxa" w:w="3296"/>
          </w:tcPr>
          <w:p>
            <w:pPr>
              <w:pStyle w:val="CellText"/>
            </w:pPr>
            <w:r>
              <w:rPr>
                <w:sz w:val="19"/>
              </w:rPr>
              <w:t>queue coalescing, drop-on-full, stale detection, pruning, cap, separate handle, clean shutdown ✓</w:t>
            </w:r>
          </w:p>
        </w:tc>
      </w:tr>
      <w:tr>
        <w:trPr>
          <w:cantSplit w:val="true"/>
        </w:trPr>
        <w:tc>
          <w:tcPr>
            <w:tcW w:type="dxa" w:w="2472"/>
          </w:tcPr>
          <w:p>
            <w:pPr>
              <w:pStyle w:val="CellText"/>
            </w:pPr>
            <w:r>
              <w:rPr>
                <w:sz w:val="19"/>
              </w:rPr>
              <w:t>Test count</w:t>
            </w:r>
          </w:p>
        </w:tc>
        <w:tc>
          <w:tcPr>
            <w:tcW w:type="dxa" w:w="3159"/>
          </w:tcPr>
          <w:p>
            <w:pPr>
              <w:pStyle w:val="CellText"/>
            </w:pPr>
            <w:r>
              <w:rPr>
                <w:rFonts w:ascii="Consolas" w:hAnsi="Consolas" w:eastAsia="Consolas"/>
                <w:sz w:val="16"/>
              </w:rPr>
              <w:t>grep -c "def test_" backend/tests/*.py</w:t>
            </w:r>
          </w:p>
        </w:tc>
        <w:tc>
          <w:tcPr>
            <w:tcW w:type="dxa" w:w="3296"/>
          </w:tcPr>
          <w:p>
            <w:pPr>
              <w:pStyle w:val="CellText"/>
            </w:pPr>
            <w:r>
              <w:rPr>
                <w:sz w:val="19"/>
              </w:rPr>
              <w:t>61 test functions in 12 files ✓</w:t>
            </w:r>
          </w:p>
        </w:tc>
      </w:tr>
      <w:tr>
        <w:trPr>
          <w:cantSplit w:val="true"/>
        </w:trPr>
        <w:tc>
          <w:tcPr>
            <w:tcW w:type="dxa" w:w="2472"/>
          </w:tcPr>
          <w:p>
            <w:pPr>
              <w:pStyle w:val="CellText"/>
            </w:pPr>
            <w:r>
              <w:rPr>
                <w:sz w:val="19"/>
              </w:rPr>
              <w:t>Figures</w:t>
            </w:r>
          </w:p>
        </w:tc>
        <w:tc>
          <w:tcPr>
            <w:tcW w:type="dxa" w:w="3159"/>
          </w:tcPr>
          <w:p>
            <w:pPr>
              <w:pStyle w:val="CellText"/>
            </w:pPr>
            <w:r>
              <w:rPr>
                <w:sz w:val="19"/>
              </w:rPr>
              <w:t xml:space="preserve">regenerated with </w:t>
            </w:r>
            <w:r>
              <w:rPr>
                <w:rFonts w:ascii="Consolas" w:hAnsi="Consolas" w:eastAsia="Consolas"/>
                <w:sz w:val="16"/>
              </w:rPr>
              <w:t>diagrams.py</w:t>
            </w:r>
            <w:r>
              <w:rPr>
                <w:sz w:val="19"/>
              </w:rPr>
              <w:t xml:space="preserve"> at 300 dpi on 8-inch canvases; every panel inspected at print size for clipped or overlapping labels</w:t>
            </w:r>
          </w:p>
        </w:tc>
        <w:tc>
          <w:tcPr>
            <w:tcW w:type="dxa" w:w="3296"/>
          </w:tcPr>
          <w:p>
            <w:pPr>
              <w:pStyle w:val="CellText"/>
            </w:pPr>
            <w:r>
              <w:rPr>
                <w:sz w:val="19"/>
              </w:rPr>
              <w:t>✓</w:t>
            </w:r>
          </w:p>
        </w:tc>
      </w:tr>
      <w:tr>
        <w:trPr>
          <w:cantSplit w:val="true"/>
        </w:trPr>
        <w:tc>
          <w:tcPr>
            <w:tcW w:type="dxa" w:w="2472"/>
          </w:tcPr>
          <w:p>
            <w:pPr>
              <w:pStyle w:val="CellText"/>
            </w:pPr>
            <w:r>
              <w:rPr>
                <w:sz w:val="19"/>
              </w:rPr>
              <w:t>Language and formatting</w:t>
            </w:r>
          </w:p>
        </w:tc>
        <w:tc>
          <w:tcPr>
            <w:tcW w:type="dxa" w:w="3159"/>
          </w:tcPr>
          <w:p>
            <w:pPr>
              <w:pStyle w:val="CellText"/>
            </w:pPr>
            <w:r>
              <w:rPr>
                <w:sz w:val="19"/>
              </w:rPr>
              <w:t>British spelling throughout; Times New Roman 12 pt body, numbered headings, captioned figures and tables, page numbers</w:t>
            </w:r>
          </w:p>
        </w:tc>
        <w:tc>
          <w:tcPr>
            <w:tcW w:type="dxa" w:w="3296"/>
          </w:tcPr>
          <w:p>
            <w:pPr>
              <w:pStyle w:val="CellText"/>
            </w:pPr>
            <w:r>
              <w:rPr>
                <w:sz w:val="19"/>
              </w:rPr>
              <w:t>✓ — placeholders highlighted in yellow must be completed before submission</w:t>
            </w:r>
          </w:p>
        </w:tc>
      </w:tr>
    </w:tbl>
    <w:p>
      <w:pPr>
        <w:spacing w:after="80"/>
      </w:pPr>
    </w:p>
    <w:sectPr w:rsidR="00FC693F" w:rsidRPr="0006063C" w:rsidSect="00034616">
      <w:headerReference w:type="default" r:id="rId9"/>
      <w:footerReference w:type="default" r:id="rId10"/>
      <w:pgSz w:w="11906"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Vikash Vaibhav  |  24BDS0316  |  Page </w:t>
    </w:r>
    <w:r>
      <w:rPr>
        <w:rFonts w:ascii="Times New Roman" w:hAnsi="Times New Roman"/>
        <w:sz w:val="18"/>
      </w:rPr>
      <w:fldChar w:fldCharType="begin"/>
      <w:instrText xml:space="preserve"> PAGE </w:instrText>
      <w:fldChar w:fldCharType="separate"/>
      <w:t xml:space="preserve">1</w:t>
      <w:fldChar w:fldCharType="end"/>
    </w:r>
    <w:r>
      <w:rPr>
        <w:rFonts w:ascii="Times New Roman" w:hAnsi="Times New Roman"/>
        <w:sz w:val="18"/>
      </w:rPr>
      <w:t xml:space="preserve"> of </w:t>
    </w:r>
    <w:r>
      <w:rPr>
        <w:rFonts w:ascii="Times New Roman" w:hAnsi="Times New Roman"/>
        <w:sz w:val="18"/>
      </w:rPr>
      <w:fldChar w:fldCharType="begin"/>
      <w:instrText xml:space="preserve"> NUMPAGES </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555555"/>
        <w:sz w:val="18"/>
      </w:rPr>
      <w:t>Pagewise — Semantics-Aware Neural Page Prefetching for SQLite  |  Lab Assessment 9 — Review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 Caption"/>
    <w:basedOn w:val="Normal"/>
    <w:pPr>
      <w:spacing w:before="40" w:after="200"/>
      <w:jc w:val="center"/>
    </w:pPr>
    <w:rPr>
      <w:rFonts w:ascii="Times New Roman" w:hAnsi="Times New Roman" w:eastAsia="Times New Roman" w:cs="Times New Roman"/>
      <w:i/>
      <w:sz w:val="20"/>
    </w:rPr>
  </w:style>
  <w:style w:type="paragraph" w:customStyle="1" w:styleId="TableCaption">
    <w:name w:val="Table Caption"/>
    <w:basedOn w:val="Normal"/>
    <w:pPr>
      <w:keepNext/>
      <w:spacing w:before="160" w:after="60"/>
      <w:jc w:val="left"/>
    </w:pPr>
    <w:rPr>
      <w:rFonts w:ascii="Times New Roman" w:hAnsi="Times New Roman" w:eastAsia="Times New Roman" w:cs="Times New Roman"/>
      <w:b/>
      <w:sz w:val="20"/>
    </w:rPr>
  </w:style>
  <w:style w:type="paragraph" w:customStyle="1" w:styleId="CellText">
    <w:name w:val="Cell Text"/>
    <w:basedOn w:val="Normal"/>
    <w:pPr>
      <w:spacing w:after="0" w:line="240" w:lineRule="auto"/>
      <w:jc w:val="left"/>
    </w:pPr>
    <w:rPr>
      <w:rFonts w:ascii="Times New Roman" w:hAnsi="Times New Roman" w:eastAsia="Times New Roman" w:cs="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