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A6D1" w14:textId="56FF2975" w:rsidR="00555BDC" w:rsidRPr="00DA691C" w:rsidRDefault="00555BDC" w:rsidP="00AB2D70">
      <w:pPr>
        <w:pStyle w:val="Heading1"/>
        <w:rPr>
          <w:rFonts w:ascii="Poppins" w:hAnsi="Poppins" w:cs="Poppins"/>
          <w:shd w:val="clear" w:color="auto" w:fill="FFFFFF"/>
        </w:rPr>
      </w:pPr>
      <w:r w:rsidRPr="00DA691C">
        <w:rPr>
          <w:rFonts w:ascii="Poppins" w:hAnsi="Poppins" w:cs="Poppins"/>
          <w:shd w:val="clear" w:color="auto" w:fill="FFFFFF"/>
        </w:rPr>
        <w:t>Older peoples migration</w:t>
      </w:r>
    </w:p>
    <w:p w14:paraId="6A2D75B5" w14:textId="77777777" w:rsidR="00555BDC" w:rsidRPr="00DA691C" w:rsidRDefault="00555BDC" w:rsidP="00AB2D70">
      <w:pPr>
        <w:pStyle w:val="Heading1"/>
        <w:rPr>
          <w:rFonts w:ascii="Poppins" w:hAnsi="Poppins" w:cs="Poppins"/>
          <w:shd w:val="clear" w:color="auto" w:fill="FFFFFF"/>
        </w:rPr>
      </w:pPr>
    </w:p>
    <w:p w14:paraId="44E93EF5" w14:textId="3DC28322" w:rsidR="00AB2D70" w:rsidRPr="00DA691C" w:rsidRDefault="00AB2D70" w:rsidP="00AB2D70">
      <w:pPr>
        <w:pStyle w:val="Heading1"/>
        <w:rPr>
          <w:rFonts w:ascii="Poppins" w:hAnsi="Poppins" w:cs="Poppins"/>
          <w:shd w:val="clear" w:color="auto" w:fill="FFFFFF"/>
        </w:rPr>
      </w:pPr>
      <w:r w:rsidRPr="00DA691C">
        <w:rPr>
          <w:rFonts w:ascii="Poppins" w:hAnsi="Poppins" w:cs="Poppins"/>
          <w:shd w:val="clear" w:color="auto" w:fill="FFFFFF"/>
        </w:rPr>
        <w:t>Introduction</w:t>
      </w:r>
    </w:p>
    <w:p w14:paraId="3AA0CABF" w14:textId="471E488F" w:rsidR="004C6B0E" w:rsidRPr="00DA691C" w:rsidRDefault="00E73B2A" w:rsidP="004C6B0E">
      <w:pPr>
        <w:rPr>
          <w:rFonts w:cs="Poppins"/>
        </w:rPr>
      </w:pPr>
      <w:r w:rsidRPr="00DA691C">
        <w:rPr>
          <w:rFonts w:cs="Poppins"/>
        </w:rPr>
        <w:t xml:space="preserve">The </w:t>
      </w:r>
      <w:r w:rsidR="009F43EF" w:rsidRPr="00DA691C">
        <w:rPr>
          <w:rFonts w:cs="Poppins"/>
        </w:rPr>
        <w:t>Chief Medical Officer (CMO) Professor Chris Whitty, in the 2023 annual report discusses health in an ageing society</w:t>
      </w:r>
      <w:r w:rsidR="004B00AE" w:rsidRPr="00DA691C">
        <w:rPr>
          <w:rFonts w:cs="Poppins"/>
        </w:rPr>
        <w:t>,</w:t>
      </w:r>
      <w:r w:rsidR="00F00347" w:rsidRPr="00DA691C">
        <w:rPr>
          <w:rFonts w:cs="Poppins"/>
        </w:rPr>
        <w:t xml:space="preserve"> highlighting </w:t>
      </w:r>
      <w:r w:rsidR="00445238" w:rsidRPr="00DA691C">
        <w:rPr>
          <w:rFonts w:cs="Poppins"/>
        </w:rPr>
        <w:t>the complexity of the geography of older age in England</w:t>
      </w:r>
      <w:r w:rsidR="003D5BAA" w:rsidRPr="00DA691C">
        <w:rPr>
          <w:rStyle w:val="EndnoteReference"/>
          <w:rFonts w:cs="Poppins"/>
        </w:rPr>
        <w:endnoteReference w:id="1"/>
      </w:r>
      <w:r w:rsidR="000D39C8" w:rsidRPr="00DA691C">
        <w:rPr>
          <w:rFonts w:cs="Poppins"/>
        </w:rPr>
        <w:t>. A</w:t>
      </w:r>
      <w:r w:rsidR="00445238" w:rsidRPr="00DA691C">
        <w:rPr>
          <w:rFonts w:cs="Poppins"/>
        </w:rPr>
        <w:t xml:space="preserve">s people age and </w:t>
      </w:r>
      <w:r w:rsidR="006820DB" w:rsidRPr="00DA691C">
        <w:rPr>
          <w:rFonts w:cs="Poppins"/>
        </w:rPr>
        <w:t xml:space="preserve">start to </w:t>
      </w:r>
      <w:r w:rsidR="00445238" w:rsidRPr="00DA691C">
        <w:rPr>
          <w:rFonts w:cs="Poppins"/>
        </w:rPr>
        <w:t xml:space="preserve">leave </w:t>
      </w:r>
      <w:r w:rsidR="006820DB" w:rsidRPr="00DA691C">
        <w:rPr>
          <w:rFonts w:cs="Poppins"/>
        </w:rPr>
        <w:t>paid employment many move away from large urban areas towards more rural area</w:t>
      </w:r>
      <w:r w:rsidR="003D5BAA" w:rsidRPr="00DA691C">
        <w:rPr>
          <w:rFonts w:cs="Poppins"/>
        </w:rPr>
        <w:t xml:space="preserve">s </w:t>
      </w:r>
      <w:r w:rsidR="007657D8" w:rsidRPr="00DA691C">
        <w:rPr>
          <w:rFonts w:cs="Poppins"/>
        </w:rPr>
        <w:t>and particularly</w:t>
      </w:r>
      <w:r w:rsidR="003D5BAA" w:rsidRPr="00DA691C">
        <w:rPr>
          <w:rFonts w:cs="Poppins"/>
        </w:rPr>
        <w:t xml:space="preserve"> the coas</w:t>
      </w:r>
      <w:r w:rsidR="007657D8" w:rsidRPr="00DA691C">
        <w:rPr>
          <w:rFonts w:cs="Poppins"/>
        </w:rPr>
        <w:t xml:space="preserve">t. </w:t>
      </w:r>
    </w:p>
    <w:p w14:paraId="77DE3FB7" w14:textId="1D624962" w:rsidR="007657D8" w:rsidRPr="00DA691C" w:rsidRDefault="007657D8" w:rsidP="004C6B0E">
      <w:pPr>
        <w:rPr>
          <w:rFonts w:cs="Poppins"/>
        </w:rPr>
      </w:pPr>
      <w:r w:rsidRPr="00DA691C">
        <w:rPr>
          <w:rFonts w:cs="Poppins"/>
        </w:rPr>
        <w:t xml:space="preserve">West Sussex boasts </w:t>
      </w:r>
      <w:r w:rsidR="000F4239" w:rsidRPr="00DA691C">
        <w:rPr>
          <w:rFonts w:cs="Poppins"/>
        </w:rPr>
        <w:t>beautiful coastlines and rolling hills and is a great place for people to grow old</w:t>
      </w:r>
      <w:r w:rsidR="002D17BD" w:rsidRPr="00DA691C">
        <w:rPr>
          <w:rFonts w:cs="Poppins"/>
        </w:rPr>
        <w:t xml:space="preserve"> in a calmer pace of life outside of bigger cities.</w:t>
      </w:r>
    </w:p>
    <w:p w14:paraId="4311932F" w14:textId="38C98364" w:rsidR="00216004" w:rsidRPr="00DA691C" w:rsidRDefault="00216004" w:rsidP="00216004">
      <w:pPr>
        <w:rPr>
          <w:rFonts w:cs="Poppins"/>
        </w:rPr>
      </w:pPr>
      <w:r w:rsidRPr="00DA691C">
        <w:rPr>
          <w:rFonts w:cs="Poppins"/>
        </w:rPr>
        <w:t>However</w:t>
      </w:r>
      <w:r w:rsidRPr="00DA691C">
        <w:rPr>
          <w:rFonts w:cs="Poppins"/>
        </w:rPr>
        <w:t>,</w:t>
      </w:r>
      <w:r w:rsidRPr="00DA691C">
        <w:rPr>
          <w:rFonts w:cs="Poppins"/>
        </w:rPr>
        <w:t xml:space="preserve"> adults moving to new areas to grow older often have to start anew with social support networks; which older adults who have lived there for longer will already have established.</w:t>
      </w:r>
      <w:r w:rsidRPr="00DA691C">
        <w:rPr>
          <w:rFonts w:cs="Poppins"/>
        </w:rPr>
        <w:t xml:space="preserve"> This can impact the </w:t>
      </w:r>
      <w:r w:rsidR="00E60026" w:rsidRPr="00DA691C">
        <w:rPr>
          <w:rFonts w:cs="Poppins"/>
        </w:rPr>
        <w:t>ability for older, particularly those living alone, to stay as independent as possible for as long as possible.</w:t>
      </w:r>
    </w:p>
    <w:p w14:paraId="35C5D3F9" w14:textId="36AB867E" w:rsidR="00216004" w:rsidRPr="00DA691C" w:rsidRDefault="002D17BD" w:rsidP="00216004">
      <w:pPr>
        <w:rPr>
          <w:rFonts w:cs="Poppins"/>
        </w:rPr>
      </w:pPr>
      <w:r w:rsidRPr="00DA691C">
        <w:rPr>
          <w:rFonts w:cs="Poppins"/>
        </w:rPr>
        <w:t xml:space="preserve">So, in planning </w:t>
      </w:r>
      <w:r w:rsidR="008F7F0A" w:rsidRPr="00DA691C">
        <w:rPr>
          <w:rFonts w:cs="Poppins"/>
        </w:rPr>
        <w:t>services for older people, w</w:t>
      </w:r>
      <w:r w:rsidR="00216004" w:rsidRPr="00DA691C">
        <w:rPr>
          <w:rFonts w:cs="Poppins"/>
        </w:rPr>
        <w:t xml:space="preserve">e need to consider more than just those areas with more older people. Do some areas of West Sussex (or wider) have more older people flowing in. </w:t>
      </w:r>
    </w:p>
    <w:p w14:paraId="3D360A05" w14:textId="77777777" w:rsidR="00917341" w:rsidRPr="00DA691C" w:rsidRDefault="00917341" w:rsidP="004C6B0E">
      <w:pPr>
        <w:rPr>
          <w:rFonts w:cs="Poppins"/>
        </w:rPr>
      </w:pPr>
    </w:p>
    <w:p w14:paraId="32EFA4B4" w14:textId="11CE94FB" w:rsidR="00443D95" w:rsidRPr="00DA691C" w:rsidRDefault="00B62839" w:rsidP="004C6B0E">
      <w:pPr>
        <w:rPr>
          <w:rFonts w:cs="Poppins"/>
        </w:rPr>
      </w:pPr>
      <w:r w:rsidRPr="00DA691C">
        <w:rPr>
          <w:rFonts w:cs="Poppins"/>
          <w:highlight w:val="yellow"/>
        </w:rPr>
        <w:t xml:space="preserve">Coastal communities </w:t>
      </w:r>
      <w:r w:rsidR="009B1969" w:rsidRPr="00DA691C">
        <w:rPr>
          <w:rFonts w:cs="Poppins"/>
          <w:highlight w:val="yellow"/>
        </w:rPr>
        <w:t>often have higher numbers of older, retired citizens</w:t>
      </w:r>
      <w:r w:rsidR="00B30C97" w:rsidRPr="00DA691C">
        <w:rPr>
          <w:rFonts w:cs="Poppins"/>
          <w:highlight w:val="yellow"/>
        </w:rPr>
        <w:t xml:space="preserve"> and unique health and socio-economic challenges (</w:t>
      </w:r>
      <w:r w:rsidR="00B30C97" w:rsidRPr="00DA691C">
        <w:rPr>
          <w:rFonts w:cs="Poppins"/>
        </w:rPr>
        <w:t>l</w:t>
      </w:r>
      <w:r w:rsidR="00443D95" w:rsidRPr="00DA691C">
        <w:rPr>
          <w:rFonts w:cs="Poppins"/>
          <w:highlight w:val="yellow"/>
        </w:rPr>
        <w:t xml:space="preserve">ink to </w:t>
      </w:r>
      <w:r w:rsidR="00B30C97" w:rsidRPr="00DA691C">
        <w:rPr>
          <w:rFonts w:cs="Poppins"/>
          <w:highlight w:val="yellow"/>
        </w:rPr>
        <w:t xml:space="preserve">WSCC </w:t>
      </w:r>
      <w:r w:rsidR="00443D95" w:rsidRPr="00DA691C">
        <w:rPr>
          <w:rFonts w:cs="Poppins"/>
          <w:highlight w:val="yellow"/>
        </w:rPr>
        <w:t>coastal report</w:t>
      </w:r>
      <w:r w:rsidR="00443D95" w:rsidRPr="00DA691C">
        <w:rPr>
          <w:rFonts w:cs="Poppins"/>
        </w:rPr>
        <w:t xml:space="preserve"> </w:t>
      </w:r>
      <w:r w:rsidR="00B30C97" w:rsidRPr="00DA691C">
        <w:rPr>
          <w:rFonts w:cs="Poppins"/>
        </w:rPr>
        <w:t xml:space="preserve">and to </w:t>
      </w:r>
      <w:r w:rsidR="000A6A62" w:rsidRPr="00DA691C">
        <w:rPr>
          <w:rFonts w:cs="Poppins"/>
        </w:rPr>
        <w:t>CMO 2021 report</w:t>
      </w:r>
      <w:r w:rsidR="000A6A62" w:rsidRPr="00DA691C">
        <w:rPr>
          <w:rStyle w:val="EndnoteReference"/>
          <w:rFonts w:cs="Poppins"/>
        </w:rPr>
        <w:endnoteReference w:id="2"/>
      </w:r>
      <w:r w:rsidR="000A6A62" w:rsidRPr="00DA691C">
        <w:rPr>
          <w:rFonts w:cs="Poppins"/>
        </w:rPr>
        <w:t xml:space="preserve">). </w:t>
      </w:r>
    </w:p>
    <w:p w14:paraId="7A191A58" w14:textId="1EDBA525" w:rsidR="000A6A62" w:rsidRPr="00DA691C" w:rsidRDefault="000A6A62" w:rsidP="004C6B0E">
      <w:pPr>
        <w:rPr>
          <w:rFonts w:cs="Poppins"/>
        </w:rPr>
      </w:pPr>
      <w:r w:rsidRPr="00DA691C">
        <w:rPr>
          <w:rFonts w:cs="Poppins"/>
        </w:rPr>
        <w:t xml:space="preserve">This report </w:t>
      </w:r>
      <w:r w:rsidR="007040E4" w:rsidRPr="00DA691C">
        <w:rPr>
          <w:rFonts w:cs="Poppins"/>
        </w:rPr>
        <w:t xml:space="preserve">adds </w:t>
      </w:r>
      <w:r w:rsidR="001A4594" w:rsidRPr="00DA691C">
        <w:rPr>
          <w:rFonts w:cs="Poppins"/>
          <w:highlight w:val="yellow"/>
        </w:rPr>
        <w:t>to x</w:t>
      </w:r>
      <w:r w:rsidR="001A4594" w:rsidRPr="00DA691C">
        <w:rPr>
          <w:rFonts w:cs="Poppins"/>
        </w:rPr>
        <w:t xml:space="preserve"> by considering the moves into and out of </w:t>
      </w:r>
      <w:r w:rsidR="00113BE9" w:rsidRPr="00DA691C">
        <w:rPr>
          <w:rFonts w:cs="Poppins"/>
        </w:rPr>
        <w:t>West Sussex in older age.</w:t>
      </w:r>
    </w:p>
    <w:p w14:paraId="74B8E557" w14:textId="77777777" w:rsidR="007657D8" w:rsidRPr="00DA691C" w:rsidRDefault="007657D8" w:rsidP="004C6B0E">
      <w:pPr>
        <w:rPr>
          <w:rFonts w:cs="Poppins"/>
        </w:rPr>
      </w:pPr>
    </w:p>
    <w:p w14:paraId="5039FFB5" w14:textId="440FA744" w:rsidR="007657D8" w:rsidRPr="00DA691C" w:rsidRDefault="005521E5" w:rsidP="005521E5">
      <w:pPr>
        <w:pStyle w:val="Heading2"/>
        <w:rPr>
          <w:rFonts w:ascii="Poppins" w:hAnsi="Poppins" w:cs="Poppins"/>
        </w:rPr>
      </w:pPr>
      <w:r w:rsidRPr="00DA691C">
        <w:rPr>
          <w:rFonts w:ascii="Poppins" w:hAnsi="Poppins" w:cs="Poppins"/>
        </w:rPr>
        <w:t>Available data</w:t>
      </w:r>
    </w:p>
    <w:p w14:paraId="4063DF1E" w14:textId="317732EB" w:rsidR="0045129A" w:rsidRPr="00DA691C" w:rsidRDefault="0045129A" w:rsidP="001049CB">
      <w:pPr>
        <w:rPr>
          <w:rFonts w:cs="Poppins"/>
          <w:shd w:val="clear" w:color="auto" w:fill="FFFFFF"/>
        </w:rPr>
      </w:pPr>
      <w:r w:rsidRPr="00DA691C">
        <w:rPr>
          <w:rFonts w:cs="Poppins"/>
          <w:shd w:val="clear" w:color="auto" w:fill="FFFFFF"/>
        </w:rPr>
        <w:t>Internal migration is defined as residential moves between local authorities and regions in England and Wales, as well as moves to or from the rest of the UK (Scotland and Northern Ireland).</w:t>
      </w:r>
    </w:p>
    <w:p w14:paraId="40287200" w14:textId="68E4E281" w:rsidR="00DA6883" w:rsidRPr="00DA691C" w:rsidRDefault="000A26E1" w:rsidP="001049CB">
      <w:pPr>
        <w:rPr>
          <w:rFonts w:cs="Poppins"/>
          <w:shd w:val="clear" w:color="auto" w:fill="FFFFFF"/>
        </w:rPr>
      </w:pPr>
      <w:r w:rsidRPr="00DA691C">
        <w:rPr>
          <w:rFonts w:cs="Poppins"/>
          <w:shd w:val="clear" w:color="auto" w:fill="FFFFFF"/>
        </w:rPr>
        <w:lastRenderedPageBreak/>
        <w:t xml:space="preserve">Over the last 15 years there has been an increase in the </w:t>
      </w:r>
      <w:r w:rsidR="00C75F6C" w:rsidRPr="00DA691C">
        <w:rPr>
          <w:rFonts w:cs="Poppins"/>
          <w:shd w:val="clear" w:color="auto" w:fill="FFFFFF"/>
        </w:rPr>
        <w:t>overall (all age) net migration towards predominantly rural areas</w:t>
      </w:r>
      <w:r w:rsidR="00C75F6C" w:rsidRPr="00DA691C">
        <w:rPr>
          <w:rStyle w:val="EndnoteReference"/>
          <w:rFonts w:cs="Poppins"/>
          <w:color w:val="323132"/>
          <w:sz w:val="24"/>
          <w:szCs w:val="24"/>
          <w:shd w:val="clear" w:color="auto" w:fill="FFFFFF"/>
        </w:rPr>
        <w:endnoteReference w:id="3"/>
      </w:r>
      <w:r w:rsidR="00C8188F" w:rsidRPr="00DA691C">
        <w:rPr>
          <w:rStyle w:val="FootnoteReference"/>
          <w:rFonts w:cs="Poppins"/>
          <w:color w:val="323132"/>
          <w:sz w:val="24"/>
          <w:szCs w:val="24"/>
          <w:shd w:val="clear" w:color="auto" w:fill="FFFFFF"/>
        </w:rPr>
        <w:footnoteReference w:id="1"/>
      </w:r>
      <w:r w:rsidR="00C75F6C" w:rsidRPr="00DA691C">
        <w:rPr>
          <w:rFonts w:cs="Poppins"/>
          <w:shd w:val="clear" w:color="auto" w:fill="FFFFFF"/>
        </w:rPr>
        <w:t>.</w:t>
      </w:r>
    </w:p>
    <w:p w14:paraId="7E7B6834" w14:textId="52FEAE90" w:rsidR="00CD26AC" w:rsidRPr="00DA691C" w:rsidRDefault="00BF55E4" w:rsidP="001049CB">
      <w:pPr>
        <w:rPr>
          <w:rFonts w:cs="Poppins"/>
          <w:shd w:val="clear" w:color="auto" w:fill="FFFFFF"/>
        </w:rPr>
      </w:pPr>
      <w:r w:rsidRPr="00DA691C">
        <w:rPr>
          <w:rFonts w:cs="Poppins"/>
          <w:shd w:val="clear" w:color="auto" w:fill="FFFFFF"/>
        </w:rPr>
        <w:t xml:space="preserve">The Office for National Statistics (ONS) publish counts of moves between local authorities by age. </w:t>
      </w:r>
      <w:r w:rsidR="00D03EF3" w:rsidRPr="00DA691C">
        <w:rPr>
          <w:rFonts w:cs="Poppins"/>
          <w:shd w:val="clear" w:color="auto" w:fill="FFFFFF"/>
        </w:rPr>
        <w:t>It excludes moves within a single local authority, as well as international moves into or out of the UK.</w:t>
      </w:r>
      <w:r w:rsidR="00B420F6" w:rsidRPr="00DA691C">
        <w:rPr>
          <w:rFonts w:cs="Poppins"/>
          <w:shd w:val="clear" w:color="auto" w:fill="FFFFFF"/>
        </w:rPr>
        <w:t xml:space="preserve"> </w:t>
      </w:r>
      <w:r w:rsidR="003B3090" w:rsidRPr="00DA691C">
        <w:rPr>
          <w:rFonts w:cs="Poppins"/>
        </w:rPr>
        <w:t>The statistics are based on a combination of several administrative datasets and represent the best available source of information on internal migration.</w:t>
      </w:r>
      <w:r w:rsidR="003B3090" w:rsidRPr="00DA691C">
        <w:rPr>
          <w:rFonts w:cs="Poppins"/>
          <w:sz w:val="27"/>
          <w:szCs w:val="27"/>
          <w:shd w:val="clear" w:color="auto" w:fill="FFFFFF"/>
        </w:rPr>
        <w:t xml:space="preserve"> </w:t>
      </w:r>
      <w:r w:rsidR="00B420F6" w:rsidRPr="00DA691C">
        <w:rPr>
          <w:rFonts w:cs="Poppins"/>
          <w:shd w:val="clear" w:color="auto" w:fill="FFFFFF"/>
        </w:rPr>
        <w:t>This dataset was published</w:t>
      </w:r>
      <w:r w:rsidR="0045129A" w:rsidRPr="00DA691C">
        <w:rPr>
          <w:rFonts w:cs="Poppins"/>
          <w:shd w:val="clear" w:color="auto" w:fill="FFFFFF"/>
        </w:rPr>
        <w:t xml:space="preserve"> </w:t>
      </w:r>
      <w:r w:rsidR="00994322" w:rsidRPr="00DA691C">
        <w:rPr>
          <w:rFonts w:cs="Poppins"/>
          <w:shd w:val="clear" w:color="auto" w:fill="FFFFFF"/>
        </w:rPr>
        <w:t>every year until 2020</w:t>
      </w:r>
      <w:r w:rsidR="009729C6" w:rsidRPr="00DA691C">
        <w:rPr>
          <w:rFonts w:cs="Poppins"/>
          <w:shd w:val="clear" w:color="auto" w:fill="FFFFFF"/>
        </w:rPr>
        <w:t xml:space="preserve"> when</w:t>
      </w:r>
      <w:r w:rsidR="008608AF" w:rsidRPr="00DA691C">
        <w:rPr>
          <w:rFonts w:cs="Poppins"/>
          <w:shd w:val="clear" w:color="auto" w:fill="FFFFFF"/>
        </w:rPr>
        <w:t xml:space="preserve"> it was discontinued</w:t>
      </w:r>
      <w:r w:rsidR="0074439D" w:rsidRPr="00DA691C">
        <w:rPr>
          <w:rFonts w:cs="Poppins"/>
          <w:shd w:val="clear" w:color="auto" w:fill="FFFFFF"/>
        </w:rPr>
        <w:t xml:space="preserve"> as part consolidating population outputs ahead of the release of the 2021 Census</w:t>
      </w:r>
      <w:r w:rsidR="009729C6" w:rsidRPr="00DA691C">
        <w:rPr>
          <w:rFonts w:cs="Poppins"/>
          <w:shd w:val="clear" w:color="auto" w:fill="FFFFFF"/>
        </w:rPr>
        <w:t>.</w:t>
      </w:r>
    </w:p>
    <w:p w14:paraId="50D27C83" w14:textId="379394BB" w:rsidR="00B420F6" w:rsidRPr="00DA691C" w:rsidRDefault="00B420F6" w:rsidP="001049CB">
      <w:pPr>
        <w:rPr>
          <w:rFonts w:cs="Poppins"/>
          <w:shd w:val="clear" w:color="auto" w:fill="FFFFFF"/>
        </w:rPr>
      </w:pPr>
      <w:r w:rsidRPr="00DA691C">
        <w:rPr>
          <w:rFonts w:cs="Poppins"/>
          <w:shd w:val="clear" w:color="auto" w:fill="FFFFFF"/>
        </w:rPr>
        <w:t>However, as the Census 2021</w:t>
      </w:r>
      <w:r w:rsidR="0074439D" w:rsidRPr="00DA691C">
        <w:rPr>
          <w:rFonts w:cs="Poppins"/>
          <w:shd w:val="clear" w:color="auto" w:fill="FFFFFF"/>
        </w:rPr>
        <w:t xml:space="preserve"> asked </w:t>
      </w:r>
      <w:r w:rsidR="006953FA" w:rsidRPr="00DA691C">
        <w:rPr>
          <w:rFonts w:cs="Poppins"/>
          <w:shd w:val="clear" w:color="auto" w:fill="FFFFFF"/>
        </w:rPr>
        <w:t xml:space="preserve">participants about their address on </w:t>
      </w:r>
      <w:r w:rsidR="00741FD2" w:rsidRPr="00DA691C">
        <w:rPr>
          <w:rFonts w:cs="Poppins"/>
          <w:shd w:val="clear" w:color="auto" w:fill="FFFFFF"/>
        </w:rPr>
        <w:t>Census Day</w:t>
      </w:r>
      <w:r w:rsidR="006953FA" w:rsidRPr="00DA691C">
        <w:rPr>
          <w:rFonts w:cs="Poppins"/>
          <w:shd w:val="clear" w:color="auto" w:fill="FFFFFF"/>
        </w:rPr>
        <w:t xml:space="preserve"> compared to one year ago, it is possible to use this to </w:t>
      </w:r>
      <w:r w:rsidR="00773A22" w:rsidRPr="00DA691C">
        <w:rPr>
          <w:rFonts w:cs="Poppins"/>
          <w:shd w:val="clear" w:color="auto" w:fill="FFFFFF"/>
        </w:rPr>
        <w:t xml:space="preserve">understand internal migration for the latest possible time period, though there are a few differences </w:t>
      </w:r>
      <w:r w:rsidR="00E97895" w:rsidRPr="00DA691C">
        <w:rPr>
          <w:rFonts w:cs="Poppins"/>
          <w:shd w:val="clear" w:color="auto" w:fill="FFFFFF"/>
        </w:rPr>
        <w:t>and caveats to note:</w:t>
      </w:r>
    </w:p>
    <w:p w14:paraId="7544E94E" w14:textId="615367C3" w:rsidR="00E97895" w:rsidRPr="00DA691C" w:rsidRDefault="00E71077" w:rsidP="001049CB">
      <w:pPr>
        <w:rPr>
          <w:rFonts w:cs="Poppins"/>
          <w:shd w:val="clear" w:color="auto" w:fill="FFFFFF"/>
        </w:rPr>
      </w:pPr>
      <w:r w:rsidRPr="00DA691C">
        <w:rPr>
          <w:rFonts w:cs="Poppins"/>
          <w:shd w:val="clear" w:color="auto" w:fill="FFFFFF"/>
        </w:rPr>
        <w:t xml:space="preserve">As the Census is </w:t>
      </w:r>
      <w:r w:rsidR="00CC66B9" w:rsidRPr="00DA691C">
        <w:rPr>
          <w:rFonts w:cs="Poppins"/>
          <w:shd w:val="clear" w:color="auto" w:fill="FFFFFF"/>
        </w:rPr>
        <w:t>a self-report survey asked of people in their address as at Census Day</w:t>
      </w:r>
      <w:r w:rsidR="00B701B7" w:rsidRPr="00DA691C">
        <w:rPr>
          <w:rFonts w:cs="Poppins"/>
          <w:shd w:val="clear" w:color="auto" w:fill="FFFFFF"/>
        </w:rPr>
        <w:t xml:space="preserve"> in </w:t>
      </w:r>
      <w:r w:rsidR="006F701B" w:rsidRPr="00DA691C">
        <w:rPr>
          <w:rFonts w:cs="Poppins"/>
          <w:shd w:val="clear" w:color="auto" w:fill="FFFFFF"/>
        </w:rPr>
        <w:t>the UK</w:t>
      </w:r>
      <w:r w:rsidR="00CC66B9" w:rsidRPr="00DA691C">
        <w:rPr>
          <w:rFonts w:cs="Poppins"/>
          <w:shd w:val="clear" w:color="auto" w:fill="FFFFFF"/>
        </w:rPr>
        <w:t xml:space="preserve">, we cannot see where </w:t>
      </w:r>
      <w:r w:rsidR="00B701B7" w:rsidRPr="00DA691C">
        <w:rPr>
          <w:rFonts w:cs="Poppins"/>
          <w:shd w:val="clear" w:color="auto" w:fill="FFFFFF"/>
        </w:rPr>
        <w:t>people have moved if they moved out the UK</w:t>
      </w:r>
      <w:r w:rsidR="006F701B" w:rsidRPr="00DA691C">
        <w:rPr>
          <w:rFonts w:cs="Poppins"/>
          <w:shd w:val="clear" w:color="auto" w:fill="FFFFFF"/>
        </w:rPr>
        <w:t>.</w:t>
      </w:r>
      <w:r w:rsidR="00075774" w:rsidRPr="00DA691C">
        <w:rPr>
          <w:rFonts w:cs="Poppins"/>
          <w:shd w:val="clear" w:color="auto" w:fill="FFFFFF"/>
        </w:rPr>
        <w:t xml:space="preserve"> As such, we can see how many people moved to the area from outside of the UK, but we cannot tell how many people moved from West Sussex to abroad.</w:t>
      </w:r>
    </w:p>
    <w:p w14:paraId="78E698A8" w14:textId="071F51E8" w:rsidR="00326D77" w:rsidRPr="00DA691C" w:rsidRDefault="00326D77" w:rsidP="001049CB">
      <w:pPr>
        <w:rPr>
          <w:rFonts w:cs="Poppins"/>
          <w:shd w:val="clear" w:color="auto" w:fill="FFFFFF"/>
        </w:rPr>
      </w:pPr>
      <w:r w:rsidRPr="00DA691C">
        <w:rPr>
          <w:rFonts w:cs="Poppins"/>
          <w:shd w:val="clear" w:color="auto" w:fill="FFFFFF"/>
        </w:rPr>
        <w:t xml:space="preserve">Unlike the ONS internal moves dataset, the Census tells us </w:t>
      </w:r>
      <w:r w:rsidR="006B569E" w:rsidRPr="00DA691C">
        <w:rPr>
          <w:rFonts w:cs="Poppins"/>
          <w:shd w:val="clear" w:color="auto" w:fill="FFFFFF"/>
        </w:rPr>
        <w:t xml:space="preserve">any change in address, even if it occurred within the same local authority. An address change, even local, may be </w:t>
      </w:r>
      <w:r w:rsidR="00DE3534" w:rsidRPr="00DA691C">
        <w:rPr>
          <w:rFonts w:cs="Poppins"/>
          <w:shd w:val="clear" w:color="auto" w:fill="FFFFFF"/>
        </w:rPr>
        <w:t>unsettling for some older people</w:t>
      </w:r>
      <w:r w:rsidR="00D9182F" w:rsidRPr="00DA691C">
        <w:rPr>
          <w:rFonts w:cs="Poppins"/>
          <w:shd w:val="clear" w:color="auto" w:fill="FFFFFF"/>
        </w:rPr>
        <w:t>.</w:t>
      </w:r>
    </w:p>
    <w:p w14:paraId="562C700E" w14:textId="2421D889" w:rsidR="0081106B" w:rsidRPr="00DA691C" w:rsidRDefault="0081106B" w:rsidP="001049CB">
      <w:pPr>
        <w:rPr>
          <w:rFonts w:cs="Poppins"/>
          <w:shd w:val="clear" w:color="auto" w:fill="FFFFFF"/>
        </w:rPr>
      </w:pPr>
      <w:r w:rsidRPr="00DA691C">
        <w:rPr>
          <w:rFonts w:cs="Poppins"/>
          <w:shd w:val="clear" w:color="auto" w:fill="FFFFFF"/>
        </w:rPr>
        <w:t xml:space="preserve">For both datasets, this is a snapshot of where someone lives </w:t>
      </w:r>
      <w:r w:rsidR="00826A26" w:rsidRPr="00DA691C">
        <w:rPr>
          <w:rFonts w:cs="Poppins"/>
          <w:shd w:val="clear" w:color="auto" w:fill="FFFFFF"/>
        </w:rPr>
        <w:t xml:space="preserve">one year and again the next. It does not account for </w:t>
      </w:r>
      <w:r w:rsidR="00B70C1C" w:rsidRPr="00DA691C">
        <w:rPr>
          <w:rFonts w:cs="Poppins"/>
          <w:shd w:val="clear" w:color="auto" w:fill="FFFFFF"/>
        </w:rPr>
        <w:t xml:space="preserve">the number of times </w:t>
      </w:r>
      <w:r w:rsidR="00826A26" w:rsidRPr="00DA691C">
        <w:rPr>
          <w:rFonts w:cs="Poppins"/>
          <w:shd w:val="clear" w:color="auto" w:fill="FFFFFF"/>
        </w:rPr>
        <w:t>people mov</w:t>
      </w:r>
      <w:r w:rsidR="00B70C1C" w:rsidRPr="00DA691C">
        <w:rPr>
          <w:rFonts w:cs="Poppins"/>
          <w:shd w:val="clear" w:color="auto" w:fill="FFFFFF"/>
        </w:rPr>
        <w:t xml:space="preserve">e within the year. </w:t>
      </w:r>
    </w:p>
    <w:p w14:paraId="71A83448" w14:textId="15D46DDD" w:rsidR="00514DA4" w:rsidRPr="00DA691C" w:rsidRDefault="00122DD9" w:rsidP="001049CB">
      <w:pPr>
        <w:rPr>
          <w:rFonts w:cs="Poppins"/>
          <w:shd w:val="clear" w:color="auto" w:fill="FFFFFF"/>
        </w:rPr>
      </w:pPr>
      <w:r w:rsidRPr="00DA691C">
        <w:rPr>
          <w:rFonts w:cs="Poppins"/>
          <w:shd w:val="clear" w:color="auto" w:fill="FFFFFF"/>
        </w:rPr>
        <w:t>A benefit o</w:t>
      </w:r>
      <w:r w:rsidR="001D585B" w:rsidRPr="00DA691C">
        <w:rPr>
          <w:rFonts w:cs="Poppins"/>
          <w:shd w:val="clear" w:color="auto" w:fill="FFFFFF"/>
        </w:rPr>
        <w:t xml:space="preserve">f using Census data is that </w:t>
      </w:r>
      <w:r w:rsidR="009A1C0B" w:rsidRPr="00DA691C">
        <w:rPr>
          <w:rFonts w:cs="Poppins"/>
          <w:shd w:val="clear" w:color="auto" w:fill="FFFFFF"/>
        </w:rPr>
        <w:t xml:space="preserve">it </w:t>
      </w:r>
      <w:r w:rsidR="00137914" w:rsidRPr="00DA691C">
        <w:rPr>
          <w:rFonts w:cs="Poppins"/>
          <w:shd w:val="clear" w:color="auto" w:fill="FFFFFF"/>
        </w:rPr>
        <w:t>is possible to see moves at</w:t>
      </w:r>
      <w:r w:rsidR="00DE5445" w:rsidRPr="00DA691C">
        <w:rPr>
          <w:rFonts w:cs="Poppins"/>
          <w:shd w:val="clear" w:color="auto" w:fill="FFFFFF"/>
        </w:rPr>
        <w:t xml:space="preserve"> </w:t>
      </w:r>
      <w:r w:rsidR="00137914" w:rsidRPr="00DA691C">
        <w:rPr>
          <w:rFonts w:cs="Poppins"/>
          <w:shd w:val="clear" w:color="auto" w:fill="FFFFFF"/>
        </w:rPr>
        <w:t>a</w:t>
      </w:r>
      <w:r w:rsidR="00DE5445" w:rsidRPr="00DA691C">
        <w:rPr>
          <w:rFonts w:cs="Poppins"/>
          <w:shd w:val="clear" w:color="auto" w:fill="FFFFFF"/>
        </w:rPr>
        <w:t xml:space="preserve"> much</w:t>
      </w:r>
      <w:r w:rsidR="00137914" w:rsidRPr="00DA691C">
        <w:rPr>
          <w:rFonts w:cs="Poppins"/>
          <w:shd w:val="clear" w:color="auto" w:fill="FFFFFF"/>
        </w:rPr>
        <w:t xml:space="preserve"> small</w:t>
      </w:r>
      <w:r w:rsidR="00DE5445" w:rsidRPr="00DA691C">
        <w:rPr>
          <w:rFonts w:cs="Poppins"/>
          <w:shd w:val="clear" w:color="auto" w:fill="FFFFFF"/>
        </w:rPr>
        <w:t>er</w:t>
      </w:r>
      <w:r w:rsidR="00137914" w:rsidRPr="00DA691C">
        <w:rPr>
          <w:rFonts w:cs="Poppins"/>
          <w:shd w:val="clear" w:color="auto" w:fill="FFFFFF"/>
        </w:rPr>
        <w:t xml:space="preserve"> geographical level (Middle-layer Super Output Area</w:t>
      </w:r>
      <w:r w:rsidR="00D17F64" w:rsidRPr="00DA691C">
        <w:rPr>
          <w:rFonts w:cs="Poppins"/>
          <w:shd w:val="clear" w:color="auto" w:fill="FFFFFF"/>
        </w:rPr>
        <w:t>, MSOA</w:t>
      </w:r>
      <w:r w:rsidR="00284222" w:rsidRPr="00DA691C">
        <w:rPr>
          <w:rFonts w:cs="Poppins"/>
          <w:shd w:val="clear" w:color="auto" w:fill="FFFFFF"/>
        </w:rPr>
        <w:t>)</w:t>
      </w:r>
      <w:r w:rsidR="009A1C0B" w:rsidRPr="00DA691C">
        <w:rPr>
          <w:rFonts w:cs="Poppins"/>
          <w:shd w:val="clear" w:color="auto" w:fill="FFFFFF"/>
        </w:rPr>
        <w:t xml:space="preserve">, unlike </w:t>
      </w:r>
      <w:r w:rsidR="008C7C18" w:rsidRPr="00DA691C">
        <w:rPr>
          <w:rFonts w:cs="Poppins"/>
          <w:shd w:val="clear" w:color="auto" w:fill="FFFFFF"/>
        </w:rPr>
        <w:t xml:space="preserve">the ONS internal migration dataset which is only available at local authority level. </w:t>
      </w:r>
      <w:r w:rsidR="001C6799" w:rsidRPr="00DA691C">
        <w:rPr>
          <w:rFonts w:cs="Poppins"/>
          <w:shd w:val="clear" w:color="auto" w:fill="FFFFFF"/>
        </w:rPr>
        <w:t xml:space="preserve">Local authorities are more difficult to classify as urban/rural as there are many different types of area within </w:t>
      </w:r>
      <w:r w:rsidR="00D17F64" w:rsidRPr="00DA691C">
        <w:rPr>
          <w:rFonts w:cs="Poppins"/>
          <w:shd w:val="clear" w:color="auto" w:fill="FFFFFF"/>
        </w:rPr>
        <w:t xml:space="preserve">them. However, the MSOA data is for all ages rather than those aged 65+ and so it is </w:t>
      </w:r>
      <w:r w:rsidR="00821090" w:rsidRPr="00DA691C">
        <w:rPr>
          <w:rFonts w:cs="Poppins"/>
          <w:shd w:val="clear" w:color="auto" w:fill="FFFFFF"/>
        </w:rPr>
        <w:t>difficult to draw comprehensive conclusions.</w:t>
      </w:r>
    </w:p>
    <w:p w14:paraId="0069F724" w14:textId="38DB036E" w:rsidR="001A591A" w:rsidRPr="00DA691C" w:rsidRDefault="001A591A" w:rsidP="001049CB">
      <w:pPr>
        <w:rPr>
          <w:rFonts w:cs="Poppins"/>
          <w:shd w:val="clear" w:color="auto" w:fill="FFFFFF"/>
        </w:rPr>
      </w:pPr>
      <w:r w:rsidRPr="00DA691C">
        <w:rPr>
          <w:rFonts w:cs="Poppins"/>
          <w:shd w:val="clear" w:color="auto" w:fill="FFFFFF"/>
        </w:rPr>
        <w:t>Irrespective of dataset, the reason for moving, and the context of who will be locally available to provide support for those in need, is unknown. We do not know if someone moves to an area to be closer to family/friend</w:t>
      </w:r>
      <w:r w:rsidR="00BA24AA" w:rsidRPr="00DA691C">
        <w:rPr>
          <w:rFonts w:cs="Poppins"/>
          <w:shd w:val="clear" w:color="auto" w:fill="FFFFFF"/>
        </w:rPr>
        <w:t>s</w:t>
      </w:r>
      <w:r w:rsidRPr="00DA691C">
        <w:rPr>
          <w:rFonts w:cs="Poppins"/>
          <w:shd w:val="clear" w:color="auto" w:fill="FFFFFF"/>
        </w:rPr>
        <w:t xml:space="preserve"> for example.</w:t>
      </w:r>
    </w:p>
    <w:p w14:paraId="1073F8EF" w14:textId="578572CA" w:rsidR="00075774" w:rsidRPr="00DA691C" w:rsidRDefault="0081106B" w:rsidP="001049CB">
      <w:pPr>
        <w:rPr>
          <w:rFonts w:cs="Poppins"/>
          <w:shd w:val="clear" w:color="auto" w:fill="FFFFFF"/>
        </w:rPr>
      </w:pPr>
      <w:r w:rsidRPr="00DA691C">
        <w:rPr>
          <w:rFonts w:cs="Poppins"/>
          <w:shd w:val="clear" w:color="auto" w:fill="FFFFFF"/>
        </w:rPr>
        <w:lastRenderedPageBreak/>
        <w:t>Finally, t</w:t>
      </w:r>
      <w:r w:rsidR="00D57A43" w:rsidRPr="00DA691C">
        <w:rPr>
          <w:rFonts w:cs="Poppins"/>
          <w:shd w:val="clear" w:color="auto" w:fill="FFFFFF"/>
        </w:rPr>
        <w:t xml:space="preserve">he 2021 Census was conducted during a time of unprecedented uncertainty as a result of the global COVID-19 pandemic which changed many people’s behaviours and circumstances. It is possible that </w:t>
      </w:r>
      <w:r w:rsidR="00835088" w:rsidRPr="00DA691C">
        <w:rPr>
          <w:rFonts w:cs="Poppins"/>
          <w:shd w:val="clear" w:color="auto" w:fill="FFFFFF"/>
        </w:rPr>
        <w:t>the movement of people does not reflect the typical pattern of change we might expect in the county. However, it is our best, most up to date, picture of what</w:t>
      </w:r>
      <w:r w:rsidR="003B60F2" w:rsidRPr="00DA691C">
        <w:rPr>
          <w:rFonts w:cs="Poppins"/>
          <w:shd w:val="clear" w:color="auto" w:fill="FFFFFF"/>
        </w:rPr>
        <w:t xml:space="preserve"> is happening</w:t>
      </w:r>
      <w:r w:rsidR="007B3195" w:rsidRPr="00DA691C">
        <w:rPr>
          <w:rFonts w:cs="Poppins"/>
          <w:shd w:val="clear" w:color="auto" w:fill="FFFFFF"/>
        </w:rPr>
        <w:t xml:space="preserve">; and we can make some assumptions that some areas will experience </w:t>
      </w:r>
      <w:r w:rsidR="00AB2D70" w:rsidRPr="00DA691C">
        <w:rPr>
          <w:rFonts w:cs="Poppins"/>
          <w:shd w:val="clear" w:color="auto" w:fill="FFFFFF"/>
        </w:rPr>
        <w:t>more inflowing older people with care needs than others based on this data.</w:t>
      </w:r>
      <w:r w:rsidR="003B60F2" w:rsidRPr="00DA691C">
        <w:rPr>
          <w:rFonts w:cs="Poppins"/>
          <w:shd w:val="clear" w:color="auto" w:fill="FFFFFF"/>
        </w:rPr>
        <w:t xml:space="preserve"> Where possible we have compared to previous years, though it is slightly different to the usual internal migration dataset provided by ONS.</w:t>
      </w:r>
    </w:p>
    <w:p w14:paraId="79366D12" w14:textId="5C69B7E7" w:rsidR="000778D8" w:rsidRPr="00DA691C" w:rsidRDefault="009A2897" w:rsidP="009A2897">
      <w:pPr>
        <w:pStyle w:val="Heading2"/>
        <w:rPr>
          <w:rFonts w:ascii="Poppins" w:hAnsi="Poppins" w:cs="Poppins"/>
          <w:shd w:val="clear" w:color="auto" w:fill="FFFFFF"/>
        </w:rPr>
      </w:pPr>
      <w:r w:rsidRPr="00DA691C">
        <w:rPr>
          <w:rFonts w:ascii="Poppins" w:hAnsi="Poppins" w:cs="Poppins"/>
          <w:shd w:val="clear" w:color="auto" w:fill="FFFFFF"/>
        </w:rPr>
        <w:t>The West Sussex population</w:t>
      </w:r>
    </w:p>
    <w:p w14:paraId="1E1CBE10" w14:textId="77777777" w:rsidR="00E04720" w:rsidRPr="00DA691C" w:rsidRDefault="00E04720" w:rsidP="00E04720">
      <w:pPr>
        <w:rPr>
          <w:rFonts w:cs="Poppins"/>
        </w:rPr>
      </w:pPr>
    </w:p>
    <w:p w14:paraId="4B8BB247" w14:textId="4FC91689" w:rsidR="00E04720" w:rsidRPr="00DA691C" w:rsidRDefault="00E04720" w:rsidP="00E04720">
      <w:pPr>
        <w:rPr>
          <w:rFonts w:cs="Poppins"/>
          <w:b/>
          <w:bCs/>
        </w:rPr>
      </w:pPr>
      <w:r w:rsidRPr="00DA691C">
        <w:rPr>
          <w:rFonts w:cs="Poppins"/>
          <w:b/>
          <w:bCs/>
        </w:rPr>
        <w:t xml:space="preserve">Table 1 - </w:t>
      </w:r>
      <w:r w:rsidR="00A0410D" w:rsidRPr="00DA691C">
        <w:rPr>
          <w:rFonts w:cs="Poppins"/>
          <w:b/>
          <w:bCs/>
        </w:rPr>
        <w:t>Number of residents aged 65+ and 85+; Census 2021; West Sussex</w:t>
      </w:r>
      <w:r w:rsidR="00325B5B" w:rsidRPr="00DA691C">
        <w:rPr>
          <w:rFonts w:cs="Poppins"/>
          <w:b/>
          <w:bCs/>
        </w:rPr>
        <w:t xml:space="preserve"> local authorities</w:t>
      </w:r>
      <w:r w:rsidR="00A0410D" w:rsidRPr="00DA691C">
        <w:rPr>
          <w:rFonts w:cs="Poppins"/>
          <w:b/>
          <w:bCs/>
        </w:rPr>
        <w:t>, South East region and England</w:t>
      </w:r>
    </w:p>
    <w:tbl>
      <w:tblPr>
        <w:tblW w:w="0" w:type="auto"/>
        <w:jc w:val="center"/>
        <w:tblLayout w:type="fixed"/>
        <w:tblLook w:val="0420" w:firstRow="1" w:lastRow="0" w:firstColumn="0" w:lastColumn="0" w:noHBand="0" w:noVBand="1"/>
      </w:tblPr>
      <w:tblGrid>
        <w:gridCol w:w="1814"/>
        <w:gridCol w:w="1636"/>
        <w:gridCol w:w="2467"/>
        <w:gridCol w:w="2222"/>
      </w:tblGrid>
      <w:tr w:rsidR="00E04720" w:rsidRPr="00DA691C" w14:paraId="43016F62" w14:textId="77777777" w:rsidTr="00B431FB">
        <w:trPr>
          <w:tblHeader/>
          <w:jc w:val="center"/>
        </w:trPr>
        <w:tc>
          <w:tcPr>
            <w:tcW w:w="1814" w:type="dxa"/>
            <w:tcBorders>
              <w:top w:val="single" w:sz="12" w:space="0" w:color="666666"/>
              <w:bottom w:val="single" w:sz="4" w:space="0" w:color="auto"/>
            </w:tcBorders>
            <w:shd w:val="clear" w:color="auto" w:fill="FFFFFF"/>
            <w:tcMar>
              <w:top w:w="0" w:type="dxa"/>
              <w:left w:w="0" w:type="dxa"/>
              <w:bottom w:w="0" w:type="dxa"/>
              <w:right w:w="0" w:type="dxa"/>
            </w:tcMar>
            <w:vAlign w:val="center"/>
          </w:tcPr>
          <w:p w14:paraId="5E3B35C3"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Area</w:t>
            </w:r>
          </w:p>
        </w:tc>
        <w:tc>
          <w:tcPr>
            <w:tcW w:w="1636" w:type="dxa"/>
            <w:tcBorders>
              <w:top w:val="single" w:sz="12" w:space="0" w:color="666666"/>
              <w:bottom w:val="single" w:sz="4" w:space="0" w:color="auto"/>
            </w:tcBorders>
            <w:shd w:val="clear" w:color="auto" w:fill="FFFFFF"/>
            <w:tcMar>
              <w:top w:w="0" w:type="dxa"/>
              <w:left w:w="0" w:type="dxa"/>
              <w:bottom w:w="0" w:type="dxa"/>
              <w:right w:w="0" w:type="dxa"/>
            </w:tcMar>
            <w:vAlign w:val="center"/>
          </w:tcPr>
          <w:p w14:paraId="208A5A0D"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All ages</w:t>
            </w:r>
          </w:p>
        </w:tc>
        <w:tc>
          <w:tcPr>
            <w:tcW w:w="2467" w:type="dxa"/>
            <w:tcBorders>
              <w:top w:val="single" w:sz="12" w:space="0" w:color="666666"/>
              <w:bottom w:val="single" w:sz="4" w:space="0" w:color="auto"/>
            </w:tcBorders>
            <w:shd w:val="clear" w:color="auto" w:fill="FFFFFF"/>
            <w:tcMar>
              <w:top w:w="0" w:type="dxa"/>
              <w:left w:w="0" w:type="dxa"/>
              <w:bottom w:w="0" w:type="dxa"/>
              <w:right w:w="0" w:type="dxa"/>
            </w:tcMar>
            <w:vAlign w:val="center"/>
          </w:tcPr>
          <w:p w14:paraId="76AD60E3"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65+ years</w:t>
            </w:r>
          </w:p>
        </w:tc>
        <w:tc>
          <w:tcPr>
            <w:tcW w:w="2222" w:type="dxa"/>
            <w:tcBorders>
              <w:top w:val="single" w:sz="12" w:space="0" w:color="666666"/>
              <w:bottom w:val="single" w:sz="4" w:space="0" w:color="auto"/>
            </w:tcBorders>
            <w:shd w:val="clear" w:color="auto" w:fill="FFFFFF"/>
            <w:tcMar>
              <w:top w:w="0" w:type="dxa"/>
              <w:left w:w="0" w:type="dxa"/>
              <w:bottom w:w="0" w:type="dxa"/>
              <w:right w:w="0" w:type="dxa"/>
            </w:tcMar>
            <w:vAlign w:val="center"/>
          </w:tcPr>
          <w:p w14:paraId="746ADF32"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85+ years</w:t>
            </w:r>
          </w:p>
        </w:tc>
      </w:tr>
      <w:tr w:rsidR="00E04720" w:rsidRPr="00DA691C" w14:paraId="7367DED9" w14:textId="77777777" w:rsidTr="00B431FB">
        <w:trPr>
          <w:jc w:val="center"/>
        </w:trPr>
        <w:tc>
          <w:tcPr>
            <w:tcW w:w="1814" w:type="dxa"/>
            <w:tcBorders>
              <w:top w:val="single" w:sz="4" w:space="0" w:color="auto"/>
            </w:tcBorders>
            <w:shd w:val="clear" w:color="auto" w:fill="FFFFFF"/>
            <w:tcMar>
              <w:top w:w="0" w:type="dxa"/>
              <w:left w:w="0" w:type="dxa"/>
              <w:bottom w:w="0" w:type="dxa"/>
              <w:right w:w="0" w:type="dxa"/>
            </w:tcMar>
            <w:vAlign w:val="center"/>
          </w:tcPr>
          <w:p w14:paraId="291AE3EF"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West Sussex</w:t>
            </w:r>
          </w:p>
        </w:tc>
        <w:tc>
          <w:tcPr>
            <w:tcW w:w="1636" w:type="dxa"/>
            <w:tcBorders>
              <w:top w:val="single" w:sz="4" w:space="0" w:color="auto"/>
            </w:tcBorders>
            <w:shd w:val="clear" w:color="auto" w:fill="FFFFFF"/>
            <w:tcMar>
              <w:top w:w="0" w:type="dxa"/>
              <w:left w:w="0" w:type="dxa"/>
              <w:bottom w:w="0" w:type="dxa"/>
              <w:right w:w="0" w:type="dxa"/>
            </w:tcMar>
            <w:vAlign w:val="center"/>
          </w:tcPr>
          <w:p w14:paraId="07A71FCB"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882,680</w:t>
            </w:r>
          </w:p>
        </w:tc>
        <w:tc>
          <w:tcPr>
            <w:tcW w:w="2467" w:type="dxa"/>
            <w:tcBorders>
              <w:top w:val="single" w:sz="4" w:space="0" w:color="auto"/>
            </w:tcBorders>
            <w:shd w:val="clear" w:color="auto" w:fill="FFFFFF"/>
            <w:tcMar>
              <w:top w:w="0" w:type="dxa"/>
              <w:left w:w="0" w:type="dxa"/>
              <w:bottom w:w="0" w:type="dxa"/>
              <w:right w:w="0" w:type="dxa"/>
            </w:tcMar>
            <w:vAlign w:val="center"/>
          </w:tcPr>
          <w:p w14:paraId="317B6BAA"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201,390 (22.8%)</w:t>
            </w:r>
          </w:p>
        </w:tc>
        <w:tc>
          <w:tcPr>
            <w:tcW w:w="2222" w:type="dxa"/>
            <w:tcBorders>
              <w:top w:val="single" w:sz="4" w:space="0" w:color="auto"/>
            </w:tcBorders>
            <w:shd w:val="clear" w:color="auto" w:fill="FFFFFF"/>
            <w:tcMar>
              <w:top w:w="0" w:type="dxa"/>
              <w:left w:w="0" w:type="dxa"/>
              <w:bottom w:w="0" w:type="dxa"/>
              <w:right w:w="0" w:type="dxa"/>
            </w:tcMar>
            <w:vAlign w:val="center"/>
          </w:tcPr>
          <w:p w14:paraId="66DE2615"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30,249 (3.4%)</w:t>
            </w:r>
          </w:p>
        </w:tc>
      </w:tr>
      <w:tr w:rsidR="00E04720" w:rsidRPr="00DA691C" w14:paraId="2074F9B1" w14:textId="77777777" w:rsidTr="00B431FB">
        <w:trPr>
          <w:jc w:val="center"/>
        </w:trPr>
        <w:tc>
          <w:tcPr>
            <w:tcW w:w="1814" w:type="dxa"/>
            <w:shd w:val="clear" w:color="auto" w:fill="FFFFFF"/>
            <w:tcMar>
              <w:top w:w="0" w:type="dxa"/>
              <w:left w:w="0" w:type="dxa"/>
              <w:bottom w:w="0" w:type="dxa"/>
              <w:right w:w="0" w:type="dxa"/>
            </w:tcMar>
            <w:vAlign w:val="center"/>
          </w:tcPr>
          <w:p w14:paraId="72DD2842"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Adur</w:t>
            </w:r>
          </w:p>
        </w:tc>
        <w:tc>
          <w:tcPr>
            <w:tcW w:w="1636" w:type="dxa"/>
            <w:shd w:val="clear" w:color="auto" w:fill="FFFFFF"/>
            <w:tcMar>
              <w:top w:w="0" w:type="dxa"/>
              <w:left w:w="0" w:type="dxa"/>
              <w:bottom w:w="0" w:type="dxa"/>
              <w:right w:w="0" w:type="dxa"/>
            </w:tcMar>
            <w:vAlign w:val="center"/>
          </w:tcPr>
          <w:p w14:paraId="295E6EE1"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64,536</w:t>
            </w:r>
          </w:p>
        </w:tc>
        <w:tc>
          <w:tcPr>
            <w:tcW w:w="2467" w:type="dxa"/>
            <w:shd w:val="clear" w:color="auto" w:fill="FFFFFF"/>
            <w:tcMar>
              <w:top w:w="0" w:type="dxa"/>
              <w:left w:w="0" w:type="dxa"/>
              <w:bottom w:w="0" w:type="dxa"/>
              <w:right w:w="0" w:type="dxa"/>
            </w:tcMar>
            <w:vAlign w:val="center"/>
          </w:tcPr>
          <w:p w14:paraId="26D06DCE"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15,236 (23.6%)</w:t>
            </w:r>
          </w:p>
        </w:tc>
        <w:tc>
          <w:tcPr>
            <w:tcW w:w="2222" w:type="dxa"/>
            <w:shd w:val="clear" w:color="auto" w:fill="FFFFFF"/>
            <w:tcMar>
              <w:top w:w="0" w:type="dxa"/>
              <w:left w:w="0" w:type="dxa"/>
              <w:bottom w:w="0" w:type="dxa"/>
              <w:right w:w="0" w:type="dxa"/>
            </w:tcMar>
            <w:vAlign w:val="center"/>
          </w:tcPr>
          <w:p w14:paraId="251136ED"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2,204 (3.4%)</w:t>
            </w:r>
          </w:p>
        </w:tc>
      </w:tr>
      <w:tr w:rsidR="00E04720" w:rsidRPr="00DA691C" w14:paraId="03D75ABF" w14:textId="77777777" w:rsidTr="00B431FB">
        <w:trPr>
          <w:jc w:val="center"/>
        </w:trPr>
        <w:tc>
          <w:tcPr>
            <w:tcW w:w="1814" w:type="dxa"/>
            <w:shd w:val="clear" w:color="auto" w:fill="FFFFFF"/>
            <w:tcMar>
              <w:top w:w="0" w:type="dxa"/>
              <w:left w:w="0" w:type="dxa"/>
              <w:bottom w:w="0" w:type="dxa"/>
              <w:right w:w="0" w:type="dxa"/>
            </w:tcMar>
            <w:vAlign w:val="center"/>
          </w:tcPr>
          <w:p w14:paraId="429BBBBD"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Arun</w:t>
            </w:r>
          </w:p>
        </w:tc>
        <w:tc>
          <w:tcPr>
            <w:tcW w:w="1636" w:type="dxa"/>
            <w:shd w:val="clear" w:color="auto" w:fill="FFFFFF"/>
            <w:tcMar>
              <w:top w:w="0" w:type="dxa"/>
              <w:left w:w="0" w:type="dxa"/>
              <w:bottom w:w="0" w:type="dxa"/>
              <w:right w:w="0" w:type="dxa"/>
            </w:tcMar>
            <w:vAlign w:val="center"/>
          </w:tcPr>
          <w:p w14:paraId="6B7E2397"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164,893</w:t>
            </w:r>
          </w:p>
        </w:tc>
        <w:tc>
          <w:tcPr>
            <w:tcW w:w="2467" w:type="dxa"/>
            <w:shd w:val="clear" w:color="auto" w:fill="FFFFFF"/>
            <w:tcMar>
              <w:top w:w="0" w:type="dxa"/>
              <w:left w:w="0" w:type="dxa"/>
              <w:bottom w:w="0" w:type="dxa"/>
              <w:right w:w="0" w:type="dxa"/>
            </w:tcMar>
            <w:vAlign w:val="center"/>
          </w:tcPr>
          <w:p w14:paraId="61284134"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46,889 (28.4%)</w:t>
            </w:r>
          </w:p>
        </w:tc>
        <w:tc>
          <w:tcPr>
            <w:tcW w:w="2222" w:type="dxa"/>
            <w:shd w:val="clear" w:color="auto" w:fill="FFFFFF"/>
            <w:tcMar>
              <w:top w:w="0" w:type="dxa"/>
              <w:left w:w="0" w:type="dxa"/>
              <w:bottom w:w="0" w:type="dxa"/>
              <w:right w:w="0" w:type="dxa"/>
            </w:tcMar>
            <w:vAlign w:val="center"/>
          </w:tcPr>
          <w:p w14:paraId="605A50B7"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7,067 (4.3%)</w:t>
            </w:r>
          </w:p>
        </w:tc>
      </w:tr>
      <w:tr w:rsidR="00E04720" w:rsidRPr="00DA691C" w14:paraId="3C688266" w14:textId="77777777" w:rsidTr="00B431FB">
        <w:trPr>
          <w:jc w:val="center"/>
        </w:trPr>
        <w:tc>
          <w:tcPr>
            <w:tcW w:w="1814" w:type="dxa"/>
            <w:shd w:val="clear" w:color="auto" w:fill="FFFFFF"/>
            <w:tcMar>
              <w:top w:w="0" w:type="dxa"/>
              <w:left w:w="0" w:type="dxa"/>
              <w:bottom w:w="0" w:type="dxa"/>
              <w:right w:w="0" w:type="dxa"/>
            </w:tcMar>
            <w:vAlign w:val="center"/>
          </w:tcPr>
          <w:p w14:paraId="77C0F1D4"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Chichester</w:t>
            </w:r>
          </w:p>
        </w:tc>
        <w:tc>
          <w:tcPr>
            <w:tcW w:w="1636" w:type="dxa"/>
            <w:shd w:val="clear" w:color="auto" w:fill="FFFFFF"/>
            <w:tcMar>
              <w:top w:w="0" w:type="dxa"/>
              <w:left w:w="0" w:type="dxa"/>
              <w:bottom w:w="0" w:type="dxa"/>
              <w:right w:w="0" w:type="dxa"/>
            </w:tcMar>
            <w:vAlign w:val="center"/>
          </w:tcPr>
          <w:p w14:paraId="400A44CE"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124,073</w:t>
            </w:r>
          </w:p>
        </w:tc>
        <w:tc>
          <w:tcPr>
            <w:tcW w:w="2467" w:type="dxa"/>
            <w:shd w:val="clear" w:color="auto" w:fill="FFFFFF"/>
            <w:tcMar>
              <w:top w:w="0" w:type="dxa"/>
              <w:left w:w="0" w:type="dxa"/>
              <w:bottom w:w="0" w:type="dxa"/>
              <w:right w:w="0" w:type="dxa"/>
            </w:tcMar>
            <w:vAlign w:val="center"/>
          </w:tcPr>
          <w:p w14:paraId="64FE772A"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33,634 (27.1%)</w:t>
            </w:r>
          </w:p>
        </w:tc>
        <w:tc>
          <w:tcPr>
            <w:tcW w:w="2222" w:type="dxa"/>
            <w:shd w:val="clear" w:color="auto" w:fill="FFFFFF"/>
            <w:tcMar>
              <w:top w:w="0" w:type="dxa"/>
              <w:left w:w="0" w:type="dxa"/>
              <w:bottom w:w="0" w:type="dxa"/>
              <w:right w:w="0" w:type="dxa"/>
            </w:tcMar>
            <w:vAlign w:val="center"/>
          </w:tcPr>
          <w:p w14:paraId="112E686B"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5,091 (4.1%)</w:t>
            </w:r>
          </w:p>
        </w:tc>
      </w:tr>
      <w:tr w:rsidR="00E04720" w:rsidRPr="00DA691C" w14:paraId="3E6B0BD5" w14:textId="77777777" w:rsidTr="00B431FB">
        <w:trPr>
          <w:jc w:val="center"/>
        </w:trPr>
        <w:tc>
          <w:tcPr>
            <w:tcW w:w="1814" w:type="dxa"/>
            <w:shd w:val="clear" w:color="auto" w:fill="FFFFFF"/>
            <w:tcMar>
              <w:top w:w="0" w:type="dxa"/>
              <w:left w:w="0" w:type="dxa"/>
              <w:bottom w:w="0" w:type="dxa"/>
              <w:right w:w="0" w:type="dxa"/>
            </w:tcMar>
            <w:vAlign w:val="center"/>
          </w:tcPr>
          <w:p w14:paraId="105F5F5F"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Crawley</w:t>
            </w:r>
          </w:p>
        </w:tc>
        <w:tc>
          <w:tcPr>
            <w:tcW w:w="1636" w:type="dxa"/>
            <w:shd w:val="clear" w:color="auto" w:fill="FFFFFF"/>
            <w:tcMar>
              <w:top w:w="0" w:type="dxa"/>
              <w:left w:w="0" w:type="dxa"/>
              <w:bottom w:w="0" w:type="dxa"/>
              <w:right w:w="0" w:type="dxa"/>
            </w:tcMar>
            <w:vAlign w:val="center"/>
          </w:tcPr>
          <w:p w14:paraId="35DA6A99"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118,491</w:t>
            </w:r>
          </w:p>
        </w:tc>
        <w:tc>
          <w:tcPr>
            <w:tcW w:w="2467" w:type="dxa"/>
            <w:shd w:val="clear" w:color="auto" w:fill="FFFFFF"/>
            <w:tcMar>
              <w:top w:w="0" w:type="dxa"/>
              <w:left w:w="0" w:type="dxa"/>
              <w:bottom w:w="0" w:type="dxa"/>
              <w:right w:w="0" w:type="dxa"/>
            </w:tcMar>
            <w:vAlign w:val="center"/>
          </w:tcPr>
          <w:p w14:paraId="17383412"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15,755 (13.3%)</w:t>
            </w:r>
          </w:p>
        </w:tc>
        <w:tc>
          <w:tcPr>
            <w:tcW w:w="2222" w:type="dxa"/>
            <w:shd w:val="clear" w:color="auto" w:fill="FFFFFF"/>
            <w:tcMar>
              <w:top w:w="0" w:type="dxa"/>
              <w:left w:w="0" w:type="dxa"/>
              <w:bottom w:w="0" w:type="dxa"/>
              <w:right w:w="0" w:type="dxa"/>
            </w:tcMar>
            <w:vAlign w:val="center"/>
          </w:tcPr>
          <w:p w14:paraId="62324AC3"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2,329 (2%)</w:t>
            </w:r>
          </w:p>
        </w:tc>
      </w:tr>
      <w:tr w:rsidR="00E04720" w:rsidRPr="00DA691C" w14:paraId="11C3042F" w14:textId="77777777" w:rsidTr="00B431FB">
        <w:trPr>
          <w:jc w:val="center"/>
        </w:trPr>
        <w:tc>
          <w:tcPr>
            <w:tcW w:w="1814" w:type="dxa"/>
            <w:shd w:val="clear" w:color="auto" w:fill="FFFFFF"/>
            <w:tcMar>
              <w:top w:w="0" w:type="dxa"/>
              <w:left w:w="0" w:type="dxa"/>
              <w:bottom w:w="0" w:type="dxa"/>
              <w:right w:w="0" w:type="dxa"/>
            </w:tcMar>
            <w:vAlign w:val="center"/>
          </w:tcPr>
          <w:p w14:paraId="2BB1C0EC"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Horsham</w:t>
            </w:r>
          </w:p>
        </w:tc>
        <w:tc>
          <w:tcPr>
            <w:tcW w:w="1636" w:type="dxa"/>
            <w:shd w:val="clear" w:color="auto" w:fill="FFFFFF"/>
            <w:tcMar>
              <w:top w:w="0" w:type="dxa"/>
              <w:left w:w="0" w:type="dxa"/>
              <w:bottom w:w="0" w:type="dxa"/>
              <w:right w:w="0" w:type="dxa"/>
            </w:tcMar>
            <w:vAlign w:val="center"/>
          </w:tcPr>
          <w:p w14:paraId="5D42EFB4"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146,783</w:t>
            </w:r>
          </w:p>
        </w:tc>
        <w:tc>
          <w:tcPr>
            <w:tcW w:w="2467" w:type="dxa"/>
            <w:shd w:val="clear" w:color="auto" w:fill="FFFFFF"/>
            <w:tcMar>
              <w:top w:w="0" w:type="dxa"/>
              <w:left w:w="0" w:type="dxa"/>
              <w:bottom w:w="0" w:type="dxa"/>
              <w:right w:w="0" w:type="dxa"/>
            </w:tcMar>
            <w:vAlign w:val="center"/>
          </w:tcPr>
          <w:p w14:paraId="6BF2C1A7"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33,441 (22.8%)</w:t>
            </w:r>
          </w:p>
        </w:tc>
        <w:tc>
          <w:tcPr>
            <w:tcW w:w="2222" w:type="dxa"/>
            <w:shd w:val="clear" w:color="auto" w:fill="FFFFFF"/>
            <w:tcMar>
              <w:top w:w="0" w:type="dxa"/>
              <w:left w:w="0" w:type="dxa"/>
              <w:bottom w:w="0" w:type="dxa"/>
              <w:right w:w="0" w:type="dxa"/>
            </w:tcMar>
            <w:vAlign w:val="center"/>
          </w:tcPr>
          <w:p w14:paraId="5AFC07C5"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4,862 (3.3%)</w:t>
            </w:r>
          </w:p>
        </w:tc>
      </w:tr>
      <w:tr w:rsidR="00E04720" w:rsidRPr="00DA691C" w14:paraId="78C50B50" w14:textId="77777777" w:rsidTr="00B431FB">
        <w:trPr>
          <w:jc w:val="center"/>
        </w:trPr>
        <w:tc>
          <w:tcPr>
            <w:tcW w:w="1814" w:type="dxa"/>
            <w:shd w:val="clear" w:color="auto" w:fill="FFFFFF"/>
            <w:tcMar>
              <w:top w:w="0" w:type="dxa"/>
              <w:left w:w="0" w:type="dxa"/>
              <w:bottom w:w="0" w:type="dxa"/>
              <w:right w:w="0" w:type="dxa"/>
            </w:tcMar>
            <w:vAlign w:val="center"/>
          </w:tcPr>
          <w:p w14:paraId="01843CF8"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Mid Sussex</w:t>
            </w:r>
          </w:p>
        </w:tc>
        <w:tc>
          <w:tcPr>
            <w:tcW w:w="1636" w:type="dxa"/>
            <w:shd w:val="clear" w:color="auto" w:fill="FFFFFF"/>
            <w:tcMar>
              <w:top w:w="0" w:type="dxa"/>
              <w:left w:w="0" w:type="dxa"/>
              <w:bottom w:w="0" w:type="dxa"/>
              <w:right w:w="0" w:type="dxa"/>
            </w:tcMar>
            <w:vAlign w:val="center"/>
          </w:tcPr>
          <w:p w14:paraId="4923AAEB"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152,572</w:t>
            </w:r>
          </w:p>
        </w:tc>
        <w:tc>
          <w:tcPr>
            <w:tcW w:w="2467" w:type="dxa"/>
            <w:shd w:val="clear" w:color="auto" w:fill="FFFFFF"/>
            <w:tcMar>
              <w:top w:w="0" w:type="dxa"/>
              <w:left w:w="0" w:type="dxa"/>
              <w:bottom w:w="0" w:type="dxa"/>
              <w:right w:w="0" w:type="dxa"/>
            </w:tcMar>
            <w:vAlign w:val="center"/>
          </w:tcPr>
          <w:p w14:paraId="7860D562"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31,493 (20.6%)</w:t>
            </w:r>
          </w:p>
        </w:tc>
        <w:tc>
          <w:tcPr>
            <w:tcW w:w="2222" w:type="dxa"/>
            <w:shd w:val="clear" w:color="auto" w:fill="FFFFFF"/>
            <w:tcMar>
              <w:top w:w="0" w:type="dxa"/>
              <w:left w:w="0" w:type="dxa"/>
              <w:bottom w:w="0" w:type="dxa"/>
              <w:right w:w="0" w:type="dxa"/>
            </w:tcMar>
            <w:vAlign w:val="center"/>
          </w:tcPr>
          <w:p w14:paraId="35E6F801"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4,695 (3.1%)</w:t>
            </w:r>
          </w:p>
        </w:tc>
      </w:tr>
      <w:tr w:rsidR="00E04720" w:rsidRPr="00DA691C" w14:paraId="72D539A4" w14:textId="77777777" w:rsidTr="00B431FB">
        <w:trPr>
          <w:jc w:val="center"/>
        </w:trPr>
        <w:tc>
          <w:tcPr>
            <w:tcW w:w="1814" w:type="dxa"/>
            <w:shd w:val="clear" w:color="auto" w:fill="FFFFFF"/>
            <w:tcMar>
              <w:top w:w="0" w:type="dxa"/>
              <w:left w:w="0" w:type="dxa"/>
              <w:bottom w:w="0" w:type="dxa"/>
              <w:right w:w="0" w:type="dxa"/>
            </w:tcMar>
            <w:vAlign w:val="center"/>
          </w:tcPr>
          <w:p w14:paraId="3A4FEACF"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Worthing</w:t>
            </w:r>
          </w:p>
        </w:tc>
        <w:tc>
          <w:tcPr>
            <w:tcW w:w="1636" w:type="dxa"/>
            <w:shd w:val="clear" w:color="auto" w:fill="FFFFFF"/>
            <w:tcMar>
              <w:top w:w="0" w:type="dxa"/>
              <w:left w:w="0" w:type="dxa"/>
              <w:bottom w:w="0" w:type="dxa"/>
              <w:right w:w="0" w:type="dxa"/>
            </w:tcMar>
            <w:vAlign w:val="center"/>
          </w:tcPr>
          <w:p w14:paraId="26EFCCA9"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111,338</w:t>
            </w:r>
          </w:p>
        </w:tc>
        <w:tc>
          <w:tcPr>
            <w:tcW w:w="2467" w:type="dxa"/>
            <w:shd w:val="clear" w:color="auto" w:fill="FFFFFF"/>
            <w:tcMar>
              <w:top w:w="0" w:type="dxa"/>
              <w:left w:w="0" w:type="dxa"/>
              <w:bottom w:w="0" w:type="dxa"/>
              <w:right w:w="0" w:type="dxa"/>
            </w:tcMar>
            <w:vAlign w:val="center"/>
          </w:tcPr>
          <w:p w14:paraId="588B317B"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24,950 (22.4%)</w:t>
            </w:r>
          </w:p>
        </w:tc>
        <w:tc>
          <w:tcPr>
            <w:tcW w:w="2222" w:type="dxa"/>
            <w:shd w:val="clear" w:color="auto" w:fill="FFFFFF"/>
            <w:tcMar>
              <w:top w:w="0" w:type="dxa"/>
              <w:left w:w="0" w:type="dxa"/>
              <w:bottom w:w="0" w:type="dxa"/>
              <w:right w:w="0" w:type="dxa"/>
            </w:tcMar>
            <w:vAlign w:val="center"/>
          </w:tcPr>
          <w:p w14:paraId="6EF61D76"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3,996 (3.6%)</w:t>
            </w:r>
          </w:p>
        </w:tc>
      </w:tr>
      <w:tr w:rsidR="00E04720" w:rsidRPr="00DA691C" w14:paraId="52204CF2" w14:textId="77777777" w:rsidTr="00B431FB">
        <w:trPr>
          <w:jc w:val="center"/>
        </w:trPr>
        <w:tc>
          <w:tcPr>
            <w:tcW w:w="1814" w:type="dxa"/>
            <w:shd w:val="clear" w:color="auto" w:fill="FFFFFF"/>
            <w:tcMar>
              <w:top w:w="0" w:type="dxa"/>
              <w:left w:w="0" w:type="dxa"/>
              <w:bottom w:w="0" w:type="dxa"/>
              <w:right w:w="0" w:type="dxa"/>
            </w:tcMar>
            <w:vAlign w:val="center"/>
          </w:tcPr>
          <w:p w14:paraId="7911397E"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South East</w:t>
            </w:r>
          </w:p>
        </w:tc>
        <w:tc>
          <w:tcPr>
            <w:tcW w:w="1636" w:type="dxa"/>
            <w:shd w:val="clear" w:color="auto" w:fill="FFFFFF"/>
            <w:tcMar>
              <w:top w:w="0" w:type="dxa"/>
              <w:left w:w="0" w:type="dxa"/>
              <w:bottom w:w="0" w:type="dxa"/>
              <w:right w:w="0" w:type="dxa"/>
            </w:tcMar>
            <w:vAlign w:val="center"/>
          </w:tcPr>
          <w:p w14:paraId="24D78CCA"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9,278,068</w:t>
            </w:r>
          </w:p>
        </w:tc>
        <w:tc>
          <w:tcPr>
            <w:tcW w:w="2467" w:type="dxa"/>
            <w:shd w:val="clear" w:color="auto" w:fill="FFFFFF"/>
            <w:tcMar>
              <w:top w:w="0" w:type="dxa"/>
              <w:left w:w="0" w:type="dxa"/>
              <w:bottom w:w="0" w:type="dxa"/>
              <w:right w:w="0" w:type="dxa"/>
            </w:tcMar>
            <w:vAlign w:val="center"/>
          </w:tcPr>
          <w:p w14:paraId="7C40D827"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1,804,259 (19.4%)</w:t>
            </w:r>
          </w:p>
        </w:tc>
        <w:tc>
          <w:tcPr>
            <w:tcW w:w="2222" w:type="dxa"/>
            <w:shd w:val="clear" w:color="auto" w:fill="FFFFFF"/>
            <w:tcMar>
              <w:top w:w="0" w:type="dxa"/>
              <w:left w:w="0" w:type="dxa"/>
              <w:bottom w:w="0" w:type="dxa"/>
              <w:right w:w="0" w:type="dxa"/>
            </w:tcMar>
            <w:vAlign w:val="center"/>
          </w:tcPr>
          <w:p w14:paraId="5EB147E7"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253,377 (2.7%)</w:t>
            </w:r>
          </w:p>
        </w:tc>
      </w:tr>
      <w:tr w:rsidR="00E04720" w:rsidRPr="00DA691C" w14:paraId="2E6FC5E2" w14:textId="77777777" w:rsidTr="00B431FB">
        <w:trPr>
          <w:jc w:val="center"/>
        </w:trPr>
        <w:tc>
          <w:tcPr>
            <w:tcW w:w="1814"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34CC90"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England</w:t>
            </w:r>
          </w:p>
        </w:tc>
        <w:tc>
          <w:tcPr>
            <w:tcW w:w="1636"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987253"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56,490,059</w:t>
            </w:r>
          </w:p>
        </w:tc>
        <w:tc>
          <w:tcPr>
            <w:tcW w:w="2467"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66B4F8"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10,401,307 (18.4%)</w:t>
            </w:r>
          </w:p>
        </w:tc>
        <w:tc>
          <w:tcPr>
            <w:tcW w:w="2222"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394744" w14:textId="77777777" w:rsidR="00E04720" w:rsidRPr="00DA691C" w:rsidRDefault="00E04720"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1,372,301 (2.4%)</w:t>
            </w:r>
          </w:p>
        </w:tc>
      </w:tr>
    </w:tbl>
    <w:p w14:paraId="2BD486A6" w14:textId="2E7DE0B8" w:rsidR="009A2897" w:rsidRPr="00DA691C" w:rsidRDefault="009A2897" w:rsidP="009A2897">
      <w:pPr>
        <w:rPr>
          <w:rFonts w:cs="Poppins"/>
        </w:rPr>
      </w:pPr>
    </w:p>
    <w:p w14:paraId="0B9E37C4" w14:textId="77777777" w:rsidR="00F455DB" w:rsidRDefault="00FD3DAA" w:rsidP="00FD3DAA">
      <w:r>
        <w:t>Where do older people live</w:t>
      </w:r>
      <w:r w:rsidR="00F455DB">
        <w:t xml:space="preserve">? </w:t>
      </w:r>
    </w:p>
    <w:p w14:paraId="1160E458" w14:textId="43ED8F46" w:rsidR="007822CF" w:rsidRPr="00DA691C" w:rsidRDefault="00F455DB" w:rsidP="00FD3DAA">
      <w:r>
        <w:t>Map of over 65s, map of care homes</w:t>
      </w:r>
    </w:p>
    <w:p w14:paraId="2E7CA30F" w14:textId="77777777" w:rsidR="00F455DB" w:rsidRDefault="00F455DB">
      <w:pPr>
        <w:rPr>
          <w:rFonts w:eastAsiaTheme="majorEastAsia" w:cs="Poppins"/>
          <w:color w:val="2F5496" w:themeColor="accent1" w:themeShade="BF"/>
          <w:sz w:val="26"/>
          <w:szCs w:val="26"/>
        </w:rPr>
      </w:pPr>
      <w:r>
        <w:rPr>
          <w:rFonts w:cs="Poppins"/>
        </w:rPr>
        <w:br w:type="page"/>
      </w:r>
    </w:p>
    <w:p w14:paraId="6EE06ABE" w14:textId="4FCE0AAE" w:rsidR="007822CF" w:rsidRPr="00DA691C" w:rsidRDefault="00AE0319" w:rsidP="007822CF">
      <w:pPr>
        <w:pStyle w:val="Heading2"/>
        <w:rPr>
          <w:rFonts w:ascii="Poppins" w:hAnsi="Poppins" w:cs="Poppins"/>
        </w:rPr>
      </w:pPr>
      <w:r w:rsidRPr="00DA691C">
        <w:rPr>
          <w:rFonts w:ascii="Poppins" w:hAnsi="Poppins" w:cs="Poppins"/>
        </w:rPr>
        <w:lastRenderedPageBreak/>
        <w:t>Migration</w:t>
      </w:r>
    </w:p>
    <w:p w14:paraId="039A89AC" w14:textId="26A1C435" w:rsidR="00B816CB" w:rsidRDefault="00B816CB" w:rsidP="00F455DB">
      <w:pPr>
        <w:rPr>
          <w:rFonts w:cs="Poppins"/>
        </w:rPr>
      </w:pPr>
      <w:r>
        <w:rPr>
          <w:rFonts w:cs="Poppins"/>
        </w:rPr>
        <w:t>Total all age migration 2a</w:t>
      </w:r>
    </w:p>
    <w:p w14:paraId="4FC1BEDE" w14:textId="77777777" w:rsidR="00B816CB" w:rsidRDefault="00B816CB" w:rsidP="00F455DB">
      <w:pPr>
        <w:rPr>
          <w:rFonts w:cs="Poppins"/>
        </w:rPr>
      </w:pPr>
    </w:p>
    <w:p w14:paraId="550F239B" w14:textId="5AA03944" w:rsidR="00F455DB" w:rsidRPr="00DA691C" w:rsidRDefault="00F455DB" w:rsidP="00F455DB">
      <w:pPr>
        <w:rPr>
          <w:rFonts w:cs="Poppins"/>
        </w:rPr>
      </w:pPr>
      <w:r>
        <w:rPr>
          <w:rFonts w:cs="Poppins"/>
        </w:rPr>
        <w:t>This g</w:t>
      </w:r>
      <w:r w:rsidRPr="00D70D52">
        <w:rPr>
          <w:rFonts w:cs="Poppins"/>
        </w:rPr>
        <w:t>ives an idea of the scale we're talking about, new people aged 65+ into the county represent 1.8% of the population of older people in West Sussex, ranging from 1.3% in Crawley to 3% in Chichester.</w:t>
      </w:r>
    </w:p>
    <w:p w14:paraId="64088D87" w14:textId="77777777" w:rsidR="00876AA4" w:rsidRPr="00DA691C" w:rsidRDefault="00876AA4" w:rsidP="00876AA4">
      <w:pPr>
        <w:rPr>
          <w:rFonts w:cs="Poppins"/>
        </w:rPr>
      </w:pPr>
    </w:p>
    <w:p w14:paraId="6CFAA8C5" w14:textId="27F64770" w:rsidR="00876AA4" w:rsidRPr="00DA691C" w:rsidRDefault="00876AA4" w:rsidP="00876AA4">
      <w:pPr>
        <w:rPr>
          <w:rFonts w:cs="Poppins"/>
        </w:rPr>
      </w:pPr>
      <w:r w:rsidRPr="00DA691C">
        <w:rPr>
          <w:rFonts w:cs="Poppins"/>
        </w:rPr>
        <w:t>Table 2</w:t>
      </w:r>
      <w:r w:rsidR="00B816CB">
        <w:rPr>
          <w:rFonts w:cs="Poppins"/>
        </w:rPr>
        <w:t>b</w:t>
      </w:r>
      <w:r w:rsidRPr="00DA691C">
        <w:rPr>
          <w:rFonts w:cs="Poppins"/>
        </w:rPr>
        <w:t xml:space="preserve"> </w:t>
      </w:r>
      <w:r w:rsidR="004F427F" w:rsidRPr="00DA691C">
        <w:rPr>
          <w:rFonts w:cs="Poppins"/>
        </w:rPr>
        <w:t>–</w:t>
      </w:r>
      <w:r w:rsidRPr="00DA691C">
        <w:rPr>
          <w:rFonts w:cs="Poppins"/>
        </w:rPr>
        <w:t xml:space="preserve"> </w:t>
      </w:r>
      <w:r w:rsidR="004F427F" w:rsidRPr="00DA691C">
        <w:rPr>
          <w:rFonts w:cs="Poppins"/>
        </w:rPr>
        <w:t xml:space="preserve">West Sussex district and borough internal migration; </w:t>
      </w:r>
      <w:r w:rsidR="00DA691C" w:rsidRPr="00DA691C">
        <w:rPr>
          <w:rFonts w:cs="Poppins"/>
        </w:rPr>
        <w:t>Persons aged 65+; Census 2021</w:t>
      </w:r>
    </w:p>
    <w:tbl>
      <w:tblPr>
        <w:tblW w:w="9135" w:type="dxa"/>
        <w:jc w:val="center"/>
        <w:tblLayout w:type="fixed"/>
        <w:tblLook w:val="0420" w:firstRow="1" w:lastRow="0" w:firstColumn="0" w:lastColumn="0" w:noHBand="0" w:noVBand="1"/>
      </w:tblPr>
      <w:tblGrid>
        <w:gridCol w:w="1792"/>
        <w:gridCol w:w="1109"/>
        <w:gridCol w:w="1146"/>
        <w:gridCol w:w="1544"/>
        <w:gridCol w:w="1701"/>
        <w:gridCol w:w="1843"/>
      </w:tblGrid>
      <w:tr w:rsidR="00DA691C" w:rsidRPr="00DA691C" w14:paraId="36C590D5" w14:textId="77777777" w:rsidTr="00DA691C">
        <w:trPr>
          <w:tblHeader/>
          <w:jc w:val="center"/>
        </w:trPr>
        <w:tc>
          <w:tcPr>
            <w:tcW w:w="17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4101D7" w14:textId="5C06F101"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Area</w:t>
            </w:r>
          </w:p>
        </w:tc>
        <w:tc>
          <w:tcPr>
            <w:tcW w:w="11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D7775A"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Inflow</w:t>
            </w:r>
          </w:p>
        </w:tc>
        <w:tc>
          <w:tcPr>
            <w:tcW w:w="11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0AAED5"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Outflow</w:t>
            </w:r>
          </w:p>
        </w:tc>
        <w:tc>
          <w:tcPr>
            <w:tcW w:w="15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E1F407" w14:textId="089E36CA"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Net</w:t>
            </w:r>
            <w:r w:rsidRPr="00DA691C">
              <w:rPr>
                <w:rFonts w:eastAsia="Arial" w:cs="Poppins"/>
                <w:b/>
                <w:bCs/>
                <w:color w:val="000000"/>
              </w:rPr>
              <w:t xml:space="preserve"> </w:t>
            </w:r>
            <w:r w:rsidRPr="00DA691C">
              <w:rPr>
                <w:rFonts w:eastAsia="Arial" w:cs="Poppins"/>
                <w:b/>
                <w:bCs/>
                <w:color w:val="000000"/>
              </w:rPr>
              <w:t>migration</w:t>
            </w:r>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5B716F" w14:textId="48B1F93D"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Migration</w:t>
            </w:r>
            <w:r w:rsidRPr="00DA691C">
              <w:rPr>
                <w:rFonts w:eastAsia="Arial" w:cs="Poppins"/>
                <w:b/>
                <w:bCs/>
                <w:color w:val="000000"/>
              </w:rPr>
              <w:t xml:space="preserve"> </w:t>
            </w:r>
            <w:r w:rsidRPr="00DA691C">
              <w:rPr>
                <w:rFonts w:eastAsia="Arial" w:cs="Poppins"/>
                <w:b/>
                <w:bCs/>
                <w:color w:val="000000"/>
              </w:rPr>
              <w:t>turnover</w:t>
            </w:r>
          </w:p>
        </w:tc>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952BFE" w14:textId="743EAB2A"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Turnover</w:t>
            </w:r>
            <w:r w:rsidRPr="00DA691C">
              <w:rPr>
                <w:rFonts w:eastAsia="Arial" w:cs="Poppins"/>
                <w:b/>
                <w:bCs/>
                <w:color w:val="000000"/>
              </w:rPr>
              <w:t xml:space="preserve"> of population</w:t>
            </w:r>
          </w:p>
        </w:tc>
      </w:tr>
      <w:tr w:rsidR="00DA691C" w:rsidRPr="00DA691C" w14:paraId="4F7C642D" w14:textId="77777777" w:rsidTr="00DA691C">
        <w:trPr>
          <w:jc w:val="center"/>
        </w:trPr>
        <w:tc>
          <w:tcPr>
            <w:tcW w:w="17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201E3" w14:textId="72BBCE41"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West Sussex</w:t>
            </w:r>
          </w:p>
        </w:tc>
        <w:tc>
          <w:tcPr>
            <w:tcW w:w="11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2D60D" w14:textId="29E47C71"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3,691</w:t>
            </w:r>
          </w:p>
        </w:tc>
        <w:tc>
          <w:tcPr>
            <w:tcW w:w="114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A9161" w14:textId="3D86B306"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2,080</w:t>
            </w:r>
          </w:p>
        </w:tc>
        <w:tc>
          <w:tcPr>
            <w:tcW w:w="15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81C5D" w14:textId="738EBAF4"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1,611</w:t>
            </w:r>
          </w:p>
        </w:tc>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50BBA" w14:textId="45A7114F"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5,771</w:t>
            </w:r>
          </w:p>
        </w:tc>
        <w:tc>
          <w:tcPr>
            <w:tcW w:w="18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B738A" w14:textId="354FE87B"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1.8%</w:t>
            </w:r>
          </w:p>
        </w:tc>
      </w:tr>
      <w:tr w:rsidR="00DA691C" w:rsidRPr="00DA691C" w14:paraId="03AFD928" w14:textId="77777777" w:rsidTr="00DA691C">
        <w:trPr>
          <w:jc w:val="center"/>
        </w:trPr>
        <w:tc>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F24B9" w14:textId="0E9DA330"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eastAsia="Arial" w:cs="Poppins"/>
                <w:color w:val="000000"/>
              </w:rPr>
            </w:pPr>
            <w:r w:rsidRPr="00DA691C">
              <w:rPr>
                <w:rFonts w:eastAsia="Arial" w:cs="Poppins"/>
                <w:color w:val="000000"/>
              </w:rPr>
              <w:t>Adur</w:t>
            </w:r>
          </w:p>
        </w:tc>
        <w:tc>
          <w:tcPr>
            <w:tcW w:w="11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0B822" w14:textId="508A20DC"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eastAsia="Arial" w:cs="Poppins"/>
                <w:color w:val="000000"/>
              </w:rPr>
            </w:pPr>
            <w:r w:rsidRPr="00DA691C">
              <w:rPr>
                <w:rFonts w:eastAsia="Arial" w:cs="Poppins"/>
                <w:color w:val="000000"/>
              </w:rPr>
              <w:t>319</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4AB9F" w14:textId="5E1B6925"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eastAsia="Arial" w:cs="Poppins"/>
                <w:color w:val="000000"/>
              </w:rPr>
            </w:pPr>
            <w:r w:rsidRPr="00DA691C">
              <w:rPr>
                <w:rFonts w:eastAsia="Arial" w:cs="Poppins"/>
                <w:color w:val="000000"/>
              </w:rPr>
              <w:t>277</w:t>
            </w:r>
          </w:p>
        </w:tc>
        <w:tc>
          <w:tcPr>
            <w:tcW w:w="15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8C03E" w14:textId="5C9D8662"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eastAsia="Arial" w:cs="Poppins"/>
                <w:color w:val="000000"/>
              </w:rPr>
            </w:pPr>
            <w:r w:rsidRPr="00DA691C">
              <w:rPr>
                <w:rFonts w:eastAsia="Arial" w:cs="Poppins"/>
                <w:color w:val="000000"/>
              </w:rPr>
              <w:t>42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3B6F5" w14:textId="2239448E"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eastAsia="Arial" w:cs="Poppins"/>
                <w:color w:val="000000"/>
              </w:rPr>
            </w:pPr>
            <w:r w:rsidRPr="00DA691C">
              <w:rPr>
                <w:rFonts w:eastAsia="Arial" w:cs="Poppins"/>
                <w:color w:val="000000"/>
              </w:rPr>
              <w:t>596</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EA3D5" w14:textId="0A07C518"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eastAsia="Arial" w:cs="Poppins"/>
                <w:color w:val="000000"/>
              </w:rPr>
            </w:pPr>
            <w:r w:rsidRPr="00DA691C">
              <w:rPr>
                <w:rFonts w:eastAsia="Arial" w:cs="Poppins"/>
                <w:color w:val="000000"/>
              </w:rPr>
              <w:t>2.1%</w:t>
            </w:r>
          </w:p>
        </w:tc>
      </w:tr>
      <w:tr w:rsidR="00DA691C" w:rsidRPr="00DA691C" w14:paraId="1C77D899" w14:textId="77777777" w:rsidTr="00DA691C">
        <w:trPr>
          <w:jc w:val="center"/>
        </w:trPr>
        <w:tc>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BF387"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Arun</w:t>
            </w:r>
          </w:p>
        </w:tc>
        <w:tc>
          <w:tcPr>
            <w:tcW w:w="11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F7D8"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1,269</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0C69"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703</w:t>
            </w:r>
          </w:p>
        </w:tc>
        <w:tc>
          <w:tcPr>
            <w:tcW w:w="15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9E40C"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566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E7A45"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1,972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5A6AD"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2.7%</w:t>
            </w:r>
          </w:p>
        </w:tc>
      </w:tr>
      <w:tr w:rsidR="00DA691C" w:rsidRPr="00DA691C" w14:paraId="5065A087" w14:textId="77777777" w:rsidTr="00DA691C">
        <w:trPr>
          <w:jc w:val="center"/>
        </w:trPr>
        <w:tc>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D1D55"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Chichester</w:t>
            </w:r>
          </w:p>
        </w:tc>
        <w:tc>
          <w:tcPr>
            <w:tcW w:w="11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51C9B"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1,022</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73A9A"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621</w:t>
            </w:r>
          </w:p>
        </w:tc>
        <w:tc>
          <w:tcPr>
            <w:tcW w:w="15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00D0C"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401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15CCD"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1,643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2E91C"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3%</w:t>
            </w:r>
          </w:p>
        </w:tc>
      </w:tr>
      <w:tr w:rsidR="00DA691C" w:rsidRPr="00DA691C" w14:paraId="6C0640B7" w14:textId="77777777" w:rsidTr="00DA691C">
        <w:trPr>
          <w:jc w:val="center"/>
        </w:trPr>
        <w:tc>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C2E36"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Crawley</w:t>
            </w:r>
          </w:p>
        </w:tc>
        <w:tc>
          <w:tcPr>
            <w:tcW w:w="11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81C0E"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204</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8F1F7"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316</w:t>
            </w:r>
          </w:p>
        </w:tc>
        <w:tc>
          <w:tcPr>
            <w:tcW w:w="15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7895D"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-112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D9F8F"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520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CD28E"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1.3%</w:t>
            </w:r>
          </w:p>
        </w:tc>
      </w:tr>
      <w:tr w:rsidR="00DA691C" w:rsidRPr="00DA691C" w14:paraId="68E52B1A" w14:textId="77777777" w:rsidTr="00DA691C">
        <w:trPr>
          <w:jc w:val="center"/>
        </w:trPr>
        <w:tc>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D8FFC"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Horsham</w:t>
            </w:r>
          </w:p>
        </w:tc>
        <w:tc>
          <w:tcPr>
            <w:tcW w:w="11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6E927"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935</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B555D"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600</w:t>
            </w:r>
          </w:p>
        </w:tc>
        <w:tc>
          <w:tcPr>
            <w:tcW w:w="15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7C3F"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335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3DDB"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1,535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BB82A"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2.8%</w:t>
            </w:r>
          </w:p>
        </w:tc>
      </w:tr>
      <w:tr w:rsidR="00DA691C" w:rsidRPr="00DA691C" w14:paraId="0DA91B57" w14:textId="77777777" w:rsidTr="00DA691C">
        <w:trPr>
          <w:jc w:val="center"/>
        </w:trPr>
        <w:tc>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36A6C"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Mid Sussex</w:t>
            </w:r>
          </w:p>
        </w:tc>
        <w:tc>
          <w:tcPr>
            <w:tcW w:w="11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B7B7A"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706</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CDBE0"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523</w:t>
            </w:r>
          </w:p>
        </w:tc>
        <w:tc>
          <w:tcPr>
            <w:tcW w:w="15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BF113"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183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C316E"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1,229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11395"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2.2%</w:t>
            </w:r>
          </w:p>
        </w:tc>
      </w:tr>
      <w:tr w:rsidR="00DA691C" w:rsidRPr="00DA691C" w14:paraId="375EADDF" w14:textId="77777777" w:rsidTr="00DA691C">
        <w:trPr>
          <w:jc w:val="center"/>
        </w:trPr>
        <w:tc>
          <w:tcPr>
            <w:tcW w:w="1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B8773"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Worthing</w:t>
            </w:r>
          </w:p>
        </w:tc>
        <w:tc>
          <w:tcPr>
            <w:tcW w:w="11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C0E872"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657</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A21B4E"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471</w:t>
            </w:r>
          </w:p>
        </w:tc>
        <w:tc>
          <w:tcPr>
            <w:tcW w:w="15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E5A86"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186</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3A2B0"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1,128</w:t>
            </w:r>
          </w:p>
        </w:tc>
        <w:tc>
          <w:tcPr>
            <w:tcW w:w="18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4E3BF3" w14:textId="77777777" w:rsidR="00DA691C" w:rsidRPr="00DA691C" w:rsidRDefault="00DA691C" w:rsidP="00DA691C">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2.6%</w:t>
            </w:r>
          </w:p>
        </w:tc>
      </w:tr>
    </w:tbl>
    <w:p w14:paraId="1C552DE3" w14:textId="77777777" w:rsidR="007822CF" w:rsidRDefault="007822CF" w:rsidP="007822CF">
      <w:pPr>
        <w:rPr>
          <w:rFonts w:cs="Poppins"/>
        </w:rPr>
      </w:pPr>
    </w:p>
    <w:p w14:paraId="20F941DE" w14:textId="77777777" w:rsidR="007822CF" w:rsidRPr="00DA691C" w:rsidRDefault="007822CF" w:rsidP="007822CF">
      <w:pPr>
        <w:rPr>
          <w:rFonts w:cs="Poppins"/>
        </w:rPr>
      </w:pPr>
    </w:p>
    <w:p w14:paraId="38BDF656" w14:textId="77777777" w:rsidR="007822CF" w:rsidRPr="00DA691C" w:rsidRDefault="007822CF" w:rsidP="007822CF">
      <w:pPr>
        <w:rPr>
          <w:rFonts w:cs="Poppins"/>
        </w:rPr>
      </w:pPr>
    </w:p>
    <w:p w14:paraId="1A0DF3E2" w14:textId="77777777" w:rsidR="007822CF" w:rsidRPr="00DA691C" w:rsidRDefault="007822CF" w:rsidP="007822CF">
      <w:pPr>
        <w:rPr>
          <w:rFonts w:cs="Poppins"/>
        </w:rPr>
      </w:pPr>
    </w:p>
    <w:p w14:paraId="747845B8" w14:textId="77777777" w:rsidR="007822CF" w:rsidRPr="00DA691C" w:rsidRDefault="007822CF" w:rsidP="007822CF">
      <w:pPr>
        <w:rPr>
          <w:rFonts w:cs="Poppins"/>
        </w:rPr>
      </w:pPr>
    </w:p>
    <w:p w14:paraId="32CD026C" w14:textId="77777777" w:rsidR="007822CF" w:rsidRPr="00DA691C" w:rsidRDefault="007822CF" w:rsidP="007822CF">
      <w:pPr>
        <w:rPr>
          <w:rFonts w:cs="Poppins"/>
        </w:rPr>
      </w:pPr>
    </w:p>
    <w:p w14:paraId="5AC9B526" w14:textId="425DAF4F" w:rsidR="009A2897" w:rsidRPr="00DA691C" w:rsidRDefault="00F568DA" w:rsidP="00935AC4">
      <w:pPr>
        <w:pStyle w:val="Heading2"/>
        <w:rPr>
          <w:rFonts w:ascii="Poppins" w:hAnsi="Poppins" w:cs="Poppins"/>
        </w:rPr>
      </w:pPr>
      <w:r w:rsidRPr="00DA691C">
        <w:rPr>
          <w:rFonts w:ascii="Poppins" w:hAnsi="Poppins" w:cs="Poppins"/>
        </w:rPr>
        <w:t>W</w:t>
      </w:r>
      <w:r w:rsidR="00935AC4" w:rsidRPr="00DA691C">
        <w:rPr>
          <w:rFonts w:ascii="Poppins" w:hAnsi="Poppins" w:cs="Poppins"/>
        </w:rPr>
        <w:t>hich Local Authority has the highest number of 65+ moving into the area, from non-neighbouring areas</w:t>
      </w:r>
      <w:r w:rsidR="00935AC4" w:rsidRPr="00DA691C">
        <w:rPr>
          <w:rFonts w:ascii="Poppins" w:hAnsi="Poppins" w:cs="Poppins"/>
        </w:rPr>
        <w:t>?</w:t>
      </w:r>
    </w:p>
    <w:p w14:paraId="4FD8A395" w14:textId="2AE34432" w:rsidR="000000DB" w:rsidRPr="00DA691C" w:rsidRDefault="008F0F38" w:rsidP="009A2897">
      <w:pPr>
        <w:rPr>
          <w:rFonts w:cs="Poppins"/>
        </w:rPr>
      </w:pPr>
      <w:r w:rsidRPr="00DA691C">
        <w:rPr>
          <w:rFonts w:cs="Poppins"/>
        </w:rPr>
        <w:t xml:space="preserve">In the year leading up to Census day 2021, </w:t>
      </w:r>
      <w:r w:rsidR="00B937D2" w:rsidRPr="00DA691C">
        <w:rPr>
          <w:rFonts w:cs="Poppins"/>
        </w:rPr>
        <w:t xml:space="preserve">37,463 people moved into West Sussex </w:t>
      </w:r>
      <w:r w:rsidR="003A11C8" w:rsidRPr="00DA691C">
        <w:rPr>
          <w:rFonts w:cs="Poppins"/>
        </w:rPr>
        <w:t>county from elsewhere</w:t>
      </w:r>
      <w:r w:rsidR="00EF6548" w:rsidRPr="00DA691C">
        <w:rPr>
          <w:rFonts w:cs="Poppins"/>
        </w:rPr>
        <w:t xml:space="preserve"> (table </w:t>
      </w:r>
      <w:r w:rsidR="00AE0319" w:rsidRPr="00DA691C">
        <w:rPr>
          <w:rFonts w:cs="Poppins"/>
        </w:rPr>
        <w:t>3</w:t>
      </w:r>
      <w:r w:rsidR="00EF6548" w:rsidRPr="00DA691C">
        <w:rPr>
          <w:rFonts w:cs="Poppins"/>
        </w:rPr>
        <w:t>a)</w:t>
      </w:r>
      <w:r w:rsidR="003A11C8" w:rsidRPr="00DA691C">
        <w:rPr>
          <w:rFonts w:cs="Poppins"/>
        </w:rPr>
        <w:t xml:space="preserve">.  </w:t>
      </w:r>
    </w:p>
    <w:p w14:paraId="57C16849" w14:textId="77777777" w:rsidR="00F568DA" w:rsidRPr="00DA691C" w:rsidRDefault="00F568DA" w:rsidP="009A2897">
      <w:pPr>
        <w:rPr>
          <w:rFonts w:cs="Poppins"/>
          <w:b/>
          <w:bCs/>
        </w:rPr>
      </w:pPr>
      <w:r w:rsidRPr="00DA691C">
        <w:rPr>
          <w:rFonts w:cs="Poppins"/>
          <w:b/>
          <w:bCs/>
        </w:rPr>
        <w:br w:type="page"/>
      </w:r>
    </w:p>
    <w:p w14:paraId="79C069ED" w14:textId="01B46277" w:rsidR="000000DB" w:rsidRPr="00DA691C" w:rsidRDefault="00935AC4" w:rsidP="009A2897">
      <w:pPr>
        <w:rPr>
          <w:rFonts w:cs="Poppins"/>
          <w:b/>
          <w:bCs/>
        </w:rPr>
      </w:pPr>
      <w:r w:rsidRPr="00DA691C">
        <w:rPr>
          <w:rFonts w:cs="Poppins"/>
          <w:b/>
          <w:bCs/>
        </w:rPr>
        <w:lastRenderedPageBreak/>
        <w:t xml:space="preserve">Table </w:t>
      </w:r>
      <w:r w:rsidR="00AE0319" w:rsidRPr="00DA691C">
        <w:rPr>
          <w:rFonts w:cs="Poppins"/>
          <w:b/>
          <w:bCs/>
        </w:rPr>
        <w:t>3</w:t>
      </w:r>
      <w:r w:rsidRPr="00DA691C">
        <w:rPr>
          <w:rFonts w:cs="Poppins"/>
          <w:b/>
          <w:bCs/>
        </w:rPr>
        <w:t>a</w:t>
      </w:r>
      <w:r w:rsidRPr="00DA691C">
        <w:rPr>
          <w:rFonts w:cs="Poppins"/>
          <w:b/>
          <w:bCs/>
        </w:rPr>
        <w:t xml:space="preserve"> - Number of </w:t>
      </w:r>
      <w:r w:rsidRPr="00DA691C">
        <w:rPr>
          <w:rFonts w:cs="Poppins"/>
          <w:b/>
          <w:bCs/>
        </w:rPr>
        <w:t>people moving into West Sussex and its district and boroughs</w:t>
      </w:r>
      <w:r w:rsidR="00F568DA" w:rsidRPr="00DA691C">
        <w:rPr>
          <w:rFonts w:cs="Poppins"/>
          <w:b/>
          <w:bCs/>
        </w:rPr>
        <w:t xml:space="preserve"> – including </w:t>
      </w:r>
      <w:r w:rsidR="00B431FB" w:rsidRPr="00DA691C">
        <w:rPr>
          <w:rFonts w:cs="Poppins"/>
          <w:b/>
          <w:bCs/>
        </w:rPr>
        <w:t>between district and boroughs in West Sussex</w:t>
      </w:r>
      <w:r w:rsidRPr="00DA691C">
        <w:rPr>
          <w:rFonts w:cs="Poppins"/>
          <w:b/>
          <w:bCs/>
        </w:rPr>
        <w:t>; Census 2021</w:t>
      </w:r>
    </w:p>
    <w:tbl>
      <w:tblPr>
        <w:tblW w:w="0" w:type="auto"/>
        <w:jc w:val="center"/>
        <w:tblLayout w:type="fixed"/>
        <w:tblLook w:val="0420" w:firstRow="1" w:lastRow="0" w:firstColumn="0" w:lastColumn="0" w:noHBand="0" w:noVBand="1"/>
      </w:tblPr>
      <w:tblGrid>
        <w:gridCol w:w="1831"/>
        <w:gridCol w:w="2663"/>
        <w:gridCol w:w="2051"/>
        <w:gridCol w:w="1929"/>
      </w:tblGrid>
      <w:tr w:rsidR="000541C9" w:rsidRPr="00DA691C" w14:paraId="06321D16" w14:textId="77777777" w:rsidTr="00B431FB">
        <w:trPr>
          <w:trHeight w:val="227"/>
          <w:tblHeader/>
          <w:jc w:val="center"/>
        </w:trPr>
        <w:tc>
          <w:tcPr>
            <w:tcW w:w="18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EB2718"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Area</w:t>
            </w:r>
          </w:p>
        </w:tc>
        <w:tc>
          <w:tcPr>
            <w:tcW w:w="26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47ADBE"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Total moves into area</w:t>
            </w:r>
          </w:p>
        </w:tc>
        <w:tc>
          <w:tcPr>
            <w:tcW w:w="20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E12CC3"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1-64 years</w:t>
            </w:r>
          </w:p>
        </w:tc>
        <w:tc>
          <w:tcPr>
            <w:tcW w:w="19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7F0D67"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65+ years</w:t>
            </w:r>
          </w:p>
        </w:tc>
      </w:tr>
      <w:tr w:rsidR="000541C9" w:rsidRPr="00DA691C" w14:paraId="5D2E149C" w14:textId="77777777" w:rsidTr="00B431FB">
        <w:trPr>
          <w:trHeight w:val="227"/>
          <w:jc w:val="center"/>
        </w:trPr>
        <w:tc>
          <w:tcPr>
            <w:tcW w:w="1831" w:type="dxa"/>
            <w:tcBorders>
              <w:top w:val="single" w:sz="12" w:space="0" w:color="666666"/>
            </w:tcBorders>
            <w:shd w:val="clear" w:color="auto" w:fill="FFFFFF"/>
            <w:tcMar>
              <w:top w:w="0" w:type="dxa"/>
              <w:left w:w="0" w:type="dxa"/>
              <w:bottom w:w="0" w:type="dxa"/>
              <w:right w:w="0" w:type="dxa"/>
            </w:tcMar>
            <w:vAlign w:val="center"/>
          </w:tcPr>
          <w:p w14:paraId="4B928159"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West Sussex</w:t>
            </w:r>
          </w:p>
        </w:tc>
        <w:tc>
          <w:tcPr>
            <w:tcW w:w="2663" w:type="dxa"/>
            <w:tcBorders>
              <w:top w:val="single" w:sz="12" w:space="0" w:color="666666"/>
            </w:tcBorders>
            <w:shd w:val="clear" w:color="auto" w:fill="FFFFFF"/>
            <w:tcMar>
              <w:top w:w="0" w:type="dxa"/>
              <w:left w:w="0" w:type="dxa"/>
              <w:bottom w:w="0" w:type="dxa"/>
              <w:right w:w="0" w:type="dxa"/>
            </w:tcMar>
            <w:vAlign w:val="center"/>
          </w:tcPr>
          <w:p w14:paraId="4E79218D"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37,463</w:t>
            </w:r>
          </w:p>
        </w:tc>
        <w:tc>
          <w:tcPr>
            <w:tcW w:w="2051" w:type="dxa"/>
            <w:tcBorders>
              <w:top w:val="single" w:sz="12" w:space="0" w:color="666666"/>
            </w:tcBorders>
            <w:shd w:val="clear" w:color="auto" w:fill="FFFFFF"/>
            <w:tcMar>
              <w:top w:w="0" w:type="dxa"/>
              <w:left w:w="0" w:type="dxa"/>
              <w:bottom w:w="0" w:type="dxa"/>
              <w:right w:w="0" w:type="dxa"/>
            </w:tcMar>
            <w:vAlign w:val="center"/>
          </w:tcPr>
          <w:p w14:paraId="1808FF7B"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33,772 (90.1%)</w:t>
            </w:r>
          </w:p>
        </w:tc>
        <w:tc>
          <w:tcPr>
            <w:tcW w:w="1929" w:type="dxa"/>
            <w:tcBorders>
              <w:top w:val="single" w:sz="12" w:space="0" w:color="666666"/>
            </w:tcBorders>
            <w:shd w:val="clear" w:color="auto" w:fill="FFFFFF"/>
            <w:tcMar>
              <w:top w:w="0" w:type="dxa"/>
              <w:left w:w="0" w:type="dxa"/>
              <w:bottom w:w="0" w:type="dxa"/>
              <w:right w:w="0" w:type="dxa"/>
            </w:tcMar>
            <w:vAlign w:val="center"/>
          </w:tcPr>
          <w:p w14:paraId="2C3DE2AF"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b/>
                <w:bCs/>
              </w:rPr>
            </w:pPr>
            <w:r w:rsidRPr="00DA691C">
              <w:rPr>
                <w:rFonts w:eastAsia="Arial" w:cs="Poppins"/>
                <w:b/>
                <w:bCs/>
                <w:color w:val="000000"/>
              </w:rPr>
              <w:t>3,691 (9.9%)</w:t>
            </w:r>
          </w:p>
        </w:tc>
      </w:tr>
      <w:tr w:rsidR="000541C9" w:rsidRPr="00DA691C" w14:paraId="364C35FA" w14:textId="77777777" w:rsidTr="00B431FB">
        <w:trPr>
          <w:trHeight w:val="227"/>
          <w:jc w:val="center"/>
        </w:trPr>
        <w:tc>
          <w:tcPr>
            <w:tcW w:w="183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997FC"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Adur</w:t>
            </w:r>
          </w:p>
        </w:tc>
        <w:tc>
          <w:tcPr>
            <w:tcW w:w="266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88D4A"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3,230</w:t>
            </w:r>
          </w:p>
        </w:tc>
        <w:tc>
          <w:tcPr>
            <w:tcW w:w="205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13B8E"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2,911 (90.1%)</w:t>
            </w:r>
          </w:p>
        </w:tc>
        <w:tc>
          <w:tcPr>
            <w:tcW w:w="192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6912E"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319 (9.9%)</w:t>
            </w:r>
          </w:p>
        </w:tc>
      </w:tr>
      <w:tr w:rsidR="000541C9" w:rsidRPr="00DA691C" w14:paraId="7250346F" w14:textId="77777777" w:rsidTr="00DC2DE0">
        <w:trPr>
          <w:trHeight w:val="227"/>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F8E5D"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Arun</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557C1"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7,980</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47C61"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6,711 (84.1%)</w:t>
            </w:r>
          </w:p>
        </w:tc>
        <w:tc>
          <w:tcPr>
            <w:tcW w:w="1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452FB"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1,269 (15.9%)</w:t>
            </w:r>
          </w:p>
        </w:tc>
      </w:tr>
      <w:tr w:rsidR="000541C9" w:rsidRPr="00DA691C" w14:paraId="5CF947C2" w14:textId="77777777" w:rsidTr="00DC2DE0">
        <w:trPr>
          <w:trHeight w:val="227"/>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86A95"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Chichester</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D8B1B"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9,319</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E4E64"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8,297 (89%)</w:t>
            </w:r>
          </w:p>
        </w:tc>
        <w:tc>
          <w:tcPr>
            <w:tcW w:w="1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4C62"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1,022 (11%)</w:t>
            </w:r>
          </w:p>
        </w:tc>
      </w:tr>
      <w:tr w:rsidR="000541C9" w:rsidRPr="00DA691C" w14:paraId="18E52524" w14:textId="77777777" w:rsidTr="00DC2DE0">
        <w:trPr>
          <w:trHeight w:val="227"/>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2B691"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Crawley</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2B164"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5,647</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C2591"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5,443 (96.4%)</w:t>
            </w:r>
          </w:p>
        </w:tc>
        <w:tc>
          <w:tcPr>
            <w:tcW w:w="1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9F628"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204 (3.6%)</w:t>
            </w:r>
          </w:p>
        </w:tc>
      </w:tr>
      <w:tr w:rsidR="000541C9" w:rsidRPr="00DA691C" w14:paraId="4534B237" w14:textId="77777777" w:rsidTr="00DC2DE0">
        <w:trPr>
          <w:trHeight w:val="227"/>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89EE"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Horsham</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E3D9C"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8,792</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E74D2"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7,857 (89.4%)</w:t>
            </w:r>
          </w:p>
        </w:tc>
        <w:tc>
          <w:tcPr>
            <w:tcW w:w="1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46C8A"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935 (10.6%)</w:t>
            </w:r>
          </w:p>
        </w:tc>
      </w:tr>
      <w:tr w:rsidR="000541C9" w:rsidRPr="00DA691C" w14:paraId="14B24DB3" w14:textId="77777777" w:rsidTr="00DC2DE0">
        <w:trPr>
          <w:trHeight w:val="227"/>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5B7C8"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Mid Sussex</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8384B"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8,809</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45769"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8,103 (92%)</w:t>
            </w:r>
          </w:p>
        </w:tc>
        <w:tc>
          <w:tcPr>
            <w:tcW w:w="1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A1989"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706 (8%)</w:t>
            </w:r>
          </w:p>
        </w:tc>
      </w:tr>
      <w:tr w:rsidR="000541C9" w:rsidRPr="00DA691C" w14:paraId="659BA082" w14:textId="77777777" w:rsidTr="00DC2DE0">
        <w:trPr>
          <w:trHeight w:val="227"/>
          <w:jc w:val="center"/>
        </w:trPr>
        <w:tc>
          <w:tcPr>
            <w:tcW w:w="1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5B96F5"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Worthing</w:t>
            </w:r>
          </w:p>
        </w:tc>
        <w:tc>
          <w:tcPr>
            <w:tcW w:w="2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B010F"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5,696</w:t>
            </w:r>
          </w:p>
        </w:tc>
        <w:tc>
          <w:tcPr>
            <w:tcW w:w="20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245DF0"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5,039 (88.5%)</w:t>
            </w:r>
          </w:p>
        </w:tc>
        <w:tc>
          <w:tcPr>
            <w:tcW w:w="19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349095" w14:textId="77777777" w:rsidR="000541C9" w:rsidRPr="00DA691C" w:rsidRDefault="000541C9" w:rsidP="00DC2DE0">
            <w:pPr>
              <w:pBdr>
                <w:top w:val="none" w:sz="0" w:space="0" w:color="000000"/>
                <w:left w:val="none" w:sz="0" w:space="0" w:color="000000"/>
                <w:bottom w:val="none" w:sz="0" w:space="0" w:color="000000"/>
                <w:right w:val="none" w:sz="0" w:space="0" w:color="000000"/>
              </w:pBdr>
              <w:spacing w:before="100" w:after="0"/>
              <w:ind w:left="100" w:right="100"/>
              <w:jc w:val="right"/>
              <w:rPr>
                <w:rFonts w:cs="Poppins"/>
              </w:rPr>
            </w:pPr>
            <w:r w:rsidRPr="00DA691C">
              <w:rPr>
                <w:rFonts w:eastAsia="Arial" w:cs="Poppins"/>
                <w:color w:val="000000"/>
              </w:rPr>
              <w:t>657 (11.5%)</w:t>
            </w:r>
          </w:p>
        </w:tc>
      </w:tr>
    </w:tbl>
    <w:p w14:paraId="29529E77" w14:textId="1BF7EF65" w:rsidR="000000DB" w:rsidRPr="00DA691C" w:rsidRDefault="00C9253B" w:rsidP="00F568DA">
      <w:pPr>
        <w:spacing w:before="240"/>
        <w:rPr>
          <w:rFonts w:cs="Poppins"/>
        </w:rPr>
      </w:pPr>
      <w:r w:rsidRPr="00DA691C">
        <w:rPr>
          <w:rFonts w:cs="Poppins"/>
        </w:rPr>
        <w:t>This excludes those who moved in the last year but from another address in the same local authority (e.g. inflows capture those becoming a new resident of responsibility for the local authority).</w:t>
      </w:r>
      <w:r w:rsidR="00EF6548" w:rsidRPr="00DA691C">
        <w:rPr>
          <w:rFonts w:cs="Poppins"/>
        </w:rPr>
        <w:t xml:space="preserve"> </w:t>
      </w:r>
      <w:r w:rsidRPr="00DA691C">
        <w:rPr>
          <w:rFonts w:cs="Poppins"/>
        </w:rPr>
        <w:t>As you can see, the sum of the number of people moving into each of the lower tier local authority is greater than the number of people moving into West Sussex from outside of the county suggesting that a large number of moves between the local authorities of West Sussex rather than new people into the county.</w:t>
      </w:r>
    </w:p>
    <w:p w14:paraId="2AA9EB3B" w14:textId="1CB83EF5" w:rsidR="00DC2DE0" w:rsidRPr="00DA691C" w:rsidRDefault="00DC2DE0" w:rsidP="00DC2DE0">
      <w:pPr>
        <w:rPr>
          <w:rFonts w:cs="Poppins"/>
        </w:rPr>
      </w:pPr>
      <w:r w:rsidRPr="00DA691C">
        <w:rPr>
          <w:rFonts w:cs="Poppins"/>
        </w:rPr>
        <w:t xml:space="preserve">Table </w:t>
      </w:r>
      <w:r w:rsidR="00AE0319" w:rsidRPr="00DA691C">
        <w:rPr>
          <w:rFonts w:cs="Poppins"/>
        </w:rPr>
        <w:t>3</w:t>
      </w:r>
      <w:r w:rsidRPr="00DA691C">
        <w:rPr>
          <w:rFonts w:cs="Poppins"/>
        </w:rPr>
        <w:t>b, below, shows the same movement data but this time a</w:t>
      </w:r>
      <w:r w:rsidRPr="00DA691C">
        <w:rPr>
          <w:rFonts w:cs="Poppins"/>
        </w:rPr>
        <w:t xml:space="preserve">lso excludes moves at lower tier local authority level from other local authorities within West Sussex. </w:t>
      </w:r>
    </w:p>
    <w:p w14:paraId="32E602B7" w14:textId="22F82FA8" w:rsidR="00F568DA" w:rsidRPr="00DA691C" w:rsidRDefault="00F568DA" w:rsidP="00F568DA">
      <w:pPr>
        <w:rPr>
          <w:rFonts w:cs="Poppins"/>
          <w:b/>
          <w:bCs/>
        </w:rPr>
      </w:pPr>
      <w:r w:rsidRPr="00DA691C">
        <w:rPr>
          <w:rFonts w:cs="Poppins"/>
          <w:b/>
          <w:bCs/>
        </w:rPr>
        <w:t xml:space="preserve">Table </w:t>
      </w:r>
      <w:r w:rsidR="00AE0319" w:rsidRPr="00DA691C">
        <w:rPr>
          <w:rFonts w:cs="Poppins"/>
          <w:b/>
          <w:bCs/>
        </w:rPr>
        <w:t>3</w:t>
      </w:r>
      <w:r w:rsidRPr="00DA691C">
        <w:rPr>
          <w:rFonts w:cs="Poppins"/>
          <w:b/>
          <w:bCs/>
        </w:rPr>
        <w:t>b</w:t>
      </w:r>
      <w:r w:rsidRPr="00DA691C">
        <w:rPr>
          <w:rFonts w:cs="Poppins"/>
          <w:b/>
          <w:bCs/>
        </w:rPr>
        <w:t xml:space="preserve"> - Number of people moving into West Sussex and its district and boroughs</w:t>
      </w:r>
      <w:r w:rsidRPr="00DA691C">
        <w:rPr>
          <w:rFonts w:cs="Poppins"/>
          <w:b/>
          <w:bCs/>
        </w:rPr>
        <w:t xml:space="preserve"> from outside of West Sussex</w:t>
      </w:r>
      <w:r w:rsidRPr="00DA691C">
        <w:rPr>
          <w:rFonts w:cs="Poppins"/>
          <w:b/>
          <w:bCs/>
        </w:rPr>
        <w:t>; Census 2021</w:t>
      </w:r>
    </w:p>
    <w:tbl>
      <w:tblPr>
        <w:tblW w:w="0" w:type="auto"/>
        <w:jc w:val="center"/>
        <w:tblLayout w:type="fixed"/>
        <w:tblLook w:val="0420" w:firstRow="1" w:lastRow="0" w:firstColumn="0" w:lastColumn="0" w:noHBand="0" w:noVBand="1"/>
      </w:tblPr>
      <w:tblGrid>
        <w:gridCol w:w="1831"/>
        <w:gridCol w:w="2663"/>
        <w:gridCol w:w="2051"/>
        <w:gridCol w:w="1807"/>
      </w:tblGrid>
      <w:tr w:rsidR="00F568DA" w:rsidRPr="00DA691C" w14:paraId="4D824019" w14:textId="77777777" w:rsidTr="00B431FB">
        <w:trPr>
          <w:tblHeader/>
          <w:jc w:val="center"/>
        </w:trPr>
        <w:tc>
          <w:tcPr>
            <w:tcW w:w="18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40B164"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Area</w:t>
            </w:r>
          </w:p>
        </w:tc>
        <w:tc>
          <w:tcPr>
            <w:tcW w:w="26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E24D94"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Total moves into area</w:t>
            </w:r>
          </w:p>
        </w:tc>
        <w:tc>
          <w:tcPr>
            <w:tcW w:w="20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C6F12C"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1-64 years</w:t>
            </w:r>
          </w:p>
        </w:tc>
        <w:tc>
          <w:tcPr>
            <w:tcW w:w="180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EE69F"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65+ years</w:t>
            </w:r>
          </w:p>
        </w:tc>
      </w:tr>
      <w:tr w:rsidR="00F568DA" w:rsidRPr="00DA691C" w14:paraId="5755E8F6" w14:textId="77777777" w:rsidTr="00B431FB">
        <w:trPr>
          <w:jc w:val="center"/>
        </w:trPr>
        <w:tc>
          <w:tcPr>
            <w:tcW w:w="1831" w:type="dxa"/>
            <w:tcBorders>
              <w:top w:val="single" w:sz="12" w:space="0" w:color="666666"/>
            </w:tcBorders>
            <w:shd w:val="clear" w:color="auto" w:fill="FFFFFF"/>
            <w:tcMar>
              <w:top w:w="0" w:type="dxa"/>
              <w:left w:w="0" w:type="dxa"/>
              <w:bottom w:w="0" w:type="dxa"/>
              <w:right w:w="0" w:type="dxa"/>
            </w:tcMar>
            <w:vAlign w:val="center"/>
          </w:tcPr>
          <w:p w14:paraId="18E1CCDC"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West Sussex</w:t>
            </w:r>
          </w:p>
        </w:tc>
        <w:tc>
          <w:tcPr>
            <w:tcW w:w="2663" w:type="dxa"/>
            <w:tcBorders>
              <w:top w:val="single" w:sz="12" w:space="0" w:color="666666"/>
            </w:tcBorders>
            <w:shd w:val="clear" w:color="auto" w:fill="FFFFFF"/>
            <w:tcMar>
              <w:top w:w="0" w:type="dxa"/>
              <w:left w:w="0" w:type="dxa"/>
              <w:bottom w:w="0" w:type="dxa"/>
              <w:right w:w="0" w:type="dxa"/>
            </w:tcMar>
            <w:vAlign w:val="center"/>
          </w:tcPr>
          <w:p w14:paraId="297CDC3B"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37,463</w:t>
            </w:r>
          </w:p>
        </w:tc>
        <w:tc>
          <w:tcPr>
            <w:tcW w:w="2051" w:type="dxa"/>
            <w:tcBorders>
              <w:top w:val="single" w:sz="12" w:space="0" w:color="666666"/>
            </w:tcBorders>
            <w:shd w:val="clear" w:color="auto" w:fill="FFFFFF"/>
            <w:tcMar>
              <w:top w:w="0" w:type="dxa"/>
              <w:left w:w="0" w:type="dxa"/>
              <w:bottom w:w="0" w:type="dxa"/>
              <w:right w:w="0" w:type="dxa"/>
            </w:tcMar>
            <w:vAlign w:val="center"/>
          </w:tcPr>
          <w:p w14:paraId="361981C6"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33,772 (90.1%)</w:t>
            </w:r>
          </w:p>
        </w:tc>
        <w:tc>
          <w:tcPr>
            <w:tcW w:w="1807" w:type="dxa"/>
            <w:tcBorders>
              <w:top w:val="single" w:sz="12" w:space="0" w:color="666666"/>
            </w:tcBorders>
            <w:shd w:val="clear" w:color="auto" w:fill="FFFFFF"/>
            <w:tcMar>
              <w:top w:w="0" w:type="dxa"/>
              <w:left w:w="0" w:type="dxa"/>
              <w:bottom w:w="0" w:type="dxa"/>
              <w:right w:w="0" w:type="dxa"/>
            </w:tcMar>
            <w:vAlign w:val="center"/>
          </w:tcPr>
          <w:p w14:paraId="0B946791"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b/>
                <w:bCs/>
              </w:rPr>
            </w:pPr>
            <w:r w:rsidRPr="00DA691C">
              <w:rPr>
                <w:rFonts w:eastAsia="Arial" w:cs="Poppins"/>
                <w:b/>
                <w:bCs/>
                <w:color w:val="000000"/>
              </w:rPr>
              <w:t>3,691 (9.9%)</w:t>
            </w:r>
          </w:p>
        </w:tc>
      </w:tr>
      <w:tr w:rsidR="00F568DA" w:rsidRPr="00DA691C" w14:paraId="6F1CA73D" w14:textId="77777777" w:rsidTr="00B431FB">
        <w:trPr>
          <w:jc w:val="center"/>
        </w:trPr>
        <w:tc>
          <w:tcPr>
            <w:tcW w:w="183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7038E"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Adur</w:t>
            </w:r>
          </w:p>
        </w:tc>
        <w:tc>
          <w:tcPr>
            <w:tcW w:w="266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01E6C"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2,402</w:t>
            </w:r>
          </w:p>
        </w:tc>
        <w:tc>
          <w:tcPr>
            <w:tcW w:w="205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C0C26"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2,163 (90%)</w:t>
            </w:r>
          </w:p>
        </w:tc>
        <w:tc>
          <w:tcPr>
            <w:tcW w:w="1807"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CB78"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239 (10%)</w:t>
            </w:r>
          </w:p>
        </w:tc>
      </w:tr>
      <w:tr w:rsidR="00F568DA" w:rsidRPr="00DA691C" w14:paraId="49D4CD7C" w14:textId="77777777" w:rsidTr="00E003EA">
        <w:trPr>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8B789"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Arun</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5DDA9"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4,980</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55C89"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4,118 (82.7%)</w:t>
            </w:r>
          </w:p>
        </w:tc>
        <w:tc>
          <w:tcPr>
            <w:tcW w:w="1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BB9D3"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862 (17.3%)</w:t>
            </w:r>
          </w:p>
        </w:tc>
      </w:tr>
      <w:tr w:rsidR="00F568DA" w:rsidRPr="00DA691C" w14:paraId="20206272" w14:textId="77777777" w:rsidTr="00E003EA">
        <w:trPr>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BF561"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Chichester</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29DC"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7,788</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FA96D"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6,945 (89.2%)</w:t>
            </w:r>
          </w:p>
        </w:tc>
        <w:tc>
          <w:tcPr>
            <w:tcW w:w="1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37F88"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843 (10.8%)</w:t>
            </w:r>
          </w:p>
        </w:tc>
      </w:tr>
      <w:tr w:rsidR="00F568DA" w:rsidRPr="00DA691C" w14:paraId="44BA1C17" w14:textId="77777777" w:rsidTr="00E003EA">
        <w:trPr>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D6152"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Crawley</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B3938"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4,662</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ED630"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4,501 (96.5%)</w:t>
            </w:r>
          </w:p>
        </w:tc>
        <w:tc>
          <w:tcPr>
            <w:tcW w:w="1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BB5CC"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161 (3.5%)</w:t>
            </w:r>
          </w:p>
        </w:tc>
      </w:tr>
      <w:tr w:rsidR="00F568DA" w:rsidRPr="00DA691C" w14:paraId="55033805" w14:textId="77777777" w:rsidTr="00E003EA">
        <w:trPr>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4750C"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Horsham</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B2D45"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6,453</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476BA"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5,767 (89.4%)</w:t>
            </w:r>
          </w:p>
        </w:tc>
        <w:tc>
          <w:tcPr>
            <w:tcW w:w="1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B7C10"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686 (10.6%)</w:t>
            </w:r>
          </w:p>
        </w:tc>
      </w:tr>
      <w:tr w:rsidR="00F568DA" w:rsidRPr="00DA691C" w14:paraId="25179304" w14:textId="77777777" w:rsidTr="00E003EA">
        <w:trPr>
          <w:jc w:val="center"/>
        </w:trPr>
        <w:tc>
          <w:tcPr>
            <w:tcW w:w="1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8F938"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lastRenderedPageBreak/>
              <w:t>Mid Sussex</w:t>
            </w:r>
          </w:p>
        </w:tc>
        <w:tc>
          <w:tcPr>
            <w:tcW w:w="2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DDEA4"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7,410</w:t>
            </w:r>
          </w:p>
        </w:tc>
        <w:tc>
          <w:tcPr>
            <w:tcW w:w="2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318CF"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6,862 (92.6%)</w:t>
            </w:r>
          </w:p>
        </w:tc>
        <w:tc>
          <w:tcPr>
            <w:tcW w:w="1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BB83C"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548 (7.4%)</w:t>
            </w:r>
          </w:p>
        </w:tc>
      </w:tr>
      <w:tr w:rsidR="00F568DA" w:rsidRPr="00DA691C" w14:paraId="48FB9AE5" w14:textId="77777777" w:rsidTr="00E003EA">
        <w:trPr>
          <w:jc w:val="center"/>
        </w:trPr>
        <w:tc>
          <w:tcPr>
            <w:tcW w:w="1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6FC34B"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Worthing</w:t>
            </w:r>
          </w:p>
        </w:tc>
        <w:tc>
          <w:tcPr>
            <w:tcW w:w="2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A3DFA0"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3,755</w:t>
            </w:r>
          </w:p>
        </w:tc>
        <w:tc>
          <w:tcPr>
            <w:tcW w:w="20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C6CCA1"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3,386 (90.2%)</w:t>
            </w:r>
          </w:p>
        </w:tc>
        <w:tc>
          <w:tcPr>
            <w:tcW w:w="1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4E540" w14:textId="77777777" w:rsidR="00F568DA" w:rsidRPr="00DA691C" w:rsidRDefault="00F568DA" w:rsidP="00F568DA">
            <w:pPr>
              <w:pBdr>
                <w:top w:val="none" w:sz="0" w:space="0" w:color="000000"/>
                <w:left w:val="none" w:sz="0" w:space="0" w:color="000000"/>
                <w:bottom w:val="none" w:sz="0" w:space="0" w:color="000000"/>
                <w:right w:val="none" w:sz="0" w:space="0" w:color="000000"/>
              </w:pBdr>
              <w:spacing w:before="100" w:after="0"/>
              <w:ind w:left="100" w:right="100"/>
              <w:rPr>
                <w:rFonts w:cs="Poppins"/>
              </w:rPr>
            </w:pPr>
            <w:r w:rsidRPr="00DA691C">
              <w:rPr>
                <w:rFonts w:eastAsia="Arial" w:cs="Poppins"/>
                <w:color w:val="000000"/>
              </w:rPr>
              <w:t>369 (9.8%)</w:t>
            </w:r>
          </w:p>
        </w:tc>
      </w:tr>
    </w:tbl>
    <w:p w14:paraId="6E2D615F" w14:textId="77777777" w:rsidR="00DC2DE0" w:rsidRPr="00DA691C" w:rsidRDefault="00DC2DE0" w:rsidP="00DC2DE0">
      <w:pPr>
        <w:rPr>
          <w:rFonts w:cs="Poppins"/>
        </w:rPr>
      </w:pPr>
    </w:p>
    <w:p w14:paraId="008D0BC8" w14:textId="53B1FC6A" w:rsidR="00DC2DE0" w:rsidRPr="00DA691C" w:rsidRDefault="00DC2DE0" w:rsidP="00DC2DE0">
      <w:pPr>
        <w:rPr>
          <w:rFonts w:cs="Poppins"/>
        </w:rPr>
      </w:pPr>
      <w:r w:rsidRPr="00DA691C">
        <w:rPr>
          <w:rFonts w:cs="Poppins"/>
        </w:rPr>
        <w:t>Comparing the two tables, you can see that Arun has almost 8,000 moves into the local authority area, with 3,000 (38%) of these coming from outside of West Sussex county. Similarly, Worthing has a total of 5,700 moves into the area (from outside Worthing) in the year leading to Census day 2021; and around 2,000 (34%) of these were from other local authorities in West Sussex. However, for Chichester moves into the local authority from other parts of West Sussex account for just 16% of moves (1,500 of 9,300 moves) and for Crawley it is slightly higher at 17% (980 new to county of 9,300 new to Crawley). Some of the longer distance moves for Chichester might be explained by the university campus and incoming students staying in residential halls or other student accomodation.</w:t>
      </w:r>
    </w:p>
    <w:p w14:paraId="15195BF7" w14:textId="33E8DA70" w:rsidR="00DC2DE0" w:rsidRPr="00DA691C" w:rsidRDefault="00DC2DE0" w:rsidP="00DC2DE0">
      <w:pPr>
        <w:rPr>
          <w:rFonts w:cs="Poppins"/>
        </w:rPr>
      </w:pPr>
      <w:r w:rsidRPr="00DA691C">
        <w:rPr>
          <w:rFonts w:cs="Poppins"/>
        </w:rPr>
        <w:t xml:space="preserve">However, for those aged 65 and over, the pattern across the county is the same, and more pronounced. For Worthing, 44% (370 of 660) over 65s moving to the local authority originated outside of West Sussex compared to 18% of over 65s new to Chichester who are also new to West Sussex. </w:t>
      </w:r>
    </w:p>
    <w:p w14:paraId="53EEA580" w14:textId="2A7F861A" w:rsidR="00EF6548" w:rsidRPr="00DA691C" w:rsidRDefault="00DC2DE0" w:rsidP="00DC2DE0">
      <w:pPr>
        <w:rPr>
          <w:rFonts w:cs="Poppins"/>
        </w:rPr>
      </w:pPr>
      <w:r w:rsidRPr="00DA691C">
        <w:rPr>
          <w:rFonts w:cs="Poppins"/>
        </w:rPr>
        <w:t>Of course, we do not know the history of moves for individuals (some may have lived in West Sussex for most of their lives, gone away and then returned), and we don't know the reasons for moving recently. Nor do we know if family and friends are in place where movers are going to. It is not unreasonable, however, to suggest that for a large number of these movers, they will be going to an area where they do not have established social contacts and crucially informal support for activities of daily living, such as shopping or social support.</w:t>
      </w:r>
    </w:p>
    <w:p w14:paraId="6AE35055" w14:textId="77777777" w:rsidR="00EF6548" w:rsidRPr="00DA691C" w:rsidRDefault="00EF6548" w:rsidP="009A2897">
      <w:pPr>
        <w:rPr>
          <w:rFonts w:cs="Poppins"/>
        </w:rPr>
      </w:pPr>
    </w:p>
    <w:sectPr w:rsidR="00EF6548" w:rsidRPr="00DA69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518C" w14:textId="77777777" w:rsidR="009910D5" w:rsidRDefault="009910D5" w:rsidP="00C75F6C">
      <w:pPr>
        <w:spacing w:after="0" w:line="240" w:lineRule="auto"/>
      </w:pPr>
      <w:r>
        <w:separator/>
      </w:r>
    </w:p>
  </w:endnote>
  <w:endnote w:type="continuationSeparator" w:id="0">
    <w:p w14:paraId="245DF95B" w14:textId="77777777" w:rsidR="009910D5" w:rsidRDefault="009910D5" w:rsidP="00C75F6C">
      <w:pPr>
        <w:spacing w:after="0" w:line="240" w:lineRule="auto"/>
      </w:pPr>
      <w:r>
        <w:continuationSeparator/>
      </w:r>
    </w:p>
  </w:endnote>
  <w:endnote w:id="1">
    <w:p w14:paraId="16980E0E" w14:textId="7640C69A" w:rsidR="003D5BAA" w:rsidRDefault="003D5BAA">
      <w:pPr>
        <w:pStyle w:val="EndnoteText"/>
      </w:pPr>
      <w:r>
        <w:rPr>
          <w:rStyle w:val="EndnoteReference"/>
        </w:rPr>
        <w:endnoteRef/>
      </w:r>
      <w:r>
        <w:t xml:space="preserve"> </w:t>
      </w:r>
      <w:hyperlink r:id="rId1" w:anchor=":~:text=The%20focus%20of%20this%20report,the%20end%20of%20their%20life." w:history="1">
        <w:r>
          <w:rPr>
            <w:rStyle w:val="Hyperlink"/>
          </w:rPr>
          <w:t>Chief Medical Officer’s annual report 2023: health in an ageing society - GOV.UK (www.gov.uk)</w:t>
        </w:r>
      </w:hyperlink>
    </w:p>
  </w:endnote>
  <w:endnote w:id="2">
    <w:p w14:paraId="5B10E367" w14:textId="18D8F9C1" w:rsidR="000A6A62" w:rsidRDefault="000A6A62">
      <w:pPr>
        <w:pStyle w:val="EndnoteText"/>
      </w:pPr>
      <w:r>
        <w:rPr>
          <w:rStyle w:val="EndnoteReference"/>
        </w:rPr>
        <w:endnoteRef/>
      </w:r>
      <w:r>
        <w:t xml:space="preserve"> </w:t>
      </w:r>
      <w:hyperlink r:id="rId2" w:history="1">
        <w:r>
          <w:rPr>
            <w:rStyle w:val="Hyperlink"/>
          </w:rPr>
          <w:t>Chief Medical Officer annual report 2021 - GOV.UK (www.gov.uk)</w:t>
        </w:r>
      </w:hyperlink>
    </w:p>
  </w:endnote>
  <w:endnote w:id="3">
    <w:p w14:paraId="152832BE" w14:textId="7C5FA63E" w:rsidR="00C75F6C" w:rsidRDefault="00C75F6C">
      <w:pPr>
        <w:pStyle w:val="EndnoteText"/>
      </w:pPr>
      <w:r>
        <w:rPr>
          <w:rStyle w:val="EndnoteReference"/>
        </w:rPr>
        <w:endnoteRef/>
      </w:r>
      <w:r>
        <w:t xml:space="preserve"> </w:t>
      </w:r>
      <w:hyperlink r:id="rId3" w:history="1">
        <w:r w:rsidRPr="00F148A3">
          <w:rPr>
            <w:rStyle w:val="Hyperlink"/>
          </w:rPr>
          <w:t>https://www.gov.uk/government/statistics/population-statistics-for-rural-england/d-internal-migration</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5882C" w14:textId="77777777" w:rsidR="009910D5" w:rsidRDefault="009910D5" w:rsidP="00C75F6C">
      <w:pPr>
        <w:spacing w:after="0" w:line="240" w:lineRule="auto"/>
      </w:pPr>
      <w:r>
        <w:separator/>
      </w:r>
    </w:p>
  </w:footnote>
  <w:footnote w:type="continuationSeparator" w:id="0">
    <w:p w14:paraId="5E409E86" w14:textId="77777777" w:rsidR="009910D5" w:rsidRDefault="009910D5" w:rsidP="00C75F6C">
      <w:pPr>
        <w:spacing w:after="0" w:line="240" w:lineRule="auto"/>
      </w:pPr>
      <w:r>
        <w:continuationSeparator/>
      </w:r>
    </w:p>
  </w:footnote>
  <w:footnote w:id="1">
    <w:p w14:paraId="2FD2585D" w14:textId="710F9495" w:rsidR="00C8188F" w:rsidRDefault="00C8188F">
      <w:pPr>
        <w:pStyle w:val="FootnoteText"/>
      </w:pPr>
      <w:r>
        <w:rPr>
          <w:rStyle w:val="FootnoteReference"/>
        </w:rPr>
        <w:footnoteRef/>
      </w:r>
      <w:r>
        <w:t xml:space="preserve"> </w:t>
      </w:r>
      <w:r w:rsidR="00DB2679">
        <w:t>Local authorities usually cover</w:t>
      </w:r>
      <w:r w:rsidR="003C6FE7">
        <w:t xml:space="preserve"> vast areas (West Sussex is around 2,000 square kilometres, ranging from 33km</w:t>
      </w:r>
      <w:r w:rsidR="003C6FE7" w:rsidRPr="004E06A8">
        <w:rPr>
          <w:vertAlign w:val="superscript"/>
        </w:rPr>
        <w:t>2</w:t>
      </w:r>
      <w:r w:rsidR="003C6FE7">
        <w:t xml:space="preserve"> in Worthing to </w:t>
      </w:r>
      <w:r w:rsidR="004E06A8">
        <w:t>786km</w:t>
      </w:r>
      <w:r w:rsidR="004E06A8" w:rsidRPr="004E06A8">
        <w:rPr>
          <w:vertAlign w:val="superscript"/>
        </w:rPr>
        <w:t>2</w:t>
      </w:r>
      <w:r w:rsidR="004E06A8">
        <w:t xml:space="preserve"> in Chichester.</w:t>
      </w:r>
      <w:r w:rsidR="003C6FE7">
        <w:t xml:space="preserve"> </w:t>
      </w:r>
      <w:r w:rsidR="004E06A8">
        <w:t xml:space="preserve">Within these local authorities there will be many different types of </w:t>
      </w:r>
      <w:r w:rsidR="009D3492">
        <w:t>neighbourhoods and communities, some of which urban and some very rural.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8EB"/>
    <w:rsid w:val="000000DB"/>
    <w:rsid w:val="000541C9"/>
    <w:rsid w:val="00075774"/>
    <w:rsid w:val="000778D8"/>
    <w:rsid w:val="000A26E1"/>
    <w:rsid w:val="000A6A62"/>
    <w:rsid w:val="000D39C8"/>
    <w:rsid w:val="000F4239"/>
    <w:rsid w:val="001049CB"/>
    <w:rsid w:val="00113BE9"/>
    <w:rsid w:val="00122DD9"/>
    <w:rsid w:val="00137914"/>
    <w:rsid w:val="00181C3F"/>
    <w:rsid w:val="001A4594"/>
    <w:rsid w:val="001A591A"/>
    <w:rsid w:val="001C6799"/>
    <w:rsid w:val="001D585B"/>
    <w:rsid w:val="00216004"/>
    <w:rsid w:val="00284222"/>
    <w:rsid w:val="002D17BD"/>
    <w:rsid w:val="002F422A"/>
    <w:rsid w:val="00325B5B"/>
    <w:rsid w:val="00326D77"/>
    <w:rsid w:val="003A11C8"/>
    <w:rsid w:val="003B3090"/>
    <w:rsid w:val="003B60F2"/>
    <w:rsid w:val="003C6FE7"/>
    <w:rsid w:val="003D5BAA"/>
    <w:rsid w:val="00427377"/>
    <w:rsid w:val="00443D95"/>
    <w:rsid w:val="00445238"/>
    <w:rsid w:val="0045129A"/>
    <w:rsid w:val="004B00AE"/>
    <w:rsid w:val="004C6B0E"/>
    <w:rsid w:val="004E06A8"/>
    <w:rsid w:val="004E59E2"/>
    <w:rsid w:val="004F427F"/>
    <w:rsid w:val="00514DA4"/>
    <w:rsid w:val="005521E5"/>
    <w:rsid w:val="00555BDC"/>
    <w:rsid w:val="005808EB"/>
    <w:rsid w:val="00625F30"/>
    <w:rsid w:val="006820DB"/>
    <w:rsid w:val="00692466"/>
    <w:rsid w:val="006953FA"/>
    <w:rsid w:val="006B569E"/>
    <w:rsid w:val="006F701B"/>
    <w:rsid w:val="007040E4"/>
    <w:rsid w:val="00741FD2"/>
    <w:rsid w:val="0074439D"/>
    <w:rsid w:val="007657D8"/>
    <w:rsid w:val="00773A22"/>
    <w:rsid w:val="007822CF"/>
    <w:rsid w:val="007B3195"/>
    <w:rsid w:val="007E22A9"/>
    <w:rsid w:val="0081106B"/>
    <w:rsid w:val="00821090"/>
    <w:rsid w:val="00821699"/>
    <w:rsid w:val="00826A26"/>
    <w:rsid w:val="00835088"/>
    <w:rsid w:val="008420E8"/>
    <w:rsid w:val="008608AF"/>
    <w:rsid w:val="00876AA4"/>
    <w:rsid w:val="008B09F1"/>
    <w:rsid w:val="008C7C18"/>
    <w:rsid w:val="008F0F38"/>
    <w:rsid w:val="008F7F0A"/>
    <w:rsid w:val="00917341"/>
    <w:rsid w:val="00935AC4"/>
    <w:rsid w:val="009729C6"/>
    <w:rsid w:val="009910D5"/>
    <w:rsid w:val="00994322"/>
    <w:rsid w:val="009A1C0B"/>
    <w:rsid w:val="009A2897"/>
    <w:rsid w:val="009B1969"/>
    <w:rsid w:val="009D3492"/>
    <w:rsid w:val="009F1BDE"/>
    <w:rsid w:val="009F43EF"/>
    <w:rsid w:val="00A0410D"/>
    <w:rsid w:val="00A55FF1"/>
    <w:rsid w:val="00AB2D70"/>
    <w:rsid w:val="00AE0319"/>
    <w:rsid w:val="00B30C97"/>
    <w:rsid w:val="00B420F6"/>
    <w:rsid w:val="00B431FB"/>
    <w:rsid w:val="00B62839"/>
    <w:rsid w:val="00B701B7"/>
    <w:rsid w:val="00B70C1C"/>
    <w:rsid w:val="00B816CB"/>
    <w:rsid w:val="00B937D2"/>
    <w:rsid w:val="00BA24AA"/>
    <w:rsid w:val="00BF55E4"/>
    <w:rsid w:val="00C75F6C"/>
    <w:rsid w:val="00C8188F"/>
    <w:rsid w:val="00C9253B"/>
    <w:rsid w:val="00CC66B9"/>
    <w:rsid w:val="00CD26AC"/>
    <w:rsid w:val="00D03EF3"/>
    <w:rsid w:val="00D17F64"/>
    <w:rsid w:val="00D46595"/>
    <w:rsid w:val="00D57A43"/>
    <w:rsid w:val="00D70D52"/>
    <w:rsid w:val="00D9182F"/>
    <w:rsid w:val="00DA6883"/>
    <w:rsid w:val="00DA691C"/>
    <w:rsid w:val="00DB2679"/>
    <w:rsid w:val="00DB6570"/>
    <w:rsid w:val="00DC2DE0"/>
    <w:rsid w:val="00DE3534"/>
    <w:rsid w:val="00DE5445"/>
    <w:rsid w:val="00E04720"/>
    <w:rsid w:val="00E60026"/>
    <w:rsid w:val="00E71077"/>
    <w:rsid w:val="00E73B2A"/>
    <w:rsid w:val="00E97895"/>
    <w:rsid w:val="00EF6548"/>
    <w:rsid w:val="00F00347"/>
    <w:rsid w:val="00F455DB"/>
    <w:rsid w:val="00F568DA"/>
    <w:rsid w:val="00FB2927"/>
    <w:rsid w:val="00FD2662"/>
    <w:rsid w:val="00FD3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A20D"/>
  <w15:chartTrackingRefBased/>
  <w15:docId w15:val="{4C0732BF-6292-4533-9AE7-EFED5D57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CB"/>
    <w:rPr>
      <w:rFonts w:ascii="Poppins" w:hAnsi="Poppins"/>
    </w:rPr>
  </w:style>
  <w:style w:type="paragraph" w:styleId="Heading1">
    <w:name w:val="heading 1"/>
    <w:basedOn w:val="Normal"/>
    <w:next w:val="Normal"/>
    <w:link w:val="Heading1Char"/>
    <w:uiPriority w:val="9"/>
    <w:qFormat/>
    <w:rsid w:val="00AB2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75F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5F6C"/>
    <w:rPr>
      <w:sz w:val="20"/>
      <w:szCs w:val="20"/>
    </w:rPr>
  </w:style>
  <w:style w:type="character" w:styleId="EndnoteReference">
    <w:name w:val="endnote reference"/>
    <w:basedOn w:val="DefaultParagraphFont"/>
    <w:uiPriority w:val="99"/>
    <w:semiHidden/>
    <w:unhideWhenUsed/>
    <w:rsid w:val="00C75F6C"/>
    <w:rPr>
      <w:vertAlign w:val="superscript"/>
    </w:rPr>
  </w:style>
  <w:style w:type="character" w:styleId="Hyperlink">
    <w:name w:val="Hyperlink"/>
    <w:basedOn w:val="DefaultParagraphFont"/>
    <w:uiPriority w:val="99"/>
    <w:unhideWhenUsed/>
    <w:rsid w:val="00C75F6C"/>
    <w:rPr>
      <w:color w:val="0563C1" w:themeColor="hyperlink"/>
      <w:u w:val="single"/>
    </w:rPr>
  </w:style>
  <w:style w:type="character" w:styleId="UnresolvedMention">
    <w:name w:val="Unresolved Mention"/>
    <w:basedOn w:val="DefaultParagraphFont"/>
    <w:uiPriority w:val="99"/>
    <w:semiHidden/>
    <w:unhideWhenUsed/>
    <w:rsid w:val="00C75F6C"/>
    <w:rPr>
      <w:color w:val="605E5C"/>
      <w:shd w:val="clear" w:color="auto" w:fill="E1DFDD"/>
    </w:rPr>
  </w:style>
  <w:style w:type="paragraph" w:styleId="FootnoteText">
    <w:name w:val="footnote text"/>
    <w:basedOn w:val="Normal"/>
    <w:link w:val="FootnoteTextChar"/>
    <w:uiPriority w:val="99"/>
    <w:semiHidden/>
    <w:unhideWhenUsed/>
    <w:rsid w:val="00C818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88F"/>
    <w:rPr>
      <w:sz w:val="20"/>
      <w:szCs w:val="20"/>
    </w:rPr>
  </w:style>
  <w:style w:type="character" w:styleId="FootnoteReference">
    <w:name w:val="footnote reference"/>
    <w:basedOn w:val="DefaultParagraphFont"/>
    <w:uiPriority w:val="99"/>
    <w:semiHidden/>
    <w:unhideWhenUsed/>
    <w:rsid w:val="00C8188F"/>
    <w:rPr>
      <w:vertAlign w:val="superscript"/>
    </w:rPr>
  </w:style>
  <w:style w:type="character" w:customStyle="1" w:styleId="Heading1Char">
    <w:name w:val="Heading 1 Char"/>
    <w:basedOn w:val="DefaultParagraphFont"/>
    <w:link w:val="Heading1"/>
    <w:uiPriority w:val="9"/>
    <w:rsid w:val="00AB2D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21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www.gov.uk/government/statistics/population-statistics-for-rural-england/d-internal-migration" TargetMode="External"/><Relationship Id="rId2" Type="http://schemas.openxmlformats.org/officeDocument/2006/relationships/hyperlink" Target="https://www.gov.uk/government/news/chief-medical-officer-annual-report-2021" TargetMode="External"/><Relationship Id="rId1" Type="http://schemas.openxmlformats.org/officeDocument/2006/relationships/hyperlink" Target="https://www.gov.uk/government/publications/chief-medical-officers-annual-report-2023-health-in-an-ageing-soc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161EF-BFE6-49F5-BF8E-963C926C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6</Pages>
  <Words>1405</Words>
  <Characters>8010</Characters>
  <Application>Microsoft Office Word</Application>
  <DocSecurity>0</DocSecurity>
  <Lines>66</Lines>
  <Paragraphs>18</Paragraphs>
  <ScaleCrop>false</ScaleCrop>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Tyler</dc:creator>
  <cp:keywords/>
  <dc:description/>
  <cp:lastModifiedBy>Rich Tyler</cp:lastModifiedBy>
  <cp:revision>117</cp:revision>
  <dcterms:created xsi:type="dcterms:W3CDTF">2024-02-05T09:54:00Z</dcterms:created>
  <dcterms:modified xsi:type="dcterms:W3CDTF">2024-02-09T21:14:00Z</dcterms:modified>
</cp:coreProperties>
</file>