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29DA7" w14:textId="1286B464" w:rsidR="00F52A9D" w:rsidRPr="000935FE" w:rsidRDefault="00F52A9D">
      <w:pPr>
        <w:rPr>
          <w:rFonts w:ascii="Verdana" w:hAnsi="Verdana"/>
        </w:rPr>
      </w:pPr>
      <w:r w:rsidRPr="000935FE">
        <w:rPr>
          <w:rFonts w:ascii="Verdana" w:hAnsi="Verdana"/>
          <w:b/>
          <w:bCs/>
        </w:rPr>
        <w:t xml:space="preserve">Maternal mortality – </w:t>
      </w:r>
      <w:r w:rsidR="007B1F0C" w:rsidRPr="000935FE">
        <w:rPr>
          <w:rFonts w:ascii="Verdana" w:hAnsi="Verdana"/>
          <w:b/>
          <w:bCs/>
        </w:rPr>
        <w:t xml:space="preserve">England – 2015-17 </w:t>
      </w:r>
      <w:r w:rsidR="00774CDF" w:rsidRPr="000935FE">
        <w:rPr>
          <w:rFonts w:ascii="Verdana" w:hAnsi="Verdana"/>
          <w:b/>
          <w:bCs/>
        </w:rPr>
        <w:t xml:space="preserve">– </w:t>
      </w:r>
      <w:r w:rsidR="00774CDF" w:rsidRPr="000935FE">
        <w:rPr>
          <w:rFonts w:ascii="Verdana" w:hAnsi="Verdana"/>
        </w:rPr>
        <w:t>MBRRACE-UK:</w:t>
      </w:r>
      <w:r w:rsidR="007B1F0C" w:rsidRPr="000935FE">
        <w:rPr>
          <w:rFonts w:ascii="Verdana" w:hAnsi="Verdana"/>
        </w:rPr>
        <w:t xml:space="preserve"> </w:t>
      </w:r>
      <w:r w:rsidR="00774CDF" w:rsidRPr="000935FE">
        <w:rPr>
          <w:rFonts w:ascii="Verdana" w:hAnsi="Verdana"/>
        </w:rPr>
        <w:t>Mothers and Babies: Reducing Risk through Audits and Confidential Enquiries across the UK</w:t>
      </w:r>
    </w:p>
    <w:p w14:paraId="2EB560C8" w14:textId="72A0F9AF" w:rsidR="00F52A9D" w:rsidRPr="000935FE" w:rsidRDefault="00F52A9D">
      <w:pPr>
        <w:rPr>
          <w:rFonts w:ascii="Verdana" w:hAnsi="Verdana"/>
          <w:sz w:val="22"/>
          <w:szCs w:val="22"/>
        </w:rPr>
      </w:pPr>
    </w:p>
    <w:p w14:paraId="2497929B" w14:textId="3E098198" w:rsidR="00733897" w:rsidRPr="000935FE" w:rsidRDefault="00733897">
      <w:pPr>
        <w:rPr>
          <w:rFonts w:ascii="Verdana" w:hAnsi="Verdana"/>
          <w:sz w:val="22"/>
          <w:szCs w:val="22"/>
        </w:rPr>
      </w:pPr>
      <w:r w:rsidRPr="000935FE">
        <w:rPr>
          <w:rFonts w:ascii="Verdana" w:hAnsi="Verdana"/>
          <w:sz w:val="22"/>
          <w:szCs w:val="22"/>
        </w:rPr>
        <w:t>There were around 7 deaths for every 100,000 maternities among white ethnic groups (this includes those whose ethnicity was unknown).</w:t>
      </w:r>
      <w:r w:rsidR="007B1F0C" w:rsidRPr="000935FE">
        <w:rPr>
          <w:rFonts w:ascii="Verdana" w:hAnsi="Verdana"/>
          <w:sz w:val="22"/>
          <w:szCs w:val="22"/>
        </w:rPr>
        <w:t xml:space="preserve"> </w:t>
      </w:r>
    </w:p>
    <w:p w14:paraId="5C3B866D" w14:textId="77777777" w:rsidR="00733897" w:rsidRPr="000935FE" w:rsidRDefault="00733897">
      <w:pPr>
        <w:rPr>
          <w:rFonts w:ascii="Verdana" w:hAnsi="Verdana"/>
          <w:b/>
          <w:bCs/>
          <w:sz w:val="22"/>
          <w:szCs w:val="22"/>
        </w:rPr>
      </w:pPr>
    </w:p>
    <w:p w14:paraId="078D360C" w14:textId="75F1A476" w:rsidR="00F52A9D" w:rsidRPr="000935FE" w:rsidRDefault="00733897">
      <w:pPr>
        <w:rPr>
          <w:rFonts w:ascii="Verdana" w:hAnsi="Verdana"/>
          <w:sz w:val="22"/>
          <w:szCs w:val="22"/>
        </w:rPr>
      </w:pPr>
      <w:r w:rsidRPr="000935FE">
        <w:rPr>
          <w:rFonts w:ascii="Verdana" w:hAnsi="Verdana"/>
          <w:sz w:val="22"/>
          <w:szCs w:val="22"/>
        </w:rPr>
        <w:t>The risk of maternal death among women in black ethnic groups is more than five times higher than women in white (and unknown) ethnicity groups</w:t>
      </w:r>
      <w:r w:rsidR="007B1F0C" w:rsidRPr="000935FE">
        <w:rPr>
          <w:rFonts w:ascii="Verdana" w:hAnsi="Verdana"/>
          <w:sz w:val="22"/>
          <w:szCs w:val="22"/>
        </w:rPr>
        <w:t xml:space="preserve"> with 38 deaths per 100,000 maternities among black women</w:t>
      </w:r>
      <w:r w:rsidRPr="000935FE">
        <w:rPr>
          <w:rFonts w:ascii="Verdana" w:hAnsi="Verdana"/>
          <w:sz w:val="22"/>
          <w:szCs w:val="22"/>
        </w:rPr>
        <w:t>. Those in mixed ethnicity groups have a threefold increase in risk compared to white women</w:t>
      </w:r>
      <w:r w:rsidR="007B1F0C" w:rsidRPr="000935FE">
        <w:rPr>
          <w:rFonts w:ascii="Verdana" w:hAnsi="Verdana"/>
          <w:sz w:val="22"/>
          <w:szCs w:val="22"/>
        </w:rPr>
        <w:t xml:space="preserve"> with 22 deaths per 100,000 maternities.</w:t>
      </w:r>
    </w:p>
    <w:p w14:paraId="789FC51E" w14:textId="77777777" w:rsidR="00F52A9D" w:rsidRPr="000935FE" w:rsidRDefault="00F52A9D">
      <w:pPr>
        <w:rPr>
          <w:rFonts w:ascii="Verdana" w:hAnsi="Verdana"/>
          <w:b/>
          <w:bCs/>
        </w:rPr>
      </w:pPr>
    </w:p>
    <w:tbl>
      <w:tblPr>
        <w:tblW w:w="10100" w:type="dxa"/>
        <w:tblLook w:val="04A0" w:firstRow="1" w:lastRow="0" w:firstColumn="1" w:lastColumn="0" w:noHBand="0" w:noVBand="1"/>
      </w:tblPr>
      <w:tblGrid>
        <w:gridCol w:w="3460"/>
        <w:gridCol w:w="1300"/>
        <w:gridCol w:w="2320"/>
        <w:gridCol w:w="3020"/>
      </w:tblGrid>
      <w:tr w:rsidR="000935FE" w:rsidRPr="000935FE" w14:paraId="7D377DFD" w14:textId="77777777" w:rsidTr="00C77A4C">
        <w:trPr>
          <w:trHeight w:val="280"/>
        </w:trPr>
        <w:tc>
          <w:tcPr>
            <w:tcW w:w="10100" w:type="dxa"/>
            <w:gridSpan w:val="4"/>
            <w:tcBorders>
              <w:top w:val="nil"/>
              <w:left w:val="nil"/>
              <w:bottom w:val="nil"/>
              <w:right w:val="nil"/>
            </w:tcBorders>
            <w:shd w:val="clear" w:color="auto" w:fill="auto"/>
            <w:noWrap/>
            <w:vAlign w:val="bottom"/>
            <w:hideMark/>
          </w:tcPr>
          <w:p w14:paraId="0E9B772C" w14:textId="4166A62E" w:rsidR="000935FE" w:rsidRPr="000935FE" w:rsidRDefault="000935FE" w:rsidP="00F52A9D">
            <w:pPr>
              <w:rPr>
                <w:rFonts w:ascii="Verdana" w:hAnsi="Verdana" w:cs="Arial"/>
                <w:color w:val="0F0F0F"/>
                <w:sz w:val="21"/>
                <w:szCs w:val="21"/>
              </w:rPr>
            </w:pPr>
            <w:r w:rsidRPr="000935FE">
              <w:rPr>
                <w:rFonts w:ascii="Verdana" w:hAnsi="Verdana" w:cs="Arial"/>
                <w:color w:val="0F0F0F"/>
                <w:sz w:val="21"/>
                <w:szCs w:val="21"/>
              </w:rPr>
              <w:t>Maternal mortality rates by ethnic group; England; 2015-2017</w:t>
            </w:r>
          </w:p>
        </w:tc>
      </w:tr>
      <w:tr w:rsidR="00F52A9D" w:rsidRPr="000935FE" w14:paraId="78DEE005" w14:textId="77777777" w:rsidTr="00F52A9D">
        <w:trPr>
          <w:trHeight w:val="900"/>
        </w:trPr>
        <w:tc>
          <w:tcPr>
            <w:tcW w:w="3460" w:type="dxa"/>
            <w:tcBorders>
              <w:top w:val="single" w:sz="4" w:space="0" w:color="auto"/>
              <w:left w:val="nil"/>
              <w:bottom w:val="single" w:sz="4" w:space="0" w:color="auto"/>
              <w:right w:val="nil"/>
            </w:tcBorders>
            <w:shd w:val="clear" w:color="auto" w:fill="auto"/>
            <w:hideMark/>
          </w:tcPr>
          <w:p w14:paraId="54E95D27" w14:textId="77777777" w:rsidR="00F52A9D" w:rsidRPr="000935FE" w:rsidRDefault="00F52A9D" w:rsidP="00F52A9D">
            <w:pPr>
              <w:rPr>
                <w:rFonts w:ascii="Verdana" w:hAnsi="Verdana" w:cs="Arial"/>
                <w:b/>
                <w:bCs/>
                <w:color w:val="0F0F0F"/>
                <w:sz w:val="21"/>
                <w:szCs w:val="21"/>
              </w:rPr>
            </w:pPr>
            <w:r w:rsidRPr="000935FE">
              <w:rPr>
                <w:rFonts w:ascii="Verdana" w:hAnsi="Verdana" w:cs="Arial"/>
                <w:b/>
                <w:bCs/>
                <w:color w:val="0F0F0F"/>
                <w:sz w:val="21"/>
                <w:szCs w:val="21"/>
              </w:rPr>
              <w:t>Ethnicity</w:t>
            </w:r>
          </w:p>
        </w:tc>
        <w:tc>
          <w:tcPr>
            <w:tcW w:w="1300" w:type="dxa"/>
            <w:tcBorders>
              <w:top w:val="single" w:sz="4" w:space="0" w:color="auto"/>
              <w:left w:val="nil"/>
              <w:bottom w:val="single" w:sz="4" w:space="0" w:color="auto"/>
              <w:right w:val="nil"/>
            </w:tcBorders>
            <w:shd w:val="clear" w:color="auto" w:fill="auto"/>
            <w:hideMark/>
          </w:tcPr>
          <w:p w14:paraId="17A77FF4" w14:textId="77777777" w:rsidR="00F52A9D" w:rsidRPr="000935FE" w:rsidRDefault="00F52A9D" w:rsidP="00F52A9D">
            <w:pPr>
              <w:jc w:val="right"/>
              <w:rPr>
                <w:rFonts w:ascii="Verdana" w:hAnsi="Verdana" w:cs="Arial"/>
                <w:b/>
                <w:bCs/>
                <w:color w:val="0F0F0F"/>
                <w:sz w:val="21"/>
                <w:szCs w:val="21"/>
              </w:rPr>
            </w:pPr>
            <w:r w:rsidRPr="000935FE">
              <w:rPr>
                <w:rFonts w:ascii="Verdana" w:hAnsi="Verdana" w:cs="Arial"/>
                <w:b/>
                <w:bCs/>
                <w:color w:val="0F0F0F"/>
                <w:sz w:val="21"/>
                <w:szCs w:val="21"/>
              </w:rPr>
              <w:t>Total deaths</w:t>
            </w:r>
          </w:p>
        </w:tc>
        <w:tc>
          <w:tcPr>
            <w:tcW w:w="2320" w:type="dxa"/>
            <w:tcBorders>
              <w:top w:val="single" w:sz="4" w:space="0" w:color="auto"/>
              <w:left w:val="nil"/>
              <w:bottom w:val="single" w:sz="4" w:space="0" w:color="auto"/>
              <w:right w:val="nil"/>
            </w:tcBorders>
            <w:shd w:val="clear" w:color="auto" w:fill="auto"/>
            <w:hideMark/>
          </w:tcPr>
          <w:p w14:paraId="0FE484DE" w14:textId="77777777" w:rsidR="00F52A9D" w:rsidRPr="000935FE" w:rsidRDefault="00F52A9D" w:rsidP="00F52A9D">
            <w:pPr>
              <w:jc w:val="right"/>
              <w:rPr>
                <w:rFonts w:ascii="Verdana" w:hAnsi="Verdana" w:cs="Arial"/>
                <w:b/>
                <w:bCs/>
                <w:color w:val="0F0F0F"/>
                <w:sz w:val="21"/>
                <w:szCs w:val="21"/>
              </w:rPr>
            </w:pPr>
            <w:r w:rsidRPr="000935FE">
              <w:rPr>
                <w:rFonts w:ascii="Verdana" w:hAnsi="Verdana" w:cs="Arial"/>
                <w:b/>
                <w:bCs/>
                <w:color w:val="0F0F0F"/>
                <w:sz w:val="21"/>
                <w:szCs w:val="21"/>
              </w:rPr>
              <w:t>Rate per 100,000 maternities (95% CI given in brackets)</w:t>
            </w:r>
          </w:p>
        </w:tc>
        <w:tc>
          <w:tcPr>
            <w:tcW w:w="3020" w:type="dxa"/>
            <w:tcBorders>
              <w:top w:val="single" w:sz="4" w:space="0" w:color="auto"/>
              <w:left w:val="nil"/>
              <w:bottom w:val="single" w:sz="4" w:space="0" w:color="auto"/>
              <w:right w:val="nil"/>
            </w:tcBorders>
            <w:shd w:val="clear" w:color="auto" w:fill="auto"/>
            <w:hideMark/>
          </w:tcPr>
          <w:p w14:paraId="4CC9E83A" w14:textId="0DC1E2BE" w:rsidR="00F52A9D" w:rsidRPr="000935FE" w:rsidRDefault="00F52A9D" w:rsidP="00F52A9D">
            <w:pPr>
              <w:jc w:val="right"/>
              <w:rPr>
                <w:rFonts w:ascii="Verdana" w:hAnsi="Verdana" w:cs="Arial"/>
                <w:b/>
                <w:bCs/>
                <w:color w:val="0F0F0F"/>
                <w:sz w:val="21"/>
                <w:szCs w:val="21"/>
              </w:rPr>
            </w:pPr>
            <w:r w:rsidRPr="000935FE">
              <w:rPr>
                <w:rFonts w:ascii="Verdana" w:hAnsi="Verdana" w:cs="Arial"/>
                <w:b/>
                <w:bCs/>
                <w:color w:val="0F0F0F"/>
                <w:sz w:val="21"/>
                <w:szCs w:val="21"/>
              </w:rPr>
              <w:t>Relative risk compared to reference group (</w:t>
            </w:r>
            <w:r w:rsidR="00733897" w:rsidRPr="000935FE">
              <w:rPr>
                <w:rFonts w:ascii="Verdana" w:hAnsi="Verdana" w:cs="Arial"/>
                <w:b/>
                <w:bCs/>
                <w:color w:val="0F0F0F"/>
                <w:sz w:val="21"/>
                <w:szCs w:val="21"/>
              </w:rPr>
              <w:t>w</w:t>
            </w:r>
            <w:r w:rsidRPr="000935FE">
              <w:rPr>
                <w:rFonts w:ascii="Verdana" w:hAnsi="Verdana" w:cs="Arial"/>
                <w:b/>
                <w:bCs/>
                <w:color w:val="0F0F0F"/>
                <w:sz w:val="21"/>
                <w:szCs w:val="21"/>
              </w:rPr>
              <w:t>hite and unknown ethnicity)</w:t>
            </w:r>
          </w:p>
        </w:tc>
      </w:tr>
      <w:tr w:rsidR="00F52A9D" w:rsidRPr="000935FE" w14:paraId="6B1A5F8A" w14:textId="77777777" w:rsidTr="00F52A9D">
        <w:trPr>
          <w:trHeight w:val="280"/>
        </w:trPr>
        <w:tc>
          <w:tcPr>
            <w:tcW w:w="3460" w:type="dxa"/>
            <w:tcBorders>
              <w:top w:val="nil"/>
              <w:left w:val="nil"/>
              <w:bottom w:val="nil"/>
              <w:right w:val="nil"/>
            </w:tcBorders>
            <w:shd w:val="clear" w:color="auto" w:fill="auto"/>
            <w:noWrap/>
            <w:vAlign w:val="bottom"/>
            <w:hideMark/>
          </w:tcPr>
          <w:p w14:paraId="19450FB0" w14:textId="77777777" w:rsidR="00F52A9D" w:rsidRPr="000935FE" w:rsidRDefault="00F52A9D" w:rsidP="00F52A9D">
            <w:pPr>
              <w:rPr>
                <w:rFonts w:ascii="Verdana" w:hAnsi="Verdana" w:cs="Arial"/>
                <w:color w:val="0F0F0F"/>
                <w:sz w:val="21"/>
                <w:szCs w:val="21"/>
              </w:rPr>
            </w:pPr>
            <w:r w:rsidRPr="000935FE">
              <w:rPr>
                <w:rFonts w:ascii="Verdana" w:hAnsi="Verdana" w:cs="Arial"/>
                <w:color w:val="0F0F0F"/>
                <w:sz w:val="21"/>
                <w:szCs w:val="21"/>
              </w:rPr>
              <w:t>White (includes unknown ethnicity)</w:t>
            </w:r>
          </w:p>
        </w:tc>
        <w:tc>
          <w:tcPr>
            <w:tcW w:w="1300" w:type="dxa"/>
            <w:tcBorders>
              <w:top w:val="nil"/>
              <w:left w:val="nil"/>
              <w:bottom w:val="nil"/>
              <w:right w:val="nil"/>
            </w:tcBorders>
            <w:shd w:val="clear" w:color="auto" w:fill="auto"/>
            <w:noWrap/>
            <w:hideMark/>
          </w:tcPr>
          <w:p w14:paraId="09778DC3"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110</w:t>
            </w:r>
          </w:p>
        </w:tc>
        <w:tc>
          <w:tcPr>
            <w:tcW w:w="2320" w:type="dxa"/>
            <w:tcBorders>
              <w:top w:val="nil"/>
              <w:left w:val="nil"/>
              <w:bottom w:val="nil"/>
              <w:right w:val="nil"/>
            </w:tcBorders>
            <w:shd w:val="clear" w:color="auto" w:fill="auto"/>
            <w:noWrap/>
            <w:hideMark/>
          </w:tcPr>
          <w:p w14:paraId="4A861581"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7.22 (5.93-8.7)</w:t>
            </w:r>
          </w:p>
        </w:tc>
        <w:tc>
          <w:tcPr>
            <w:tcW w:w="3020" w:type="dxa"/>
            <w:tcBorders>
              <w:top w:val="nil"/>
              <w:left w:val="nil"/>
              <w:bottom w:val="nil"/>
              <w:right w:val="nil"/>
            </w:tcBorders>
            <w:shd w:val="clear" w:color="auto" w:fill="auto"/>
            <w:noWrap/>
            <w:hideMark/>
          </w:tcPr>
          <w:p w14:paraId="14F3E163"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w:t>
            </w:r>
          </w:p>
        </w:tc>
      </w:tr>
      <w:tr w:rsidR="00F52A9D" w:rsidRPr="000935FE" w14:paraId="119C6F5F" w14:textId="77777777" w:rsidTr="00F52A9D">
        <w:trPr>
          <w:trHeight w:val="280"/>
        </w:trPr>
        <w:tc>
          <w:tcPr>
            <w:tcW w:w="3460" w:type="dxa"/>
            <w:tcBorders>
              <w:top w:val="nil"/>
              <w:left w:val="nil"/>
              <w:bottom w:val="nil"/>
              <w:right w:val="nil"/>
            </w:tcBorders>
            <w:shd w:val="clear" w:color="auto" w:fill="auto"/>
            <w:noWrap/>
            <w:vAlign w:val="bottom"/>
            <w:hideMark/>
          </w:tcPr>
          <w:p w14:paraId="6DD02365" w14:textId="77777777" w:rsidR="00F52A9D" w:rsidRPr="000935FE" w:rsidRDefault="00F52A9D" w:rsidP="00F52A9D">
            <w:pPr>
              <w:rPr>
                <w:rFonts w:ascii="Verdana" w:hAnsi="Verdana" w:cs="Arial"/>
                <w:color w:val="0F0F0F"/>
                <w:sz w:val="21"/>
                <w:szCs w:val="21"/>
              </w:rPr>
            </w:pPr>
            <w:r w:rsidRPr="000935FE">
              <w:rPr>
                <w:rFonts w:ascii="Verdana" w:hAnsi="Verdana" w:cs="Arial"/>
                <w:color w:val="0F0F0F"/>
                <w:sz w:val="21"/>
                <w:szCs w:val="21"/>
              </w:rPr>
              <w:t>Asian</w:t>
            </w:r>
          </w:p>
        </w:tc>
        <w:tc>
          <w:tcPr>
            <w:tcW w:w="1300" w:type="dxa"/>
            <w:tcBorders>
              <w:top w:val="nil"/>
              <w:left w:val="nil"/>
              <w:bottom w:val="nil"/>
              <w:right w:val="nil"/>
            </w:tcBorders>
            <w:shd w:val="clear" w:color="auto" w:fill="auto"/>
            <w:noWrap/>
            <w:hideMark/>
          </w:tcPr>
          <w:p w14:paraId="64EADA0B"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25</w:t>
            </w:r>
          </w:p>
        </w:tc>
        <w:tc>
          <w:tcPr>
            <w:tcW w:w="2320" w:type="dxa"/>
            <w:tcBorders>
              <w:top w:val="nil"/>
              <w:left w:val="nil"/>
              <w:bottom w:val="nil"/>
              <w:right w:val="nil"/>
            </w:tcBorders>
            <w:shd w:val="clear" w:color="auto" w:fill="auto"/>
            <w:noWrap/>
            <w:hideMark/>
          </w:tcPr>
          <w:p w14:paraId="20BBB7AF"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12.74 (8.25-18.81)</w:t>
            </w:r>
          </w:p>
        </w:tc>
        <w:tc>
          <w:tcPr>
            <w:tcW w:w="3020" w:type="dxa"/>
            <w:tcBorders>
              <w:top w:val="nil"/>
              <w:left w:val="nil"/>
              <w:bottom w:val="nil"/>
              <w:right w:val="nil"/>
            </w:tcBorders>
            <w:shd w:val="clear" w:color="auto" w:fill="auto"/>
            <w:noWrap/>
            <w:hideMark/>
          </w:tcPr>
          <w:p w14:paraId="5C826653"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1.77 (1.10-2.74)</w:t>
            </w:r>
          </w:p>
        </w:tc>
      </w:tr>
      <w:tr w:rsidR="00F52A9D" w:rsidRPr="000935FE" w14:paraId="04FD7DF7" w14:textId="77777777" w:rsidTr="00F52A9D">
        <w:trPr>
          <w:trHeight w:val="280"/>
        </w:trPr>
        <w:tc>
          <w:tcPr>
            <w:tcW w:w="3460" w:type="dxa"/>
            <w:tcBorders>
              <w:top w:val="nil"/>
              <w:left w:val="nil"/>
              <w:bottom w:val="nil"/>
              <w:right w:val="nil"/>
            </w:tcBorders>
            <w:shd w:val="clear" w:color="auto" w:fill="auto"/>
            <w:noWrap/>
            <w:vAlign w:val="bottom"/>
            <w:hideMark/>
          </w:tcPr>
          <w:p w14:paraId="39695499" w14:textId="77777777" w:rsidR="00F52A9D" w:rsidRPr="000935FE" w:rsidRDefault="00F52A9D" w:rsidP="00F52A9D">
            <w:pPr>
              <w:rPr>
                <w:rFonts w:ascii="Verdana" w:hAnsi="Verdana" w:cs="Arial"/>
                <w:color w:val="0F0F0F"/>
                <w:sz w:val="21"/>
                <w:szCs w:val="21"/>
              </w:rPr>
            </w:pPr>
            <w:r w:rsidRPr="000935FE">
              <w:rPr>
                <w:rFonts w:ascii="Verdana" w:hAnsi="Verdana" w:cs="Arial"/>
                <w:color w:val="0F0F0F"/>
                <w:sz w:val="21"/>
                <w:szCs w:val="21"/>
              </w:rPr>
              <w:t>Black</w:t>
            </w:r>
          </w:p>
        </w:tc>
        <w:tc>
          <w:tcPr>
            <w:tcW w:w="1300" w:type="dxa"/>
            <w:tcBorders>
              <w:top w:val="nil"/>
              <w:left w:val="nil"/>
              <w:bottom w:val="nil"/>
              <w:right w:val="nil"/>
            </w:tcBorders>
            <w:shd w:val="clear" w:color="auto" w:fill="auto"/>
            <w:noWrap/>
            <w:hideMark/>
          </w:tcPr>
          <w:p w14:paraId="18DF3731"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32</w:t>
            </w:r>
          </w:p>
        </w:tc>
        <w:tc>
          <w:tcPr>
            <w:tcW w:w="2320" w:type="dxa"/>
            <w:tcBorders>
              <w:top w:val="nil"/>
              <w:left w:val="nil"/>
              <w:bottom w:val="nil"/>
              <w:right w:val="nil"/>
            </w:tcBorders>
            <w:shd w:val="clear" w:color="auto" w:fill="auto"/>
            <w:noWrap/>
            <w:hideMark/>
          </w:tcPr>
          <w:p w14:paraId="465522D3"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38.03 (26.01-53.68)</w:t>
            </w:r>
          </w:p>
        </w:tc>
        <w:tc>
          <w:tcPr>
            <w:tcW w:w="3020" w:type="dxa"/>
            <w:tcBorders>
              <w:top w:val="nil"/>
              <w:left w:val="nil"/>
              <w:bottom w:val="nil"/>
              <w:right w:val="nil"/>
            </w:tcBorders>
            <w:shd w:val="clear" w:color="auto" w:fill="auto"/>
            <w:noWrap/>
            <w:hideMark/>
          </w:tcPr>
          <w:p w14:paraId="4B25D231"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5.27 (3.44-7.87)</w:t>
            </w:r>
          </w:p>
        </w:tc>
      </w:tr>
      <w:tr w:rsidR="00F52A9D" w:rsidRPr="000935FE" w14:paraId="14ADF616" w14:textId="77777777" w:rsidTr="00F52A9D">
        <w:trPr>
          <w:trHeight w:val="280"/>
        </w:trPr>
        <w:tc>
          <w:tcPr>
            <w:tcW w:w="3460" w:type="dxa"/>
            <w:tcBorders>
              <w:top w:val="nil"/>
              <w:left w:val="nil"/>
              <w:bottom w:val="nil"/>
              <w:right w:val="nil"/>
            </w:tcBorders>
            <w:shd w:val="clear" w:color="auto" w:fill="auto"/>
            <w:noWrap/>
            <w:vAlign w:val="bottom"/>
            <w:hideMark/>
          </w:tcPr>
          <w:p w14:paraId="0BD6303F" w14:textId="77777777" w:rsidR="00F52A9D" w:rsidRPr="000935FE" w:rsidRDefault="00F52A9D" w:rsidP="00F52A9D">
            <w:pPr>
              <w:rPr>
                <w:rFonts w:ascii="Verdana" w:hAnsi="Verdana" w:cs="Arial"/>
                <w:color w:val="0F0F0F"/>
                <w:sz w:val="21"/>
                <w:szCs w:val="21"/>
              </w:rPr>
            </w:pPr>
            <w:r w:rsidRPr="000935FE">
              <w:rPr>
                <w:rFonts w:ascii="Verdana" w:hAnsi="Verdana" w:cs="Arial"/>
                <w:color w:val="0F0F0F"/>
                <w:sz w:val="21"/>
                <w:szCs w:val="21"/>
              </w:rPr>
              <w:t>Chinese/others</w:t>
            </w:r>
          </w:p>
        </w:tc>
        <w:tc>
          <w:tcPr>
            <w:tcW w:w="1300" w:type="dxa"/>
            <w:tcBorders>
              <w:top w:val="nil"/>
              <w:left w:val="nil"/>
              <w:bottom w:val="nil"/>
              <w:right w:val="nil"/>
            </w:tcBorders>
            <w:shd w:val="clear" w:color="auto" w:fill="auto"/>
            <w:noWrap/>
            <w:hideMark/>
          </w:tcPr>
          <w:p w14:paraId="33058740"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7</w:t>
            </w:r>
          </w:p>
        </w:tc>
        <w:tc>
          <w:tcPr>
            <w:tcW w:w="2320" w:type="dxa"/>
            <w:tcBorders>
              <w:top w:val="nil"/>
              <w:left w:val="nil"/>
              <w:bottom w:val="nil"/>
              <w:right w:val="nil"/>
            </w:tcBorders>
            <w:shd w:val="clear" w:color="auto" w:fill="auto"/>
            <w:noWrap/>
            <w:hideMark/>
          </w:tcPr>
          <w:p w14:paraId="76227C16"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9.28 (3.73-19.12)</w:t>
            </w:r>
          </w:p>
        </w:tc>
        <w:tc>
          <w:tcPr>
            <w:tcW w:w="3020" w:type="dxa"/>
            <w:tcBorders>
              <w:top w:val="nil"/>
              <w:left w:val="nil"/>
              <w:bottom w:val="nil"/>
              <w:right w:val="nil"/>
            </w:tcBorders>
            <w:shd w:val="clear" w:color="auto" w:fill="auto"/>
            <w:noWrap/>
            <w:hideMark/>
          </w:tcPr>
          <w:p w14:paraId="23FF5008"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1.29 (0.5-2.74)</w:t>
            </w:r>
          </w:p>
        </w:tc>
      </w:tr>
      <w:tr w:rsidR="00F52A9D" w:rsidRPr="000935FE" w14:paraId="68A263FE" w14:textId="77777777" w:rsidTr="00F52A9D">
        <w:trPr>
          <w:trHeight w:val="280"/>
        </w:trPr>
        <w:tc>
          <w:tcPr>
            <w:tcW w:w="3460" w:type="dxa"/>
            <w:tcBorders>
              <w:top w:val="nil"/>
              <w:left w:val="nil"/>
              <w:bottom w:val="single" w:sz="4" w:space="0" w:color="auto"/>
              <w:right w:val="nil"/>
            </w:tcBorders>
            <w:shd w:val="clear" w:color="auto" w:fill="auto"/>
            <w:noWrap/>
            <w:vAlign w:val="bottom"/>
            <w:hideMark/>
          </w:tcPr>
          <w:p w14:paraId="70C65FCA" w14:textId="77777777" w:rsidR="00F52A9D" w:rsidRPr="000935FE" w:rsidRDefault="00F52A9D" w:rsidP="00F52A9D">
            <w:pPr>
              <w:rPr>
                <w:rFonts w:ascii="Verdana" w:hAnsi="Verdana" w:cs="Arial"/>
                <w:color w:val="0F0F0F"/>
                <w:sz w:val="21"/>
                <w:szCs w:val="21"/>
              </w:rPr>
            </w:pPr>
            <w:r w:rsidRPr="000935FE">
              <w:rPr>
                <w:rFonts w:ascii="Verdana" w:hAnsi="Verdana" w:cs="Arial"/>
                <w:color w:val="0F0F0F"/>
                <w:sz w:val="21"/>
                <w:szCs w:val="21"/>
              </w:rPr>
              <w:t>Mixed</w:t>
            </w:r>
          </w:p>
        </w:tc>
        <w:tc>
          <w:tcPr>
            <w:tcW w:w="1300" w:type="dxa"/>
            <w:tcBorders>
              <w:top w:val="nil"/>
              <w:left w:val="nil"/>
              <w:bottom w:val="single" w:sz="4" w:space="0" w:color="auto"/>
              <w:right w:val="nil"/>
            </w:tcBorders>
            <w:shd w:val="clear" w:color="auto" w:fill="auto"/>
            <w:noWrap/>
            <w:hideMark/>
          </w:tcPr>
          <w:p w14:paraId="0555B243"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7</w:t>
            </w:r>
          </w:p>
        </w:tc>
        <w:tc>
          <w:tcPr>
            <w:tcW w:w="2320" w:type="dxa"/>
            <w:tcBorders>
              <w:top w:val="nil"/>
              <w:left w:val="nil"/>
              <w:bottom w:val="single" w:sz="4" w:space="0" w:color="auto"/>
              <w:right w:val="nil"/>
            </w:tcBorders>
            <w:shd w:val="clear" w:color="auto" w:fill="auto"/>
            <w:noWrap/>
            <w:hideMark/>
          </w:tcPr>
          <w:p w14:paraId="43A45AC7"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22.51 (9.05-46.36)</w:t>
            </w:r>
          </w:p>
        </w:tc>
        <w:tc>
          <w:tcPr>
            <w:tcW w:w="3020" w:type="dxa"/>
            <w:tcBorders>
              <w:top w:val="nil"/>
              <w:left w:val="nil"/>
              <w:bottom w:val="single" w:sz="4" w:space="0" w:color="auto"/>
              <w:right w:val="nil"/>
            </w:tcBorders>
            <w:shd w:val="clear" w:color="auto" w:fill="auto"/>
            <w:noWrap/>
            <w:hideMark/>
          </w:tcPr>
          <w:p w14:paraId="133B651A" w14:textId="77777777" w:rsidR="00F52A9D" w:rsidRPr="000935FE" w:rsidRDefault="00F52A9D" w:rsidP="00F52A9D">
            <w:pPr>
              <w:jc w:val="right"/>
              <w:rPr>
                <w:rFonts w:ascii="Verdana" w:hAnsi="Verdana" w:cs="Arial"/>
                <w:color w:val="0F0F0F"/>
                <w:sz w:val="21"/>
                <w:szCs w:val="21"/>
              </w:rPr>
            </w:pPr>
            <w:r w:rsidRPr="000935FE">
              <w:rPr>
                <w:rFonts w:ascii="Verdana" w:hAnsi="Verdana" w:cs="Arial"/>
                <w:color w:val="0F0F0F"/>
                <w:sz w:val="21"/>
                <w:szCs w:val="21"/>
              </w:rPr>
              <w:t>3.12 (1.22-6.64)</w:t>
            </w:r>
          </w:p>
        </w:tc>
      </w:tr>
    </w:tbl>
    <w:p w14:paraId="200ADF1B" w14:textId="648FC719" w:rsidR="00F52A9D" w:rsidRPr="000935FE" w:rsidRDefault="00F52A9D">
      <w:pPr>
        <w:rPr>
          <w:rFonts w:ascii="Verdana" w:hAnsi="Verdana"/>
          <w:b/>
          <w:bCs/>
        </w:rPr>
      </w:pPr>
    </w:p>
    <w:p w14:paraId="3D11F2EF" w14:textId="06C3A1AB" w:rsidR="00F52A9D" w:rsidRPr="000935FE" w:rsidRDefault="007B1F0C">
      <w:pPr>
        <w:rPr>
          <w:rFonts w:ascii="Verdana" w:hAnsi="Verdana"/>
        </w:rPr>
      </w:pPr>
      <w:r w:rsidRPr="000935FE">
        <w:rPr>
          <w:rFonts w:ascii="Verdana" w:hAnsi="Verdana"/>
          <w:b/>
          <w:bCs/>
        </w:rPr>
        <w:t xml:space="preserve">Breastfeeding – first feed breastmilk </w:t>
      </w:r>
      <w:r w:rsidR="00774CDF" w:rsidRPr="000935FE">
        <w:rPr>
          <w:rFonts w:ascii="Verdana" w:hAnsi="Verdana"/>
          <w:b/>
          <w:bCs/>
        </w:rPr>
        <w:t xml:space="preserve">– England – 2018/19 – </w:t>
      </w:r>
      <w:r w:rsidR="00774CDF" w:rsidRPr="000935FE">
        <w:rPr>
          <w:rFonts w:ascii="Verdana" w:hAnsi="Verdana"/>
        </w:rPr>
        <w:t>Maternity Services Dataset (MSDS)</w:t>
      </w:r>
    </w:p>
    <w:p w14:paraId="6909F911" w14:textId="3EA4F0BF" w:rsidR="00AA4D03" w:rsidRPr="000935FE" w:rsidRDefault="00AA4D03">
      <w:pPr>
        <w:rPr>
          <w:rFonts w:ascii="Verdana" w:hAnsi="Verdana"/>
        </w:rPr>
      </w:pPr>
    </w:p>
    <w:p w14:paraId="58B4949F" w14:textId="224445B0" w:rsidR="00AA4D03" w:rsidRPr="000935FE" w:rsidRDefault="00BC5160">
      <w:pPr>
        <w:rPr>
          <w:rFonts w:ascii="Verdana" w:hAnsi="Verdana"/>
          <w:sz w:val="22"/>
          <w:szCs w:val="22"/>
        </w:rPr>
      </w:pPr>
      <w:r w:rsidRPr="000935FE">
        <w:rPr>
          <w:rFonts w:ascii="Verdana" w:hAnsi="Verdana"/>
          <w:sz w:val="22"/>
          <w:szCs w:val="22"/>
        </w:rPr>
        <w:t xml:space="preserve">Significantly higher proportion of babies have breastmilk as their first milk after birth in all ethnic minority groups compared to babies in White ethnicity groups. </w:t>
      </w:r>
    </w:p>
    <w:p w14:paraId="30323DF7" w14:textId="127FFC15" w:rsidR="00BC5160" w:rsidRPr="000935FE" w:rsidRDefault="00BC5160">
      <w:pPr>
        <w:rPr>
          <w:rFonts w:ascii="Verdana" w:hAnsi="Verdana"/>
        </w:rPr>
      </w:pPr>
    </w:p>
    <w:tbl>
      <w:tblPr>
        <w:tblW w:w="6096" w:type="dxa"/>
        <w:tblLook w:val="04A0" w:firstRow="1" w:lastRow="0" w:firstColumn="1" w:lastColumn="0" w:noHBand="0" w:noVBand="1"/>
      </w:tblPr>
      <w:tblGrid>
        <w:gridCol w:w="2320"/>
        <w:gridCol w:w="3776"/>
      </w:tblGrid>
      <w:tr w:rsidR="006517BA" w:rsidRPr="000935FE" w14:paraId="354EC9E2" w14:textId="77777777" w:rsidTr="000935FE">
        <w:trPr>
          <w:trHeight w:val="814"/>
        </w:trPr>
        <w:tc>
          <w:tcPr>
            <w:tcW w:w="2320" w:type="dxa"/>
            <w:tcBorders>
              <w:top w:val="single" w:sz="4" w:space="0" w:color="auto"/>
              <w:left w:val="nil"/>
              <w:bottom w:val="single" w:sz="4" w:space="0" w:color="auto"/>
              <w:right w:val="nil"/>
            </w:tcBorders>
            <w:shd w:val="clear" w:color="auto" w:fill="auto"/>
            <w:hideMark/>
          </w:tcPr>
          <w:p w14:paraId="61F10350" w14:textId="77777777" w:rsidR="006517BA" w:rsidRPr="000935FE" w:rsidRDefault="006517BA" w:rsidP="006517BA">
            <w:pPr>
              <w:rPr>
                <w:rFonts w:ascii="Verdana" w:hAnsi="Verdana" w:cs="Arial"/>
                <w:b/>
                <w:bCs/>
                <w:color w:val="0F0F0F"/>
                <w:sz w:val="22"/>
                <w:szCs w:val="22"/>
              </w:rPr>
            </w:pPr>
            <w:r w:rsidRPr="000935FE">
              <w:rPr>
                <w:rFonts w:ascii="Verdana" w:hAnsi="Verdana" w:cs="Arial"/>
                <w:b/>
                <w:bCs/>
                <w:color w:val="0F0F0F"/>
                <w:sz w:val="22"/>
                <w:szCs w:val="22"/>
              </w:rPr>
              <w:t>Ethnicity</w:t>
            </w:r>
          </w:p>
        </w:tc>
        <w:tc>
          <w:tcPr>
            <w:tcW w:w="3776" w:type="dxa"/>
            <w:tcBorders>
              <w:top w:val="single" w:sz="4" w:space="0" w:color="auto"/>
              <w:left w:val="nil"/>
              <w:bottom w:val="single" w:sz="4" w:space="0" w:color="auto"/>
              <w:right w:val="nil"/>
            </w:tcBorders>
            <w:shd w:val="clear" w:color="auto" w:fill="auto"/>
            <w:vAlign w:val="bottom"/>
            <w:hideMark/>
          </w:tcPr>
          <w:p w14:paraId="7618ED26" w14:textId="77777777" w:rsidR="006517BA" w:rsidRPr="000935FE" w:rsidRDefault="006517BA" w:rsidP="006517BA">
            <w:pPr>
              <w:jc w:val="right"/>
              <w:rPr>
                <w:rFonts w:ascii="Verdana" w:hAnsi="Verdana" w:cs="Arial"/>
                <w:b/>
                <w:bCs/>
                <w:color w:val="0F0F0F"/>
                <w:sz w:val="22"/>
                <w:szCs w:val="22"/>
              </w:rPr>
            </w:pPr>
            <w:r w:rsidRPr="000935FE">
              <w:rPr>
                <w:rFonts w:ascii="Verdana" w:hAnsi="Verdana" w:cs="Arial"/>
                <w:b/>
                <w:bCs/>
                <w:color w:val="0F0F0F"/>
                <w:sz w:val="22"/>
                <w:szCs w:val="22"/>
              </w:rPr>
              <w:t>Proportion of babies whose first feed is breastmilk (95% CI given in brackets)</w:t>
            </w:r>
          </w:p>
        </w:tc>
      </w:tr>
      <w:tr w:rsidR="006517BA" w:rsidRPr="000935FE" w14:paraId="287E0F99" w14:textId="77777777" w:rsidTr="000935FE">
        <w:trPr>
          <w:trHeight w:val="280"/>
        </w:trPr>
        <w:tc>
          <w:tcPr>
            <w:tcW w:w="2320" w:type="dxa"/>
            <w:tcBorders>
              <w:top w:val="nil"/>
              <w:left w:val="nil"/>
              <w:bottom w:val="nil"/>
              <w:right w:val="nil"/>
            </w:tcBorders>
            <w:shd w:val="clear" w:color="auto" w:fill="auto"/>
            <w:noWrap/>
            <w:vAlign w:val="bottom"/>
            <w:hideMark/>
          </w:tcPr>
          <w:p w14:paraId="2AA3BF57" w14:textId="77777777" w:rsidR="006517BA" w:rsidRPr="000935FE" w:rsidRDefault="006517BA" w:rsidP="006517BA">
            <w:pPr>
              <w:rPr>
                <w:rFonts w:ascii="Verdana" w:hAnsi="Verdana" w:cs="Arial"/>
                <w:color w:val="0F0F0F"/>
                <w:sz w:val="22"/>
                <w:szCs w:val="22"/>
              </w:rPr>
            </w:pPr>
            <w:r w:rsidRPr="000935FE">
              <w:rPr>
                <w:rFonts w:ascii="Verdana" w:hAnsi="Verdana" w:cs="Arial"/>
                <w:color w:val="0F0F0F"/>
                <w:sz w:val="22"/>
                <w:szCs w:val="22"/>
              </w:rPr>
              <w:t>White</w:t>
            </w:r>
          </w:p>
        </w:tc>
        <w:tc>
          <w:tcPr>
            <w:tcW w:w="3776" w:type="dxa"/>
            <w:tcBorders>
              <w:top w:val="nil"/>
              <w:left w:val="nil"/>
              <w:bottom w:val="nil"/>
              <w:right w:val="nil"/>
            </w:tcBorders>
            <w:shd w:val="clear" w:color="auto" w:fill="auto"/>
            <w:noWrap/>
            <w:vAlign w:val="bottom"/>
            <w:hideMark/>
          </w:tcPr>
          <w:p w14:paraId="66F03715" w14:textId="77777777" w:rsidR="006517BA" w:rsidRPr="000935FE" w:rsidRDefault="006517BA" w:rsidP="006517BA">
            <w:pPr>
              <w:jc w:val="right"/>
              <w:rPr>
                <w:rFonts w:ascii="Verdana" w:hAnsi="Verdana" w:cs="Arial"/>
                <w:color w:val="0F0F0F"/>
                <w:sz w:val="22"/>
                <w:szCs w:val="22"/>
              </w:rPr>
            </w:pPr>
            <w:r w:rsidRPr="000935FE">
              <w:rPr>
                <w:rFonts w:ascii="Verdana" w:hAnsi="Verdana" w:cs="Arial"/>
                <w:color w:val="0F0F0F"/>
                <w:sz w:val="22"/>
                <w:szCs w:val="22"/>
              </w:rPr>
              <w:t>64.7% (64.4-64.9%)</w:t>
            </w:r>
          </w:p>
        </w:tc>
      </w:tr>
      <w:tr w:rsidR="006517BA" w:rsidRPr="000935FE" w14:paraId="3F493920" w14:textId="77777777" w:rsidTr="000935FE">
        <w:trPr>
          <w:trHeight w:val="280"/>
        </w:trPr>
        <w:tc>
          <w:tcPr>
            <w:tcW w:w="2320" w:type="dxa"/>
            <w:tcBorders>
              <w:top w:val="nil"/>
              <w:left w:val="nil"/>
              <w:bottom w:val="nil"/>
              <w:right w:val="nil"/>
            </w:tcBorders>
            <w:shd w:val="clear" w:color="auto" w:fill="auto"/>
            <w:noWrap/>
            <w:vAlign w:val="bottom"/>
            <w:hideMark/>
          </w:tcPr>
          <w:p w14:paraId="07293ACD" w14:textId="77777777" w:rsidR="006517BA" w:rsidRPr="000935FE" w:rsidRDefault="006517BA" w:rsidP="006517BA">
            <w:pPr>
              <w:rPr>
                <w:rFonts w:ascii="Verdana" w:hAnsi="Verdana" w:cs="Arial"/>
                <w:color w:val="0F0F0F"/>
                <w:sz w:val="22"/>
                <w:szCs w:val="22"/>
              </w:rPr>
            </w:pPr>
            <w:r w:rsidRPr="000935FE">
              <w:rPr>
                <w:rFonts w:ascii="Verdana" w:hAnsi="Verdana" w:cs="Arial"/>
                <w:color w:val="0F0F0F"/>
                <w:sz w:val="22"/>
                <w:szCs w:val="22"/>
              </w:rPr>
              <w:t>Asian</w:t>
            </w:r>
          </w:p>
        </w:tc>
        <w:tc>
          <w:tcPr>
            <w:tcW w:w="3776" w:type="dxa"/>
            <w:tcBorders>
              <w:top w:val="nil"/>
              <w:left w:val="nil"/>
              <w:bottom w:val="nil"/>
              <w:right w:val="nil"/>
            </w:tcBorders>
            <w:shd w:val="clear" w:color="auto" w:fill="auto"/>
            <w:noWrap/>
            <w:vAlign w:val="bottom"/>
            <w:hideMark/>
          </w:tcPr>
          <w:p w14:paraId="53C17242" w14:textId="77777777" w:rsidR="006517BA" w:rsidRPr="000935FE" w:rsidRDefault="006517BA" w:rsidP="006517BA">
            <w:pPr>
              <w:jc w:val="right"/>
              <w:rPr>
                <w:rFonts w:ascii="Verdana" w:hAnsi="Verdana" w:cs="Arial"/>
                <w:color w:val="0F0F0F"/>
                <w:sz w:val="22"/>
                <w:szCs w:val="22"/>
              </w:rPr>
            </w:pPr>
            <w:r w:rsidRPr="000935FE">
              <w:rPr>
                <w:rFonts w:ascii="Verdana" w:hAnsi="Verdana" w:cs="Arial"/>
                <w:color w:val="0F0F0F"/>
                <w:sz w:val="22"/>
                <w:szCs w:val="22"/>
              </w:rPr>
              <w:t>72.5% (71.8-73.2%)</w:t>
            </w:r>
          </w:p>
        </w:tc>
      </w:tr>
      <w:tr w:rsidR="006517BA" w:rsidRPr="000935FE" w14:paraId="50D5A985" w14:textId="77777777" w:rsidTr="000935FE">
        <w:trPr>
          <w:trHeight w:val="280"/>
        </w:trPr>
        <w:tc>
          <w:tcPr>
            <w:tcW w:w="2320" w:type="dxa"/>
            <w:tcBorders>
              <w:top w:val="nil"/>
              <w:left w:val="nil"/>
              <w:bottom w:val="nil"/>
              <w:right w:val="nil"/>
            </w:tcBorders>
            <w:shd w:val="clear" w:color="auto" w:fill="auto"/>
            <w:noWrap/>
            <w:vAlign w:val="bottom"/>
            <w:hideMark/>
          </w:tcPr>
          <w:p w14:paraId="772150B8" w14:textId="77777777" w:rsidR="006517BA" w:rsidRPr="000935FE" w:rsidRDefault="006517BA" w:rsidP="006517BA">
            <w:pPr>
              <w:rPr>
                <w:rFonts w:ascii="Verdana" w:hAnsi="Verdana" w:cs="Arial"/>
                <w:color w:val="0F0F0F"/>
                <w:sz w:val="22"/>
                <w:szCs w:val="22"/>
              </w:rPr>
            </w:pPr>
            <w:r w:rsidRPr="000935FE">
              <w:rPr>
                <w:rFonts w:ascii="Verdana" w:hAnsi="Verdana" w:cs="Arial"/>
                <w:color w:val="0F0F0F"/>
                <w:sz w:val="22"/>
                <w:szCs w:val="22"/>
              </w:rPr>
              <w:t>Black</w:t>
            </w:r>
          </w:p>
        </w:tc>
        <w:tc>
          <w:tcPr>
            <w:tcW w:w="3776" w:type="dxa"/>
            <w:tcBorders>
              <w:top w:val="nil"/>
              <w:left w:val="nil"/>
              <w:bottom w:val="nil"/>
              <w:right w:val="nil"/>
            </w:tcBorders>
            <w:shd w:val="clear" w:color="auto" w:fill="auto"/>
            <w:noWrap/>
            <w:vAlign w:val="bottom"/>
            <w:hideMark/>
          </w:tcPr>
          <w:p w14:paraId="5422A9B7" w14:textId="77777777" w:rsidR="006517BA" w:rsidRPr="000935FE" w:rsidRDefault="006517BA" w:rsidP="006517BA">
            <w:pPr>
              <w:jc w:val="right"/>
              <w:rPr>
                <w:rFonts w:ascii="Verdana" w:hAnsi="Verdana" w:cs="Arial"/>
                <w:color w:val="0F0F0F"/>
                <w:sz w:val="22"/>
                <w:szCs w:val="22"/>
              </w:rPr>
            </w:pPr>
            <w:r w:rsidRPr="000935FE">
              <w:rPr>
                <w:rFonts w:ascii="Verdana" w:hAnsi="Verdana" w:cs="Arial"/>
                <w:color w:val="0F0F0F"/>
                <w:sz w:val="22"/>
                <w:szCs w:val="22"/>
              </w:rPr>
              <w:t>75.3% (74.2-76.5%)</w:t>
            </w:r>
          </w:p>
        </w:tc>
      </w:tr>
      <w:tr w:rsidR="006517BA" w:rsidRPr="000935FE" w14:paraId="15A01F57" w14:textId="77777777" w:rsidTr="000935FE">
        <w:trPr>
          <w:trHeight w:val="280"/>
        </w:trPr>
        <w:tc>
          <w:tcPr>
            <w:tcW w:w="2320" w:type="dxa"/>
            <w:tcBorders>
              <w:top w:val="nil"/>
              <w:left w:val="nil"/>
              <w:bottom w:val="nil"/>
              <w:right w:val="nil"/>
            </w:tcBorders>
            <w:shd w:val="clear" w:color="auto" w:fill="auto"/>
            <w:noWrap/>
            <w:vAlign w:val="bottom"/>
            <w:hideMark/>
          </w:tcPr>
          <w:p w14:paraId="2FD53D91" w14:textId="77777777" w:rsidR="006517BA" w:rsidRPr="000935FE" w:rsidRDefault="006517BA" w:rsidP="006517BA">
            <w:pPr>
              <w:rPr>
                <w:rFonts w:ascii="Verdana" w:hAnsi="Verdana" w:cs="Arial"/>
                <w:color w:val="0F0F0F"/>
                <w:sz w:val="22"/>
                <w:szCs w:val="22"/>
              </w:rPr>
            </w:pPr>
            <w:r w:rsidRPr="000935FE">
              <w:rPr>
                <w:rFonts w:ascii="Verdana" w:hAnsi="Verdana" w:cs="Arial"/>
                <w:color w:val="0F0F0F"/>
                <w:sz w:val="22"/>
                <w:szCs w:val="22"/>
              </w:rPr>
              <w:t>Chinese</w:t>
            </w:r>
          </w:p>
        </w:tc>
        <w:tc>
          <w:tcPr>
            <w:tcW w:w="3776" w:type="dxa"/>
            <w:tcBorders>
              <w:top w:val="nil"/>
              <w:left w:val="nil"/>
              <w:bottom w:val="nil"/>
              <w:right w:val="nil"/>
            </w:tcBorders>
            <w:shd w:val="clear" w:color="auto" w:fill="auto"/>
            <w:noWrap/>
            <w:vAlign w:val="bottom"/>
            <w:hideMark/>
          </w:tcPr>
          <w:p w14:paraId="22A7ACE2" w14:textId="77777777" w:rsidR="006517BA" w:rsidRPr="000935FE" w:rsidRDefault="006517BA" w:rsidP="006517BA">
            <w:pPr>
              <w:jc w:val="right"/>
              <w:rPr>
                <w:rFonts w:ascii="Verdana" w:hAnsi="Verdana" w:cs="Arial"/>
                <w:color w:val="0F0F0F"/>
                <w:sz w:val="22"/>
                <w:szCs w:val="22"/>
              </w:rPr>
            </w:pPr>
            <w:r w:rsidRPr="000935FE">
              <w:rPr>
                <w:rFonts w:ascii="Verdana" w:hAnsi="Verdana" w:cs="Arial"/>
                <w:color w:val="0F0F0F"/>
                <w:sz w:val="22"/>
                <w:szCs w:val="22"/>
              </w:rPr>
              <w:t>77.2% (74.1-80.4%)</w:t>
            </w:r>
          </w:p>
        </w:tc>
      </w:tr>
      <w:tr w:rsidR="006517BA" w:rsidRPr="000935FE" w14:paraId="7B8B5F8B" w14:textId="77777777" w:rsidTr="000935FE">
        <w:trPr>
          <w:trHeight w:val="280"/>
        </w:trPr>
        <w:tc>
          <w:tcPr>
            <w:tcW w:w="2320" w:type="dxa"/>
            <w:tcBorders>
              <w:top w:val="nil"/>
              <w:left w:val="nil"/>
              <w:bottom w:val="nil"/>
              <w:right w:val="nil"/>
            </w:tcBorders>
            <w:shd w:val="clear" w:color="auto" w:fill="auto"/>
            <w:noWrap/>
            <w:vAlign w:val="bottom"/>
            <w:hideMark/>
          </w:tcPr>
          <w:p w14:paraId="3ADEF9CA" w14:textId="77777777" w:rsidR="006517BA" w:rsidRPr="000935FE" w:rsidRDefault="006517BA" w:rsidP="006517BA">
            <w:pPr>
              <w:rPr>
                <w:rFonts w:ascii="Verdana" w:hAnsi="Verdana" w:cs="Arial"/>
                <w:color w:val="0F0F0F"/>
                <w:sz w:val="22"/>
                <w:szCs w:val="22"/>
              </w:rPr>
            </w:pPr>
            <w:r w:rsidRPr="000935FE">
              <w:rPr>
                <w:rFonts w:ascii="Verdana" w:hAnsi="Verdana" w:cs="Arial"/>
                <w:color w:val="0F0F0F"/>
                <w:sz w:val="22"/>
                <w:szCs w:val="22"/>
              </w:rPr>
              <w:t>Mixed</w:t>
            </w:r>
          </w:p>
        </w:tc>
        <w:tc>
          <w:tcPr>
            <w:tcW w:w="3776" w:type="dxa"/>
            <w:tcBorders>
              <w:top w:val="nil"/>
              <w:left w:val="nil"/>
              <w:bottom w:val="nil"/>
              <w:right w:val="nil"/>
            </w:tcBorders>
            <w:shd w:val="clear" w:color="auto" w:fill="auto"/>
            <w:noWrap/>
            <w:vAlign w:val="bottom"/>
            <w:hideMark/>
          </w:tcPr>
          <w:p w14:paraId="1721822B" w14:textId="77777777" w:rsidR="006517BA" w:rsidRPr="000935FE" w:rsidRDefault="006517BA" w:rsidP="006517BA">
            <w:pPr>
              <w:jc w:val="right"/>
              <w:rPr>
                <w:rFonts w:ascii="Verdana" w:hAnsi="Verdana" w:cs="Arial"/>
                <w:color w:val="0F0F0F"/>
                <w:sz w:val="22"/>
                <w:szCs w:val="22"/>
              </w:rPr>
            </w:pPr>
            <w:r w:rsidRPr="000935FE">
              <w:rPr>
                <w:rFonts w:ascii="Verdana" w:hAnsi="Verdana" w:cs="Arial"/>
                <w:color w:val="0F0F0F"/>
                <w:sz w:val="22"/>
                <w:szCs w:val="22"/>
              </w:rPr>
              <w:t>73.1% (71.4-74.8%)</w:t>
            </w:r>
          </w:p>
        </w:tc>
      </w:tr>
      <w:tr w:rsidR="006517BA" w:rsidRPr="000935FE" w14:paraId="4396804E" w14:textId="77777777" w:rsidTr="000935FE">
        <w:trPr>
          <w:trHeight w:val="280"/>
        </w:trPr>
        <w:tc>
          <w:tcPr>
            <w:tcW w:w="2320" w:type="dxa"/>
            <w:tcBorders>
              <w:top w:val="nil"/>
              <w:left w:val="nil"/>
              <w:bottom w:val="nil"/>
              <w:right w:val="nil"/>
            </w:tcBorders>
            <w:shd w:val="clear" w:color="auto" w:fill="auto"/>
            <w:noWrap/>
            <w:vAlign w:val="bottom"/>
            <w:hideMark/>
          </w:tcPr>
          <w:p w14:paraId="2CDD52FB" w14:textId="77777777" w:rsidR="006517BA" w:rsidRPr="000935FE" w:rsidRDefault="006517BA" w:rsidP="006517BA">
            <w:pPr>
              <w:rPr>
                <w:rFonts w:ascii="Verdana" w:hAnsi="Verdana" w:cs="Arial"/>
                <w:color w:val="0F0F0F"/>
                <w:sz w:val="22"/>
                <w:szCs w:val="22"/>
              </w:rPr>
            </w:pPr>
            <w:r w:rsidRPr="000935FE">
              <w:rPr>
                <w:rFonts w:ascii="Verdana" w:hAnsi="Verdana" w:cs="Arial"/>
                <w:color w:val="0F0F0F"/>
                <w:sz w:val="22"/>
                <w:szCs w:val="22"/>
              </w:rPr>
              <w:t>Other</w:t>
            </w:r>
          </w:p>
        </w:tc>
        <w:tc>
          <w:tcPr>
            <w:tcW w:w="3776" w:type="dxa"/>
            <w:tcBorders>
              <w:top w:val="nil"/>
              <w:left w:val="nil"/>
              <w:bottom w:val="nil"/>
              <w:right w:val="nil"/>
            </w:tcBorders>
            <w:shd w:val="clear" w:color="auto" w:fill="auto"/>
            <w:noWrap/>
            <w:vAlign w:val="bottom"/>
            <w:hideMark/>
          </w:tcPr>
          <w:p w14:paraId="41C527D9" w14:textId="77777777" w:rsidR="006517BA" w:rsidRPr="000935FE" w:rsidRDefault="006517BA" w:rsidP="006517BA">
            <w:pPr>
              <w:jc w:val="right"/>
              <w:rPr>
                <w:rFonts w:ascii="Verdana" w:hAnsi="Verdana" w:cs="Arial"/>
                <w:color w:val="0F0F0F"/>
                <w:sz w:val="22"/>
                <w:szCs w:val="22"/>
              </w:rPr>
            </w:pPr>
            <w:r w:rsidRPr="000935FE">
              <w:rPr>
                <w:rFonts w:ascii="Verdana" w:hAnsi="Verdana" w:cs="Arial"/>
                <w:color w:val="0F0F0F"/>
                <w:sz w:val="22"/>
                <w:szCs w:val="22"/>
              </w:rPr>
              <w:t>76% (74.7-77.2%)</w:t>
            </w:r>
          </w:p>
        </w:tc>
      </w:tr>
      <w:tr w:rsidR="006517BA" w:rsidRPr="000935FE" w14:paraId="302D229D" w14:textId="77777777" w:rsidTr="000935FE">
        <w:trPr>
          <w:trHeight w:val="280"/>
        </w:trPr>
        <w:tc>
          <w:tcPr>
            <w:tcW w:w="2320" w:type="dxa"/>
            <w:tcBorders>
              <w:top w:val="nil"/>
              <w:left w:val="nil"/>
              <w:bottom w:val="single" w:sz="4" w:space="0" w:color="auto"/>
              <w:right w:val="nil"/>
            </w:tcBorders>
            <w:shd w:val="clear" w:color="auto" w:fill="auto"/>
            <w:noWrap/>
            <w:vAlign w:val="bottom"/>
            <w:hideMark/>
          </w:tcPr>
          <w:p w14:paraId="7FC50D52" w14:textId="77777777" w:rsidR="006517BA" w:rsidRPr="000935FE" w:rsidRDefault="006517BA" w:rsidP="006517BA">
            <w:pPr>
              <w:rPr>
                <w:rFonts w:ascii="Verdana" w:hAnsi="Verdana" w:cs="Arial"/>
                <w:color w:val="0F0F0F"/>
                <w:sz w:val="22"/>
                <w:szCs w:val="22"/>
              </w:rPr>
            </w:pPr>
            <w:r w:rsidRPr="000935FE">
              <w:rPr>
                <w:rFonts w:ascii="Verdana" w:hAnsi="Verdana" w:cs="Arial"/>
                <w:color w:val="0F0F0F"/>
                <w:sz w:val="22"/>
                <w:szCs w:val="22"/>
              </w:rPr>
              <w:t>Unknown</w:t>
            </w:r>
          </w:p>
        </w:tc>
        <w:tc>
          <w:tcPr>
            <w:tcW w:w="3776" w:type="dxa"/>
            <w:tcBorders>
              <w:top w:val="nil"/>
              <w:left w:val="nil"/>
              <w:bottom w:val="single" w:sz="4" w:space="0" w:color="auto"/>
              <w:right w:val="nil"/>
            </w:tcBorders>
            <w:shd w:val="clear" w:color="auto" w:fill="auto"/>
            <w:noWrap/>
            <w:vAlign w:val="bottom"/>
            <w:hideMark/>
          </w:tcPr>
          <w:p w14:paraId="459CEC96" w14:textId="77777777" w:rsidR="006517BA" w:rsidRPr="000935FE" w:rsidRDefault="006517BA" w:rsidP="006517BA">
            <w:pPr>
              <w:jc w:val="right"/>
              <w:rPr>
                <w:rFonts w:ascii="Verdana" w:hAnsi="Verdana" w:cs="Arial"/>
                <w:color w:val="0F0F0F"/>
                <w:sz w:val="22"/>
                <w:szCs w:val="22"/>
              </w:rPr>
            </w:pPr>
            <w:r w:rsidRPr="000935FE">
              <w:rPr>
                <w:rFonts w:ascii="Verdana" w:hAnsi="Verdana" w:cs="Arial"/>
                <w:color w:val="0F0F0F"/>
                <w:sz w:val="22"/>
                <w:szCs w:val="22"/>
              </w:rPr>
              <w:t>72% (71.3-72.6%)</w:t>
            </w:r>
          </w:p>
        </w:tc>
      </w:tr>
    </w:tbl>
    <w:p w14:paraId="20BF19F7" w14:textId="46A3ED93" w:rsidR="007B1F0C" w:rsidRPr="000935FE" w:rsidRDefault="007B1F0C">
      <w:pPr>
        <w:rPr>
          <w:rFonts w:ascii="Verdana" w:hAnsi="Verdana"/>
          <w:b/>
          <w:bCs/>
        </w:rPr>
      </w:pPr>
    </w:p>
    <w:p w14:paraId="19DE0C4E" w14:textId="768AC607" w:rsidR="00DB7275" w:rsidRPr="000935FE" w:rsidRDefault="00DB7275">
      <w:pPr>
        <w:rPr>
          <w:rFonts w:ascii="Verdana" w:hAnsi="Verdana"/>
          <w:b/>
          <w:bCs/>
        </w:rPr>
      </w:pPr>
    </w:p>
    <w:p w14:paraId="44DBF580" w14:textId="45660C30" w:rsidR="00DB7275" w:rsidRPr="000935FE" w:rsidRDefault="00DB7275">
      <w:pPr>
        <w:rPr>
          <w:rFonts w:ascii="Verdana" w:hAnsi="Verdana"/>
          <w:b/>
          <w:bCs/>
        </w:rPr>
      </w:pPr>
    </w:p>
    <w:p w14:paraId="76EE5B5C" w14:textId="3133D507" w:rsidR="00DB7275" w:rsidRPr="000935FE" w:rsidRDefault="00DB7275">
      <w:pPr>
        <w:rPr>
          <w:rFonts w:ascii="Verdana" w:hAnsi="Verdana"/>
          <w:b/>
          <w:bCs/>
        </w:rPr>
      </w:pPr>
    </w:p>
    <w:p w14:paraId="2C804A15" w14:textId="50A6C79E" w:rsidR="00DB7275" w:rsidRPr="000935FE" w:rsidRDefault="00DB7275">
      <w:pPr>
        <w:rPr>
          <w:rFonts w:ascii="Verdana" w:hAnsi="Verdana"/>
          <w:b/>
          <w:bCs/>
        </w:rPr>
      </w:pPr>
    </w:p>
    <w:p w14:paraId="2944D6E2" w14:textId="50F477D0" w:rsidR="00DB7275" w:rsidRPr="000935FE" w:rsidRDefault="00DB7275">
      <w:pPr>
        <w:rPr>
          <w:rFonts w:ascii="Verdana" w:hAnsi="Verdana"/>
          <w:b/>
          <w:bCs/>
        </w:rPr>
      </w:pPr>
    </w:p>
    <w:p w14:paraId="4DA54CFD" w14:textId="59876B5D" w:rsidR="00DB7275" w:rsidRPr="000935FE" w:rsidRDefault="00DB7275">
      <w:pPr>
        <w:rPr>
          <w:rFonts w:ascii="Verdana" w:hAnsi="Verdana"/>
          <w:b/>
          <w:bCs/>
        </w:rPr>
      </w:pPr>
    </w:p>
    <w:p w14:paraId="3B2EA660" w14:textId="07B197AE" w:rsidR="00DB7275" w:rsidRPr="000935FE" w:rsidRDefault="00DB7275">
      <w:pPr>
        <w:rPr>
          <w:rFonts w:ascii="Verdana" w:hAnsi="Verdana"/>
          <w:b/>
          <w:bCs/>
        </w:rPr>
      </w:pPr>
    </w:p>
    <w:p w14:paraId="4314A9C7" w14:textId="0AC220A5" w:rsidR="00DB7275" w:rsidRPr="000935FE" w:rsidRDefault="00DB7275">
      <w:pPr>
        <w:rPr>
          <w:rFonts w:ascii="Verdana" w:hAnsi="Verdana"/>
          <w:b/>
          <w:bCs/>
        </w:rPr>
      </w:pPr>
    </w:p>
    <w:p w14:paraId="546B1C41" w14:textId="2C27B9F0" w:rsidR="00DB7275" w:rsidRPr="000935FE" w:rsidRDefault="00DB7275">
      <w:pPr>
        <w:rPr>
          <w:rFonts w:ascii="Verdana" w:hAnsi="Verdana"/>
          <w:b/>
          <w:bCs/>
        </w:rPr>
      </w:pPr>
    </w:p>
    <w:p w14:paraId="0B14FB3E" w14:textId="3EF71ED7" w:rsidR="00DB7275" w:rsidRPr="000935FE" w:rsidRDefault="00DB7275">
      <w:pPr>
        <w:rPr>
          <w:rFonts w:ascii="Verdana" w:hAnsi="Verdana"/>
          <w:b/>
          <w:bCs/>
        </w:rPr>
      </w:pPr>
    </w:p>
    <w:p w14:paraId="2966E31E" w14:textId="6B23B489" w:rsidR="00DB7275" w:rsidRPr="000935FE" w:rsidRDefault="00DB7275">
      <w:pPr>
        <w:rPr>
          <w:rFonts w:ascii="Verdana" w:hAnsi="Verdana"/>
          <w:b/>
          <w:bCs/>
        </w:rPr>
      </w:pPr>
    </w:p>
    <w:p w14:paraId="53D1E647" w14:textId="367C0B09" w:rsidR="00DB7275" w:rsidRPr="000935FE" w:rsidRDefault="00DB7275">
      <w:pPr>
        <w:rPr>
          <w:rFonts w:ascii="Verdana" w:hAnsi="Verdana"/>
          <w:b/>
          <w:bCs/>
        </w:rPr>
      </w:pPr>
    </w:p>
    <w:p w14:paraId="4FC0188F" w14:textId="177AF9F2" w:rsidR="00DB7275" w:rsidRPr="000935FE" w:rsidRDefault="00DB7275">
      <w:pPr>
        <w:rPr>
          <w:rFonts w:ascii="Verdana" w:hAnsi="Verdana"/>
          <w:b/>
          <w:bCs/>
        </w:rPr>
      </w:pPr>
    </w:p>
    <w:p w14:paraId="63D38424" w14:textId="44814101" w:rsidR="00DB7275" w:rsidRPr="000935FE" w:rsidRDefault="00DB7275">
      <w:pPr>
        <w:rPr>
          <w:rFonts w:ascii="Verdana" w:hAnsi="Verdana"/>
          <w:b/>
          <w:bCs/>
        </w:rPr>
      </w:pPr>
    </w:p>
    <w:p w14:paraId="2DA79ABB" w14:textId="77777777" w:rsidR="00DB7275" w:rsidRPr="000935FE" w:rsidRDefault="00DB7275">
      <w:pPr>
        <w:rPr>
          <w:rFonts w:ascii="Verdana" w:hAnsi="Verdana"/>
          <w:b/>
          <w:bCs/>
        </w:rPr>
      </w:pPr>
    </w:p>
    <w:p w14:paraId="4CD0B508" w14:textId="1A8C7327" w:rsidR="006517BA" w:rsidRPr="000935FE" w:rsidRDefault="006517BA">
      <w:pPr>
        <w:rPr>
          <w:rFonts w:ascii="Verdana" w:hAnsi="Verdana"/>
        </w:rPr>
      </w:pPr>
      <w:r w:rsidRPr="000935FE">
        <w:rPr>
          <w:rFonts w:ascii="Verdana" w:hAnsi="Verdana"/>
          <w:b/>
          <w:bCs/>
        </w:rPr>
        <w:t xml:space="preserve">Infant mortality </w:t>
      </w:r>
      <w:r w:rsidR="00DB7275" w:rsidRPr="000935FE">
        <w:rPr>
          <w:rFonts w:ascii="Verdana" w:hAnsi="Verdana"/>
          <w:b/>
          <w:bCs/>
        </w:rPr>
        <w:t>–</w:t>
      </w:r>
      <w:r w:rsidRPr="000935FE">
        <w:rPr>
          <w:rFonts w:ascii="Verdana" w:hAnsi="Verdana"/>
          <w:b/>
          <w:bCs/>
        </w:rPr>
        <w:t xml:space="preserve"> England</w:t>
      </w:r>
      <w:r w:rsidR="00DB7275" w:rsidRPr="000935FE">
        <w:rPr>
          <w:rFonts w:ascii="Verdana" w:hAnsi="Verdana"/>
          <w:b/>
          <w:bCs/>
        </w:rPr>
        <w:t xml:space="preserve"> – 2017 birth cohort – </w:t>
      </w:r>
      <w:r w:rsidR="00DB7275" w:rsidRPr="000935FE">
        <w:rPr>
          <w:rFonts w:ascii="Verdana" w:hAnsi="Verdana"/>
        </w:rPr>
        <w:t>Office for National Statistics</w:t>
      </w:r>
    </w:p>
    <w:p w14:paraId="192A64C7" w14:textId="0A68F652" w:rsidR="00DB7275" w:rsidRPr="000935FE" w:rsidRDefault="00DB7275">
      <w:pPr>
        <w:rPr>
          <w:rFonts w:ascii="Verdana" w:hAnsi="Verdana"/>
          <w:sz w:val="22"/>
          <w:szCs w:val="22"/>
        </w:rPr>
      </w:pPr>
    </w:p>
    <w:p w14:paraId="77BE5AF6" w14:textId="31D13D08" w:rsidR="00DB7275" w:rsidRPr="000935FE" w:rsidRDefault="00DB7275">
      <w:pPr>
        <w:rPr>
          <w:rFonts w:ascii="Verdana" w:hAnsi="Verdana"/>
          <w:sz w:val="22"/>
          <w:szCs w:val="22"/>
        </w:rPr>
      </w:pPr>
      <w:r w:rsidRPr="000935FE">
        <w:rPr>
          <w:rFonts w:ascii="Verdana" w:hAnsi="Verdana"/>
          <w:sz w:val="22"/>
          <w:szCs w:val="22"/>
        </w:rPr>
        <w:t>Infant (under 1 year) and neonatal deaths (up to 28 days) are</w:t>
      </w:r>
      <w:r w:rsidR="00652FCD" w:rsidRPr="000935FE">
        <w:rPr>
          <w:rFonts w:ascii="Verdana" w:hAnsi="Verdana"/>
          <w:sz w:val="22"/>
          <w:szCs w:val="22"/>
        </w:rPr>
        <w:t xml:space="preserve"> significantly</w:t>
      </w:r>
      <w:r w:rsidRPr="000935FE">
        <w:rPr>
          <w:rFonts w:ascii="Verdana" w:hAnsi="Verdana"/>
          <w:sz w:val="22"/>
          <w:szCs w:val="22"/>
        </w:rPr>
        <w:t xml:space="preserve"> higher in </w:t>
      </w:r>
      <w:r w:rsidR="00652FCD" w:rsidRPr="000935FE">
        <w:rPr>
          <w:rFonts w:ascii="Verdana" w:hAnsi="Verdana"/>
          <w:sz w:val="22"/>
          <w:szCs w:val="22"/>
        </w:rPr>
        <w:t>B</w:t>
      </w:r>
      <w:r w:rsidRPr="000935FE">
        <w:rPr>
          <w:rFonts w:ascii="Verdana" w:hAnsi="Verdana"/>
          <w:sz w:val="22"/>
          <w:szCs w:val="22"/>
        </w:rPr>
        <w:t>angladeshi</w:t>
      </w:r>
      <w:r w:rsidR="00652FCD" w:rsidRPr="000935FE">
        <w:rPr>
          <w:rFonts w:ascii="Verdana" w:hAnsi="Verdana"/>
          <w:sz w:val="22"/>
          <w:szCs w:val="22"/>
        </w:rPr>
        <w:t>, Indian, Pakistani, African, Caribbean (infant deaths only), and Chinese and other mixed groups compared to White British ethnic groups.</w:t>
      </w:r>
    </w:p>
    <w:p w14:paraId="7EB0CFA0" w14:textId="601A25D5" w:rsidR="00DB7275" w:rsidRPr="000935FE" w:rsidRDefault="00DB7275">
      <w:pPr>
        <w:rPr>
          <w:rFonts w:ascii="Verdana" w:hAnsi="Verdana"/>
        </w:rPr>
      </w:pPr>
    </w:p>
    <w:tbl>
      <w:tblPr>
        <w:tblW w:w="0" w:type="auto"/>
        <w:tblCellMar>
          <w:left w:w="28" w:type="dxa"/>
          <w:right w:w="28" w:type="dxa"/>
        </w:tblCellMar>
        <w:tblLook w:val="04A0" w:firstRow="1" w:lastRow="0" w:firstColumn="1" w:lastColumn="0" w:noHBand="0" w:noVBand="1"/>
      </w:tblPr>
      <w:tblGrid>
        <w:gridCol w:w="1843"/>
        <w:gridCol w:w="1280"/>
        <w:gridCol w:w="1178"/>
        <w:gridCol w:w="2352"/>
        <w:gridCol w:w="1405"/>
        <w:gridCol w:w="2402"/>
      </w:tblGrid>
      <w:tr w:rsidR="00DB7275" w:rsidRPr="000935FE" w14:paraId="6ADDBC2A" w14:textId="77777777" w:rsidTr="00DB7275">
        <w:trPr>
          <w:trHeight w:val="1360"/>
        </w:trPr>
        <w:tc>
          <w:tcPr>
            <w:tcW w:w="1843" w:type="dxa"/>
            <w:tcBorders>
              <w:top w:val="single" w:sz="4" w:space="0" w:color="auto"/>
              <w:left w:val="nil"/>
              <w:bottom w:val="single" w:sz="4" w:space="0" w:color="auto"/>
              <w:right w:val="nil"/>
            </w:tcBorders>
            <w:shd w:val="clear" w:color="auto" w:fill="auto"/>
            <w:hideMark/>
          </w:tcPr>
          <w:p w14:paraId="44D64A81" w14:textId="77777777" w:rsidR="00DB7275" w:rsidRPr="000935FE" w:rsidRDefault="00DB7275" w:rsidP="00DB7275">
            <w:pPr>
              <w:rPr>
                <w:rFonts w:ascii="Verdana" w:hAnsi="Verdana"/>
                <w:b/>
                <w:bCs/>
                <w:color w:val="000000"/>
                <w:sz w:val="20"/>
                <w:szCs w:val="20"/>
              </w:rPr>
            </w:pPr>
            <w:r w:rsidRPr="000935FE">
              <w:rPr>
                <w:rFonts w:ascii="Verdana" w:hAnsi="Verdana"/>
                <w:b/>
                <w:bCs/>
                <w:color w:val="000000"/>
                <w:sz w:val="20"/>
                <w:szCs w:val="20"/>
              </w:rPr>
              <w:t>Ethnicity</w:t>
            </w:r>
          </w:p>
        </w:tc>
        <w:tc>
          <w:tcPr>
            <w:tcW w:w="1280" w:type="dxa"/>
            <w:tcBorders>
              <w:top w:val="single" w:sz="4" w:space="0" w:color="auto"/>
              <w:left w:val="nil"/>
              <w:bottom w:val="single" w:sz="4" w:space="0" w:color="auto"/>
              <w:right w:val="nil"/>
            </w:tcBorders>
            <w:shd w:val="clear" w:color="auto" w:fill="auto"/>
            <w:hideMark/>
          </w:tcPr>
          <w:p w14:paraId="6BF50D67" w14:textId="77777777" w:rsidR="00DB7275" w:rsidRPr="000935FE" w:rsidRDefault="00DB7275" w:rsidP="00DB7275">
            <w:pPr>
              <w:jc w:val="right"/>
              <w:rPr>
                <w:rFonts w:ascii="Verdana" w:hAnsi="Verdana"/>
                <w:b/>
                <w:bCs/>
                <w:color w:val="000000"/>
                <w:sz w:val="20"/>
                <w:szCs w:val="20"/>
              </w:rPr>
            </w:pPr>
            <w:r w:rsidRPr="000935FE">
              <w:rPr>
                <w:rFonts w:ascii="Verdana" w:hAnsi="Verdana"/>
                <w:b/>
                <w:bCs/>
                <w:color w:val="000000"/>
                <w:sz w:val="20"/>
                <w:szCs w:val="20"/>
              </w:rPr>
              <w:t>Live births</w:t>
            </w:r>
          </w:p>
        </w:tc>
        <w:tc>
          <w:tcPr>
            <w:tcW w:w="0" w:type="auto"/>
            <w:tcBorders>
              <w:top w:val="single" w:sz="4" w:space="0" w:color="auto"/>
              <w:left w:val="nil"/>
              <w:bottom w:val="single" w:sz="4" w:space="0" w:color="auto"/>
              <w:right w:val="nil"/>
            </w:tcBorders>
            <w:shd w:val="clear" w:color="auto" w:fill="auto"/>
            <w:hideMark/>
          </w:tcPr>
          <w:p w14:paraId="331020C1" w14:textId="77777777" w:rsidR="00DB7275" w:rsidRPr="000935FE" w:rsidRDefault="00DB7275" w:rsidP="00DB7275">
            <w:pPr>
              <w:jc w:val="right"/>
              <w:rPr>
                <w:rFonts w:ascii="Verdana" w:hAnsi="Verdana"/>
                <w:b/>
                <w:bCs/>
                <w:color w:val="000000"/>
                <w:sz w:val="20"/>
                <w:szCs w:val="20"/>
              </w:rPr>
            </w:pPr>
            <w:r w:rsidRPr="000935FE">
              <w:rPr>
                <w:rFonts w:ascii="Verdana" w:hAnsi="Verdana"/>
                <w:b/>
                <w:bCs/>
                <w:color w:val="000000"/>
                <w:sz w:val="20"/>
                <w:szCs w:val="20"/>
              </w:rPr>
              <w:t>Neonatal deaths</w:t>
            </w:r>
          </w:p>
        </w:tc>
        <w:tc>
          <w:tcPr>
            <w:tcW w:w="0" w:type="auto"/>
            <w:tcBorders>
              <w:top w:val="single" w:sz="4" w:space="0" w:color="auto"/>
              <w:left w:val="nil"/>
              <w:bottom w:val="single" w:sz="4" w:space="0" w:color="auto"/>
              <w:right w:val="nil"/>
            </w:tcBorders>
            <w:shd w:val="clear" w:color="auto" w:fill="auto"/>
            <w:hideMark/>
          </w:tcPr>
          <w:p w14:paraId="0CC55B2B" w14:textId="77777777" w:rsidR="00DB7275" w:rsidRPr="000935FE" w:rsidRDefault="00DB7275" w:rsidP="00DB7275">
            <w:pPr>
              <w:jc w:val="right"/>
              <w:rPr>
                <w:rFonts w:ascii="Verdana" w:hAnsi="Verdana"/>
                <w:b/>
                <w:bCs/>
                <w:color w:val="000000"/>
                <w:sz w:val="20"/>
                <w:szCs w:val="20"/>
              </w:rPr>
            </w:pPr>
            <w:r w:rsidRPr="000935FE">
              <w:rPr>
                <w:rFonts w:ascii="Verdana" w:hAnsi="Verdana"/>
                <w:b/>
                <w:bCs/>
                <w:color w:val="000000"/>
                <w:sz w:val="20"/>
                <w:szCs w:val="20"/>
              </w:rPr>
              <w:t>Rate neonatal deaths per 1,000 live births (95% confidence interval in brackets)</w:t>
            </w:r>
          </w:p>
        </w:tc>
        <w:tc>
          <w:tcPr>
            <w:tcW w:w="0" w:type="auto"/>
            <w:tcBorders>
              <w:top w:val="single" w:sz="4" w:space="0" w:color="auto"/>
              <w:left w:val="nil"/>
              <w:bottom w:val="single" w:sz="4" w:space="0" w:color="auto"/>
              <w:right w:val="nil"/>
            </w:tcBorders>
            <w:shd w:val="clear" w:color="auto" w:fill="auto"/>
            <w:hideMark/>
          </w:tcPr>
          <w:p w14:paraId="0A4725F0" w14:textId="77777777" w:rsidR="00DB7275" w:rsidRPr="000935FE" w:rsidRDefault="00DB7275" w:rsidP="00DB7275">
            <w:pPr>
              <w:jc w:val="right"/>
              <w:rPr>
                <w:rFonts w:ascii="Verdana" w:hAnsi="Verdana"/>
                <w:b/>
                <w:bCs/>
                <w:color w:val="000000"/>
                <w:sz w:val="20"/>
                <w:szCs w:val="20"/>
              </w:rPr>
            </w:pPr>
            <w:r w:rsidRPr="000935FE">
              <w:rPr>
                <w:rFonts w:ascii="Verdana" w:hAnsi="Verdana"/>
                <w:b/>
                <w:bCs/>
                <w:color w:val="000000"/>
                <w:sz w:val="20"/>
                <w:szCs w:val="20"/>
              </w:rPr>
              <w:t xml:space="preserve"> Infant deaths </w:t>
            </w:r>
          </w:p>
        </w:tc>
        <w:tc>
          <w:tcPr>
            <w:tcW w:w="0" w:type="auto"/>
            <w:tcBorders>
              <w:top w:val="single" w:sz="4" w:space="0" w:color="auto"/>
              <w:left w:val="nil"/>
              <w:bottom w:val="single" w:sz="4" w:space="0" w:color="auto"/>
              <w:right w:val="nil"/>
            </w:tcBorders>
            <w:shd w:val="clear" w:color="auto" w:fill="auto"/>
            <w:hideMark/>
          </w:tcPr>
          <w:p w14:paraId="66872D32" w14:textId="77777777" w:rsidR="00DB7275" w:rsidRPr="000935FE" w:rsidRDefault="00DB7275" w:rsidP="00DB7275">
            <w:pPr>
              <w:jc w:val="right"/>
              <w:rPr>
                <w:rFonts w:ascii="Verdana" w:hAnsi="Verdana"/>
                <w:b/>
                <w:bCs/>
                <w:color w:val="000000"/>
                <w:sz w:val="20"/>
                <w:szCs w:val="20"/>
              </w:rPr>
            </w:pPr>
            <w:r w:rsidRPr="000935FE">
              <w:rPr>
                <w:rFonts w:ascii="Verdana" w:hAnsi="Verdana"/>
                <w:b/>
                <w:bCs/>
                <w:color w:val="000000"/>
                <w:sz w:val="20"/>
                <w:szCs w:val="20"/>
              </w:rPr>
              <w:t>Rate infant deaths per 1,000 live births (95% confidence interval in brackets)</w:t>
            </w:r>
          </w:p>
        </w:tc>
      </w:tr>
      <w:tr w:rsidR="00DB7275" w:rsidRPr="000935FE" w14:paraId="180B53D5" w14:textId="77777777" w:rsidTr="00DB7275">
        <w:trPr>
          <w:trHeight w:val="340"/>
        </w:trPr>
        <w:tc>
          <w:tcPr>
            <w:tcW w:w="1843" w:type="dxa"/>
            <w:tcBorders>
              <w:top w:val="nil"/>
              <w:left w:val="nil"/>
              <w:bottom w:val="nil"/>
              <w:right w:val="nil"/>
            </w:tcBorders>
            <w:shd w:val="clear" w:color="auto" w:fill="auto"/>
            <w:hideMark/>
          </w:tcPr>
          <w:p w14:paraId="578891C4"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All</w:t>
            </w:r>
          </w:p>
        </w:tc>
        <w:tc>
          <w:tcPr>
            <w:tcW w:w="1280" w:type="dxa"/>
            <w:tcBorders>
              <w:top w:val="nil"/>
              <w:left w:val="nil"/>
              <w:bottom w:val="nil"/>
              <w:right w:val="nil"/>
            </w:tcBorders>
            <w:shd w:val="clear" w:color="auto" w:fill="auto"/>
            <w:hideMark/>
          </w:tcPr>
          <w:p w14:paraId="2D4CE572" w14:textId="11E7C9D5" w:rsidR="00DB7275" w:rsidRPr="000935FE" w:rsidRDefault="00DB7275" w:rsidP="00DB7275">
            <w:pPr>
              <w:jc w:val="center"/>
              <w:rPr>
                <w:rFonts w:ascii="Verdana" w:hAnsi="Verdana"/>
                <w:color w:val="000000"/>
                <w:sz w:val="20"/>
                <w:szCs w:val="20"/>
              </w:rPr>
            </w:pPr>
            <w:r w:rsidRPr="000935FE">
              <w:rPr>
                <w:rFonts w:ascii="Verdana" w:hAnsi="Verdana"/>
                <w:color w:val="000000"/>
                <w:sz w:val="20"/>
                <w:szCs w:val="20"/>
              </w:rPr>
              <w:t xml:space="preserve">    678,728 </w:t>
            </w:r>
          </w:p>
        </w:tc>
        <w:tc>
          <w:tcPr>
            <w:tcW w:w="0" w:type="auto"/>
            <w:tcBorders>
              <w:top w:val="nil"/>
              <w:left w:val="nil"/>
              <w:bottom w:val="nil"/>
              <w:right w:val="nil"/>
            </w:tcBorders>
            <w:shd w:val="clear" w:color="auto" w:fill="auto"/>
            <w:hideMark/>
          </w:tcPr>
          <w:p w14:paraId="7A0B06B3" w14:textId="174B7391"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1,865 </w:t>
            </w:r>
          </w:p>
        </w:tc>
        <w:tc>
          <w:tcPr>
            <w:tcW w:w="0" w:type="auto"/>
            <w:tcBorders>
              <w:top w:val="nil"/>
              <w:left w:val="nil"/>
              <w:bottom w:val="nil"/>
              <w:right w:val="nil"/>
            </w:tcBorders>
            <w:shd w:val="clear" w:color="auto" w:fill="auto"/>
            <w:hideMark/>
          </w:tcPr>
          <w:p w14:paraId="140CFB63"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2.7 (2.6-2.9)</w:t>
            </w:r>
          </w:p>
        </w:tc>
        <w:tc>
          <w:tcPr>
            <w:tcW w:w="0" w:type="auto"/>
            <w:tcBorders>
              <w:top w:val="nil"/>
              <w:left w:val="nil"/>
              <w:bottom w:val="nil"/>
              <w:right w:val="nil"/>
            </w:tcBorders>
            <w:shd w:val="clear" w:color="auto" w:fill="auto"/>
            <w:noWrap/>
            <w:hideMark/>
          </w:tcPr>
          <w:p w14:paraId="5114D044"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2,538 </w:t>
            </w:r>
          </w:p>
        </w:tc>
        <w:tc>
          <w:tcPr>
            <w:tcW w:w="0" w:type="auto"/>
            <w:tcBorders>
              <w:top w:val="nil"/>
              <w:left w:val="nil"/>
              <w:bottom w:val="nil"/>
              <w:right w:val="nil"/>
            </w:tcBorders>
            <w:shd w:val="clear" w:color="auto" w:fill="auto"/>
            <w:noWrap/>
            <w:hideMark/>
          </w:tcPr>
          <w:p w14:paraId="2686AF99"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3.7 (3.6-3.9)</w:t>
            </w:r>
          </w:p>
        </w:tc>
      </w:tr>
      <w:tr w:rsidR="00DB7275" w:rsidRPr="000935FE" w14:paraId="08627B1C" w14:textId="77777777" w:rsidTr="00DB7275">
        <w:trPr>
          <w:trHeight w:val="340"/>
        </w:trPr>
        <w:tc>
          <w:tcPr>
            <w:tcW w:w="1843" w:type="dxa"/>
            <w:tcBorders>
              <w:top w:val="nil"/>
              <w:left w:val="nil"/>
              <w:bottom w:val="nil"/>
              <w:right w:val="nil"/>
            </w:tcBorders>
            <w:shd w:val="clear" w:color="auto" w:fill="auto"/>
            <w:hideMark/>
          </w:tcPr>
          <w:p w14:paraId="059BBE4A"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White British</w:t>
            </w:r>
          </w:p>
        </w:tc>
        <w:tc>
          <w:tcPr>
            <w:tcW w:w="1280" w:type="dxa"/>
            <w:tcBorders>
              <w:top w:val="nil"/>
              <w:left w:val="nil"/>
              <w:bottom w:val="nil"/>
              <w:right w:val="nil"/>
            </w:tcBorders>
            <w:shd w:val="clear" w:color="auto" w:fill="auto"/>
            <w:hideMark/>
          </w:tcPr>
          <w:p w14:paraId="42DFE14B" w14:textId="2FEAEE93"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403,543 </w:t>
            </w:r>
          </w:p>
        </w:tc>
        <w:tc>
          <w:tcPr>
            <w:tcW w:w="0" w:type="auto"/>
            <w:tcBorders>
              <w:top w:val="nil"/>
              <w:left w:val="nil"/>
              <w:bottom w:val="nil"/>
              <w:right w:val="nil"/>
            </w:tcBorders>
            <w:shd w:val="clear" w:color="auto" w:fill="auto"/>
            <w:hideMark/>
          </w:tcPr>
          <w:p w14:paraId="21D2CDDE" w14:textId="15E791C5" w:rsidR="00DB7275" w:rsidRPr="000935FE" w:rsidRDefault="00DB7275" w:rsidP="000935FE">
            <w:pPr>
              <w:jc w:val="center"/>
              <w:rPr>
                <w:rFonts w:ascii="Verdana" w:hAnsi="Verdana"/>
                <w:color w:val="000000"/>
                <w:sz w:val="20"/>
                <w:szCs w:val="20"/>
              </w:rPr>
            </w:pPr>
            <w:r w:rsidRPr="000935FE">
              <w:rPr>
                <w:rFonts w:ascii="Verdana" w:hAnsi="Verdana"/>
                <w:color w:val="000000"/>
                <w:sz w:val="20"/>
                <w:szCs w:val="20"/>
              </w:rPr>
              <w:t xml:space="preserve">          953 </w:t>
            </w:r>
          </w:p>
        </w:tc>
        <w:tc>
          <w:tcPr>
            <w:tcW w:w="0" w:type="auto"/>
            <w:tcBorders>
              <w:top w:val="nil"/>
              <w:left w:val="nil"/>
              <w:bottom w:val="nil"/>
              <w:right w:val="nil"/>
            </w:tcBorders>
            <w:shd w:val="clear" w:color="auto" w:fill="auto"/>
            <w:hideMark/>
          </w:tcPr>
          <w:p w14:paraId="2F308C66"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2.4 (2.2-2.5)</w:t>
            </w:r>
          </w:p>
        </w:tc>
        <w:tc>
          <w:tcPr>
            <w:tcW w:w="0" w:type="auto"/>
            <w:tcBorders>
              <w:top w:val="nil"/>
              <w:left w:val="nil"/>
              <w:bottom w:val="nil"/>
              <w:right w:val="nil"/>
            </w:tcBorders>
            <w:shd w:val="clear" w:color="auto" w:fill="auto"/>
            <w:noWrap/>
            <w:hideMark/>
          </w:tcPr>
          <w:p w14:paraId="7486FB38"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1,311 </w:t>
            </w:r>
          </w:p>
        </w:tc>
        <w:tc>
          <w:tcPr>
            <w:tcW w:w="0" w:type="auto"/>
            <w:tcBorders>
              <w:top w:val="nil"/>
              <w:left w:val="nil"/>
              <w:bottom w:val="nil"/>
              <w:right w:val="nil"/>
            </w:tcBorders>
            <w:shd w:val="clear" w:color="auto" w:fill="auto"/>
            <w:noWrap/>
            <w:hideMark/>
          </w:tcPr>
          <w:p w14:paraId="79608F32"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3.2 (3.1-3.4)</w:t>
            </w:r>
          </w:p>
        </w:tc>
      </w:tr>
      <w:tr w:rsidR="00DB7275" w:rsidRPr="000935FE" w14:paraId="410A0C46" w14:textId="77777777" w:rsidTr="00DB7275">
        <w:trPr>
          <w:trHeight w:val="340"/>
        </w:trPr>
        <w:tc>
          <w:tcPr>
            <w:tcW w:w="1843" w:type="dxa"/>
            <w:tcBorders>
              <w:top w:val="nil"/>
              <w:left w:val="nil"/>
              <w:bottom w:val="nil"/>
              <w:right w:val="nil"/>
            </w:tcBorders>
            <w:shd w:val="clear" w:color="auto" w:fill="auto"/>
            <w:hideMark/>
          </w:tcPr>
          <w:p w14:paraId="4519A415"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White Other</w:t>
            </w:r>
          </w:p>
        </w:tc>
        <w:tc>
          <w:tcPr>
            <w:tcW w:w="1280" w:type="dxa"/>
            <w:tcBorders>
              <w:top w:val="nil"/>
              <w:left w:val="nil"/>
              <w:bottom w:val="nil"/>
              <w:right w:val="nil"/>
            </w:tcBorders>
            <w:shd w:val="clear" w:color="auto" w:fill="auto"/>
            <w:hideMark/>
          </w:tcPr>
          <w:p w14:paraId="03B89B57" w14:textId="62CF5943"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78,896 </w:t>
            </w:r>
          </w:p>
        </w:tc>
        <w:tc>
          <w:tcPr>
            <w:tcW w:w="0" w:type="auto"/>
            <w:tcBorders>
              <w:top w:val="nil"/>
              <w:left w:val="nil"/>
              <w:bottom w:val="nil"/>
              <w:right w:val="nil"/>
            </w:tcBorders>
            <w:shd w:val="clear" w:color="auto" w:fill="auto"/>
            <w:hideMark/>
          </w:tcPr>
          <w:p w14:paraId="5C2C06AF" w14:textId="3E75D97E" w:rsidR="00DB7275" w:rsidRPr="000935FE" w:rsidRDefault="00DB7275" w:rsidP="00DB7275">
            <w:pPr>
              <w:rPr>
                <w:rFonts w:ascii="Verdana" w:hAnsi="Verdana"/>
                <w:color w:val="000000"/>
                <w:sz w:val="20"/>
                <w:szCs w:val="20"/>
              </w:rPr>
            </w:pPr>
            <w:r w:rsidRPr="000935FE">
              <w:rPr>
                <w:rFonts w:ascii="Verdana" w:hAnsi="Verdana"/>
                <w:color w:val="000000"/>
                <w:sz w:val="20"/>
                <w:szCs w:val="20"/>
              </w:rPr>
              <w:t xml:space="preserve">          152 </w:t>
            </w:r>
          </w:p>
        </w:tc>
        <w:tc>
          <w:tcPr>
            <w:tcW w:w="0" w:type="auto"/>
            <w:tcBorders>
              <w:top w:val="nil"/>
              <w:left w:val="nil"/>
              <w:bottom w:val="nil"/>
              <w:right w:val="nil"/>
            </w:tcBorders>
            <w:shd w:val="clear" w:color="auto" w:fill="auto"/>
            <w:hideMark/>
          </w:tcPr>
          <w:p w14:paraId="20095C9D"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1.9 (1.6-2.3)</w:t>
            </w:r>
          </w:p>
        </w:tc>
        <w:tc>
          <w:tcPr>
            <w:tcW w:w="0" w:type="auto"/>
            <w:tcBorders>
              <w:top w:val="nil"/>
              <w:left w:val="nil"/>
              <w:bottom w:val="nil"/>
              <w:right w:val="nil"/>
            </w:tcBorders>
            <w:shd w:val="clear" w:color="auto" w:fill="auto"/>
            <w:noWrap/>
            <w:hideMark/>
          </w:tcPr>
          <w:p w14:paraId="2232C23D"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205 </w:t>
            </w:r>
          </w:p>
        </w:tc>
        <w:tc>
          <w:tcPr>
            <w:tcW w:w="0" w:type="auto"/>
            <w:tcBorders>
              <w:top w:val="nil"/>
              <w:left w:val="nil"/>
              <w:bottom w:val="nil"/>
              <w:right w:val="nil"/>
            </w:tcBorders>
            <w:shd w:val="clear" w:color="auto" w:fill="auto"/>
            <w:noWrap/>
            <w:hideMark/>
          </w:tcPr>
          <w:p w14:paraId="1052516A"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2.6 (2.3-3)</w:t>
            </w:r>
          </w:p>
        </w:tc>
      </w:tr>
      <w:tr w:rsidR="00DB7275" w:rsidRPr="000935FE" w14:paraId="7C4BB248" w14:textId="77777777" w:rsidTr="00DB7275">
        <w:trPr>
          <w:trHeight w:val="340"/>
        </w:trPr>
        <w:tc>
          <w:tcPr>
            <w:tcW w:w="1843" w:type="dxa"/>
            <w:tcBorders>
              <w:top w:val="nil"/>
              <w:left w:val="nil"/>
              <w:bottom w:val="nil"/>
              <w:right w:val="nil"/>
            </w:tcBorders>
            <w:shd w:val="clear" w:color="auto" w:fill="auto"/>
            <w:hideMark/>
          </w:tcPr>
          <w:p w14:paraId="3985BF2F"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Bangladeshi</w:t>
            </w:r>
          </w:p>
        </w:tc>
        <w:tc>
          <w:tcPr>
            <w:tcW w:w="1280" w:type="dxa"/>
            <w:tcBorders>
              <w:top w:val="nil"/>
              <w:left w:val="nil"/>
              <w:bottom w:val="nil"/>
              <w:right w:val="nil"/>
            </w:tcBorders>
            <w:shd w:val="clear" w:color="auto" w:fill="auto"/>
            <w:hideMark/>
          </w:tcPr>
          <w:p w14:paraId="5B043B2D" w14:textId="47A053B4"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10,089 </w:t>
            </w:r>
          </w:p>
        </w:tc>
        <w:tc>
          <w:tcPr>
            <w:tcW w:w="0" w:type="auto"/>
            <w:tcBorders>
              <w:top w:val="nil"/>
              <w:left w:val="nil"/>
              <w:bottom w:val="nil"/>
              <w:right w:val="nil"/>
            </w:tcBorders>
            <w:shd w:val="clear" w:color="auto" w:fill="auto"/>
            <w:hideMark/>
          </w:tcPr>
          <w:p w14:paraId="4C5F03AA" w14:textId="0BF422E2" w:rsidR="00DB7275" w:rsidRPr="000935FE" w:rsidRDefault="00DB7275" w:rsidP="000935FE">
            <w:pPr>
              <w:rPr>
                <w:rFonts w:ascii="Verdana" w:hAnsi="Verdana"/>
                <w:color w:val="000000"/>
                <w:sz w:val="20"/>
                <w:szCs w:val="20"/>
              </w:rPr>
            </w:pPr>
            <w:r w:rsidRPr="000935FE">
              <w:rPr>
                <w:rFonts w:ascii="Verdana" w:hAnsi="Verdana"/>
                <w:color w:val="000000"/>
                <w:sz w:val="20"/>
                <w:szCs w:val="20"/>
              </w:rPr>
              <w:t xml:space="preserve">            42 </w:t>
            </w:r>
          </w:p>
        </w:tc>
        <w:tc>
          <w:tcPr>
            <w:tcW w:w="0" w:type="auto"/>
            <w:tcBorders>
              <w:top w:val="nil"/>
              <w:left w:val="nil"/>
              <w:bottom w:val="nil"/>
              <w:right w:val="nil"/>
            </w:tcBorders>
            <w:shd w:val="clear" w:color="auto" w:fill="auto"/>
            <w:hideMark/>
          </w:tcPr>
          <w:p w14:paraId="741C742F"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4.2 (3-5.6)</w:t>
            </w:r>
          </w:p>
        </w:tc>
        <w:tc>
          <w:tcPr>
            <w:tcW w:w="0" w:type="auto"/>
            <w:tcBorders>
              <w:top w:val="nil"/>
              <w:left w:val="nil"/>
              <w:bottom w:val="nil"/>
              <w:right w:val="nil"/>
            </w:tcBorders>
            <w:shd w:val="clear" w:color="auto" w:fill="auto"/>
            <w:noWrap/>
            <w:hideMark/>
          </w:tcPr>
          <w:p w14:paraId="02A230B4"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56 </w:t>
            </w:r>
          </w:p>
        </w:tc>
        <w:tc>
          <w:tcPr>
            <w:tcW w:w="0" w:type="auto"/>
            <w:tcBorders>
              <w:top w:val="nil"/>
              <w:left w:val="nil"/>
              <w:bottom w:val="nil"/>
              <w:right w:val="nil"/>
            </w:tcBorders>
            <w:shd w:val="clear" w:color="auto" w:fill="auto"/>
            <w:noWrap/>
            <w:hideMark/>
          </w:tcPr>
          <w:p w14:paraId="23332629"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5.6 (4.2-7.2)</w:t>
            </w:r>
          </w:p>
        </w:tc>
      </w:tr>
      <w:tr w:rsidR="00DB7275" w:rsidRPr="000935FE" w14:paraId="0A3EB1A2" w14:textId="77777777" w:rsidTr="00DB7275">
        <w:trPr>
          <w:trHeight w:val="340"/>
        </w:trPr>
        <w:tc>
          <w:tcPr>
            <w:tcW w:w="1843" w:type="dxa"/>
            <w:tcBorders>
              <w:top w:val="nil"/>
              <w:left w:val="nil"/>
              <w:bottom w:val="nil"/>
              <w:right w:val="nil"/>
            </w:tcBorders>
            <w:shd w:val="clear" w:color="auto" w:fill="auto"/>
            <w:hideMark/>
          </w:tcPr>
          <w:p w14:paraId="7F037E9F"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Indian</w:t>
            </w:r>
          </w:p>
        </w:tc>
        <w:tc>
          <w:tcPr>
            <w:tcW w:w="1280" w:type="dxa"/>
            <w:tcBorders>
              <w:top w:val="nil"/>
              <w:left w:val="nil"/>
              <w:bottom w:val="nil"/>
              <w:right w:val="nil"/>
            </w:tcBorders>
            <w:shd w:val="clear" w:color="auto" w:fill="auto"/>
            <w:hideMark/>
          </w:tcPr>
          <w:p w14:paraId="441D8D60" w14:textId="6CB7FD99"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21,157 </w:t>
            </w:r>
          </w:p>
        </w:tc>
        <w:tc>
          <w:tcPr>
            <w:tcW w:w="0" w:type="auto"/>
            <w:tcBorders>
              <w:top w:val="nil"/>
              <w:left w:val="nil"/>
              <w:bottom w:val="nil"/>
              <w:right w:val="nil"/>
            </w:tcBorders>
            <w:shd w:val="clear" w:color="auto" w:fill="auto"/>
            <w:hideMark/>
          </w:tcPr>
          <w:p w14:paraId="3CC58034" w14:textId="5A00261E"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74 </w:t>
            </w:r>
          </w:p>
        </w:tc>
        <w:tc>
          <w:tcPr>
            <w:tcW w:w="0" w:type="auto"/>
            <w:tcBorders>
              <w:top w:val="nil"/>
              <w:left w:val="nil"/>
              <w:bottom w:val="nil"/>
              <w:right w:val="nil"/>
            </w:tcBorders>
            <w:shd w:val="clear" w:color="auto" w:fill="auto"/>
            <w:hideMark/>
          </w:tcPr>
          <w:p w14:paraId="7FD42D0B"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3.5 (2.7-4.4)</w:t>
            </w:r>
          </w:p>
        </w:tc>
        <w:tc>
          <w:tcPr>
            <w:tcW w:w="0" w:type="auto"/>
            <w:tcBorders>
              <w:top w:val="nil"/>
              <w:left w:val="nil"/>
              <w:bottom w:val="nil"/>
              <w:right w:val="nil"/>
            </w:tcBorders>
            <w:shd w:val="clear" w:color="auto" w:fill="auto"/>
            <w:noWrap/>
            <w:hideMark/>
          </w:tcPr>
          <w:p w14:paraId="09D0FD41"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99 </w:t>
            </w:r>
          </w:p>
        </w:tc>
        <w:tc>
          <w:tcPr>
            <w:tcW w:w="0" w:type="auto"/>
            <w:tcBorders>
              <w:top w:val="nil"/>
              <w:left w:val="nil"/>
              <w:bottom w:val="nil"/>
              <w:right w:val="nil"/>
            </w:tcBorders>
            <w:shd w:val="clear" w:color="auto" w:fill="auto"/>
            <w:noWrap/>
            <w:hideMark/>
          </w:tcPr>
          <w:p w14:paraId="31905CA3"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4.7 (3.8-5.7)</w:t>
            </w:r>
          </w:p>
        </w:tc>
      </w:tr>
      <w:tr w:rsidR="00DB7275" w:rsidRPr="000935FE" w14:paraId="409ED250" w14:textId="77777777" w:rsidTr="00DB7275">
        <w:trPr>
          <w:trHeight w:val="340"/>
        </w:trPr>
        <w:tc>
          <w:tcPr>
            <w:tcW w:w="1843" w:type="dxa"/>
            <w:tcBorders>
              <w:top w:val="nil"/>
              <w:left w:val="nil"/>
              <w:bottom w:val="nil"/>
              <w:right w:val="nil"/>
            </w:tcBorders>
            <w:shd w:val="clear" w:color="auto" w:fill="auto"/>
            <w:hideMark/>
          </w:tcPr>
          <w:p w14:paraId="22315438"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Pakistani</w:t>
            </w:r>
          </w:p>
        </w:tc>
        <w:tc>
          <w:tcPr>
            <w:tcW w:w="1280" w:type="dxa"/>
            <w:tcBorders>
              <w:top w:val="nil"/>
              <w:left w:val="nil"/>
              <w:bottom w:val="nil"/>
              <w:right w:val="nil"/>
            </w:tcBorders>
            <w:shd w:val="clear" w:color="auto" w:fill="auto"/>
            <w:hideMark/>
          </w:tcPr>
          <w:p w14:paraId="59789CF1" w14:textId="6988D549"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28,135 </w:t>
            </w:r>
          </w:p>
        </w:tc>
        <w:tc>
          <w:tcPr>
            <w:tcW w:w="0" w:type="auto"/>
            <w:tcBorders>
              <w:top w:val="nil"/>
              <w:left w:val="nil"/>
              <w:bottom w:val="nil"/>
              <w:right w:val="nil"/>
            </w:tcBorders>
            <w:shd w:val="clear" w:color="auto" w:fill="auto"/>
            <w:hideMark/>
          </w:tcPr>
          <w:p w14:paraId="0329B706" w14:textId="265B33AF"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140 </w:t>
            </w:r>
          </w:p>
        </w:tc>
        <w:tc>
          <w:tcPr>
            <w:tcW w:w="0" w:type="auto"/>
            <w:tcBorders>
              <w:top w:val="nil"/>
              <w:left w:val="nil"/>
              <w:bottom w:val="nil"/>
              <w:right w:val="nil"/>
            </w:tcBorders>
            <w:shd w:val="clear" w:color="auto" w:fill="auto"/>
            <w:hideMark/>
          </w:tcPr>
          <w:p w14:paraId="725F231D"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5 (4.2-5.9)</w:t>
            </w:r>
          </w:p>
        </w:tc>
        <w:tc>
          <w:tcPr>
            <w:tcW w:w="0" w:type="auto"/>
            <w:tcBorders>
              <w:top w:val="nil"/>
              <w:left w:val="nil"/>
              <w:bottom w:val="nil"/>
              <w:right w:val="nil"/>
            </w:tcBorders>
            <w:shd w:val="clear" w:color="auto" w:fill="auto"/>
            <w:noWrap/>
            <w:hideMark/>
          </w:tcPr>
          <w:p w14:paraId="46D309BF"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204 </w:t>
            </w:r>
          </w:p>
        </w:tc>
        <w:tc>
          <w:tcPr>
            <w:tcW w:w="0" w:type="auto"/>
            <w:tcBorders>
              <w:top w:val="nil"/>
              <w:left w:val="nil"/>
              <w:bottom w:val="nil"/>
              <w:right w:val="nil"/>
            </w:tcBorders>
            <w:shd w:val="clear" w:color="auto" w:fill="auto"/>
            <w:noWrap/>
            <w:hideMark/>
          </w:tcPr>
          <w:p w14:paraId="2929B8AF"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7.3 (6.3-8.3)</w:t>
            </w:r>
          </w:p>
        </w:tc>
      </w:tr>
      <w:tr w:rsidR="00DB7275" w:rsidRPr="000935FE" w14:paraId="271BE9DD" w14:textId="77777777" w:rsidTr="00DB7275">
        <w:trPr>
          <w:trHeight w:val="340"/>
        </w:trPr>
        <w:tc>
          <w:tcPr>
            <w:tcW w:w="1843" w:type="dxa"/>
            <w:tcBorders>
              <w:top w:val="nil"/>
              <w:left w:val="nil"/>
              <w:bottom w:val="nil"/>
              <w:right w:val="nil"/>
            </w:tcBorders>
            <w:shd w:val="clear" w:color="auto" w:fill="auto"/>
            <w:hideMark/>
          </w:tcPr>
          <w:p w14:paraId="27F71E81"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African</w:t>
            </w:r>
          </w:p>
        </w:tc>
        <w:tc>
          <w:tcPr>
            <w:tcW w:w="1280" w:type="dxa"/>
            <w:tcBorders>
              <w:top w:val="nil"/>
              <w:left w:val="nil"/>
              <w:bottom w:val="nil"/>
              <w:right w:val="nil"/>
            </w:tcBorders>
            <w:shd w:val="clear" w:color="auto" w:fill="auto"/>
            <w:hideMark/>
          </w:tcPr>
          <w:p w14:paraId="4E5A13BA" w14:textId="416B315A"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22,734 </w:t>
            </w:r>
          </w:p>
        </w:tc>
        <w:tc>
          <w:tcPr>
            <w:tcW w:w="0" w:type="auto"/>
            <w:tcBorders>
              <w:top w:val="nil"/>
              <w:left w:val="nil"/>
              <w:bottom w:val="nil"/>
              <w:right w:val="nil"/>
            </w:tcBorders>
            <w:shd w:val="clear" w:color="auto" w:fill="auto"/>
            <w:hideMark/>
          </w:tcPr>
          <w:p w14:paraId="70B3B0BE" w14:textId="41ADE559"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130 </w:t>
            </w:r>
          </w:p>
        </w:tc>
        <w:tc>
          <w:tcPr>
            <w:tcW w:w="0" w:type="auto"/>
            <w:tcBorders>
              <w:top w:val="nil"/>
              <w:left w:val="nil"/>
              <w:bottom w:val="nil"/>
              <w:right w:val="nil"/>
            </w:tcBorders>
            <w:shd w:val="clear" w:color="auto" w:fill="auto"/>
            <w:hideMark/>
          </w:tcPr>
          <w:p w14:paraId="389051A0"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5.7 (4.8-6.8)</w:t>
            </w:r>
          </w:p>
        </w:tc>
        <w:tc>
          <w:tcPr>
            <w:tcW w:w="0" w:type="auto"/>
            <w:tcBorders>
              <w:top w:val="nil"/>
              <w:left w:val="nil"/>
              <w:bottom w:val="nil"/>
              <w:right w:val="nil"/>
            </w:tcBorders>
            <w:shd w:val="clear" w:color="auto" w:fill="auto"/>
            <w:noWrap/>
            <w:hideMark/>
          </w:tcPr>
          <w:p w14:paraId="1398307C"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159 </w:t>
            </w:r>
          </w:p>
        </w:tc>
        <w:tc>
          <w:tcPr>
            <w:tcW w:w="0" w:type="auto"/>
            <w:tcBorders>
              <w:top w:val="nil"/>
              <w:left w:val="nil"/>
              <w:bottom w:val="nil"/>
              <w:right w:val="nil"/>
            </w:tcBorders>
            <w:shd w:val="clear" w:color="auto" w:fill="auto"/>
            <w:noWrap/>
            <w:hideMark/>
          </w:tcPr>
          <w:p w14:paraId="5088B1DA"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7 (5.9-8.2)</w:t>
            </w:r>
          </w:p>
        </w:tc>
      </w:tr>
      <w:tr w:rsidR="00DB7275" w:rsidRPr="000935FE" w14:paraId="50358E27" w14:textId="77777777" w:rsidTr="00DB7275">
        <w:trPr>
          <w:trHeight w:val="340"/>
        </w:trPr>
        <w:tc>
          <w:tcPr>
            <w:tcW w:w="1843" w:type="dxa"/>
            <w:tcBorders>
              <w:top w:val="nil"/>
              <w:left w:val="nil"/>
              <w:bottom w:val="nil"/>
              <w:right w:val="nil"/>
            </w:tcBorders>
            <w:shd w:val="clear" w:color="auto" w:fill="auto"/>
            <w:hideMark/>
          </w:tcPr>
          <w:p w14:paraId="74E78BD0"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Caribbean</w:t>
            </w:r>
          </w:p>
        </w:tc>
        <w:tc>
          <w:tcPr>
            <w:tcW w:w="1280" w:type="dxa"/>
            <w:tcBorders>
              <w:top w:val="nil"/>
              <w:left w:val="nil"/>
              <w:bottom w:val="nil"/>
              <w:right w:val="nil"/>
            </w:tcBorders>
            <w:shd w:val="clear" w:color="auto" w:fill="auto"/>
            <w:hideMark/>
          </w:tcPr>
          <w:p w14:paraId="71EBA42B" w14:textId="48512FBF"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5,718 </w:t>
            </w:r>
          </w:p>
        </w:tc>
        <w:tc>
          <w:tcPr>
            <w:tcW w:w="0" w:type="auto"/>
            <w:tcBorders>
              <w:top w:val="nil"/>
              <w:left w:val="nil"/>
              <w:bottom w:val="nil"/>
              <w:right w:val="nil"/>
            </w:tcBorders>
            <w:shd w:val="clear" w:color="auto" w:fill="auto"/>
            <w:hideMark/>
          </w:tcPr>
          <w:p w14:paraId="7805FE54" w14:textId="7EC2454E"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21 </w:t>
            </w:r>
          </w:p>
        </w:tc>
        <w:tc>
          <w:tcPr>
            <w:tcW w:w="0" w:type="auto"/>
            <w:tcBorders>
              <w:top w:val="nil"/>
              <w:left w:val="nil"/>
              <w:bottom w:val="nil"/>
              <w:right w:val="nil"/>
            </w:tcBorders>
            <w:shd w:val="clear" w:color="auto" w:fill="auto"/>
            <w:hideMark/>
          </w:tcPr>
          <w:p w14:paraId="18FACE56"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3.7 (2.3-5.6)</w:t>
            </w:r>
          </w:p>
        </w:tc>
        <w:tc>
          <w:tcPr>
            <w:tcW w:w="0" w:type="auto"/>
            <w:tcBorders>
              <w:top w:val="nil"/>
              <w:left w:val="nil"/>
              <w:bottom w:val="nil"/>
              <w:right w:val="nil"/>
            </w:tcBorders>
            <w:shd w:val="clear" w:color="auto" w:fill="auto"/>
            <w:noWrap/>
            <w:hideMark/>
          </w:tcPr>
          <w:p w14:paraId="68CA696B"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33 </w:t>
            </w:r>
          </w:p>
        </w:tc>
        <w:tc>
          <w:tcPr>
            <w:tcW w:w="0" w:type="auto"/>
            <w:tcBorders>
              <w:top w:val="nil"/>
              <w:left w:val="nil"/>
              <w:bottom w:val="nil"/>
              <w:right w:val="nil"/>
            </w:tcBorders>
            <w:shd w:val="clear" w:color="auto" w:fill="auto"/>
            <w:noWrap/>
            <w:hideMark/>
          </w:tcPr>
          <w:p w14:paraId="383B2635"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5.8 (4-8.1)</w:t>
            </w:r>
          </w:p>
        </w:tc>
      </w:tr>
      <w:tr w:rsidR="00DB7275" w:rsidRPr="000935FE" w14:paraId="0DA3859B" w14:textId="77777777" w:rsidTr="00DB7275">
        <w:trPr>
          <w:trHeight w:val="1020"/>
        </w:trPr>
        <w:tc>
          <w:tcPr>
            <w:tcW w:w="1843" w:type="dxa"/>
            <w:tcBorders>
              <w:top w:val="nil"/>
              <w:left w:val="nil"/>
              <w:bottom w:val="nil"/>
              <w:right w:val="nil"/>
            </w:tcBorders>
            <w:shd w:val="clear" w:color="auto" w:fill="auto"/>
            <w:hideMark/>
          </w:tcPr>
          <w:p w14:paraId="319B5246" w14:textId="3E674345" w:rsidR="00DB7275" w:rsidRPr="000935FE" w:rsidRDefault="00DB7275" w:rsidP="00DB7275">
            <w:pPr>
              <w:rPr>
                <w:rFonts w:ascii="Verdana" w:hAnsi="Verdana"/>
                <w:color w:val="000000"/>
                <w:sz w:val="20"/>
                <w:szCs w:val="20"/>
              </w:rPr>
            </w:pPr>
            <w:r w:rsidRPr="000935FE">
              <w:rPr>
                <w:rFonts w:ascii="Verdana" w:hAnsi="Verdana"/>
                <w:color w:val="000000"/>
                <w:sz w:val="20"/>
                <w:szCs w:val="20"/>
              </w:rPr>
              <w:t>Chinese, Other Asian, Other black, Other and all Mixed groups</w:t>
            </w:r>
          </w:p>
        </w:tc>
        <w:tc>
          <w:tcPr>
            <w:tcW w:w="1280" w:type="dxa"/>
            <w:tcBorders>
              <w:top w:val="nil"/>
              <w:left w:val="nil"/>
              <w:bottom w:val="nil"/>
              <w:right w:val="nil"/>
            </w:tcBorders>
            <w:shd w:val="clear" w:color="auto" w:fill="auto"/>
            <w:hideMark/>
          </w:tcPr>
          <w:p w14:paraId="2EB014AF" w14:textId="6DA19B5C"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77,804 </w:t>
            </w:r>
          </w:p>
        </w:tc>
        <w:tc>
          <w:tcPr>
            <w:tcW w:w="0" w:type="auto"/>
            <w:tcBorders>
              <w:top w:val="nil"/>
              <w:left w:val="nil"/>
              <w:bottom w:val="nil"/>
              <w:right w:val="nil"/>
            </w:tcBorders>
            <w:shd w:val="clear" w:color="auto" w:fill="auto"/>
            <w:hideMark/>
          </w:tcPr>
          <w:p w14:paraId="34163B77" w14:textId="0C2B5774"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247 </w:t>
            </w:r>
          </w:p>
        </w:tc>
        <w:tc>
          <w:tcPr>
            <w:tcW w:w="0" w:type="auto"/>
            <w:tcBorders>
              <w:top w:val="nil"/>
              <w:left w:val="nil"/>
              <w:bottom w:val="nil"/>
              <w:right w:val="nil"/>
            </w:tcBorders>
            <w:shd w:val="clear" w:color="auto" w:fill="auto"/>
            <w:hideMark/>
          </w:tcPr>
          <w:p w14:paraId="53F41F6B"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3.2 (2.8-3.6)</w:t>
            </w:r>
          </w:p>
        </w:tc>
        <w:tc>
          <w:tcPr>
            <w:tcW w:w="0" w:type="auto"/>
            <w:tcBorders>
              <w:top w:val="nil"/>
              <w:left w:val="nil"/>
              <w:bottom w:val="nil"/>
              <w:right w:val="nil"/>
            </w:tcBorders>
            <w:shd w:val="clear" w:color="auto" w:fill="auto"/>
            <w:noWrap/>
            <w:hideMark/>
          </w:tcPr>
          <w:p w14:paraId="576627E2"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337 </w:t>
            </w:r>
          </w:p>
        </w:tc>
        <w:tc>
          <w:tcPr>
            <w:tcW w:w="0" w:type="auto"/>
            <w:tcBorders>
              <w:top w:val="nil"/>
              <w:left w:val="nil"/>
              <w:bottom w:val="nil"/>
              <w:right w:val="nil"/>
            </w:tcBorders>
            <w:shd w:val="clear" w:color="auto" w:fill="auto"/>
            <w:noWrap/>
            <w:hideMark/>
          </w:tcPr>
          <w:p w14:paraId="0514E50B"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4.3 (3.9-4.8)</w:t>
            </w:r>
          </w:p>
        </w:tc>
      </w:tr>
      <w:tr w:rsidR="00DB7275" w:rsidRPr="000935FE" w14:paraId="01E74889" w14:textId="77777777" w:rsidTr="00DB7275">
        <w:trPr>
          <w:trHeight w:val="340"/>
        </w:trPr>
        <w:tc>
          <w:tcPr>
            <w:tcW w:w="1843" w:type="dxa"/>
            <w:tcBorders>
              <w:top w:val="nil"/>
              <w:left w:val="nil"/>
              <w:bottom w:val="single" w:sz="4" w:space="0" w:color="auto"/>
              <w:right w:val="nil"/>
            </w:tcBorders>
            <w:shd w:val="clear" w:color="auto" w:fill="auto"/>
            <w:hideMark/>
          </w:tcPr>
          <w:p w14:paraId="55493E09" w14:textId="77777777" w:rsidR="00DB7275" w:rsidRPr="000935FE" w:rsidRDefault="00DB7275" w:rsidP="00DB7275">
            <w:pPr>
              <w:rPr>
                <w:rFonts w:ascii="Verdana" w:hAnsi="Verdana"/>
                <w:color w:val="000000"/>
                <w:sz w:val="20"/>
                <w:szCs w:val="20"/>
              </w:rPr>
            </w:pPr>
            <w:r w:rsidRPr="000935FE">
              <w:rPr>
                <w:rFonts w:ascii="Verdana" w:hAnsi="Verdana"/>
                <w:color w:val="000000"/>
                <w:sz w:val="20"/>
                <w:szCs w:val="20"/>
              </w:rPr>
              <w:t>Not stated</w:t>
            </w:r>
          </w:p>
        </w:tc>
        <w:tc>
          <w:tcPr>
            <w:tcW w:w="1280" w:type="dxa"/>
            <w:tcBorders>
              <w:top w:val="nil"/>
              <w:left w:val="nil"/>
              <w:bottom w:val="single" w:sz="4" w:space="0" w:color="auto"/>
              <w:right w:val="nil"/>
            </w:tcBorders>
            <w:shd w:val="clear" w:color="auto" w:fill="auto"/>
            <w:hideMark/>
          </w:tcPr>
          <w:p w14:paraId="75DDB7FB" w14:textId="6BD2049E"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30,652 </w:t>
            </w:r>
          </w:p>
        </w:tc>
        <w:tc>
          <w:tcPr>
            <w:tcW w:w="0" w:type="auto"/>
            <w:tcBorders>
              <w:top w:val="nil"/>
              <w:left w:val="nil"/>
              <w:bottom w:val="single" w:sz="4" w:space="0" w:color="auto"/>
              <w:right w:val="nil"/>
            </w:tcBorders>
            <w:shd w:val="clear" w:color="auto" w:fill="auto"/>
            <w:hideMark/>
          </w:tcPr>
          <w:p w14:paraId="55E81AC8" w14:textId="607E4592"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106 </w:t>
            </w:r>
          </w:p>
        </w:tc>
        <w:tc>
          <w:tcPr>
            <w:tcW w:w="0" w:type="auto"/>
            <w:tcBorders>
              <w:top w:val="nil"/>
              <w:left w:val="nil"/>
              <w:bottom w:val="single" w:sz="4" w:space="0" w:color="auto"/>
              <w:right w:val="nil"/>
            </w:tcBorders>
            <w:shd w:val="clear" w:color="auto" w:fill="auto"/>
            <w:hideMark/>
          </w:tcPr>
          <w:p w14:paraId="44585B93"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3.5 (2.8-4.2)</w:t>
            </w:r>
          </w:p>
        </w:tc>
        <w:tc>
          <w:tcPr>
            <w:tcW w:w="0" w:type="auto"/>
            <w:tcBorders>
              <w:top w:val="nil"/>
              <w:left w:val="nil"/>
              <w:bottom w:val="single" w:sz="4" w:space="0" w:color="auto"/>
              <w:right w:val="nil"/>
            </w:tcBorders>
            <w:shd w:val="clear" w:color="auto" w:fill="auto"/>
            <w:noWrap/>
            <w:hideMark/>
          </w:tcPr>
          <w:p w14:paraId="0CBDE5FB"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 xml:space="preserve">             134 </w:t>
            </w:r>
          </w:p>
        </w:tc>
        <w:tc>
          <w:tcPr>
            <w:tcW w:w="0" w:type="auto"/>
            <w:tcBorders>
              <w:top w:val="nil"/>
              <w:left w:val="nil"/>
              <w:bottom w:val="single" w:sz="4" w:space="0" w:color="auto"/>
              <w:right w:val="nil"/>
            </w:tcBorders>
            <w:shd w:val="clear" w:color="auto" w:fill="auto"/>
            <w:noWrap/>
            <w:hideMark/>
          </w:tcPr>
          <w:p w14:paraId="6C2C7DE9" w14:textId="77777777" w:rsidR="00DB7275" w:rsidRPr="000935FE" w:rsidRDefault="00DB7275" w:rsidP="00DB7275">
            <w:pPr>
              <w:jc w:val="right"/>
              <w:rPr>
                <w:rFonts w:ascii="Verdana" w:hAnsi="Verdana"/>
                <w:color w:val="000000"/>
                <w:sz w:val="20"/>
                <w:szCs w:val="20"/>
              </w:rPr>
            </w:pPr>
            <w:r w:rsidRPr="000935FE">
              <w:rPr>
                <w:rFonts w:ascii="Verdana" w:hAnsi="Verdana"/>
                <w:color w:val="000000"/>
                <w:sz w:val="20"/>
                <w:szCs w:val="20"/>
              </w:rPr>
              <w:t>4.4 (3.7-5.2)</w:t>
            </w:r>
          </w:p>
        </w:tc>
      </w:tr>
    </w:tbl>
    <w:p w14:paraId="662A4E31" w14:textId="77777777" w:rsidR="00DB7275" w:rsidRPr="000935FE" w:rsidRDefault="00DB7275">
      <w:pPr>
        <w:rPr>
          <w:rFonts w:ascii="Verdana" w:hAnsi="Verdana"/>
          <w:b/>
          <w:bCs/>
        </w:rPr>
      </w:pPr>
    </w:p>
    <w:p w14:paraId="748835B2" w14:textId="242AD8D0" w:rsidR="006517BA" w:rsidRPr="000935FE" w:rsidRDefault="00652FCD">
      <w:pPr>
        <w:rPr>
          <w:rFonts w:ascii="Verdana" w:hAnsi="Verdana"/>
        </w:rPr>
      </w:pPr>
      <w:r w:rsidRPr="000935FE">
        <w:rPr>
          <w:rFonts w:ascii="Verdana" w:hAnsi="Verdana"/>
          <w:b/>
          <w:bCs/>
        </w:rPr>
        <w:t xml:space="preserve">School readiness – </w:t>
      </w:r>
      <w:r w:rsidR="00320890" w:rsidRPr="000935FE">
        <w:rPr>
          <w:rFonts w:ascii="Verdana" w:hAnsi="Verdana"/>
          <w:b/>
          <w:bCs/>
        </w:rPr>
        <w:t xml:space="preserve">England and Local Authority areas – 2018/19 academic year – </w:t>
      </w:r>
      <w:r w:rsidR="00320890" w:rsidRPr="000935FE">
        <w:rPr>
          <w:rFonts w:ascii="Verdana" w:hAnsi="Verdana"/>
        </w:rPr>
        <w:t>Department for Education</w:t>
      </w:r>
    </w:p>
    <w:p w14:paraId="20193D4E" w14:textId="0351AA56" w:rsidR="00652FCD" w:rsidRPr="000935FE" w:rsidRDefault="00652FCD">
      <w:pPr>
        <w:rPr>
          <w:rFonts w:ascii="Verdana" w:hAnsi="Verdana"/>
          <w:b/>
          <w:bCs/>
        </w:rPr>
      </w:pPr>
    </w:p>
    <w:p w14:paraId="66777A81" w14:textId="6A07AF7C" w:rsidR="00652FCD" w:rsidRPr="000935FE" w:rsidRDefault="00652FCD">
      <w:pPr>
        <w:rPr>
          <w:rFonts w:ascii="Verdana" w:hAnsi="Verdana"/>
          <w:sz w:val="22"/>
          <w:szCs w:val="22"/>
        </w:rPr>
      </w:pPr>
      <w:r w:rsidRPr="000935FE">
        <w:rPr>
          <w:rFonts w:ascii="Verdana" w:hAnsi="Verdana"/>
          <w:sz w:val="22"/>
          <w:szCs w:val="22"/>
        </w:rPr>
        <w:t xml:space="preserve">Overall, West Sussex has similar readiness for school rates compared to England and Brighton and </w:t>
      </w:r>
      <w:r w:rsidR="000935FE" w:rsidRPr="000935FE">
        <w:rPr>
          <w:rFonts w:ascii="Verdana" w:hAnsi="Verdana"/>
          <w:sz w:val="22"/>
          <w:szCs w:val="22"/>
        </w:rPr>
        <w:t>Hove but</w:t>
      </w:r>
      <w:r w:rsidRPr="000935FE">
        <w:rPr>
          <w:rFonts w:ascii="Verdana" w:hAnsi="Verdana"/>
          <w:sz w:val="22"/>
          <w:szCs w:val="22"/>
        </w:rPr>
        <w:t xml:space="preserve"> has significantly lower rates of children meeting or exceeding the expected levels of development compared to East Sussex and the South East region.</w:t>
      </w:r>
    </w:p>
    <w:p w14:paraId="4631EB4E" w14:textId="1B063D2D" w:rsidR="00652FCD" w:rsidRPr="000935FE" w:rsidRDefault="00652FCD">
      <w:pPr>
        <w:rPr>
          <w:rFonts w:ascii="Verdana" w:hAnsi="Verdana"/>
        </w:rPr>
      </w:pPr>
    </w:p>
    <w:p w14:paraId="5965A8E9" w14:textId="7B83DA78" w:rsidR="00320890" w:rsidRPr="000935FE" w:rsidRDefault="00320890">
      <w:pPr>
        <w:rPr>
          <w:rFonts w:ascii="Verdana" w:hAnsi="Verdana"/>
          <w:sz w:val="22"/>
          <w:szCs w:val="22"/>
        </w:rPr>
      </w:pPr>
      <w:r w:rsidRPr="000935FE">
        <w:rPr>
          <w:rFonts w:ascii="Verdana" w:hAnsi="Verdana"/>
          <w:sz w:val="22"/>
          <w:szCs w:val="22"/>
        </w:rPr>
        <w:t>The proportion of children from Chinese ethnic groups who are meeting or exceeding expected levels of development are higher than other ethnic minority groups and White ethnic groups nationally.</w:t>
      </w:r>
    </w:p>
    <w:p w14:paraId="0C6114D9" w14:textId="03698800" w:rsidR="00320890" w:rsidRPr="000935FE" w:rsidRDefault="00320890">
      <w:pPr>
        <w:rPr>
          <w:rFonts w:ascii="Verdana" w:hAnsi="Verdana"/>
          <w:sz w:val="22"/>
          <w:szCs w:val="22"/>
        </w:rPr>
      </w:pPr>
    </w:p>
    <w:p w14:paraId="02932033" w14:textId="76B4A2E9" w:rsidR="00320890" w:rsidRPr="000935FE" w:rsidRDefault="00320890">
      <w:pPr>
        <w:rPr>
          <w:rFonts w:ascii="Verdana" w:hAnsi="Verdana"/>
          <w:sz w:val="22"/>
          <w:szCs w:val="22"/>
        </w:rPr>
      </w:pPr>
      <w:r w:rsidRPr="000935FE">
        <w:rPr>
          <w:rFonts w:ascii="Verdana" w:hAnsi="Verdana"/>
          <w:sz w:val="22"/>
          <w:szCs w:val="22"/>
        </w:rPr>
        <w:t>Locally, there are no significant differences although in East Sussex pupils in White ethnic groups have a significantly higher proportion of school ready children than in Black groups and in West Sussex, White groups are significantly higher than Asian and Black minority groups.</w:t>
      </w:r>
    </w:p>
    <w:p w14:paraId="5138E3E7" w14:textId="05E10908" w:rsidR="00652FCD" w:rsidRPr="000935FE" w:rsidRDefault="00652FCD">
      <w:pPr>
        <w:rPr>
          <w:rFonts w:ascii="Verdana" w:hAnsi="Verdana"/>
          <w:b/>
          <w:bCs/>
        </w:rPr>
      </w:pPr>
    </w:p>
    <w:p w14:paraId="252426D0" w14:textId="06A2DC94" w:rsidR="00320890" w:rsidRPr="000935FE" w:rsidRDefault="00320890">
      <w:pPr>
        <w:rPr>
          <w:rFonts w:ascii="Verdana" w:hAnsi="Verdana"/>
          <w:b/>
          <w:bCs/>
          <w:sz w:val="22"/>
          <w:szCs w:val="22"/>
        </w:rPr>
      </w:pPr>
      <w:r w:rsidRPr="000935FE">
        <w:rPr>
          <w:rFonts w:ascii="Verdana" w:hAnsi="Verdana"/>
          <w:b/>
          <w:bCs/>
          <w:sz w:val="22"/>
          <w:szCs w:val="22"/>
        </w:rPr>
        <w:t>Proportion of children meeting or exceeding the expected levels of development at KS1; 2018/19</w:t>
      </w:r>
    </w:p>
    <w:tbl>
      <w:tblPr>
        <w:tblW w:w="8958" w:type="dxa"/>
        <w:tblLook w:val="04A0" w:firstRow="1" w:lastRow="0" w:firstColumn="1" w:lastColumn="0" w:noHBand="0" w:noVBand="1"/>
      </w:tblPr>
      <w:tblGrid>
        <w:gridCol w:w="1447"/>
        <w:gridCol w:w="1503"/>
        <w:gridCol w:w="1502"/>
        <w:gridCol w:w="1502"/>
        <w:gridCol w:w="1502"/>
        <w:gridCol w:w="1502"/>
      </w:tblGrid>
      <w:tr w:rsidR="00652FCD" w:rsidRPr="000935FE" w14:paraId="6BE0A30E" w14:textId="77777777" w:rsidTr="00320890">
        <w:trPr>
          <w:trHeight w:val="320"/>
        </w:trPr>
        <w:tc>
          <w:tcPr>
            <w:tcW w:w="1447" w:type="dxa"/>
            <w:tcBorders>
              <w:top w:val="single" w:sz="4" w:space="0" w:color="auto"/>
              <w:left w:val="nil"/>
              <w:bottom w:val="single" w:sz="4" w:space="0" w:color="auto"/>
              <w:right w:val="nil"/>
            </w:tcBorders>
            <w:shd w:val="clear" w:color="auto" w:fill="auto"/>
            <w:noWrap/>
            <w:vAlign w:val="bottom"/>
            <w:hideMark/>
          </w:tcPr>
          <w:p w14:paraId="1E71FA39" w14:textId="77777777" w:rsidR="00652FCD" w:rsidRPr="000935FE" w:rsidRDefault="00652FCD" w:rsidP="00652FCD">
            <w:pPr>
              <w:rPr>
                <w:rFonts w:ascii="Verdana" w:hAnsi="Verdana"/>
                <w:sz w:val="18"/>
                <w:szCs w:val="18"/>
              </w:rPr>
            </w:pPr>
          </w:p>
        </w:tc>
        <w:tc>
          <w:tcPr>
            <w:tcW w:w="1503" w:type="dxa"/>
            <w:tcBorders>
              <w:top w:val="single" w:sz="4" w:space="0" w:color="auto"/>
              <w:left w:val="nil"/>
              <w:bottom w:val="single" w:sz="4" w:space="0" w:color="auto"/>
              <w:right w:val="nil"/>
            </w:tcBorders>
            <w:shd w:val="clear" w:color="auto" w:fill="auto"/>
            <w:noWrap/>
            <w:vAlign w:val="bottom"/>
            <w:hideMark/>
          </w:tcPr>
          <w:p w14:paraId="159925B1" w14:textId="77777777" w:rsidR="00652FCD" w:rsidRPr="000935FE" w:rsidRDefault="00652FCD" w:rsidP="00652FCD">
            <w:pPr>
              <w:rPr>
                <w:rFonts w:ascii="Verdana" w:hAnsi="Verdana"/>
                <w:b/>
                <w:bCs/>
                <w:color w:val="000000"/>
                <w:sz w:val="18"/>
                <w:szCs w:val="18"/>
              </w:rPr>
            </w:pPr>
            <w:r w:rsidRPr="000935FE">
              <w:rPr>
                <w:rFonts w:ascii="Verdana" w:hAnsi="Verdana"/>
                <w:b/>
                <w:bCs/>
                <w:color w:val="000000"/>
                <w:sz w:val="18"/>
                <w:szCs w:val="18"/>
              </w:rPr>
              <w:t>White</w:t>
            </w:r>
          </w:p>
        </w:tc>
        <w:tc>
          <w:tcPr>
            <w:tcW w:w="1502" w:type="dxa"/>
            <w:tcBorders>
              <w:top w:val="single" w:sz="4" w:space="0" w:color="auto"/>
              <w:left w:val="nil"/>
              <w:bottom w:val="single" w:sz="4" w:space="0" w:color="auto"/>
              <w:right w:val="nil"/>
            </w:tcBorders>
            <w:shd w:val="clear" w:color="auto" w:fill="auto"/>
            <w:noWrap/>
            <w:vAlign w:val="bottom"/>
            <w:hideMark/>
          </w:tcPr>
          <w:p w14:paraId="2F47A7A2" w14:textId="77777777" w:rsidR="00652FCD" w:rsidRPr="000935FE" w:rsidRDefault="00652FCD" w:rsidP="00652FCD">
            <w:pPr>
              <w:rPr>
                <w:rFonts w:ascii="Verdana" w:hAnsi="Verdana"/>
                <w:b/>
                <w:bCs/>
                <w:color w:val="000000"/>
                <w:sz w:val="18"/>
                <w:szCs w:val="18"/>
              </w:rPr>
            </w:pPr>
            <w:r w:rsidRPr="000935FE">
              <w:rPr>
                <w:rFonts w:ascii="Verdana" w:hAnsi="Verdana"/>
                <w:b/>
                <w:bCs/>
                <w:color w:val="000000"/>
                <w:sz w:val="18"/>
                <w:szCs w:val="18"/>
              </w:rPr>
              <w:t>Asian</w:t>
            </w:r>
          </w:p>
        </w:tc>
        <w:tc>
          <w:tcPr>
            <w:tcW w:w="1502" w:type="dxa"/>
            <w:tcBorders>
              <w:top w:val="single" w:sz="4" w:space="0" w:color="auto"/>
              <w:left w:val="nil"/>
              <w:bottom w:val="single" w:sz="4" w:space="0" w:color="auto"/>
              <w:right w:val="nil"/>
            </w:tcBorders>
            <w:shd w:val="clear" w:color="auto" w:fill="auto"/>
            <w:noWrap/>
            <w:vAlign w:val="bottom"/>
            <w:hideMark/>
          </w:tcPr>
          <w:p w14:paraId="6AF6AB65" w14:textId="77777777" w:rsidR="00652FCD" w:rsidRPr="000935FE" w:rsidRDefault="00652FCD" w:rsidP="00652FCD">
            <w:pPr>
              <w:rPr>
                <w:rFonts w:ascii="Verdana" w:hAnsi="Verdana"/>
                <w:b/>
                <w:bCs/>
                <w:color w:val="000000"/>
                <w:sz w:val="18"/>
                <w:szCs w:val="18"/>
              </w:rPr>
            </w:pPr>
            <w:r w:rsidRPr="000935FE">
              <w:rPr>
                <w:rFonts w:ascii="Verdana" w:hAnsi="Verdana"/>
                <w:b/>
                <w:bCs/>
                <w:color w:val="000000"/>
                <w:sz w:val="18"/>
                <w:szCs w:val="18"/>
              </w:rPr>
              <w:t>Black</w:t>
            </w:r>
          </w:p>
        </w:tc>
        <w:tc>
          <w:tcPr>
            <w:tcW w:w="1502" w:type="dxa"/>
            <w:tcBorders>
              <w:top w:val="single" w:sz="4" w:space="0" w:color="auto"/>
              <w:left w:val="nil"/>
              <w:bottom w:val="single" w:sz="4" w:space="0" w:color="auto"/>
              <w:right w:val="nil"/>
            </w:tcBorders>
            <w:shd w:val="clear" w:color="auto" w:fill="auto"/>
            <w:noWrap/>
            <w:vAlign w:val="bottom"/>
            <w:hideMark/>
          </w:tcPr>
          <w:p w14:paraId="141A2EB7" w14:textId="77777777" w:rsidR="00652FCD" w:rsidRPr="000935FE" w:rsidRDefault="00652FCD" w:rsidP="00652FCD">
            <w:pPr>
              <w:rPr>
                <w:rFonts w:ascii="Verdana" w:hAnsi="Verdana"/>
                <w:b/>
                <w:bCs/>
                <w:color w:val="000000"/>
                <w:sz w:val="18"/>
                <w:szCs w:val="18"/>
              </w:rPr>
            </w:pPr>
            <w:r w:rsidRPr="000935FE">
              <w:rPr>
                <w:rFonts w:ascii="Verdana" w:hAnsi="Verdana"/>
                <w:b/>
                <w:bCs/>
                <w:color w:val="000000"/>
                <w:sz w:val="18"/>
                <w:szCs w:val="18"/>
              </w:rPr>
              <w:t>Chinese</w:t>
            </w:r>
          </w:p>
        </w:tc>
        <w:tc>
          <w:tcPr>
            <w:tcW w:w="1502" w:type="dxa"/>
            <w:tcBorders>
              <w:top w:val="single" w:sz="4" w:space="0" w:color="auto"/>
              <w:left w:val="nil"/>
              <w:bottom w:val="single" w:sz="4" w:space="0" w:color="auto"/>
              <w:right w:val="nil"/>
            </w:tcBorders>
            <w:shd w:val="clear" w:color="auto" w:fill="auto"/>
            <w:noWrap/>
            <w:vAlign w:val="bottom"/>
            <w:hideMark/>
          </w:tcPr>
          <w:p w14:paraId="4B7EE10C" w14:textId="77777777" w:rsidR="00652FCD" w:rsidRPr="000935FE" w:rsidRDefault="00652FCD" w:rsidP="00652FCD">
            <w:pPr>
              <w:rPr>
                <w:rFonts w:ascii="Verdana" w:hAnsi="Verdana"/>
                <w:b/>
                <w:bCs/>
                <w:color w:val="000000"/>
                <w:sz w:val="18"/>
                <w:szCs w:val="18"/>
              </w:rPr>
            </w:pPr>
            <w:r w:rsidRPr="000935FE">
              <w:rPr>
                <w:rFonts w:ascii="Verdana" w:hAnsi="Verdana"/>
                <w:b/>
                <w:bCs/>
                <w:color w:val="000000"/>
                <w:sz w:val="18"/>
                <w:szCs w:val="18"/>
              </w:rPr>
              <w:t>Mixed</w:t>
            </w:r>
          </w:p>
        </w:tc>
      </w:tr>
      <w:tr w:rsidR="00652FCD" w:rsidRPr="000935FE" w14:paraId="0EE8103D" w14:textId="77777777" w:rsidTr="00320890">
        <w:trPr>
          <w:trHeight w:val="320"/>
        </w:trPr>
        <w:tc>
          <w:tcPr>
            <w:tcW w:w="1447" w:type="dxa"/>
            <w:tcBorders>
              <w:top w:val="single" w:sz="4" w:space="0" w:color="auto"/>
              <w:left w:val="nil"/>
              <w:bottom w:val="nil"/>
              <w:right w:val="nil"/>
            </w:tcBorders>
            <w:shd w:val="clear" w:color="auto" w:fill="auto"/>
            <w:noWrap/>
            <w:hideMark/>
          </w:tcPr>
          <w:p w14:paraId="23DC2F66" w14:textId="77777777" w:rsidR="00652FCD" w:rsidRPr="000935FE" w:rsidRDefault="00652FCD" w:rsidP="00320890">
            <w:pPr>
              <w:rPr>
                <w:rFonts w:ascii="Verdana" w:hAnsi="Verdana"/>
                <w:color w:val="000000"/>
                <w:sz w:val="18"/>
                <w:szCs w:val="18"/>
              </w:rPr>
            </w:pPr>
            <w:r w:rsidRPr="000935FE">
              <w:rPr>
                <w:rFonts w:ascii="Verdana" w:hAnsi="Verdana"/>
                <w:color w:val="000000"/>
                <w:sz w:val="18"/>
                <w:szCs w:val="18"/>
              </w:rPr>
              <w:t>Brighton and Hove</w:t>
            </w:r>
          </w:p>
        </w:tc>
        <w:tc>
          <w:tcPr>
            <w:tcW w:w="1503" w:type="dxa"/>
            <w:tcBorders>
              <w:top w:val="single" w:sz="4" w:space="0" w:color="auto"/>
              <w:left w:val="nil"/>
              <w:bottom w:val="nil"/>
              <w:right w:val="nil"/>
            </w:tcBorders>
            <w:shd w:val="clear" w:color="auto" w:fill="auto"/>
            <w:noWrap/>
            <w:vAlign w:val="bottom"/>
            <w:hideMark/>
          </w:tcPr>
          <w:p w14:paraId="19E5E693"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72.1% </w:t>
            </w:r>
          </w:p>
          <w:p w14:paraId="51131154" w14:textId="7D936064" w:rsidR="00652FCD" w:rsidRPr="000935FE" w:rsidRDefault="00652FCD" w:rsidP="00652FCD">
            <w:pPr>
              <w:rPr>
                <w:rFonts w:ascii="Verdana" w:hAnsi="Verdana"/>
                <w:color w:val="000000"/>
                <w:sz w:val="18"/>
                <w:szCs w:val="18"/>
              </w:rPr>
            </w:pPr>
            <w:r w:rsidRPr="000935FE">
              <w:rPr>
                <w:rFonts w:ascii="Verdana" w:hAnsi="Verdana"/>
                <w:color w:val="000000"/>
                <w:sz w:val="18"/>
                <w:szCs w:val="18"/>
              </w:rPr>
              <w:t>(70.2-74%)</w:t>
            </w:r>
          </w:p>
        </w:tc>
        <w:tc>
          <w:tcPr>
            <w:tcW w:w="1502" w:type="dxa"/>
            <w:tcBorders>
              <w:top w:val="single" w:sz="4" w:space="0" w:color="auto"/>
              <w:left w:val="nil"/>
              <w:bottom w:val="nil"/>
              <w:right w:val="nil"/>
            </w:tcBorders>
            <w:shd w:val="clear" w:color="auto" w:fill="auto"/>
            <w:noWrap/>
            <w:vAlign w:val="bottom"/>
            <w:hideMark/>
          </w:tcPr>
          <w:p w14:paraId="7DBC39EA"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63% </w:t>
            </w:r>
          </w:p>
          <w:p w14:paraId="638CA2F9" w14:textId="538DB096" w:rsidR="00652FCD" w:rsidRPr="000935FE" w:rsidRDefault="00652FCD" w:rsidP="00652FCD">
            <w:pPr>
              <w:rPr>
                <w:rFonts w:ascii="Verdana" w:hAnsi="Verdana"/>
                <w:color w:val="000000"/>
                <w:sz w:val="18"/>
                <w:szCs w:val="18"/>
              </w:rPr>
            </w:pPr>
            <w:r w:rsidRPr="000935FE">
              <w:rPr>
                <w:rFonts w:ascii="Verdana" w:hAnsi="Verdana"/>
                <w:color w:val="000000"/>
                <w:sz w:val="18"/>
                <w:szCs w:val="18"/>
              </w:rPr>
              <w:t>(52.8-72.2%)</w:t>
            </w:r>
          </w:p>
        </w:tc>
        <w:tc>
          <w:tcPr>
            <w:tcW w:w="1502" w:type="dxa"/>
            <w:tcBorders>
              <w:top w:val="single" w:sz="4" w:space="0" w:color="auto"/>
              <w:left w:val="nil"/>
              <w:bottom w:val="nil"/>
              <w:right w:val="nil"/>
            </w:tcBorders>
            <w:shd w:val="clear" w:color="auto" w:fill="auto"/>
            <w:noWrap/>
            <w:vAlign w:val="bottom"/>
            <w:hideMark/>
          </w:tcPr>
          <w:p w14:paraId="48AB92A5"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65.1% </w:t>
            </w:r>
          </w:p>
          <w:p w14:paraId="25551408" w14:textId="4ABCD105" w:rsidR="00652FCD" w:rsidRPr="000935FE" w:rsidRDefault="00652FCD" w:rsidP="00652FCD">
            <w:pPr>
              <w:rPr>
                <w:rFonts w:ascii="Verdana" w:hAnsi="Verdana"/>
                <w:color w:val="000000"/>
                <w:sz w:val="18"/>
                <w:szCs w:val="18"/>
              </w:rPr>
            </w:pPr>
            <w:r w:rsidRPr="000935FE">
              <w:rPr>
                <w:rFonts w:ascii="Verdana" w:hAnsi="Verdana"/>
                <w:color w:val="000000"/>
                <w:sz w:val="18"/>
                <w:szCs w:val="18"/>
              </w:rPr>
              <w:t>(50.2-77.6%)</w:t>
            </w:r>
          </w:p>
        </w:tc>
        <w:tc>
          <w:tcPr>
            <w:tcW w:w="1502" w:type="dxa"/>
            <w:tcBorders>
              <w:top w:val="single" w:sz="4" w:space="0" w:color="auto"/>
              <w:left w:val="nil"/>
              <w:bottom w:val="nil"/>
              <w:right w:val="nil"/>
            </w:tcBorders>
            <w:shd w:val="clear" w:color="auto" w:fill="auto"/>
            <w:noWrap/>
            <w:vAlign w:val="bottom"/>
            <w:hideMark/>
          </w:tcPr>
          <w:p w14:paraId="2A1AE98F"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53.3% </w:t>
            </w:r>
          </w:p>
          <w:p w14:paraId="4BEE4E1F" w14:textId="43EE5AB7" w:rsidR="00652FCD" w:rsidRPr="000935FE" w:rsidRDefault="00652FCD" w:rsidP="00652FCD">
            <w:pPr>
              <w:rPr>
                <w:rFonts w:ascii="Verdana" w:hAnsi="Verdana"/>
                <w:color w:val="000000"/>
                <w:sz w:val="18"/>
                <w:szCs w:val="18"/>
              </w:rPr>
            </w:pPr>
            <w:r w:rsidRPr="000935FE">
              <w:rPr>
                <w:rFonts w:ascii="Verdana" w:hAnsi="Verdana"/>
                <w:color w:val="000000"/>
                <w:sz w:val="18"/>
                <w:szCs w:val="18"/>
              </w:rPr>
              <w:t>(30.1-75.2%)</w:t>
            </w:r>
          </w:p>
        </w:tc>
        <w:tc>
          <w:tcPr>
            <w:tcW w:w="1502" w:type="dxa"/>
            <w:tcBorders>
              <w:top w:val="single" w:sz="4" w:space="0" w:color="auto"/>
              <w:left w:val="nil"/>
              <w:bottom w:val="nil"/>
              <w:right w:val="nil"/>
            </w:tcBorders>
            <w:shd w:val="clear" w:color="auto" w:fill="auto"/>
            <w:noWrap/>
            <w:vAlign w:val="bottom"/>
            <w:hideMark/>
          </w:tcPr>
          <w:p w14:paraId="4B38DD9B"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75.4% </w:t>
            </w:r>
          </w:p>
          <w:p w14:paraId="1037E597" w14:textId="5F9A6E74" w:rsidR="00652FCD" w:rsidRPr="000935FE" w:rsidRDefault="00652FCD" w:rsidP="00652FCD">
            <w:pPr>
              <w:rPr>
                <w:rFonts w:ascii="Verdana" w:hAnsi="Verdana"/>
                <w:color w:val="000000"/>
                <w:sz w:val="18"/>
                <w:szCs w:val="18"/>
              </w:rPr>
            </w:pPr>
            <w:r w:rsidRPr="000935FE">
              <w:rPr>
                <w:rFonts w:ascii="Verdana" w:hAnsi="Verdana"/>
                <w:color w:val="000000"/>
                <w:sz w:val="18"/>
                <w:szCs w:val="18"/>
              </w:rPr>
              <w:t>(69.8-80.2%)</w:t>
            </w:r>
          </w:p>
        </w:tc>
      </w:tr>
      <w:tr w:rsidR="00652FCD" w:rsidRPr="000935FE" w14:paraId="18C820D6" w14:textId="77777777" w:rsidTr="00320890">
        <w:trPr>
          <w:trHeight w:val="320"/>
        </w:trPr>
        <w:tc>
          <w:tcPr>
            <w:tcW w:w="1447" w:type="dxa"/>
            <w:tcBorders>
              <w:top w:val="nil"/>
              <w:left w:val="nil"/>
              <w:bottom w:val="nil"/>
              <w:right w:val="nil"/>
            </w:tcBorders>
            <w:shd w:val="clear" w:color="auto" w:fill="auto"/>
            <w:noWrap/>
            <w:hideMark/>
          </w:tcPr>
          <w:p w14:paraId="77C3A1B7" w14:textId="77777777" w:rsidR="00652FCD" w:rsidRPr="000935FE" w:rsidRDefault="00652FCD" w:rsidP="00320890">
            <w:pPr>
              <w:rPr>
                <w:rFonts w:ascii="Verdana" w:hAnsi="Verdana"/>
                <w:color w:val="000000"/>
                <w:sz w:val="18"/>
                <w:szCs w:val="18"/>
              </w:rPr>
            </w:pPr>
            <w:r w:rsidRPr="000935FE">
              <w:rPr>
                <w:rFonts w:ascii="Verdana" w:hAnsi="Verdana"/>
                <w:color w:val="000000"/>
                <w:sz w:val="18"/>
                <w:szCs w:val="18"/>
              </w:rPr>
              <w:t>East Sussex</w:t>
            </w:r>
          </w:p>
        </w:tc>
        <w:tc>
          <w:tcPr>
            <w:tcW w:w="1503" w:type="dxa"/>
            <w:tcBorders>
              <w:top w:val="nil"/>
              <w:left w:val="nil"/>
              <w:bottom w:val="nil"/>
              <w:right w:val="nil"/>
            </w:tcBorders>
            <w:shd w:val="clear" w:color="auto" w:fill="auto"/>
            <w:noWrap/>
            <w:vAlign w:val="bottom"/>
            <w:hideMark/>
          </w:tcPr>
          <w:p w14:paraId="497568E0"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76.1% </w:t>
            </w:r>
          </w:p>
          <w:p w14:paraId="271FD41B" w14:textId="23CB4DD3" w:rsidR="00652FCD" w:rsidRPr="000935FE" w:rsidRDefault="00652FCD" w:rsidP="00652FCD">
            <w:pPr>
              <w:rPr>
                <w:rFonts w:ascii="Verdana" w:hAnsi="Verdana"/>
                <w:color w:val="000000"/>
                <w:sz w:val="18"/>
                <w:szCs w:val="18"/>
              </w:rPr>
            </w:pPr>
            <w:r w:rsidRPr="000935FE">
              <w:rPr>
                <w:rFonts w:ascii="Verdana" w:hAnsi="Verdana"/>
                <w:color w:val="000000"/>
                <w:sz w:val="18"/>
                <w:szCs w:val="18"/>
              </w:rPr>
              <w:t>(74.8-77.3%)</w:t>
            </w:r>
          </w:p>
        </w:tc>
        <w:tc>
          <w:tcPr>
            <w:tcW w:w="1502" w:type="dxa"/>
            <w:tcBorders>
              <w:top w:val="nil"/>
              <w:left w:val="nil"/>
              <w:bottom w:val="nil"/>
              <w:right w:val="nil"/>
            </w:tcBorders>
            <w:shd w:val="clear" w:color="auto" w:fill="auto"/>
            <w:noWrap/>
            <w:vAlign w:val="bottom"/>
            <w:hideMark/>
          </w:tcPr>
          <w:p w14:paraId="514875E2"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72.3% </w:t>
            </w:r>
          </w:p>
          <w:p w14:paraId="0B18D592" w14:textId="3906B487" w:rsidR="00652FCD" w:rsidRPr="000935FE" w:rsidRDefault="00652FCD" w:rsidP="00652FCD">
            <w:pPr>
              <w:rPr>
                <w:rFonts w:ascii="Verdana" w:hAnsi="Verdana"/>
                <w:color w:val="000000"/>
                <w:sz w:val="18"/>
                <w:szCs w:val="18"/>
              </w:rPr>
            </w:pPr>
            <w:r w:rsidRPr="000935FE">
              <w:rPr>
                <w:rFonts w:ascii="Verdana" w:hAnsi="Verdana"/>
                <w:color w:val="000000"/>
                <w:sz w:val="18"/>
                <w:szCs w:val="18"/>
              </w:rPr>
              <w:t>(63.6-79.5%)</w:t>
            </w:r>
          </w:p>
        </w:tc>
        <w:tc>
          <w:tcPr>
            <w:tcW w:w="1502" w:type="dxa"/>
            <w:tcBorders>
              <w:top w:val="nil"/>
              <w:left w:val="nil"/>
              <w:bottom w:val="nil"/>
              <w:right w:val="nil"/>
            </w:tcBorders>
            <w:shd w:val="clear" w:color="auto" w:fill="auto"/>
            <w:noWrap/>
            <w:vAlign w:val="bottom"/>
            <w:hideMark/>
          </w:tcPr>
          <w:p w14:paraId="051450C5"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55.3% </w:t>
            </w:r>
          </w:p>
          <w:p w14:paraId="52C5F9A3" w14:textId="776B3974" w:rsidR="00652FCD" w:rsidRPr="000935FE" w:rsidRDefault="00652FCD" w:rsidP="00652FCD">
            <w:pPr>
              <w:rPr>
                <w:rFonts w:ascii="Verdana" w:hAnsi="Verdana"/>
                <w:color w:val="000000"/>
                <w:sz w:val="18"/>
                <w:szCs w:val="18"/>
              </w:rPr>
            </w:pPr>
            <w:r w:rsidRPr="000935FE">
              <w:rPr>
                <w:rFonts w:ascii="Verdana" w:hAnsi="Verdana"/>
                <w:color w:val="000000"/>
                <w:sz w:val="18"/>
                <w:szCs w:val="18"/>
              </w:rPr>
              <w:t>(39.7-69.9%)</w:t>
            </w:r>
          </w:p>
        </w:tc>
        <w:tc>
          <w:tcPr>
            <w:tcW w:w="1502" w:type="dxa"/>
            <w:tcBorders>
              <w:top w:val="nil"/>
              <w:left w:val="nil"/>
              <w:bottom w:val="nil"/>
              <w:right w:val="nil"/>
            </w:tcBorders>
            <w:shd w:val="clear" w:color="auto" w:fill="auto"/>
            <w:noWrap/>
            <w:vAlign w:val="bottom"/>
            <w:hideMark/>
          </w:tcPr>
          <w:p w14:paraId="515492CC"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80% </w:t>
            </w:r>
          </w:p>
          <w:p w14:paraId="1006B384" w14:textId="657EECF0" w:rsidR="00652FCD" w:rsidRPr="000935FE" w:rsidRDefault="00652FCD" w:rsidP="00652FCD">
            <w:pPr>
              <w:rPr>
                <w:rFonts w:ascii="Verdana" w:hAnsi="Verdana"/>
                <w:color w:val="000000"/>
                <w:sz w:val="18"/>
                <w:szCs w:val="18"/>
              </w:rPr>
            </w:pPr>
            <w:r w:rsidRPr="000935FE">
              <w:rPr>
                <w:rFonts w:ascii="Verdana" w:hAnsi="Verdana"/>
                <w:color w:val="000000"/>
                <w:sz w:val="18"/>
                <w:szCs w:val="18"/>
              </w:rPr>
              <w:t>(49-94.3%)</w:t>
            </w:r>
          </w:p>
        </w:tc>
        <w:tc>
          <w:tcPr>
            <w:tcW w:w="1502" w:type="dxa"/>
            <w:tcBorders>
              <w:top w:val="nil"/>
              <w:left w:val="nil"/>
              <w:bottom w:val="nil"/>
              <w:right w:val="nil"/>
            </w:tcBorders>
            <w:shd w:val="clear" w:color="auto" w:fill="auto"/>
            <w:noWrap/>
            <w:vAlign w:val="bottom"/>
            <w:hideMark/>
          </w:tcPr>
          <w:p w14:paraId="688A9A8C"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77.1% </w:t>
            </w:r>
          </w:p>
          <w:p w14:paraId="6C218580" w14:textId="0A4DDFAD" w:rsidR="00652FCD" w:rsidRPr="000935FE" w:rsidRDefault="00652FCD" w:rsidP="00652FCD">
            <w:pPr>
              <w:rPr>
                <w:rFonts w:ascii="Verdana" w:hAnsi="Verdana"/>
                <w:color w:val="000000"/>
                <w:sz w:val="18"/>
                <w:szCs w:val="18"/>
              </w:rPr>
            </w:pPr>
            <w:r w:rsidRPr="000935FE">
              <w:rPr>
                <w:rFonts w:ascii="Verdana" w:hAnsi="Verdana"/>
                <w:color w:val="000000"/>
                <w:sz w:val="18"/>
                <w:szCs w:val="18"/>
              </w:rPr>
              <w:t>(71.5-81.8%)</w:t>
            </w:r>
          </w:p>
        </w:tc>
      </w:tr>
      <w:tr w:rsidR="00652FCD" w:rsidRPr="000935FE" w14:paraId="78165B00" w14:textId="77777777" w:rsidTr="00320890">
        <w:trPr>
          <w:trHeight w:val="320"/>
        </w:trPr>
        <w:tc>
          <w:tcPr>
            <w:tcW w:w="1447" w:type="dxa"/>
            <w:tcBorders>
              <w:top w:val="nil"/>
              <w:left w:val="nil"/>
              <w:bottom w:val="nil"/>
              <w:right w:val="nil"/>
            </w:tcBorders>
            <w:shd w:val="clear" w:color="auto" w:fill="auto"/>
            <w:noWrap/>
            <w:hideMark/>
          </w:tcPr>
          <w:p w14:paraId="50A06FEF" w14:textId="77777777" w:rsidR="00652FCD" w:rsidRPr="000935FE" w:rsidRDefault="00652FCD" w:rsidP="00320890">
            <w:pPr>
              <w:rPr>
                <w:rFonts w:ascii="Verdana" w:hAnsi="Verdana"/>
                <w:color w:val="000000"/>
                <w:sz w:val="18"/>
                <w:szCs w:val="18"/>
              </w:rPr>
            </w:pPr>
            <w:r w:rsidRPr="000935FE">
              <w:rPr>
                <w:rFonts w:ascii="Verdana" w:hAnsi="Verdana"/>
                <w:color w:val="000000"/>
                <w:sz w:val="18"/>
                <w:szCs w:val="18"/>
              </w:rPr>
              <w:t>West Sussex</w:t>
            </w:r>
          </w:p>
        </w:tc>
        <w:tc>
          <w:tcPr>
            <w:tcW w:w="1503" w:type="dxa"/>
            <w:tcBorders>
              <w:top w:val="nil"/>
              <w:left w:val="nil"/>
              <w:bottom w:val="nil"/>
              <w:right w:val="nil"/>
            </w:tcBorders>
            <w:shd w:val="clear" w:color="auto" w:fill="auto"/>
            <w:noWrap/>
            <w:vAlign w:val="bottom"/>
            <w:hideMark/>
          </w:tcPr>
          <w:p w14:paraId="51351D60"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71.8% </w:t>
            </w:r>
          </w:p>
          <w:p w14:paraId="35F2F486" w14:textId="38452F52" w:rsidR="00652FCD" w:rsidRPr="000935FE" w:rsidRDefault="00652FCD" w:rsidP="00652FCD">
            <w:pPr>
              <w:rPr>
                <w:rFonts w:ascii="Verdana" w:hAnsi="Verdana"/>
                <w:color w:val="000000"/>
                <w:sz w:val="18"/>
                <w:szCs w:val="18"/>
              </w:rPr>
            </w:pPr>
            <w:r w:rsidRPr="000935FE">
              <w:rPr>
                <w:rFonts w:ascii="Verdana" w:hAnsi="Verdana"/>
                <w:color w:val="000000"/>
                <w:sz w:val="18"/>
                <w:szCs w:val="18"/>
              </w:rPr>
              <w:t>(70.7-72.8%)</w:t>
            </w:r>
          </w:p>
        </w:tc>
        <w:tc>
          <w:tcPr>
            <w:tcW w:w="1502" w:type="dxa"/>
            <w:tcBorders>
              <w:top w:val="nil"/>
              <w:left w:val="nil"/>
              <w:bottom w:val="nil"/>
              <w:right w:val="nil"/>
            </w:tcBorders>
            <w:shd w:val="clear" w:color="auto" w:fill="auto"/>
            <w:noWrap/>
            <w:vAlign w:val="bottom"/>
            <w:hideMark/>
          </w:tcPr>
          <w:p w14:paraId="0897C4B2"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64.5% </w:t>
            </w:r>
          </w:p>
          <w:p w14:paraId="449B8435" w14:textId="63DF4CF2" w:rsidR="00652FCD" w:rsidRPr="000935FE" w:rsidRDefault="00652FCD" w:rsidP="00652FCD">
            <w:pPr>
              <w:rPr>
                <w:rFonts w:ascii="Verdana" w:hAnsi="Verdana"/>
                <w:color w:val="000000"/>
                <w:sz w:val="18"/>
                <w:szCs w:val="18"/>
              </w:rPr>
            </w:pPr>
            <w:r w:rsidRPr="000935FE">
              <w:rPr>
                <w:rFonts w:ascii="Verdana" w:hAnsi="Verdana"/>
                <w:color w:val="000000"/>
                <w:sz w:val="18"/>
                <w:szCs w:val="18"/>
              </w:rPr>
              <w:t>(60.2-68.5%)</w:t>
            </w:r>
          </w:p>
        </w:tc>
        <w:tc>
          <w:tcPr>
            <w:tcW w:w="1502" w:type="dxa"/>
            <w:tcBorders>
              <w:top w:val="nil"/>
              <w:left w:val="nil"/>
              <w:bottom w:val="nil"/>
              <w:right w:val="nil"/>
            </w:tcBorders>
            <w:shd w:val="clear" w:color="auto" w:fill="auto"/>
            <w:noWrap/>
            <w:vAlign w:val="bottom"/>
            <w:hideMark/>
          </w:tcPr>
          <w:p w14:paraId="6AFCFC66"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60.8% </w:t>
            </w:r>
          </w:p>
          <w:p w14:paraId="1D2BC2B1" w14:textId="67881791" w:rsidR="00652FCD" w:rsidRPr="000935FE" w:rsidRDefault="00652FCD" w:rsidP="00652FCD">
            <w:pPr>
              <w:rPr>
                <w:rFonts w:ascii="Verdana" w:hAnsi="Verdana"/>
                <w:color w:val="000000"/>
                <w:sz w:val="18"/>
                <w:szCs w:val="18"/>
              </w:rPr>
            </w:pPr>
            <w:r w:rsidRPr="000935FE">
              <w:rPr>
                <w:rFonts w:ascii="Verdana" w:hAnsi="Verdana"/>
                <w:color w:val="000000"/>
                <w:sz w:val="18"/>
                <w:szCs w:val="18"/>
              </w:rPr>
              <w:t>(51.9-69.1%)</w:t>
            </w:r>
          </w:p>
        </w:tc>
        <w:tc>
          <w:tcPr>
            <w:tcW w:w="1502" w:type="dxa"/>
            <w:tcBorders>
              <w:top w:val="nil"/>
              <w:left w:val="nil"/>
              <w:bottom w:val="nil"/>
              <w:right w:val="nil"/>
            </w:tcBorders>
            <w:shd w:val="clear" w:color="auto" w:fill="auto"/>
            <w:noWrap/>
            <w:vAlign w:val="bottom"/>
            <w:hideMark/>
          </w:tcPr>
          <w:p w14:paraId="23BC4BF4"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53.8% </w:t>
            </w:r>
          </w:p>
          <w:p w14:paraId="32D8C72F" w14:textId="34906D42" w:rsidR="00652FCD" w:rsidRPr="000935FE" w:rsidRDefault="00652FCD" w:rsidP="00652FCD">
            <w:pPr>
              <w:rPr>
                <w:rFonts w:ascii="Verdana" w:hAnsi="Verdana"/>
                <w:color w:val="000000"/>
                <w:sz w:val="18"/>
                <w:szCs w:val="18"/>
              </w:rPr>
            </w:pPr>
            <w:r w:rsidRPr="000935FE">
              <w:rPr>
                <w:rFonts w:ascii="Verdana" w:hAnsi="Verdana"/>
                <w:color w:val="000000"/>
                <w:sz w:val="18"/>
                <w:szCs w:val="18"/>
              </w:rPr>
              <w:t>(35.5-71.2%)</w:t>
            </w:r>
          </w:p>
        </w:tc>
        <w:tc>
          <w:tcPr>
            <w:tcW w:w="1502" w:type="dxa"/>
            <w:tcBorders>
              <w:top w:val="nil"/>
              <w:left w:val="nil"/>
              <w:bottom w:val="nil"/>
              <w:right w:val="nil"/>
            </w:tcBorders>
            <w:shd w:val="clear" w:color="auto" w:fill="auto"/>
            <w:noWrap/>
            <w:vAlign w:val="bottom"/>
            <w:hideMark/>
          </w:tcPr>
          <w:p w14:paraId="1BB04A75"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73.2% </w:t>
            </w:r>
          </w:p>
          <w:p w14:paraId="415E2978" w14:textId="428C4E9A" w:rsidR="00652FCD" w:rsidRPr="000935FE" w:rsidRDefault="00652FCD" w:rsidP="00652FCD">
            <w:pPr>
              <w:rPr>
                <w:rFonts w:ascii="Verdana" w:hAnsi="Verdana"/>
                <w:color w:val="000000"/>
                <w:sz w:val="18"/>
                <w:szCs w:val="18"/>
              </w:rPr>
            </w:pPr>
            <w:r w:rsidRPr="000935FE">
              <w:rPr>
                <w:rFonts w:ascii="Verdana" w:hAnsi="Verdana"/>
                <w:color w:val="000000"/>
                <w:sz w:val="18"/>
                <w:szCs w:val="18"/>
              </w:rPr>
              <w:t>(69.2-76.9%)</w:t>
            </w:r>
          </w:p>
        </w:tc>
      </w:tr>
      <w:tr w:rsidR="00652FCD" w:rsidRPr="000935FE" w14:paraId="1799A999" w14:textId="77777777" w:rsidTr="00320890">
        <w:trPr>
          <w:trHeight w:val="320"/>
        </w:trPr>
        <w:tc>
          <w:tcPr>
            <w:tcW w:w="1447" w:type="dxa"/>
            <w:tcBorders>
              <w:top w:val="nil"/>
              <w:left w:val="nil"/>
              <w:right w:val="nil"/>
            </w:tcBorders>
            <w:shd w:val="clear" w:color="auto" w:fill="auto"/>
            <w:noWrap/>
            <w:hideMark/>
          </w:tcPr>
          <w:p w14:paraId="0CAE09BC" w14:textId="77777777" w:rsidR="00652FCD" w:rsidRPr="000935FE" w:rsidRDefault="00652FCD" w:rsidP="00320890">
            <w:pPr>
              <w:rPr>
                <w:rFonts w:ascii="Verdana" w:hAnsi="Verdana"/>
                <w:color w:val="000000"/>
                <w:sz w:val="18"/>
                <w:szCs w:val="18"/>
              </w:rPr>
            </w:pPr>
            <w:r w:rsidRPr="000935FE">
              <w:rPr>
                <w:rFonts w:ascii="Verdana" w:hAnsi="Verdana"/>
                <w:color w:val="000000"/>
                <w:sz w:val="18"/>
                <w:szCs w:val="18"/>
              </w:rPr>
              <w:t>South East</w:t>
            </w:r>
          </w:p>
        </w:tc>
        <w:tc>
          <w:tcPr>
            <w:tcW w:w="1503" w:type="dxa"/>
            <w:tcBorders>
              <w:top w:val="nil"/>
              <w:left w:val="nil"/>
              <w:right w:val="nil"/>
            </w:tcBorders>
            <w:shd w:val="clear" w:color="auto" w:fill="auto"/>
            <w:noWrap/>
            <w:vAlign w:val="bottom"/>
            <w:hideMark/>
          </w:tcPr>
          <w:p w14:paraId="1E5EE922"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74.6% </w:t>
            </w:r>
          </w:p>
          <w:p w14:paraId="0BB83928" w14:textId="7DB4DBBD" w:rsidR="00652FCD" w:rsidRPr="000935FE" w:rsidRDefault="00652FCD" w:rsidP="00652FCD">
            <w:pPr>
              <w:rPr>
                <w:rFonts w:ascii="Verdana" w:hAnsi="Verdana"/>
                <w:color w:val="000000"/>
                <w:sz w:val="18"/>
                <w:szCs w:val="18"/>
              </w:rPr>
            </w:pPr>
            <w:r w:rsidRPr="000935FE">
              <w:rPr>
                <w:rFonts w:ascii="Verdana" w:hAnsi="Verdana"/>
                <w:color w:val="000000"/>
                <w:sz w:val="18"/>
                <w:szCs w:val="18"/>
              </w:rPr>
              <w:t>(74.3-74.9%)</w:t>
            </w:r>
          </w:p>
        </w:tc>
        <w:tc>
          <w:tcPr>
            <w:tcW w:w="1502" w:type="dxa"/>
            <w:tcBorders>
              <w:top w:val="nil"/>
              <w:left w:val="nil"/>
              <w:right w:val="nil"/>
            </w:tcBorders>
            <w:shd w:val="clear" w:color="auto" w:fill="auto"/>
            <w:noWrap/>
            <w:vAlign w:val="bottom"/>
            <w:hideMark/>
          </w:tcPr>
          <w:p w14:paraId="59404672"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72.3% </w:t>
            </w:r>
          </w:p>
          <w:p w14:paraId="35756E6D" w14:textId="41619FE7" w:rsidR="00652FCD" w:rsidRPr="000935FE" w:rsidRDefault="00652FCD" w:rsidP="00652FCD">
            <w:pPr>
              <w:rPr>
                <w:rFonts w:ascii="Verdana" w:hAnsi="Verdana"/>
                <w:color w:val="000000"/>
                <w:sz w:val="18"/>
                <w:szCs w:val="18"/>
              </w:rPr>
            </w:pPr>
            <w:r w:rsidRPr="000935FE">
              <w:rPr>
                <w:rFonts w:ascii="Verdana" w:hAnsi="Verdana"/>
                <w:color w:val="000000"/>
                <w:sz w:val="18"/>
                <w:szCs w:val="18"/>
              </w:rPr>
              <w:t>(71.3-73.3%)</w:t>
            </w:r>
          </w:p>
        </w:tc>
        <w:tc>
          <w:tcPr>
            <w:tcW w:w="1502" w:type="dxa"/>
            <w:tcBorders>
              <w:top w:val="nil"/>
              <w:left w:val="nil"/>
              <w:right w:val="nil"/>
            </w:tcBorders>
            <w:shd w:val="clear" w:color="auto" w:fill="auto"/>
            <w:noWrap/>
            <w:vAlign w:val="bottom"/>
            <w:hideMark/>
          </w:tcPr>
          <w:p w14:paraId="720C34DB"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68.9% </w:t>
            </w:r>
          </w:p>
          <w:p w14:paraId="751A1C98" w14:textId="066BD663" w:rsidR="00652FCD" w:rsidRPr="000935FE" w:rsidRDefault="00652FCD" w:rsidP="00652FCD">
            <w:pPr>
              <w:rPr>
                <w:rFonts w:ascii="Verdana" w:hAnsi="Verdana"/>
                <w:color w:val="000000"/>
                <w:sz w:val="18"/>
                <w:szCs w:val="18"/>
              </w:rPr>
            </w:pPr>
            <w:r w:rsidRPr="000935FE">
              <w:rPr>
                <w:rFonts w:ascii="Verdana" w:hAnsi="Verdana"/>
                <w:color w:val="000000"/>
                <w:sz w:val="18"/>
                <w:szCs w:val="18"/>
              </w:rPr>
              <w:t>(67.1-70.7%)</w:t>
            </w:r>
          </w:p>
        </w:tc>
        <w:tc>
          <w:tcPr>
            <w:tcW w:w="1502" w:type="dxa"/>
            <w:tcBorders>
              <w:top w:val="nil"/>
              <w:left w:val="nil"/>
              <w:right w:val="nil"/>
            </w:tcBorders>
            <w:shd w:val="clear" w:color="auto" w:fill="auto"/>
            <w:noWrap/>
            <w:vAlign w:val="bottom"/>
            <w:hideMark/>
          </w:tcPr>
          <w:p w14:paraId="2C1CED57" w14:textId="77777777" w:rsidR="00320890"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76.9% </w:t>
            </w:r>
          </w:p>
          <w:p w14:paraId="05C7DAA0" w14:textId="6CC9F699" w:rsidR="00652FCD" w:rsidRPr="000935FE" w:rsidRDefault="00652FCD" w:rsidP="00320890">
            <w:pPr>
              <w:rPr>
                <w:rFonts w:ascii="Verdana" w:hAnsi="Verdana"/>
                <w:color w:val="000000"/>
                <w:sz w:val="18"/>
                <w:szCs w:val="18"/>
              </w:rPr>
            </w:pPr>
            <w:r w:rsidRPr="000935FE">
              <w:rPr>
                <w:rFonts w:ascii="Verdana" w:hAnsi="Verdana"/>
                <w:color w:val="000000"/>
                <w:sz w:val="18"/>
                <w:szCs w:val="18"/>
              </w:rPr>
              <w:t>(72.7-80.7%)</w:t>
            </w:r>
          </w:p>
        </w:tc>
        <w:tc>
          <w:tcPr>
            <w:tcW w:w="1502" w:type="dxa"/>
            <w:tcBorders>
              <w:top w:val="nil"/>
              <w:left w:val="nil"/>
              <w:right w:val="nil"/>
            </w:tcBorders>
            <w:shd w:val="clear" w:color="auto" w:fill="auto"/>
            <w:noWrap/>
            <w:vAlign w:val="bottom"/>
            <w:hideMark/>
          </w:tcPr>
          <w:p w14:paraId="0BB6FAF6"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75.5% </w:t>
            </w:r>
          </w:p>
          <w:p w14:paraId="5F1AD2B6" w14:textId="55251C2E" w:rsidR="00652FCD" w:rsidRPr="000935FE" w:rsidRDefault="00652FCD" w:rsidP="00652FCD">
            <w:pPr>
              <w:rPr>
                <w:rFonts w:ascii="Verdana" w:hAnsi="Verdana"/>
                <w:color w:val="000000"/>
                <w:sz w:val="18"/>
                <w:szCs w:val="18"/>
              </w:rPr>
            </w:pPr>
            <w:r w:rsidRPr="000935FE">
              <w:rPr>
                <w:rFonts w:ascii="Verdana" w:hAnsi="Verdana"/>
                <w:color w:val="000000"/>
                <w:sz w:val="18"/>
                <w:szCs w:val="18"/>
              </w:rPr>
              <w:t>(74.5-76.6%)</w:t>
            </w:r>
          </w:p>
        </w:tc>
      </w:tr>
      <w:tr w:rsidR="00652FCD" w:rsidRPr="000935FE" w14:paraId="1A850EBE" w14:textId="77777777" w:rsidTr="00320890">
        <w:trPr>
          <w:trHeight w:val="320"/>
        </w:trPr>
        <w:tc>
          <w:tcPr>
            <w:tcW w:w="1447" w:type="dxa"/>
            <w:tcBorders>
              <w:top w:val="nil"/>
              <w:left w:val="nil"/>
              <w:bottom w:val="single" w:sz="4" w:space="0" w:color="auto"/>
              <w:right w:val="nil"/>
            </w:tcBorders>
            <w:shd w:val="clear" w:color="auto" w:fill="auto"/>
            <w:noWrap/>
            <w:hideMark/>
          </w:tcPr>
          <w:p w14:paraId="7D0C06BB" w14:textId="77777777" w:rsidR="00652FCD" w:rsidRPr="000935FE" w:rsidRDefault="00652FCD" w:rsidP="00320890">
            <w:pPr>
              <w:rPr>
                <w:rFonts w:ascii="Verdana" w:hAnsi="Verdana"/>
                <w:color w:val="000000"/>
                <w:sz w:val="18"/>
                <w:szCs w:val="18"/>
              </w:rPr>
            </w:pPr>
            <w:r w:rsidRPr="000935FE">
              <w:rPr>
                <w:rFonts w:ascii="Verdana" w:hAnsi="Verdana"/>
                <w:color w:val="000000"/>
                <w:sz w:val="18"/>
                <w:szCs w:val="18"/>
              </w:rPr>
              <w:t>England</w:t>
            </w:r>
          </w:p>
        </w:tc>
        <w:tc>
          <w:tcPr>
            <w:tcW w:w="1503" w:type="dxa"/>
            <w:tcBorders>
              <w:top w:val="nil"/>
              <w:left w:val="nil"/>
              <w:bottom w:val="single" w:sz="4" w:space="0" w:color="auto"/>
              <w:right w:val="nil"/>
            </w:tcBorders>
            <w:shd w:val="clear" w:color="auto" w:fill="auto"/>
            <w:noWrap/>
            <w:vAlign w:val="bottom"/>
            <w:hideMark/>
          </w:tcPr>
          <w:p w14:paraId="58A52BC9"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71.7% </w:t>
            </w:r>
          </w:p>
          <w:p w14:paraId="516B1DF5" w14:textId="3A22806A" w:rsidR="00652FCD" w:rsidRPr="000935FE" w:rsidRDefault="00652FCD" w:rsidP="00652FCD">
            <w:pPr>
              <w:rPr>
                <w:rFonts w:ascii="Verdana" w:hAnsi="Verdana"/>
                <w:color w:val="000000"/>
                <w:sz w:val="18"/>
                <w:szCs w:val="18"/>
              </w:rPr>
            </w:pPr>
            <w:r w:rsidRPr="000935FE">
              <w:rPr>
                <w:rFonts w:ascii="Verdana" w:hAnsi="Verdana"/>
                <w:color w:val="000000"/>
                <w:sz w:val="18"/>
                <w:szCs w:val="18"/>
              </w:rPr>
              <w:t>(71.6-71.8%)</w:t>
            </w:r>
          </w:p>
        </w:tc>
        <w:tc>
          <w:tcPr>
            <w:tcW w:w="1502" w:type="dxa"/>
            <w:tcBorders>
              <w:top w:val="nil"/>
              <w:left w:val="nil"/>
              <w:bottom w:val="single" w:sz="4" w:space="0" w:color="auto"/>
              <w:right w:val="nil"/>
            </w:tcBorders>
            <w:shd w:val="clear" w:color="auto" w:fill="auto"/>
            <w:noWrap/>
            <w:vAlign w:val="bottom"/>
            <w:hideMark/>
          </w:tcPr>
          <w:p w14:paraId="284A7024"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69.4% </w:t>
            </w:r>
          </w:p>
          <w:p w14:paraId="15691ABF" w14:textId="11DB61FA" w:rsidR="00652FCD" w:rsidRPr="000935FE" w:rsidRDefault="00652FCD" w:rsidP="00652FCD">
            <w:pPr>
              <w:rPr>
                <w:rFonts w:ascii="Verdana" w:hAnsi="Verdana"/>
                <w:color w:val="000000"/>
                <w:sz w:val="18"/>
                <w:szCs w:val="18"/>
              </w:rPr>
            </w:pPr>
            <w:r w:rsidRPr="000935FE">
              <w:rPr>
                <w:rFonts w:ascii="Verdana" w:hAnsi="Verdana"/>
                <w:color w:val="000000"/>
                <w:sz w:val="18"/>
                <w:szCs w:val="18"/>
              </w:rPr>
              <w:t>(69.1-69.8%)</w:t>
            </w:r>
          </w:p>
        </w:tc>
        <w:tc>
          <w:tcPr>
            <w:tcW w:w="1502" w:type="dxa"/>
            <w:tcBorders>
              <w:top w:val="nil"/>
              <w:left w:val="nil"/>
              <w:bottom w:val="single" w:sz="4" w:space="0" w:color="auto"/>
              <w:right w:val="nil"/>
            </w:tcBorders>
            <w:shd w:val="clear" w:color="auto" w:fill="auto"/>
            <w:noWrap/>
            <w:vAlign w:val="bottom"/>
            <w:hideMark/>
          </w:tcPr>
          <w:p w14:paraId="1A86E43B"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67.8% </w:t>
            </w:r>
          </w:p>
          <w:p w14:paraId="7C33C396" w14:textId="5C754939" w:rsidR="00652FCD" w:rsidRPr="000935FE" w:rsidRDefault="00652FCD" w:rsidP="00652FCD">
            <w:pPr>
              <w:rPr>
                <w:rFonts w:ascii="Verdana" w:hAnsi="Verdana"/>
                <w:color w:val="000000"/>
                <w:sz w:val="18"/>
                <w:szCs w:val="18"/>
              </w:rPr>
            </w:pPr>
            <w:r w:rsidRPr="000935FE">
              <w:rPr>
                <w:rFonts w:ascii="Verdana" w:hAnsi="Verdana"/>
                <w:color w:val="000000"/>
                <w:sz w:val="18"/>
                <w:szCs w:val="18"/>
              </w:rPr>
              <w:t>(67.2-68.3%)</w:t>
            </w:r>
          </w:p>
        </w:tc>
        <w:tc>
          <w:tcPr>
            <w:tcW w:w="1502" w:type="dxa"/>
            <w:tcBorders>
              <w:top w:val="nil"/>
              <w:left w:val="nil"/>
              <w:bottom w:val="single" w:sz="4" w:space="0" w:color="auto"/>
              <w:right w:val="nil"/>
            </w:tcBorders>
            <w:shd w:val="clear" w:color="auto" w:fill="auto"/>
            <w:noWrap/>
            <w:vAlign w:val="bottom"/>
            <w:hideMark/>
          </w:tcPr>
          <w:p w14:paraId="2D8B49D3"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76.4% </w:t>
            </w:r>
          </w:p>
          <w:p w14:paraId="68E34627" w14:textId="28B7C848" w:rsidR="00652FCD" w:rsidRPr="000935FE" w:rsidRDefault="00652FCD" w:rsidP="00652FCD">
            <w:pPr>
              <w:rPr>
                <w:rFonts w:ascii="Verdana" w:hAnsi="Verdana"/>
                <w:color w:val="000000"/>
                <w:sz w:val="18"/>
                <w:szCs w:val="18"/>
              </w:rPr>
            </w:pPr>
            <w:r w:rsidRPr="000935FE">
              <w:rPr>
                <w:rFonts w:ascii="Verdana" w:hAnsi="Verdana"/>
                <w:color w:val="000000"/>
                <w:sz w:val="18"/>
                <w:szCs w:val="18"/>
              </w:rPr>
              <w:t>(74.9-77.9%)</w:t>
            </w:r>
          </w:p>
        </w:tc>
        <w:tc>
          <w:tcPr>
            <w:tcW w:w="1502" w:type="dxa"/>
            <w:tcBorders>
              <w:top w:val="nil"/>
              <w:left w:val="nil"/>
              <w:bottom w:val="single" w:sz="4" w:space="0" w:color="auto"/>
              <w:right w:val="nil"/>
            </w:tcBorders>
            <w:shd w:val="clear" w:color="auto" w:fill="auto"/>
            <w:noWrap/>
            <w:vAlign w:val="bottom"/>
            <w:hideMark/>
          </w:tcPr>
          <w:p w14:paraId="2A0C64A3" w14:textId="77777777" w:rsidR="00652FCD" w:rsidRPr="000935FE" w:rsidRDefault="00652FCD" w:rsidP="00652FCD">
            <w:pPr>
              <w:rPr>
                <w:rFonts w:ascii="Verdana" w:hAnsi="Verdana"/>
                <w:color w:val="000000"/>
                <w:sz w:val="18"/>
                <w:szCs w:val="18"/>
              </w:rPr>
            </w:pPr>
            <w:r w:rsidRPr="000935FE">
              <w:rPr>
                <w:rFonts w:ascii="Verdana" w:hAnsi="Verdana"/>
                <w:color w:val="000000"/>
                <w:sz w:val="18"/>
                <w:szCs w:val="18"/>
              </w:rPr>
              <w:t xml:space="preserve">72.1% </w:t>
            </w:r>
          </w:p>
          <w:p w14:paraId="72073F53" w14:textId="05C67893" w:rsidR="00652FCD" w:rsidRPr="000935FE" w:rsidRDefault="00652FCD" w:rsidP="00652FCD">
            <w:pPr>
              <w:rPr>
                <w:rFonts w:ascii="Verdana" w:hAnsi="Verdana"/>
                <w:color w:val="000000"/>
                <w:sz w:val="18"/>
                <w:szCs w:val="18"/>
              </w:rPr>
            </w:pPr>
            <w:r w:rsidRPr="000935FE">
              <w:rPr>
                <w:rFonts w:ascii="Verdana" w:hAnsi="Verdana"/>
                <w:color w:val="000000"/>
                <w:sz w:val="18"/>
                <w:szCs w:val="18"/>
              </w:rPr>
              <w:t>(71.7-72.6%)</w:t>
            </w:r>
          </w:p>
        </w:tc>
      </w:tr>
    </w:tbl>
    <w:p w14:paraId="562ED33F" w14:textId="5D6AFE3D" w:rsidR="00652FCD" w:rsidRPr="000935FE" w:rsidRDefault="00652FCD">
      <w:pPr>
        <w:rPr>
          <w:rFonts w:ascii="Verdana" w:hAnsi="Verdana"/>
          <w:b/>
          <w:bCs/>
        </w:rPr>
      </w:pPr>
    </w:p>
    <w:p w14:paraId="6CA848A4" w14:textId="73662E67" w:rsidR="00652FCD" w:rsidRPr="000935FE" w:rsidRDefault="00320890">
      <w:pPr>
        <w:rPr>
          <w:rFonts w:ascii="Verdana" w:hAnsi="Verdana"/>
          <w:bCs/>
        </w:rPr>
      </w:pPr>
      <w:r w:rsidRPr="000935FE">
        <w:rPr>
          <w:rFonts w:ascii="Verdana" w:hAnsi="Verdana"/>
          <w:b/>
          <w:bCs/>
        </w:rPr>
        <w:t>Proportion of reception age pupils (aged 4-5 years) classed as overweight</w:t>
      </w:r>
      <w:r w:rsidR="008600AA" w:rsidRPr="000935FE">
        <w:rPr>
          <w:rFonts w:ascii="Verdana" w:hAnsi="Verdana"/>
          <w:b/>
          <w:bCs/>
        </w:rPr>
        <w:t xml:space="preserve"> – England – 2018/19 academic year – </w:t>
      </w:r>
      <w:r w:rsidR="008600AA" w:rsidRPr="000935FE">
        <w:rPr>
          <w:rFonts w:ascii="Verdana" w:hAnsi="Verdana"/>
          <w:bCs/>
        </w:rPr>
        <w:t>NHS Digital, National Child Measurement Programme</w:t>
      </w:r>
    </w:p>
    <w:p w14:paraId="3AA15956" w14:textId="5AECFD2D" w:rsidR="00320890" w:rsidRPr="000935FE" w:rsidRDefault="00320890">
      <w:pPr>
        <w:rPr>
          <w:rFonts w:ascii="Verdana" w:hAnsi="Verdana"/>
        </w:rPr>
      </w:pPr>
    </w:p>
    <w:p w14:paraId="50B98562" w14:textId="521A3656" w:rsidR="00320890" w:rsidRPr="000935FE" w:rsidRDefault="00320890">
      <w:pPr>
        <w:rPr>
          <w:rFonts w:ascii="Verdana" w:hAnsi="Verdana"/>
          <w:sz w:val="22"/>
          <w:szCs w:val="22"/>
        </w:rPr>
      </w:pPr>
      <w:r w:rsidRPr="000935FE">
        <w:rPr>
          <w:rFonts w:ascii="Verdana" w:hAnsi="Verdana"/>
          <w:sz w:val="22"/>
          <w:szCs w:val="22"/>
        </w:rPr>
        <w:t xml:space="preserve">White British and </w:t>
      </w:r>
      <w:r w:rsidR="008600AA" w:rsidRPr="000935FE">
        <w:rPr>
          <w:rFonts w:ascii="Verdana" w:hAnsi="Verdana"/>
          <w:sz w:val="22"/>
          <w:szCs w:val="22"/>
        </w:rPr>
        <w:t xml:space="preserve">most </w:t>
      </w:r>
      <w:r w:rsidRPr="000935FE">
        <w:rPr>
          <w:rFonts w:ascii="Verdana" w:hAnsi="Verdana"/>
          <w:sz w:val="22"/>
          <w:szCs w:val="22"/>
        </w:rPr>
        <w:t xml:space="preserve">White mixed ethnic minorities </w:t>
      </w:r>
      <w:r w:rsidR="008600AA" w:rsidRPr="000935FE">
        <w:rPr>
          <w:rFonts w:ascii="Verdana" w:hAnsi="Verdana"/>
          <w:sz w:val="22"/>
          <w:szCs w:val="22"/>
        </w:rPr>
        <w:t>(except White and Asian) have a significantly higher prevalence of reception age children classed as overweight compared to Indian, Pakistani, Bangladeshi, and Chinese ethnic groups. Reception pupils in Black African ethnic groups have significantly higher prevalence of being classed as overweight than any other group.</w:t>
      </w:r>
    </w:p>
    <w:p w14:paraId="1E129571" w14:textId="49FBCCF8" w:rsidR="00320890" w:rsidRPr="000935FE" w:rsidRDefault="00320890">
      <w:pPr>
        <w:rPr>
          <w:rFonts w:ascii="Verdana" w:hAnsi="Verdana"/>
          <w:b/>
          <w:bCs/>
        </w:rPr>
      </w:pPr>
    </w:p>
    <w:p w14:paraId="5BF3136B" w14:textId="173CDB19" w:rsidR="00320890" w:rsidRPr="000935FE" w:rsidRDefault="00320890">
      <w:pPr>
        <w:rPr>
          <w:rFonts w:ascii="Verdana" w:hAnsi="Verdana"/>
          <w:b/>
          <w:bCs/>
        </w:rPr>
      </w:pPr>
    </w:p>
    <w:tbl>
      <w:tblPr>
        <w:tblW w:w="6237" w:type="dxa"/>
        <w:tblLook w:val="04A0" w:firstRow="1" w:lastRow="0" w:firstColumn="1" w:lastColumn="0" w:noHBand="0" w:noVBand="1"/>
      </w:tblPr>
      <w:tblGrid>
        <w:gridCol w:w="2960"/>
        <w:gridCol w:w="3277"/>
      </w:tblGrid>
      <w:tr w:rsidR="008600AA" w:rsidRPr="000935FE" w14:paraId="196023A5" w14:textId="77777777" w:rsidTr="008600AA">
        <w:trPr>
          <w:trHeight w:val="1020"/>
        </w:trPr>
        <w:tc>
          <w:tcPr>
            <w:tcW w:w="2960" w:type="dxa"/>
            <w:tcBorders>
              <w:top w:val="single" w:sz="4" w:space="0" w:color="auto"/>
              <w:left w:val="nil"/>
              <w:bottom w:val="single" w:sz="4" w:space="0" w:color="auto"/>
              <w:right w:val="nil"/>
            </w:tcBorders>
            <w:shd w:val="clear" w:color="auto" w:fill="auto"/>
            <w:noWrap/>
            <w:hideMark/>
          </w:tcPr>
          <w:p w14:paraId="1F7A8A32" w14:textId="77777777" w:rsidR="008600AA" w:rsidRPr="000935FE" w:rsidRDefault="008600AA" w:rsidP="008600AA">
            <w:pPr>
              <w:rPr>
                <w:rFonts w:ascii="Verdana" w:hAnsi="Verdana"/>
                <w:b/>
                <w:bCs/>
                <w:color w:val="000000"/>
                <w:sz w:val="20"/>
                <w:szCs w:val="20"/>
              </w:rPr>
            </w:pPr>
            <w:r w:rsidRPr="000935FE">
              <w:rPr>
                <w:rFonts w:ascii="Verdana" w:hAnsi="Verdana"/>
                <w:b/>
                <w:bCs/>
                <w:color w:val="000000"/>
                <w:sz w:val="20"/>
                <w:szCs w:val="20"/>
              </w:rPr>
              <w:t>Ethnicity</w:t>
            </w:r>
          </w:p>
        </w:tc>
        <w:tc>
          <w:tcPr>
            <w:tcW w:w="3277" w:type="dxa"/>
            <w:tcBorders>
              <w:top w:val="single" w:sz="4" w:space="0" w:color="auto"/>
              <w:left w:val="nil"/>
              <w:bottom w:val="single" w:sz="4" w:space="0" w:color="auto"/>
              <w:right w:val="nil"/>
            </w:tcBorders>
            <w:shd w:val="clear" w:color="auto" w:fill="auto"/>
            <w:hideMark/>
          </w:tcPr>
          <w:p w14:paraId="3B146B2B" w14:textId="77777777" w:rsidR="008600AA" w:rsidRPr="000935FE" w:rsidRDefault="008600AA" w:rsidP="008600AA">
            <w:pPr>
              <w:jc w:val="right"/>
              <w:rPr>
                <w:rFonts w:ascii="Verdana" w:hAnsi="Verdana"/>
                <w:b/>
                <w:bCs/>
                <w:color w:val="000000"/>
                <w:sz w:val="20"/>
                <w:szCs w:val="20"/>
              </w:rPr>
            </w:pPr>
            <w:r w:rsidRPr="000935FE">
              <w:rPr>
                <w:rFonts w:ascii="Verdana" w:hAnsi="Verdana"/>
                <w:b/>
                <w:bCs/>
                <w:color w:val="000000"/>
                <w:sz w:val="20"/>
                <w:szCs w:val="20"/>
              </w:rPr>
              <w:t>Proportion of reception age children class as overweight</w:t>
            </w:r>
          </w:p>
        </w:tc>
      </w:tr>
      <w:tr w:rsidR="008600AA" w:rsidRPr="000935FE" w14:paraId="515BBD74" w14:textId="77777777" w:rsidTr="008600AA">
        <w:trPr>
          <w:trHeight w:val="320"/>
        </w:trPr>
        <w:tc>
          <w:tcPr>
            <w:tcW w:w="2960" w:type="dxa"/>
            <w:tcBorders>
              <w:top w:val="nil"/>
              <w:left w:val="nil"/>
              <w:bottom w:val="nil"/>
              <w:right w:val="nil"/>
            </w:tcBorders>
            <w:shd w:val="clear" w:color="auto" w:fill="auto"/>
            <w:noWrap/>
            <w:vAlign w:val="bottom"/>
            <w:hideMark/>
          </w:tcPr>
          <w:p w14:paraId="18442E4F"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White British</w:t>
            </w:r>
          </w:p>
        </w:tc>
        <w:tc>
          <w:tcPr>
            <w:tcW w:w="3277" w:type="dxa"/>
            <w:tcBorders>
              <w:top w:val="nil"/>
              <w:left w:val="nil"/>
              <w:bottom w:val="nil"/>
              <w:right w:val="nil"/>
            </w:tcBorders>
            <w:shd w:val="clear" w:color="auto" w:fill="auto"/>
            <w:noWrap/>
            <w:vAlign w:val="bottom"/>
            <w:hideMark/>
          </w:tcPr>
          <w:p w14:paraId="0AB15D7A"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23.1% (95% CI: 23-23.3)</w:t>
            </w:r>
          </w:p>
        </w:tc>
      </w:tr>
      <w:tr w:rsidR="008600AA" w:rsidRPr="000935FE" w14:paraId="1FA4BFB7" w14:textId="77777777" w:rsidTr="008600AA">
        <w:trPr>
          <w:trHeight w:val="320"/>
        </w:trPr>
        <w:tc>
          <w:tcPr>
            <w:tcW w:w="2960" w:type="dxa"/>
            <w:tcBorders>
              <w:top w:val="nil"/>
              <w:left w:val="nil"/>
              <w:bottom w:val="nil"/>
              <w:right w:val="nil"/>
            </w:tcBorders>
            <w:shd w:val="clear" w:color="auto" w:fill="auto"/>
            <w:noWrap/>
            <w:vAlign w:val="bottom"/>
            <w:hideMark/>
          </w:tcPr>
          <w:p w14:paraId="477FE474"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White Irish</w:t>
            </w:r>
          </w:p>
        </w:tc>
        <w:tc>
          <w:tcPr>
            <w:tcW w:w="3277" w:type="dxa"/>
            <w:tcBorders>
              <w:top w:val="nil"/>
              <w:left w:val="nil"/>
              <w:bottom w:val="nil"/>
              <w:right w:val="nil"/>
            </w:tcBorders>
            <w:shd w:val="clear" w:color="auto" w:fill="auto"/>
            <w:noWrap/>
            <w:vAlign w:val="bottom"/>
            <w:hideMark/>
          </w:tcPr>
          <w:p w14:paraId="106C23C4"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24.6% (95% CI: 22.5-26.8)</w:t>
            </w:r>
          </w:p>
        </w:tc>
      </w:tr>
      <w:tr w:rsidR="008600AA" w:rsidRPr="000935FE" w14:paraId="5DB97107" w14:textId="77777777" w:rsidTr="008600AA">
        <w:trPr>
          <w:trHeight w:val="320"/>
        </w:trPr>
        <w:tc>
          <w:tcPr>
            <w:tcW w:w="2960" w:type="dxa"/>
            <w:tcBorders>
              <w:top w:val="nil"/>
              <w:left w:val="nil"/>
              <w:bottom w:val="nil"/>
              <w:right w:val="nil"/>
            </w:tcBorders>
            <w:shd w:val="clear" w:color="auto" w:fill="auto"/>
            <w:noWrap/>
            <w:vAlign w:val="bottom"/>
            <w:hideMark/>
          </w:tcPr>
          <w:p w14:paraId="0E5B9B16"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Any other White background</w:t>
            </w:r>
          </w:p>
        </w:tc>
        <w:tc>
          <w:tcPr>
            <w:tcW w:w="3277" w:type="dxa"/>
            <w:tcBorders>
              <w:top w:val="nil"/>
              <w:left w:val="nil"/>
              <w:bottom w:val="nil"/>
              <w:right w:val="nil"/>
            </w:tcBorders>
            <w:shd w:val="clear" w:color="auto" w:fill="auto"/>
            <w:noWrap/>
            <w:vAlign w:val="bottom"/>
            <w:hideMark/>
          </w:tcPr>
          <w:p w14:paraId="6B595908"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20.7% (95% CI: 20.3-21.1)</w:t>
            </w:r>
          </w:p>
        </w:tc>
      </w:tr>
      <w:tr w:rsidR="008600AA" w:rsidRPr="000935FE" w14:paraId="12ACAF97" w14:textId="77777777" w:rsidTr="008600AA">
        <w:trPr>
          <w:trHeight w:val="320"/>
        </w:trPr>
        <w:tc>
          <w:tcPr>
            <w:tcW w:w="2960" w:type="dxa"/>
            <w:tcBorders>
              <w:top w:val="nil"/>
              <w:left w:val="nil"/>
              <w:bottom w:val="nil"/>
              <w:right w:val="nil"/>
            </w:tcBorders>
            <w:shd w:val="clear" w:color="auto" w:fill="auto"/>
            <w:noWrap/>
            <w:vAlign w:val="bottom"/>
            <w:hideMark/>
          </w:tcPr>
          <w:p w14:paraId="2E3213C1"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White and Black Caribbean</w:t>
            </w:r>
          </w:p>
        </w:tc>
        <w:tc>
          <w:tcPr>
            <w:tcW w:w="3277" w:type="dxa"/>
            <w:tcBorders>
              <w:top w:val="nil"/>
              <w:left w:val="nil"/>
              <w:bottom w:val="nil"/>
              <w:right w:val="nil"/>
            </w:tcBorders>
            <w:shd w:val="clear" w:color="auto" w:fill="auto"/>
            <w:noWrap/>
            <w:vAlign w:val="bottom"/>
            <w:hideMark/>
          </w:tcPr>
          <w:p w14:paraId="522C9067"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25.9% (95% CI: 24.9-27)</w:t>
            </w:r>
          </w:p>
        </w:tc>
      </w:tr>
      <w:tr w:rsidR="008600AA" w:rsidRPr="000935FE" w14:paraId="4B832650" w14:textId="77777777" w:rsidTr="008600AA">
        <w:trPr>
          <w:trHeight w:val="320"/>
        </w:trPr>
        <w:tc>
          <w:tcPr>
            <w:tcW w:w="2960" w:type="dxa"/>
            <w:tcBorders>
              <w:top w:val="nil"/>
              <w:left w:val="nil"/>
              <w:bottom w:val="nil"/>
              <w:right w:val="nil"/>
            </w:tcBorders>
            <w:shd w:val="clear" w:color="auto" w:fill="auto"/>
            <w:noWrap/>
            <w:vAlign w:val="bottom"/>
            <w:hideMark/>
          </w:tcPr>
          <w:p w14:paraId="05D8E41D"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White and Black African</w:t>
            </w:r>
          </w:p>
        </w:tc>
        <w:tc>
          <w:tcPr>
            <w:tcW w:w="3277" w:type="dxa"/>
            <w:tcBorders>
              <w:top w:val="nil"/>
              <w:left w:val="nil"/>
              <w:bottom w:val="nil"/>
              <w:right w:val="nil"/>
            </w:tcBorders>
            <w:shd w:val="clear" w:color="auto" w:fill="auto"/>
            <w:noWrap/>
            <w:vAlign w:val="bottom"/>
            <w:hideMark/>
          </w:tcPr>
          <w:p w14:paraId="6CB3DF1C"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27.2% (95% CI: 25.9-28.5)</w:t>
            </w:r>
          </w:p>
        </w:tc>
      </w:tr>
      <w:tr w:rsidR="008600AA" w:rsidRPr="000935FE" w14:paraId="15322181" w14:textId="77777777" w:rsidTr="008600AA">
        <w:trPr>
          <w:trHeight w:val="320"/>
        </w:trPr>
        <w:tc>
          <w:tcPr>
            <w:tcW w:w="2960" w:type="dxa"/>
            <w:tcBorders>
              <w:top w:val="nil"/>
              <w:left w:val="nil"/>
              <w:bottom w:val="nil"/>
              <w:right w:val="nil"/>
            </w:tcBorders>
            <w:shd w:val="clear" w:color="auto" w:fill="auto"/>
            <w:noWrap/>
            <w:vAlign w:val="bottom"/>
            <w:hideMark/>
          </w:tcPr>
          <w:p w14:paraId="0161AFB2"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White and Asian</w:t>
            </w:r>
          </w:p>
        </w:tc>
        <w:tc>
          <w:tcPr>
            <w:tcW w:w="3277" w:type="dxa"/>
            <w:tcBorders>
              <w:top w:val="nil"/>
              <w:left w:val="nil"/>
              <w:bottom w:val="nil"/>
              <w:right w:val="nil"/>
            </w:tcBorders>
            <w:shd w:val="clear" w:color="auto" w:fill="auto"/>
            <w:noWrap/>
            <w:vAlign w:val="bottom"/>
            <w:hideMark/>
          </w:tcPr>
          <w:p w14:paraId="1B9DF0F8"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16.1% (95% CI: 15.2-16.9)</w:t>
            </w:r>
          </w:p>
        </w:tc>
      </w:tr>
      <w:tr w:rsidR="008600AA" w:rsidRPr="000935FE" w14:paraId="6E9B63A4" w14:textId="77777777" w:rsidTr="008600AA">
        <w:trPr>
          <w:trHeight w:val="320"/>
        </w:trPr>
        <w:tc>
          <w:tcPr>
            <w:tcW w:w="2960" w:type="dxa"/>
            <w:tcBorders>
              <w:top w:val="nil"/>
              <w:left w:val="nil"/>
              <w:bottom w:val="nil"/>
              <w:right w:val="nil"/>
            </w:tcBorders>
            <w:shd w:val="clear" w:color="auto" w:fill="auto"/>
            <w:noWrap/>
            <w:vAlign w:val="bottom"/>
            <w:hideMark/>
          </w:tcPr>
          <w:p w14:paraId="3F3C14D0"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Any other mixed background</w:t>
            </w:r>
          </w:p>
        </w:tc>
        <w:tc>
          <w:tcPr>
            <w:tcW w:w="3277" w:type="dxa"/>
            <w:tcBorders>
              <w:top w:val="nil"/>
              <w:left w:val="nil"/>
              <w:bottom w:val="nil"/>
              <w:right w:val="nil"/>
            </w:tcBorders>
            <w:shd w:val="clear" w:color="auto" w:fill="auto"/>
            <w:noWrap/>
            <w:vAlign w:val="bottom"/>
            <w:hideMark/>
          </w:tcPr>
          <w:p w14:paraId="7EF74191"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21.9% (95% CI: 21.2-22.6)</w:t>
            </w:r>
          </w:p>
        </w:tc>
      </w:tr>
      <w:tr w:rsidR="008600AA" w:rsidRPr="000935FE" w14:paraId="5C20CAB3" w14:textId="77777777" w:rsidTr="008600AA">
        <w:trPr>
          <w:trHeight w:val="320"/>
        </w:trPr>
        <w:tc>
          <w:tcPr>
            <w:tcW w:w="2960" w:type="dxa"/>
            <w:tcBorders>
              <w:top w:val="nil"/>
              <w:left w:val="nil"/>
              <w:bottom w:val="nil"/>
              <w:right w:val="nil"/>
            </w:tcBorders>
            <w:shd w:val="clear" w:color="auto" w:fill="auto"/>
            <w:noWrap/>
            <w:vAlign w:val="bottom"/>
            <w:hideMark/>
          </w:tcPr>
          <w:p w14:paraId="5A4A701B"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Indian</w:t>
            </w:r>
          </w:p>
        </w:tc>
        <w:tc>
          <w:tcPr>
            <w:tcW w:w="3277" w:type="dxa"/>
            <w:tcBorders>
              <w:top w:val="nil"/>
              <w:left w:val="nil"/>
              <w:bottom w:val="nil"/>
              <w:right w:val="nil"/>
            </w:tcBorders>
            <w:shd w:val="clear" w:color="auto" w:fill="auto"/>
            <w:noWrap/>
            <w:vAlign w:val="bottom"/>
            <w:hideMark/>
          </w:tcPr>
          <w:p w14:paraId="74BB9A71"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14% (95% CI: 13.5-14.5)</w:t>
            </w:r>
          </w:p>
        </w:tc>
      </w:tr>
      <w:tr w:rsidR="008600AA" w:rsidRPr="000935FE" w14:paraId="0331F0C6" w14:textId="77777777" w:rsidTr="008600AA">
        <w:trPr>
          <w:trHeight w:val="320"/>
        </w:trPr>
        <w:tc>
          <w:tcPr>
            <w:tcW w:w="2960" w:type="dxa"/>
            <w:tcBorders>
              <w:top w:val="nil"/>
              <w:left w:val="nil"/>
              <w:bottom w:val="nil"/>
              <w:right w:val="nil"/>
            </w:tcBorders>
            <w:shd w:val="clear" w:color="auto" w:fill="auto"/>
            <w:noWrap/>
            <w:vAlign w:val="bottom"/>
            <w:hideMark/>
          </w:tcPr>
          <w:p w14:paraId="710D135C"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Pakistani</w:t>
            </w:r>
          </w:p>
        </w:tc>
        <w:tc>
          <w:tcPr>
            <w:tcW w:w="3277" w:type="dxa"/>
            <w:tcBorders>
              <w:top w:val="nil"/>
              <w:left w:val="nil"/>
              <w:bottom w:val="nil"/>
              <w:right w:val="nil"/>
            </w:tcBorders>
            <w:shd w:val="clear" w:color="auto" w:fill="auto"/>
            <w:noWrap/>
            <w:vAlign w:val="bottom"/>
            <w:hideMark/>
          </w:tcPr>
          <w:p w14:paraId="1DACA490"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19.9% (95% CI: 19.4-20.4)</w:t>
            </w:r>
          </w:p>
        </w:tc>
      </w:tr>
      <w:tr w:rsidR="008600AA" w:rsidRPr="000935FE" w14:paraId="14D22653" w14:textId="77777777" w:rsidTr="008600AA">
        <w:trPr>
          <w:trHeight w:val="320"/>
        </w:trPr>
        <w:tc>
          <w:tcPr>
            <w:tcW w:w="2960" w:type="dxa"/>
            <w:tcBorders>
              <w:top w:val="nil"/>
              <w:left w:val="nil"/>
              <w:bottom w:val="nil"/>
              <w:right w:val="nil"/>
            </w:tcBorders>
            <w:shd w:val="clear" w:color="auto" w:fill="auto"/>
            <w:noWrap/>
            <w:vAlign w:val="bottom"/>
            <w:hideMark/>
          </w:tcPr>
          <w:p w14:paraId="2DEE81D8"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Bangladeshi</w:t>
            </w:r>
          </w:p>
        </w:tc>
        <w:tc>
          <w:tcPr>
            <w:tcW w:w="3277" w:type="dxa"/>
            <w:tcBorders>
              <w:top w:val="nil"/>
              <w:left w:val="nil"/>
              <w:bottom w:val="nil"/>
              <w:right w:val="nil"/>
            </w:tcBorders>
            <w:shd w:val="clear" w:color="auto" w:fill="auto"/>
            <w:noWrap/>
            <w:vAlign w:val="bottom"/>
            <w:hideMark/>
          </w:tcPr>
          <w:p w14:paraId="31F811DD"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21.4% (95% CI: 20.5-22.3)</w:t>
            </w:r>
          </w:p>
        </w:tc>
      </w:tr>
      <w:tr w:rsidR="008600AA" w:rsidRPr="000935FE" w14:paraId="396DF878" w14:textId="77777777" w:rsidTr="008600AA">
        <w:trPr>
          <w:trHeight w:val="320"/>
        </w:trPr>
        <w:tc>
          <w:tcPr>
            <w:tcW w:w="2960" w:type="dxa"/>
            <w:tcBorders>
              <w:top w:val="nil"/>
              <w:left w:val="nil"/>
              <w:bottom w:val="nil"/>
              <w:right w:val="nil"/>
            </w:tcBorders>
            <w:shd w:val="clear" w:color="auto" w:fill="auto"/>
            <w:noWrap/>
            <w:vAlign w:val="bottom"/>
            <w:hideMark/>
          </w:tcPr>
          <w:p w14:paraId="5D150C3A"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Any other Asian background</w:t>
            </w:r>
          </w:p>
        </w:tc>
        <w:tc>
          <w:tcPr>
            <w:tcW w:w="3277" w:type="dxa"/>
            <w:tcBorders>
              <w:top w:val="nil"/>
              <w:left w:val="nil"/>
              <w:bottom w:val="nil"/>
              <w:right w:val="nil"/>
            </w:tcBorders>
            <w:shd w:val="clear" w:color="auto" w:fill="auto"/>
            <w:noWrap/>
            <w:vAlign w:val="bottom"/>
            <w:hideMark/>
          </w:tcPr>
          <w:p w14:paraId="0B82F141"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19.1% (95% CI: 18.4-19.8)</w:t>
            </w:r>
          </w:p>
        </w:tc>
      </w:tr>
      <w:tr w:rsidR="008600AA" w:rsidRPr="000935FE" w14:paraId="6D6EAAD7" w14:textId="77777777" w:rsidTr="008600AA">
        <w:trPr>
          <w:trHeight w:val="320"/>
        </w:trPr>
        <w:tc>
          <w:tcPr>
            <w:tcW w:w="2960" w:type="dxa"/>
            <w:tcBorders>
              <w:top w:val="nil"/>
              <w:left w:val="nil"/>
              <w:bottom w:val="nil"/>
              <w:right w:val="nil"/>
            </w:tcBorders>
            <w:shd w:val="clear" w:color="auto" w:fill="auto"/>
            <w:noWrap/>
            <w:vAlign w:val="bottom"/>
            <w:hideMark/>
          </w:tcPr>
          <w:p w14:paraId="4AE1F3BA"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Black Caribbean</w:t>
            </w:r>
          </w:p>
        </w:tc>
        <w:tc>
          <w:tcPr>
            <w:tcW w:w="3277" w:type="dxa"/>
            <w:tcBorders>
              <w:top w:val="nil"/>
              <w:left w:val="nil"/>
              <w:bottom w:val="nil"/>
              <w:right w:val="nil"/>
            </w:tcBorders>
            <w:shd w:val="clear" w:color="auto" w:fill="auto"/>
            <w:noWrap/>
            <w:vAlign w:val="bottom"/>
            <w:hideMark/>
          </w:tcPr>
          <w:p w14:paraId="59500222"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26.3% (95% CI: 25.1-27.6)</w:t>
            </w:r>
          </w:p>
        </w:tc>
      </w:tr>
      <w:tr w:rsidR="008600AA" w:rsidRPr="000935FE" w14:paraId="6CE23CE8" w14:textId="77777777" w:rsidTr="008600AA">
        <w:trPr>
          <w:trHeight w:val="320"/>
        </w:trPr>
        <w:tc>
          <w:tcPr>
            <w:tcW w:w="2960" w:type="dxa"/>
            <w:tcBorders>
              <w:top w:val="nil"/>
              <w:left w:val="nil"/>
              <w:bottom w:val="nil"/>
              <w:right w:val="nil"/>
            </w:tcBorders>
            <w:shd w:val="clear" w:color="auto" w:fill="auto"/>
            <w:noWrap/>
            <w:vAlign w:val="bottom"/>
            <w:hideMark/>
          </w:tcPr>
          <w:p w14:paraId="499CE7CD"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Black African</w:t>
            </w:r>
          </w:p>
        </w:tc>
        <w:tc>
          <w:tcPr>
            <w:tcW w:w="3277" w:type="dxa"/>
            <w:tcBorders>
              <w:top w:val="nil"/>
              <w:left w:val="nil"/>
              <w:bottom w:val="nil"/>
              <w:right w:val="nil"/>
            </w:tcBorders>
            <w:shd w:val="clear" w:color="auto" w:fill="auto"/>
            <w:noWrap/>
            <w:vAlign w:val="bottom"/>
            <w:hideMark/>
          </w:tcPr>
          <w:p w14:paraId="23757A51"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30.9% (95% CI: 30.2-31.6)</w:t>
            </w:r>
          </w:p>
        </w:tc>
      </w:tr>
      <w:tr w:rsidR="008600AA" w:rsidRPr="000935FE" w14:paraId="218C0620" w14:textId="77777777" w:rsidTr="008600AA">
        <w:trPr>
          <w:trHeight w:val="320"/>
        </w:trPr>
        <w:tc>
          <w:tcPr>
            <w:tcW w:w="2960" w:type="dxa"/>
            <w:tcBorders>
              <w:top w:val="nil"/>
              <w:left w:val="nil"/>
              <w:bottom w:val="nil"/>
              <w:right w:val="nil"/>
            </w:tcBorders>
            <w:shd w:val="clear" w:color="auto" w:fill="auto"/>
            <w:noWrap/>
            <w:vAlign w:val="bottom"/>
            <w:hideMark/>
          </w:tcPr>
          <w:p w14:paraId="3E47750F"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Any other Black background</w:t>
            </w:r>
          </w:p>
        </w:tc>
        <w:tc>
          <w:tcPr>
            <w:tcW w:w="3277" w:type="dxa"/>
            <w:tcBorders>
              <w:top w:val="nil"/>
              <w:left w:val="nil"/>
              <w:bottom w:val="nil"/>
              <w:right w:val="nil"/>
            </w:tcBorders>
            <w:shd w:val="clear" w:color="auto" w:fill="auto"/>
            <w:noWrap/>
            <w:vAlign w:val="bottom"/>
            <w:hideMark/>
          </w:tcPr>
          <w:p w14:paraId="5662A620"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29% (95% CI: 27.8-30.3)</w:t>
            </w:r>
          </w:p>
        </w:tc>
      </w:tr>
      <w:tr w:rsidR="008600AA" w:rsidRPr="000935FE" w14:paraId="486CF76A" w14:textId="77777777" w:rsidTr="008600AA">
        <w:trPr>
          <w:trHeight w:val="320"/>
        </w:trPr>
        <w:tc>
          <w:tcPr>
            <w:tcW w:w="2960" w:type="dxa"/>
            <w:tcBorders>
              <w:top w:val="nil"/>
              <w:left w:val="nil"/>
              <w:bottom w:val="nil"/>
              <w:right w:val="nil"/>
            </w:tcBorders>
            <w:shd w:val="clear" w:color="auto" w:fill="auto"/>
            <w:noWrap/>
            <w:vAlign w:val="bottom"/>
            <w:hideMark/>
          </w:tcPr>
          <w:p w14:paraId="13D3ADB4"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Chinese</w:t>
            </w:r>
          </w:p>
        </w:tc>
        <w:tc>
          <w:tcPr>
            <w:tcW w:w="3277" w:type="dxa"/>
            <w:tcBorders>
              <w:top w:val="nil"/>
              <w:left w:val="nil"/>
              <w:bottom w:val="nil"/>
              <w:right w:val="nil"/>
            </w:tcBorders>
            <w:shd w:val="clear" w:color="auto" w:fill="auto"/>
            <w:noWrap/>
            <w:vAlign w:val="bottom"/>
            <w:hideMark/>
          </w:tcPr>
          <w:p w14:paraId="3ABB8F15"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14.5% (95% CI: 13.2-15.9)</w:t>
            </w:r>
          </w:p>
        </w:tc>
      </w:tr>
      <w:tr w:rsidR="008600AA" w:rsidRPr="000935FE" w14:paraId="30506554" w14:textId="77777777" w:rsidTr="008600AA">
        <w:trPr>
          <w:trHeight w:val="320"/>
        </w:trPr>
        <w:tc>
          <w:tcPr>
            <w:tcW w:w="2960" w:type="dxa"/>
            <w:tcBorders>
              <w:top w:val="nil"/>
              <w:left w:val="nil"/>
              <w:bottom w:val="nil"/>
              <w:right w:val="nil"/>
            </w:tcBorders>
            <w:shd w:val="clear" w:color="auto" w:fill="auto"/>
            <w:noWrap/>
            <w:vAlign w:val="bottom"/>
            <w:hideMark/>
          </w:tcPr>
          <w:p w14:paraId="175C6EBC"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Any other ethnic group</w:t>
            </w:r>
          </w:p>
        </w:tc>
        <w:tc>
          <w:tcPr>
            <w:tcW w:w="3277" w:type="dxa"/>
            <w:tcBorders>
              <w:top w:val="nil"/>
              <w:left w:val="nil"/>
              <w:bottom w:val="nil"/>
              <w:right w:val="nil"/>
            </w:tcBorders>
            <w:shd w:val="clear" w:color="auto" w:fill="auto"/>
            <w:noWrap/>
            <w:vAlign w:val="bottom"/>
            <w:hideMark/>
          </w:tcPr>
          <w:p w14:paraId="5010D1E0"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23.1% (95% CI: 22.4-23.8)</w:t>
            </w:r>
          </w:p>
        </w:tc>
      </w:tr>
      <w:tr w:rsidR="008600AA" w:rsidRPr="000935FE" w14:paraId="1729C029" w14:textId="77777777" w:rsidTr="008600AA">
        <w:trPr>
          <w:trHeight w:val="320"/>
        </w:trPr>
        <w:tc>
          <w:tcPr>
            <w:tcW w:w="2960" w:type="dxa"/>
            <w:tcBorders>
              <w:top w:val="nil"/>
              <w:left w:val="nil"/>
              <w:bottom w:val="single" w:sz="4" w:space="0" w:color="auto"/>
              <w:right w:val="nil"/>
            </w:tcBorders>
            <w:shd w:val="clear" w:color="auto" w:fill="auto"/>
            <w:noWrap/>
            <w:vAlign w:val="bottom"/>
            <w:hideMark/>
          </w:tcPr>
          <w:p w14:paraId="174C1106" w14:textId="77777777" w:rsidR="008600AA" w:rsidRPr="000935FE" w:rsidRDefault="008600AA" w:rsidP="008600AA">
            <w:pPr>
              <w:rPr>
                <w:rFonts w:ascii="Verdana" w:hAnsi="Verdana"/>
                <w:color w:val="000000"/>
                <w:sz w:val="20"/>
                <w:szCs w:val="20"/>
              </w:rPr>
            </w:pPr>
            <w:r w:rsidRPr="000935FE">
              <w:rPr>
                <w:rFonts w:ascii="Verdana" w:hAnsi="Verdana"/>
                <w:color w:val="000000"/>
                <w:sz w:val="20"/>
                <w:szCs w:val="20"/>
              </w:rPr>
              <w:t>Not stated / invalid</w:t>
            </w:r>
          </w:p>
        </w:tc>
        <w:tc>
          <w:tcPr>
            <w:tcW w:w="3277" w:type="dxa"/>
            <w:tcBorders>
              <w:top w:val="nil"/>
              <w:left w:val="nil"/>
              <w:bottom w:val="single" w:sz="4" w:space="0" w:color="auto"/>
              <w:right w:val="nil"/>
            </w:tcBorders>
            <w:shd w:val="clear" w:color="auto" w:fill="auto"/>
            <w:noWrap/>
            <w:vAlign w:val="bottom"/>
            <w:hideMark/>
          </w:tcPr>
          <w:p w14:paraId="5C35CDEC" w14:textId="77777777" w:rsidR="008600AA" w:rsidRPr="000935FE" w:rsidRDefault="008600AA" w:rsidP="008600AA">
            <w:pPr>
              <w:jc w:val="right"/>
              <w:rPr>
                <w:rFonts w:ascii="Verdana" w:hAnsi="Verdana"/>
                <w:color w:val="000000"/>
                <w:sz w:val="20"/>
                <w:szCs w:val="20"/>
              </w:rPr>
            </w:pPr>
            <w:r w:rsidRPr="000935FE">
              <w:rPr>
                <w:rFonts w:ascii="Verdana" w:hAnsi="Verdana"/>
                <w:color w:val="000000"/>
                <w:sz w:val="20"/>
                <w:szCs w:val="20"/>
              </w:rPr>
              <w:t>22.3% (95% CI: 22-22.6)</w:t>
            </w:r>
          </w:p>
        </w:tc>
      </w:tr>
    </w:tbl>
    <w:p w14:paraId="14ADFECA" w14:textId="320F2639" w:rsidR="00320890" w:rsidRPr="000935FE" w:rsidRDefault="00320890">
      <w:pPr>
        <w:rPr>
          <w:rFonts w:ascii="Verdana" w:hAnsi="Verdana"/>
          <w:b/>
          <w:bCs/>
        </w:rPr>
      </w:pPr>
    </w:p>
    <w:p w14:paraId="3A24B9A2" w14:textId="77777777" w:rsidR="004C3CE1" w:rsidRPr="000935FE" w:rsidRDefault="004C3CE1">
      <w:pPr>
        <w:rPr>
          <w:rFonts w:ascii="Verdana" w:hAnsi="Verdana"/>
          <w:b/>
          <w:bCs/>
        </w:rPr>
      </w:pPr>
    </w:p>
    <w:p w14:paraId="46974469" w14:textId="77777777" w:rsidR="004C3CE1" w:rsidRPr="000935FE" w:rsidRDefault="004C3CE1">
      <w:pPr>
        <w:rPr>
          <w:rFonts w:ascii="Verdana" w:hAnsi="Verdana"/>
          <w:b/>
          <w:bCs/>
        </w:rPr>
      </w:pPr>
    </w:p>
    <w:p w14:paraId="0824004D" w14:textId="77777777" w:rsidR="004C3CE1" w:rsidRPr="000935FE" w:rsidRDefault="004C3CE1">
      <w:pPr>
        <w:rPr>
          <w:rFonts w:ascii="Verdana" w:hAnsi="Verdana"/>
          <w:b/>
          <w:bCs/>
        </w:rPr>
      </w:pPr>
    </w:p>
    <w:p w14:paraId="0474D3FF" w14:textId="77777777" w:rsidR="004C3CE1" w:rsidRPr="000935FE" w:rsidRDefault="004C3CE1">
      <w:pPr>
        <w:rPr>
          <w:rFonts w:ascii="Verdana" w:hAnsi="Verdana"/>
          <w:b/>
          <w:bCs/>
        </w:rPr>
      </w:pPr>
    </w:p>
    <w:p w14:paraId="377F3AB3" w14:textId="77777777" w:rsidR="004C3CE1" w:rsidRPr="000935FE" w:rsidRDefault="004C3CE1">
      <w:pPr>
        <w:rPr>
          <w:rFonts w:ascii="Verdana" w:hAnsi="Verdana"/>
          <w:b/>
          <w:bCs/>
        </w:rPr>
      </w:pPr>
    </w:p>
    <w:p w14:paraId="223243B2" w14:textId="77777777" w:rsidR="004C3CE1" w:rsidRPr="000935FE" w:rsidRDefault="004C3CE1">
      <w:pPr>
        <w:rPr>
          <w:rFonts w:ascii="Verdana" w:hAnsi="Verdana"/>
          <w:b/>
          <w:bCs/>
        </w:rPr>
      </w:pPr>
    </w:p>
    <w:p w14:paraId="43318A61" w14:textId="77777777" w:rsidR="004C3CE1" w:rsidRPr="000935FE" w:rsidRDefault="004C3CE1">
      <w:pPr>
        <w:rPr>
          <w:rFonts w:ascii="Verdana" w:hAnsi="Verdana"/>
          <w:b/>
          <w:bCs/>
        </w:rPr>
      </w:pPr>
    </w:p>
    <w:p w14:paraId="4EB8AABB" w14:textId="77777777" w:rsidR="004C3CE1" w:rsidRPr="000935FE" w:rsidRDefault="004C3CE1">
      <w:pPr>
        <w:rPr>
          <w:rFonts w:ascii="Verdana" w:hAnsi="Verdana"/>
          <w:b/>
          <w:bCs/>
        </w:rPr>
      </w:pPr>
    </w:p>
    <w:p w14:paraId="064C2735" w14:textId="77777777" w:rsidR="004C3CE1" w:rsidRPr="000935FE" w:rsidRDefault="004C3CE1">
      <w:pPr>
        <w:rPr>
          <w:rFonts w:ascii="Verdana" w:hAnsi="Verdana"/>
          <w:b/>
          <w:bCs/>
        </w:rPr>
      </w:pPr>
    </w:p>
    <w:p w14:paraId="44DE12E2" w14:textId="77777777" w:rsidR="004C3CE1" w:rsidRPr="000935FE" w:rsidRDefault="004C3CE1">
      <w:pPr>
        <w:rPr>
          <w:rFonts w:ascii="Verdana" w:hAnsi="Verdana"/>
          <w:b/>
          <w:bCs/>
        </w:rPr>
      </w:pPr>
    </w:p>
    <w:p w14:paraId="5D305546" w14:textId="77777777" w:rsidR="004C3CE1" w:rsidRPr="000935FE" w:rsidRDefault="004C3CE1">
      <w:pPr>
        <w:rPr>
          <w:rFonts w:ascii="Verdana" w:hAnsi="Verdana"/>
          <w:b/>
          <w:bCs/>
        </w:rPr>
      </w:pPr>
    </w:p>
    <w:p w14:paraId="311ADF1D" w14:textId="77777777" w:rsidR="004C3CE1" w:rsidRPr="000935FE" w:rsidRDefault="004C3CE1">
      <w:pPr>
        <w:rPr>
          <w:rFonts w:ascii="Verdana" w:hAnsi="Verdana"/>
          <w:b/>
          <w:bCs/>
        </w:rPr>
      </w:pPr>
    </w:p>
    <w:p w14:paraId="43D8B1AB" w14:textId="77777777" w:rsidR="004C3CE1" w:rsidRPr="000935FE" w:rsidRDefault="004C3CE1">
      <w:pPr>
        <w:rPr>
          <w:rFonts w:ascii="Verdana" w:hAnsi="Verdana"/>
          <w:b/>
          <w:bCs/>
        </w:rPr>
      </w:pPr>
    </w:p>
    <w:p w14:paraId="7B98AC8E" w14:textId="77777777" w:rsidR="004C3CE1" w:rsidRPr="000935FE" w:rsidRDefault="004C3CE1">
      <w:pPr>
        <w:rPr>
          <w:rFonts w:ascii="Verdana" w:hAnsi="Verdana"/>
          <w:b/>
          <w:bCs/>
        </w:rPr>
      </w:pPr>
    </w:p>
    <w:p w14:paraId="225775E4" w14:textId="77777777" w:rsidR="004C3CE1" w:rsidRPr="000935FE" w:rsidRDefault="004C3CE1">
      <w:pPr>
        <w:rPr>
          <w:rFonts w:ascii="Verdana" w:hAnsi="Verdana"/>
          <w:b/>
          <w:bCs/>
        </w:rPr>
      </w:pPr>
    </w:p>
    <w:p w14:paraId="46A87C45" w14:textId="77777777" w:rsidR="004C3CE1" w:rsidRPr="000935FE" w:rsidRDefault="004C3CE1">
      <w:pPr>
        <w:rPr>
          <w:rFonts w:ascii="Verdana" w:hAnsi="Verdana"/>
          <w:b/>
          <w:bCs/>
        </w:rPr>
      </w:pPr>
    </w:p>
    <w:p w14:paraId="0A3A157A" w14:textId="105276E9" w:rsidR="008600AA" w:rsidRPr="000935FE" w:rsidRDefault="008600AA">
      <w:pPr>
        <w:rPr>
          <w:rFonts w:ascii="Verdana" w:hAnsi="Verdana"/>
        </w:rPr>
      </w:pPr>
      <w:r w:rsidRPr="000935FE">
        <w:rPr>
          <w:rFonts w:ascii="Verdana" w:hAnsi="Verdana"/>
          <w:b/>
          <w:bCs/>
        </w:rPr>
        <w:t xml:space="preserve">Good level of development at Key Stage 2 – England and Local Authority Areas – 2018/19 Academic year – </w:t>
      </w:r>
      <w:r w:rsidRPr="000935FE">
        <w:rPr>
          <w:rFonts w:ascii="Verdana" w:hAnsi="Verdana"/>
        </w:rPr>
        <w:t>Department for Education</w:t>
      </w:r>
    </w:p>
    <w:p w14:paraId="638A2422" w14:textId="45991C4B" w:rsidR="008600AA" w:rsidRPr="000935FE" w:rsidRDefault="008600AA">
      <w:pPr>
        <w:rPr>
          <w:rFonts w:ascii="Verdana" w:hAnsi="Verdana"/>
        </w:rPr>
      </w:pPr>
    </w:p>
    <w:p w14:paraId="3E94FBF5" w14:textId="16F782B9" w:rsidR="004C3CE1" w:rsidRPr="000935FE" w:rsidRDefault="008600AA">
      <w:pPr>
        <w:rPr>
          <w:rFonts w:ascii="Verdana" w:hAnsi="Verdana"/>
          <w:sz w:val="22"/>
          <w:szCs w:val="22"/>
        </w:rPr>
      </w:pPr>
      <w:r w:rsidRPr="000935FE">
        <w:rPr>
          <w:rFonts w:ascii="Verdana" w:hAnsi="Verdana"/>
          <w:sz w:val="22"/>
          <w:szCs w:val="22"/>
        </w:rPr>
        <w:t xml:space="preserve">Nationally, </w:t>
      </w:r>
      <w:r w:rsidR="004C3CE1" w:rsidRPr="000935FE">
        <w:rPr>
          <w:rFonts w:ascii="Verdana" w:hAnsi="Verdana"/>
          <w:sz w:val="22"/>
          <w:szCs w:val="22"/>
        </w:rPr>
        <w:t>pupils in Asian, Chinese, and Mixed ethnic minority groups have significantly higher proportions of pupils achieving a good level of development at KS2 compared to white groups. Black ethnic groups have statistically similar rates of GLD compared to White groups. In West Sussex pupils from Asian ethnic groups had higher proportions of GLD compared to White pupils.</w:t>
      </w:r>
    </w:p>
    <w:p w14:paraId="6CEF0316" w14:textId="285658DB" w:rsidR="008600AA" w:rsidRPr="000935FE" w:rsidRDefault="008600AA">
      <w:pPr>
        <w:rPr>
          <w:rFonts w:ascii="Verdana" w:hAnsi="Verdana"/>
          <w:sz w:val="22"/>
          <w:szCs w:val="22"/>
        </w:rPr>
      </w:pPr>
    </w:p>
    <w:tbl>
      <w:tblPr>
        <w:tblW w:w="10633" w:type="dxa"/>
        <w:tblCellMar>
          <w:left w:w="28" w:type="dxa"/>
          <w:right w:w="28" w:type="dxa"/>
        </w:tblCellMar>
        <w:tblLook w:val="04A0" w:firstRow="1" w:lastRow="0" w:firstColumn="1" w:lastColumn="0" w:noHBand="0" w:noVBand="1"/>
      </w:tblPr>
      <w:tblGrid>
        <w:gridCol w:w="1229"/>
        <w:gridCol w:w="1407"/>
        <w:gridCol w:w="1407"/>
        <w:gridCol w:w="1407"/>
        <w:gridCol w:w="1275"/>
        <w:gridCol w:w="1275"/>
        <w:gridCol w:w="1275"/>
        <w:gridCol w:w="1358"/>
      </w:tblGrid>
      <w:tr w:rsidR="008600AA" w:rsidRPr="000935FE" w14:paraId="6EC9B0F5" w14:textId="77777777" w:rsidTr="008600AA">
        <w:trPr>
          <w:trHeight w:val="320"/>
        </w:trPr>
        <w:tc>
          <w:tcPr>
            <w:tcW w:w="1229" w:type="dxa"/>
            <w:tcBorders>
              <w:top w:val="single" w:sz="4" w:space="0" w:color="auto"/>
              <w:left w:val="nil"/>
              <w:bottom w:val="single" w:sz="4" w:space="0" w:color="auto"/>
              <w:right w:val="nil"/>
            </w:tcBorders>
            <w:shd w:val="clear" w:color="auto" w:fill="auto"/>
            <w:noWrap/>
            <w:vAlign w:val="bottom"/>
          </w:tcPr>
          <w:p w14:paraId="385ECFDE" w14:textId="52AD9FA6" w:rsidR="008600AA" w:rsidRPr="000935FE" w:rsidRDefault="008600AA" w:rsidP="008600AA">
            <w:pPr>
              <w:rPr>
                <w:rFonts w:ascii="Verdana" w:hAnsi="Verdana"/>
                <w:color w:val="000000"/>
                <w:sz w:val="16"/>
                <w:szCs w:val="16"/>
              </w:rPr>
            </w:pPr>
          </w:p>
        </w:tc>
        <w:tc>
          <w:tcPr>
            <w:tcW w:w="1407" w:type="dxa"/>
            <w:tcBorders>
              <w:top w:val="single" w:sz="4" w:space="0" w:color="auto"/>
              <w:left w:val="nil"/>
              <w:bottom w:val="single" w:sz="4" w:space="0" w:color="auto"/>
              <w:right w:val="nil"/>
            </w:tcBorders>
            <w:vAlign w:val="bottom"/>
          </w:tcPr>
          <w:p w14:paraId="703DB5CD" w14:textId="21D54C05" w:rsidR="008600AA" w:rsidRPr="000935FE" w:rsidRDefault="008600AA" w:rsidP="008600AA">
            <w:pPr>
              <w:rPr>
                <w:rFonts w:ascii="Verdana" w:hAnsi="Verdana"/>
                <w:b/>
                <w:bCs/>
                <w:color w:val="000000"/>
                <w:sz w:val="16"/>
                <w:szCs w:val="16"/>
              </w:rPr>
            </w:pPr>
            <w:r w:rsidRPr="000935FE">
              <w:rPr>
                <w:rFonts w:ascii="Verdana" w:hAnsi="Verdana"/>
                <w:b/>
                <w:bCs/>
                <w:color w:val="000000"/>
                <w:sz w:val="16"/>
                <w:szCs w:val="16"/>
              </w:rPr>
              <w:t>White</w:t>
            </w:r>
          </w:p>
        </w:tc>
        <w:tc>
          <w:tcPr>
            <w:tcW w:w="1407" w:type="dxa"/>
            <w:tcBorders>
              <w:top w:val="single" w:sz="4" w:space="0" w:color="auto"/>
              <w:left w:val="nil"/>
              <w:bottom w:val="single" w:sz="4" w:space="0" w:color="auto"/>
              <w:right w:val="nil"/>
            </w:tcBorders>
            <w:shd w:val="clear" w:color="auto" w:fill="auto"/>
            <w:noWrap/>
            <w:vAlign w:val="bottom"/>
            <w:hideMark/>
          </w:tcPr>
          <w:p w14:paraId="285942A7" w14:textId="62098D7D" w:rsidR="008600AA" w:rsidRPr="000935FE" w:rsidRDefault="008600AA" w:rsidP="008600AA">
            <w:pPr>
              <w:rPr>
                <w:rFonts w:ascii="Verdana" w:hAnsi="Verdana"/>
                <w:b/>
                <w:bCs/>
                <w:color w:val="000000"/>
                <w:sz w:val="16"/>
                <w:szCs w:val="16"/>
              </w:rPr>
            </w:pPr>
            <w:r w:rsidRPr="000935FE">
              <w:rPr>
                <w:rFonts w:ascii="Verdana" w:hAnsi="Verdana"/>
                <w:b/>
                <w:bCs/>
                <w:color w:val="000000"/>
                <w:sz w:val="16"/>
                <w:szCs w:val="16"/>
              </w:rPr>
              <w:t>Asian</w:t>
            </w:r>
          </w:p>
        </w:tc>
        <w:tc>
          <w:tcPr>
            <w:tcW w:w="1407" w:type="dxa"/>
            <w:tcBorders>
              <w:top w:val="single" w:sz="4" w:space="0" w:color="auto"/>
              <w:left w:val="nil"/>
              <w:bottom w:val="single" w:sz="4" w:space="0" w:color="auto"/>
              <w:right w:val="nil"/>
            </w:tcBorders>
            <w:shd w:val="clear" w:color="auto" w:fill="auto"/>
            <w:noWrap/>
            <w:vAlign w:val="bottom"/>
            <w:hideMark/>
          </w:tcPr>
          <w:p w14:paraId="035ED3B1" w14:textId="01FBFBC9" w:rsidR="008600AA" w:rsidRPr="000935FE" w:rsidRDefault="008600AA" w:rsidP="008600AA">
            <w:pPr>
              <w:rPr>
                <w:rFonts w:ascii="Verdana" w:hAnsi="Verdana"/>
                <w:b/>
                <w:bCs/>
                <w:color w:val="000000"/>
                <w:sz w:val="16"/>
                <w:szCs w:val="16"/>
              </w:rPr>
            </w:pPr>
            <w:r w:rsidRPr="000935FE">
              <w:rPr>
                <w:rFonts w:ascii="Verdana" w:hAnsi="Verdana"/>
                <w:b/>
                <w:bCs/>
                <w:color w:val="000000"/>
                <w:sz w:val="16"/>
                <w:szCs w:val="16"/>
              </w:rPr>
              <w:t>Black</w:t>
            </w:r>
          </w:p>
        </w:tc>
        <w:tc>
          <w:tcPr>
            <w:tcW w:w="1275" w:type="dxa"/>
            <w:tcBorders>
              <w:top w:val="single" w:sz="4" w:space="0" w:color="auto"/>
              <w:left w:val="nil"/>
              <w:bottom w:val="single" w:sz="4" w:space="0" w:color="auto"/>
              <w:right w:val="nil"/>
            </w:tcBorders>
            <w:shd w:val="clear" w:color="auto" w:fill="auto"/>
            <w:noWrap/>
            <w:vAlign w:val="bottom"/>
            <w:hideMark/>
          </w:tcPr>
          <w:p w14:paraId="67EBEAAA" w14:textId="6F7EBC59" w:rsidR="008600AA" w:rsidRPr="000935FE" w:rsidRDefault="008600AA" w:rsidP="008600AA">
            <w:pPr>
              <w:rPr>
                <w:rFonts w:ascii="Verdana" w:hAnsi="Verdana"/>
                <w:b/>
                <w:bCs/>
                <w:color w:val="000000"/>
                <w:sz w:val="16"/>
                <w:szCs w:val="16"/>
              </w:rPr>
            </w:pPr>
            <w:r w:rsidRPr="000935FE">
              <w:rPr>
                <w:rFonts w:ascii="Verdana" w:hAnsi="Verdana"/>
                <w:b/>
                <w:bCs/>
                <w:color w:val="000000"/>
                <w:sz w:val="16"/>
                <w:szCs w:val="16"/>
              </w:rPr>
              <w:t>Chinese</w:t>
            </w:r>
          </w:p>
        </w:tc>
        <w:tc>
          <w:tcPr>
            <w:tcW w:w="1275" w:type="dxa"/>
            <w:tcBorders>
              <w:top w:val="single" w:sz="4" w:space="0" w:color="auto"/>
              <w:left w:val="nil"/>
              <w:bottom w:val="single" w:sz="4" w:space="0" w:color="auto"/>
              <w:right w:val="nil"/>
            </w:tcBorders>
            <w:shd w:val="clear" w:color="auto" w:fill="auto"/>
            <w:noWrap/>
            <w:vAlign w:val="bottom"/>
            <w:hideMark/>
          </w:tcPr>
          <w:p w14:paraId="609672E4" w14:textId="630A8188" w:rsidR="008600AA" w:rsidRPr="000935FE" w:rsidRDefault="008600AA" w:rsidP="008600AA">
            <w:pPr>
              <w:rPr>
                <w:rFonts w:ascii="Verdana" w:hAnsi="Verdana"/>
                <w:b/>
                <w:bCs/>
                <w:color w:val="000000"/>
                <w:sz w:val="16"/>
                <w:szCs w:val="16"/>
              </w:rPr>
            </w:pPr>
            <w:r w:rsidRPr="000935FE">
              <w:rPr>
                <w:rFonts w:ascii="Verdana" w:hAnsi="Verdana"/>
                <w:b/>
                <w:bCs/>
                <w:color w:val="000000"/>
                <w:sz w:val="16"/>
                <w:szCs w:val="16"/>
              </w:rPr>
              <w:t>Mixed</w:t>
            </w:r>
          </w:p>
        </w:tc>
        <w:tc>
          <w:tcPr>
            <w:tcW w:w="1275" w:type="dxa"/>
            <w:tcBorders>
              <w:top w:val="single" w:sz="4" w:space="0" w:color="auto"/>
              <w:left w:val="nil"/>
              <w:bottom w:val="single" w:sz="4" w:space="0" w:color="auto"/>
              <w:right w:val="nil"/>
            </w:tcBorders>
            <w:shd w:val="clear" w:color="auto" w:fill="auto"/>
            <w:noWrap/>
            <w:vAlign w:val="bottom"/>
            <w:hideMark/>
          </w:tcPr>
          <w:p w14:paraId="70C27240" w14:textId="1915FDB0" w:rsidR="008600AA" w:rsidRPr="000935FE" w:rsidRDefault="008600AA" w:rsidP="008600AA">
            <w:pPr>
              <w:rPr>
                <w:rFonts w:ascii="Verdana" w:hAnsi="Verdana"/>
                <w:b/>
                <w:bCs/>
                <w:color w:val="000000"/>
                <w:sz w:val="16"/>
                <w:szCs w:val="16"/>
              </w:rPr>
            </w:pPr>
            <w:r w:rsidRPr="000935FE">
              <w:rPr>
                <w:rFonts w:ascii="Verdana" w:hAnsi="Verdana"/>
                <w:b/>
                <w:bCs/>
                <w:color w:val="000000"/>
                <w:sz w:val="16"/>
                <w:szCs w:val="16"/>
              </w:rPr>
              <w:t>Other</w:t>
            </w:r>
          </w:p>
        </w:tc>
        <w:tc>
          <w:tcPr>
            <w:tcW w:w="1358" w:type="dxa"/>
            <w:tcBorders>
              <w:top w:val="single" w:sz="4" w:space="0" w:color="auto"/>
              <w:left w:val="nil"/>
              <w:bottom w:val="single" w:sz="4" w:space="0" w:color="auto"/>
              <w:right w:val="nil"/>
            </w:tcBorders>
            <w:shd w:val="clear" w:color="auto" w:fill="auto"/>
            <w:noWrap/>
            <w:vAlign w:val="bottom"/>
            <w:hideMark/>
          </w:tcPr>
          <w:p w14:paraId="6EA5EEDE" w14:textId="3E22E12E" w:rsidR="008600AA" w:rsidRPr="000935FE" w:rsidRDefault="008600AA" w:rsidP="008600AA">
            <w:pPr>
              <w:rPr>
                <w:rFonts w:ascii="Verdana" w:hAnsi="Verdana"/>
                <w:b/>
                <w:bCs/>
                <w:color w:val="000000"/>
                <w:sz w:val="16"/>
                <w:szCs w:val="16"/>
              </w:rPr>
            </w:pPr>
            <w:r w:rsidRPr="000935FE">
              <w:rPr>
                <w:rFonts w:ascii="Verdana" w:hAnsi="Verdana"/>
                <w:b/>
                <w:bCs/>
                <w:color w:val="000000"/>
                <w:sz w:val="16"/>
                <w:szCs w:val="16"/>
              </w:rPr>
              <w:t>Unclassified</w:t>
            </w:r>
          </w:p>
        </w:tc>
      </w:tr>
      <w:tr w:rsidR="008600AA" w:rsidRPr="000935FE" w14:paraId="28852517" w14:textId="77777777" w:rsidTr="008600AA">
        <w:trPr>
          <w:trHeight w:val="320"/>
        </w:trPr>
        <w:tc>
          <w:tcPr>
            <w:tcW w:w="1229" w:type="dxa"/>
            <w:tcBorders>
              <w:top w:val="single" w:sz="4" w:space="0" w:color="auto"/>
              <w:left w:val="nil"/>
              <w:bottom w:val="nil"/>
              <w:right w:val="nil"/>
            </w:tcBorders>
            <w:shd w:val="clear" w:color="auto" w:fill="auto"/>
            <w:noWrap/>
            <w:hideMark/>
          </w:tcPr>
          <w:p w14:paraId="4A96A003" w14:textId="77777777" w:rsidR="008600AA" w:rsidRPr="000935FE" w:rsidRDefault="008600AA" w:rsidP="008600AA">
            <w:pPr>
              <w:rPr>
                <w:rFonts w:ascii="Verdana" w:hAnsi="Verdana"/>
                <w:color w:val="000000"/>
                <w:sz w:val="16"/>
                <w:szCs w:val="16"/>
              </w:rPr>
            </w:pPr>
            <w:r w:rsidRPr="000935FE">
              <w:rPr>
                <w:rFonts w:ascii="Verdana" w:hAnsi="Verdana"/>
                <w:color w:val="000000"/>
                <w:sz w:val="16"/>
                <w:szCs w:val="16"/>
              </w:rPr>
              <w:t>Brighton and Hove</w:t>
            </w:r>
          </w:p>
        </w:tc>
        <w:tc>
          <w:tcPr>
            <w:tcW w:w="1407" w:type="dxa"/>
            <w:tcBorders>
              <w:top w:val="single" w:sz="4" w:space="0" w:color="auto"/>
              <w:left w:val="nil"/>
              <w:bottom w:val="nil"/>
              <w:right w:val="nil"/>
            </w:tcBorders>
          </w:tcPr>
          <w:p w14:paraId="0ED22519"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66.1% </w:t>
            </w:r>
          </w:p>
          <w:p w14:paraId="2DBDDE04" w14:textId="2EE5FC49"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(64.1-68.1%)</w:t>
            </w:r>
          </w:p>
        </w:tc>
        <w:tc>
          <w:tcPr>
            <w:tcW w:w="1407" w:type="dxa"/>
            <w:tcBorders>
              <w:top w:val="single" w:sz="4" w:space="0" w:color="auto"/>
              <w:left w:val="nil"/>
              <w:bottom w:val="nil"/>
              <w:right w:val="nil"/>
            </w:tcBorders>
            <w:shd w:val="clear" w:color="auto" w:fill="auto"/>
            <w:noWrap/>
            <w:hideMark/>
          </w:tcPr>
          <w:p w14:paraId="784E784C" w14:textId="614BB60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74.1% </w:t>
            </w:r>
          </w:p>
          <w:p w14:paraId="0F857A6B" w14:textId="338B0BBF"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(63.9-82.2%)</w:t>
            </w:r>
          </w:p>
        </w:tc>
        <w:tc>
          <w:tcPr>
            <w:tcW w:w="1407" w:type="dxa"/>
            <w:tcBorders>
              <w:top w:val="single" w:sz="4" w:space="0" w:color="auto"/>
              <w:left w:val="nil"/>
              <w:bottom w:val="nil"/>
              <w:right w:val="nil"/>
            </w:tcBorders>
            <w:shd w:val="clear" w:color="auto" w:fill="auto"/>
            <w:noWrap/>
            <w:hideMark/>
          </w:tcPr>
          <w:p w14:paraId="307C1563"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62.1% </w:t>
            </w:r>
          </w:p>
          <w:p w14:paraId="0EB620DC" w14:textId="3B686F21"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(49.2-73.4%)</w:t>
            </w:r>
          </w:p>
        </w:tc>
        <w:tc>
          <w:tcPr>
            <w:tcW w:w="1275" w:type="dxa"/>
            <w:tcBorders>
              <w:top w:val="single" w:sz="4" w:space="0" w:color="auto"/>
              <w:left w:val="nil"/>
              <w:bottom w:val="nil"/>
              <w:right w:val="nil"/>
            </w:tcBorders>
            <w:shd w:val="clear" w:color="auto" w:fill="auto"/>
            <w:noWrap/>
            <w:hideMark/>
          </w:tcPr>
          <w:p w14:paraId="67D55FA9"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73.7% </w:t>
            </w:r>
          </w:p>
          <w:p w14:paraId="7C173E0F" w14:textId="139575D0"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(51.2-88.2%)</w:t>
            </w:r>
          </w:p>
        </w:tc>
        <w:tc>
          <w:tcPr>
            <w:tcW w:w="1275" w:type="dxa"/>
            <w:tcBorders>
              <w:top w:val="single" w:sz="4" w:space="0" w:color="auto"/>
              <w:left w:val="nil"/>
              <w:bottom w:val="nil"/>
              <w:right w:val="nil"/>
            </w:tcBorders>
            <w:shd w:val="clear" w:color="auto" w:fill="auto"/>
            <w:noWrap/>
            <w:hideMark/>
          </w:tcPr>
          <w:p w14:paraId="65406FE8"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73% </w:t>
            </w:r>
          </w:p>
          <w:p w14:paraId="22B4B0C0" w14:textId="40F72B2F"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(67.5-77.8%)</w:t>
            </w:r>
          </w:p>
        </w:tc>
        <w:tc>
          <w:tcPr>
            <w:tcW w:w="1275" w:type="dxa"/>
            <w:tcBorders>
              <w:top w:val="single" w:sz="4" w:space="0" w:color="auto"/>
              <w:left w:val="nil"/>
              <w:bottom w:val="nil"/>
              <w:right w:val="nil"/>
            </w:tcBorders>
            <w:shd w:val="clear" w:color="auto" w:fill="auto"/>
            <w:noWrap/>
            <w:hideMark/>
          </w:tcPr>
          <w:p w14:paraId="19545814"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55.4% </w:t>
            </w:r>
          </w:p>
          <w:p w14:paraId="178BA081" w14:textId="5312F52B"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(42.4-67.6%)</w:t>
            </w:r>
          </w:p>
        </w:tc>
        <w:tc>
          <w:tcPr>
            <w:tcW w:w="1358" w:type="dxa"/>
            <w:tcBorders>
              <w:top w:val="single" w:sz="4" w:space="0" w:color="auto"/>
              <w:left w:val="nil"/>
              <w:bottom w:val="nil"/>
              <w:right w:val="nil"/>
            </w:tcBorders>
            <w:shd w:val="clear" w:color="auto" w:fill="auto"/>
            <w:noWrap/>
            <w:hideMark/>
          </w:tcPr>
          <w:p w14:paraId="1423D094"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68.8% </w:t>
            </w:r>
          </w:p>
          <w:p w14:paraId="6299274A" w14:textId="53C3A87E"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(54.7-80.1%)</w:t>
            </w:r>
          </w:p>
        </w:tc>
      </w:tr>
      <w:tr w:rsidR="008600AA" w:rsidRPr="000935FE" w14:paraId="2E988D6F" w14:textId="77777777" w:rsidTr="008600AA">
        <w:trPr>
          <w:trHeight w:val="320"/>
        </w:trPr>
        <w:tc>
          <w:tcPr>
            <w:tcW w:w="1229" w:type="dxa"/>
            <w:tcBorders>
              <w:top w:val="nil"/>
              <w:left w:val="nil"/>
              <w:bottom w:val="nil"/>
              <w:right w:val="nil"/>
            </w:tcBorders>
            <w:shd w:val="clear" w:color="auto" w:fill="auto"/>
            <w:noWrap/>
            <w:hideMark/>
          </w:tcPr>
          <w:p w14:paraId="16ECA9B7" w14:textId="77777777" w:rsidR="008600AA" w:rsidRPr="000935FE" w:rsidRDefault="008600AA" w:rsidP="008600AA">
            <w:pPr>
              <w:rPr>
                <w:rFonts w:ascii="Verdana" w:hAnsi="Verdana"/>
                <w:color w:val="000000"/>
                <w:sz w:val="16"/>
                <w:szCs w:val="16"/>
              </w:rPr>
            </w:pPr>
            <w:r w:rsidRPr="000935FE">
              <w:rPr>
                <w:rFonts w:ascii="Verdana" w:hAnsi="Verdana"/>
                <w:color w:val="000000"/>
                <w:sz w:val="16"/>
                <w:szCs w:val="16"/>
              </w:rPr>
              <w:t>East Sussex</w:t>
            </w:r>
          </w:p>
        </w:tc>
        <w:tc>
          <w:tcPr>
            <w:tcW w:w="1407" w:type="dxa"/>
            <w:tcBorders>
              <w:top w:val="nil"/>
              <w:left w:val="nil"/>
              <w:bottom w:val="nil"/>
              <w:right w:val="nil"/>
            </w:tcBorders>
          </w:tcPr>
          <w:p w14:paraId="480C4BF1"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62.4% </w:t>
            </w:r>
          </w:p>
          <w:p w14:paraId="23996B5D" w14:textId="1ACA4B13"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(61-63.8%)</w:t>
            </w:r>
          </w:p>
        </w:tc>
        <w:tc>
          <w:tcPr>
            <w:tcW w:w="1407" w:type="dxa"/>
            <w:tcBorders>
              <w:top w:val="nil"/>
              <w:left w:val="nil"/>
              <w:bottom w:val="nil"/>
              <w:right w:val="nil"/>
            </w:tcBorders>
            <w:shd w:val="clear" w:color="auto" w:fill="auto"/>
            <w:noWrap/>
            <w:hideMark/>
          </w:tcPr>
          <w:p w14:paraId="7DC02E60" w14:textId="1624125C"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70.4% </w:t>
            </w:r>
          </w:p>
          <w:p w14:paraId="10379A77" w14:textId="7569FA9C"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(61.5-78%)</w:t>
            </w:r>
          </w:p>
        </w:tc>
        <w:tc>
          <w:tcPr>
            <w:tcW w:w="1407" w:type="dxa"/>
            <w:tcBorders>
              <w:top w:val="nil"/>
              <w:left w:val="nil"/>
              <w:bottom w:val="nil"/>
              <w:right w:val="nil"/>
            </w:tcBorders>
            <w:shd w:val="clear" w:color="auto" w:fill="auto"/>
            <w:noWrap/>
            <w:hideMark/>
          </w:tcPr>
          <w:p w14:paraId="678F271A"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61% </w:t>
            </w:r>
          </w:p>
          <w:p w14:paraId="402D778F" w14:textId="234D4CFC"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(45.7-74.3%)</w:t>
            </w:r>
          </w:p>
        </w:tc>
        <w:tc>
          <w:tcPr>
            <w:tcW w:w="1275" w:type="dxa"/>
            <w:tcBorders>
              <w:top w:val="nil"/>
              <w:left w:val="nil"/>
              <w:bottom w:val="nil"/>
              <w:right w:val="nil"/>
            </w:tcBorders>
            <w:shd w:val="clear" w:color="auto" w:fill="auto"/>
            <w:noWrap/>
            <w:hideMark/>
          </w:tcPr>
          <w:p w14:paraId="165A4546"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78.6% </w:t>
            </w:r>
          </w:p>
          <w:p w14:paraId="2B5088DC" w14:textId="7FC3D1F3"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(52.4-92.4%)</w:t>
            </w:r>
          </w:p>
        </w:tc>
        <w:tc>
          <w:tcPr>
            <w:tcW w:w="1275" w:type="dxa"/>
            <w:tcBorders>
              <w:top w:val="nil"/>
              <w:left w:val="nil"/>
              <w:bottom w:val="nil"/>
              <w:right w:val="nil"/>
            </w:tcBorders>
            <w:shd w:val="clear" w:color="auto" w:fill="auto"/>
            <w:noWrap/>
            <w:hideMark/>
          </w:tcPr>
          <w:p w14:paraId="710570CA"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67% </w:t>
            </w:r>
          </w:p>
          <w:p w14:paraId="4B9F2694" w14:textId="7411FC35"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(61.7-71.9%)</w:t>
            </w:r>
          </w:p>
        </w:tc>
        <w:tc>
          <w:tcPr>
            <w:tcW w:w="1275" w:type="dxa"/>
            <w:tcBorders>
              <w:top w:val="nil"/>
              <w:left w:val="nil"/>
              <w:bottom w:val="nil"/>
              <w:right w:val="nil"/>
            </w:tcBorders>
            <w:shd w:val="clear" w:color="auto" w:fill="auto"/>
            <w:noWrap/>
            <w:hideMark/>
          </w:tcPr>
          <w:p w14:paraId="678421D6"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43.8% </w:t>
            </w:r>
          </w:p>
          <w:p w14:paraId="6490F9F8" w14:textId="27CFBCA1"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(28.2-60.7%)</w:t>
            </w:r>
          </w:p>
        </w:tc>
        <w:tc>
          <w:tcPr>
            <w:tcW w:w="1358" w:type="dxa"/>
            <w:tcBorders>
              <w:top w:val="nil"/>
              <w:left w:val="nil"/>
              <w:bottom w:val="nil"/>
              <w:right w:val="nil"/>
            </w:tcBorders>
            <w:shd w:val="clear" w:color="auto" w:fill="auto"/>
            <w:noWrap/>
            <w:hideMark/>
          </w:tcPr>
          <w:p w14:paraId="160C9B3B"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56.7% </w:t>
            </w:r>
          </w:p>
          <w:p w14:paraId="28D28081" w14:textId="3D057956"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(44.1-68.4%)</w:t>
            </w:r>
          </w:p>
        </w:tc>
      </w:tr>
      <w:tr w:rsidR="008600AA" w:rsidRPr="000935FE" w14:paraId="055E29C7" w14:textId="77777777" w:rsidTr="008600AA">
        <w:trPr>
          <w:trHeight w:val="320"/>
        </w:trPr>
        <w:tc>
          <w:tcPr>
            <w:tcW w:w="1229" w:type="dxa"/>
            <w:tcBorders>
              <w:top w:val="nil"/>
              <w:left w:val="nil"/>
              <w:bottom w:val="nil"/>
              <w:right w:val="nil"/>
            </w:tcBorders>
            <w:shd w:val="clear" w:color="auto" w:fill="auto"/>
            <w:noWrap/>
          </w:tcPr>
          <w:p w14:paraId="2D76BA7C" w14:textId="390CE134" w:rsidR="008600AA" w:rsidRPr="000935FE" w:rsidRDefault="008600AA" w:rsidP="008600AA">
            <w:pPr>
              <w:rPr>
                <w:rFonts w:ascii="Verdana" w:hAnsi="Verdana"/>
                <w:color w:val="000000"/>
                <w:sz w:val="16"/>
                <w:szCs w:val="16"/>
              </w:rPr>
            </w:pPr>
            <w:r w:rsidRPr="000935FE">
              <w:rPr>
                <w:rFonts w:ascii="Verdana" w:hAnsi="Verdana"/>
                <w:color w:val="000000"/>
                <w:sz w:val="16"/>
                <w:szCs w:val="16"/>
              </w:rPr>
              <w:t>West Sussex</w:t>
            </w:r>
          </w:p>
        </w:tc>
        <w:tc>
          <w:tcPr>
            <w:tcW w:w="1407" w:type="dxa"/>
            <w:tcBorders>
              <w:top w:val="nil"/>
              <w:left w:val="nil"/>
              <w:bottom w:val="nil"/>
              <w:right w:val="nil"/>
            </w:tcBorders>
          </w:tcPr>
          <w:p w14:paraId="5DAEC84E"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62.3% </w:t>
            </w:r>
          </w:p>
          <w:p w14:paraId="78BCC438" w14:textId="15473F3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(61.2-63.3%)</w:t>
            </w:r>
          </w:p>
        </w:tc>
        <w:tc>
          <w:tcPr>
            <w:tcW w:w="1407" w:type="dxa"/>
            <w:tcBorders>
              <w:top w:val="nil"/>
              <w:left w:val="nil"/>
              <w:bottom w:val="nil"/>
              <w:right w:val="nil"/>
            </w:tcBorders>
            <w:shd w:val="clear" w:color="auto" w:fill="auto"/>
            <w:noWrap/>
          </w:tcPr>
          <w:p w14:paraId="4E9637AD" w14:textId="53BB7843"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68% </w:t>
            </w:r>
          </w:p>
          <w:p w14:paraId="3EDCF4BF" w14:textId="73E2C74E"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(63.4-72.2%)</w:t>
            </w:r>
          </w:p>
        </w:tc>
        <w:tc>
          <w:tcPr>
            <w:tcW w:w="1407" w:type="dxa"/>
            <w:tcBorders>
              <w:top w:val="nil"/>
              <w:left w:val="nil"/>
              <w:bottom w:val="nil"/>
              <w:right w:val="nil"/>
            </w:tcBorders>
            <w:shd w:val="clear" w:color="auto" w:fill="auto"/>
            <w:noWrap/>
          </w:tcPr>
          <w:p w14:paraId="0766C549"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61.9% </w:t>
            </w:r>
          </w:p>
          <w:p w14:paraId="3DA62B17" w14:textId="79DBFC30"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(53.2-69.9%)</w:t>
            </w:r>
          </w:p>
        </w:tc>
        <w:tc>
          <w:tcPr>
            <w:tcW w:w="1275" w:type="dxa"/>
            <w:tcBorders>
              <w:top w:val="nil"/>
              <w:left w:val="nil"/>
              <w:bottom w:val="nil"/>
              <w:right w:val="nil"/>
            </w:tcBorders>
            <w:shd w:val="clear" w:color="auto" w:fill="auto"/>
            <w:noWrap/>
          </w:tcPr>
          <w:p w14:paraId="14478805"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72.7% </w:t>
            </w:r>
          </w:p>
          <w:p w14:paraId="2ACFD3D2" w14:textId="20205AC9"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(51.8-86.8%)</w:t>
            </w:r>
          </w:p>
        </w:tc>
        <w:tc>
          <w:tcPr>
            <w:tcW w:w="1275" w:type="dxa"/>
            <w:tcBorders>
              <w:top w:val="nil"/>
              <w:left w:val="nil"/>
              <w:bottom w:val="nil"/>
              <w:right w:val="nil"/>
            </w:tcBorders>
            <w:shd w:val="clear" w:color="auto" w:fill="auto"/>
            <w:noWrap/>
          </w:tcPr>
          <w:p w14:paraId="37984708"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65.1% </w:t>
            </w:r>
          </w:p>
          <w:p w14:paraId="01FDD731" w14:textId="78C4F92E"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(60.6-69.3%)</w:t>
            </w:r>
          </w:p>
        </w:tc>
        <w:tc>
          <w:tcPr>
            <w:tcW w:w="1275" w:type="dxa"/>
            <w:tcBorders>
              <w:top w:val="nil"/>
              <w:left w:val="nil"/>
              <w:bottom w:val="nil"/>
              <w:right w:val="nil"/>
            </w:tcBorders>
            <w:shd w:val="clear" w:color="auto" w:fill="auto"/>
            <w:noWrap/>
          </w:tcPr>
          <w:p w14:paraId="59E7AC74"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65.4% </w:t>
            </w:r>
          </w:p>
          <w:p w14:paraId="49302451" w14:textId="6C1417F3"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(51.8-76.8%)</w:t>
            </w:r>
          </w:p>
        </w:tc>
        <w:tc>
          <w:tcPr>
            <w:tcW w:w="1358" w:type="dxa"/>
            <w:tcBorders>
              <w:top w:val="nil"/>
              <w:left w:val="nil"/>
              <w:bottom w:val="nil"/>
              <w:right w:val="nil"/>
            </w:tcBorders>
            <w:shd w:val="clear" w:color="auto" w:fill="auto"/>
            <w:noWrap/>
          </w:tcPr>
          <w:p w14:paraId="6A0CB7B5"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57.9% </w:t>
            </w:r>
          </w:p>
          <w:p w14:paraId="56EE0C64" w14:textId="7CABE8BE"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(47.8-67.3%)</w:t>
            </w:r>
          </w:p>
        </w:tc>
      </w:tr>
      <w:tr w:rsidR="008600AA" w:rsidRPr="000935FE" w14:paraId="6C76BDCB" w14:textId="77777777" w:rsidTr="008600AA">
        <w:trPr>
          <w:trHeight w:val="320"/>
        </w:trPr>
        <w:tc>
          <w:tcPr>
            <w:tcW w:w="1229" w:type="dxa"/>
            <w:tcBorders>
              <w:top w:val="nil"/>
              <w:left w:val="nil"/>
              <w:right w:val="nil"/>
            </w:tcBorders>
            <w:shd w:val="clear" w:color="auto" w:fill="auto"/>
            <w:noWrap/>
            <w:hideMark/>
          </w:tcPr>
          <w:p w14:paraId="08757BC8" w14:textId="77777777" w:rsidR="008600AA" w:rsidRPr="000935FE" w:rsidRDefault="008600AA" w:rsidP="008600AA">
            <w:pPr>
              <w:rPr>
                <w:rFonts w:ascii="Verdana" w:hAnsi="Verdana"/>
                <w:color w:val="000000"/>
                <w:sz w:val="16"/>
                <w:szCs w:val="16"/>
              </w:rPr>
            </w:pPr>
            <w:r w:rsidRPr="000935FE">
              <w:rPr>
                <w:rFonts w:ascii="Verdana" w:hAnsi="Verdana"/>
                <w:color w:val="000000"/>
                <w:sz w:val="16"/>
                <w:szCs w:val="16"/>
              </w:rPr>
              <w:t>South East</w:t>
            </w:r>
          </w:p>
        </w:tc>
        <w:tc>
          <w:tcPr>
            <w:tcW w:w="1407" w:type="dxa"/>
            <w:tcBorders>
              <w:top w:val="nil"/>
              <w:left w:val="nil"/>
              <w:right w:val="nil"/>
            </w:tcBorders>
          </w:tcPr>
          <w:p w14:paraId="6950E384"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65.6% </w:t>
            </w:r>
          </w:p>
          <w:p w14:paraId="0189BD21" w14:textId="5F35242E"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(65.2-65.9%)</w:t>
            </w:r>
          </w:p>
        </w:tc>
        <w:tc>
          <w:tcPr>
            <w:tcW w:w="1407" w:type="dxa"/>
            <w:tcBorders>
              <w:top w:val="nil"/>
              <w:left w:val="nil"/>
              <w:right w:val="nil"/>
            </w:tcBorders>
            <w:shd w:val="clear" w:color="auto" w:fill="auto"/>
            <w:noWrap/>
            <w:hideMark/>
          </w:tcPr>
          <w:p w14:paraId="7CCE95EF" w14:textId="052597F0"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73.2% </w:t>
            </w:r>
          </w:p>
          <w:p w14:paraId="1E1A5BE2" w14:textId="5E04E4E9"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(72.2-74.1%)</w:t>
            </w:r>
          </w:p>
        </w:tc>
        <w:tc>
          <w:tcPr>
            <w:tcW w:w="1407" w:type="dxa"/>
            <w:tcBorders>
              <w:top w:val="nil"/>
              <w:left w:val="nil"/>
              <w:right w:val="nil"/>
            </w:tcBorders>
            <w:shd w:val="clear" w:color="auto" w:fill="auto"/>
            <w:noWrap/>
            <w:hideMark/>
          </w:tcPr>
          <w:p w14:paraId="20EE975C"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66.1% </w:t>
            </w:r>
          </w:p>
          <w:p w14:paraId="7443B7BA" w14:textId="0CAB4123"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(64.4-67.8%)</w:t>
            </w:r>
          </w:p>
        </w:tc>
        <w:tc>
          <w:tcPr>
            <w:tcW w:w="1275" w:type="dxa"/>
            <w:tcBorders>
              <w:top w:val="nil"/>
              <w:left w:val="nil"/>
              <w:right w:val="nil"/>
            </w:tcBorders>
            <w:shd w:val="clear" w:color="auto" w:fill="auto"/>
            <w:noWrap/>
            <w:hideMark/>
          </w:tcPr>
          <w:p w14:paraId="237BC874"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82.7% </w:t>
            </w:r>
          </w:p>
          <w:p w14:paraId="64EC5779" w14:textId="1739E7BC"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(78.6-86.1%)</w:t>
            </w:r>
          </w:p>
        </w:tc>
        <w:tc>
          <w:tcPr>
            <w:tcW w:w="1275" w:type="dxa"/>
            <w:tcBorders>
              <w:top w:val="nil"/>
              <w:left w:val="nil"/>
              <w:right w:val="nil"/>
            </w:tcBorders>
            <w:shd w:val="clear" w:color="auto" w:fill="auto"/>
            <w:noWrap/>
            <w:hideMark/>
          </w:tcPr>
          <w:p w14:paraId="111D8B07"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68.5% </w:t>
            </w:r>
          </w:p>
          <w:p w14:paraId="59E4B55E" w14:textId="67E9D858"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(67.4-69.7%)</w:t>
            </w:r>
          </w:p>
        </w:tc>
        <w:tc>
          <w:tcPr>
            <w:tcW w:w="1275" w:type="dxa"/>
            <w:tcBorders>
              <w:top w:val="nil"/>
              <w:left w:val="nil"/>
              <w:right w:val="nil"/>
            </w:tcBorders>
            <w:shd w:val="clear" w:color="auto" w:fill="auto"/>
            <w:noWrap/>
            <w:hideMark/>
          </w:tcPr>
          <w:p w14:paraId="632DB8B6"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67.2% </w:t>
            </w:r>
          </w:p>
          <w:p w14:paraId="6C10526F" w14:textId="36AB42C8"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(64.2-70%)</w:t>
            </w:r>
          </w:p>
        </w:tc>
        <w:tc>
          <w:tcPr>
            <w:tcW w:w="1358" w:type="dxa"/>
            <w:tcBorders>
              <w:top w:val="nil"/>
              <w:left w:val="nil"/>
              <w:right w:val="nil"/>
            </w:tcBorders>
            <w:shd w:val="clear" w:color="auto" w:fill="auto"/>
            <w:noWrap/>
            <w:hideMark/>
          </w:tcPr>
          <w:p w14:paraId="1BD78D4D"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58.6% </w:t>
            </w:r>
          </w:p>
          <w:p w14:paraId="49376050" w14:textId="04F0902C"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(55.5-61.6%)</w:t>
            </w:r>
          </w:p>
        </w:tc>
      </w:tr>
      <w:tr w:rsidR="008600AA" w:rsidRPr="000935FE" w14:paraId="3C748AD0" w14:textId="77777777" w:rsidTr="008600AA">
        <w:trPr>
          <w:trHeight w:val="320"/>
        </w:trPr>
        <w:tc>
          <w:tcPr>
            <w:tcW w:w="1229" w:type="dxa"/>
            <w:tcBorders>
              <w:top w:val="nil"/>
              <w:left w:val="nil"/>
              <w:bottom w:val="single" w:sz="4" w:space="0" w:color="auto"/>
              <w:right w:val="nil"/>
            </w:tcBorders>
            <w:shd w:val="clear" w:color="auto" w:fill="auto"/>
            <w:noWrap/>
          </w:tcPr>
          <w:p w14:paraId="13F051AC" w14:textId="534692F6" w:rsidR="008600AA" w:rsidRPr="000935FE" w:rsidRDefault="008600AA" w:rsidP="008600AA">
            <w:pPr>
              <w:rPr>
                <w:rFonts w:ascii="Verdana" w:hAnsi="Verdana"/>
                <w:color w:val="000000"/>
                <w:sz w:val="16"/>
                <w:szCs w:val="16"/>
              </w:rPr>
            </w:pPr>
            <w:r w:rsidRPr="000935FE">
              <w:rPr>
                <w:rFonts w:ascii="Verdana" w:hAnsi="Verdana"/>
                <w:color w:val="000000"/>
                <w:sz w:val="16"/>
                <w:szCs w:val="16"/>
              </w:rPr>
              <w:t>England</w:t>
            </w:r>
          </w:p>
        </w:tc>
        <w:tc>
          <w:tcPr>
            <w:tcW w:w="1407" w:type="dxa"/>
            <w:tcBorders>
              <w:top w:val="nil"/>
              <w:left w:val="nil"/>
              <w:bottom w:val="single" w:sz="4" w:space="0" w:color="auto"/>
              <w:right w:val="nil"/>
            </w:tcBorders>
          </w:tcPr>
          <w:p w14:paraId="14B9E1C3"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64.6% </w:t>
            </w:r>
          </w:p>
          <w:p w14:paraId="75BA13A9" w14:textId="3A16C2A4"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(64.5-64.8%)</w:t>
            </w:r>
          </w:p>
        </w:tc>
        <w:tc>
          <w:tcPr>
            <w:tcW w:w="1407" w:type="dxa"/>
            <w:tcBorders>
              <w:top w:val="nil"/>
              <w:left w:val="nil"/>
              <w:bottom w:val="single" w:sz="4" w:space="0" w:color="auto"/>
              <w:right w:val="nil"/>
            </w:tcBorders>
            <w:shd w:val="clear" w:color="auto" w:fill="auto"/>
            <w:noWrap/>
          </w:tcPr>
          <w:p w14:paraId="65C7C1F3" w14:textId="29F771F5"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69.9% </w:t>
            </w:r>
          </w:p>
          <w:p w14:paraId="0579DFEC" w14:textId="1C5AE31E"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(69.5-70.2%)</w:t>
            </w:r>
          </w:p>
        </w:tc>
        <w:tc>
          <w:tcPr>
            <w:tcW w:w="1407" w:type="dxa"/>
            <w:tcBorders>
              <w:top w:val="nil"/>
              <w:left w:val="nil"/>
              <w:bottom w:val="single" w:sz="4" w:space="0" w:color="auto"/>
              <w:right w:val="nil"/>
            </w:tcBorders>
            <w:shd w:val="clear" w:color="auto" w:fill="auto"/>
            <w:noWrap/>
          </w:tcPr>
          <w:p w14:paraId="0F643D6F"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64.9% </w:t>
            </w:r>
          </w:p>
          <w:p w14:paraId="2F900932" w14:textId="7C316E5F"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(64.4-65.4%)</w:t>
            </w:r>
          </w:p>
        </w:tc>
        <w:tc>
          <w:tcPr>
            <w:tcW w:w="1275" w:type="dxa"/>
            <w:tcBorders>
              <w:top w:val="nil"/>
              <w:left w:val="nil"/>
              <w:bottom w:val="single" w:sz="4" w:space="0" w:color="auto"/>
              <w:right w:val="nil"/>
            </w:tcBorders>
            <w:shd w:val="clear" w:color="auto" w:fill="auto"/>
            <w:noWrap/>
          </w:tcPr>
          <w:p w14:paraId="63EE1DB9"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81.3% </w:t>
            </w:r>
          </w:p>
          <w:p w14:paraId="43BDA04D" w14:textId="5EC5C39C"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(79.9-82.7%)</w:t>
            </w:r>
          </w:p>
        </w:tc>
        <w:tc>
          <w:tcPr>
            <w:tcW w:w="1275" w:type="dxa"/>
            <w:tcBorders>
              <w:top w:val="nil"/>
              <w:left w:val="nil"/>
              <w:bottom w:val="single" w:sz="4" w:space="0" w:color="auto"/>
              <w:right w:val="nil"/>
            </w:tcBorders>
            <w:shd w:val="clear" w:color="auto" w:fill="auto"/>
            <w:noWrap/>
          </w:tcPr>
          <w:p w14:paraId="6F1B2BF3"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66.7% </w:t>
            </w:r>
          </w:p>
          <w:p w14:paraId="5CBB7B58" w14:textId="356B43F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(66.2-67.2%)</w:t>
            </w:r>
          </w:p>
        </w:tc>
        <w:tc>
          <w:tcPr>
            <w:tcW w:w="1275" w:type="dxa"/>
            <w:tcBorders>
              <w:top w:val="nil"/>
              <w:left w:val="nil"/>
              <w:bottom w:val="single" w:sz="4" w:space="0" w:color="auto"/>
              <w:right w:val="nil"/>
            </w:tcBorders>
            <w:shd w:val="clear" w:color="auto" w:fill="auto"/>
            <w:noWrap/>
          </w:tcPr>
          <w:p w14:paraId="439E9AF3"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64.2% </w:t>
            </w:r>
          </w:p>
          <w:p w14:paraId="507ADD8A" w14:textId="245A9F51"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(63.4-65.1%)</w:t>
            </w:r>
          </w:p>
        </w:tc>
        <w:tc>
          <w:tcPr>
            <w:tcW w:w="1358" w:type="dxa"/>
            <w:tcBorders>
              <w:top w:val="nil"/>
              <w:left w:val="nil"/>
              <w:bottom w:val="single" w:sz="4" w:space="0" w:color="auto"/>
              <w:right w:val="nil"/>
            </w:tcBorders>
            <w:shd w:val="clear" w:color="auto" w:fill="auto"/>
            <w:noWrap/>
          </w:tcPr>
          <w:p w14:paraId="40F18D30" w14:textId="77777777"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 xml:space="preserve">56.9% </w:t>
            </w:r>
          </w:p>
          <w:p w14:paraId="1491E7C1" w14:textId="375487FC" w:rsidR="008600AA" w:rsidRPr="000935FE" w:rsidRDefault="008600AA" w:rsidP="008600AA">
            <w:pPr>
              <w:jc w:val="right"/>
              <w:rPr>
                <w:rFonts w:ascii="Verdana" w:hAnsi="Verdana"/>
                <w:color w:val="000000"/>
                <w:sz w:val="16"/>
                <w:szCs w:val="16"/>
              </w:rPr>
            </w:pPr>
            <w:r w:rsidRPr="000935FE">
              <w:rPr>
                <w:rFonts w:ascii="Verdana" w:hAnsi="Verdana"/>
                <w:color w:val="000000"/>
                <w:sz w:val="16"/>
                <w:szCs w:val="16"/>
              </w:rPr>
              <w:t>(55.6-58.2%)</w:t>
            </w:r>
          </w:p>
        </w:tc>
      </w:tr>
    </w:tbl>
    <w:p w14:paraId="139B98C3" w14:textId="77777777" w:rsidR="008600AA" w:rsidRPr="000935FE" w:rsidRDefault="008600AA">
      <w:pPr>
        <w:rPr>
          <w:rFonts w:ascii="Verdana" w:hAnsi="Verdana"/>
        </w:rPr>
      </w:pPr>
    </w:p>
    <w:p w14:paraId="24931B38" w14:textId="123AD214" w:rsidR="008600AA" w:rsidRPr="000935FE" w:rsidRDefault="004C3CE1">
      <w:pPr>
        <w:rPr>
          <w:rFonts w:ascii="Verdana" w:hAnsi="Verdana"/>
          <w:b/>
          <w:bCs/>
        </w:rPr>
      </w:pPr>
      <w:r w:rsidRPr="000935FE">
        <w:rPr>
          <w:rFonts w:ascii="Verdana" w:hAnsi="Verdana"/>
          <w:b/>
          <w:bCs/>
        </w:rPr>
        <w:t xml:space="preserve">Proportions of pupils in year six (10-11 years) classified as overweight or obese – England – 2018/19 academic year – </w:t>
      </w:r>
      <w:r w:rsidRPr="000935FE">
        <w:rPr>
          <w:rFonts w:ascii="Verdana" w:hAnsi="Verdana"/>
          <w:bCs/>
        </w:rPr>
        <w:t>NHS Digital, National Child Measurement Programme</w:t>
      </w:r>
    </w:p>
    <w:p w14:paraId="466EB7FF" w14:textId="00420BD9" w:rsidR="004C3CE1" w:rsidRPr="000935FE" w:rsidRDefault="004C3CE1">
      <w:pPr>
        <w:rPr>
          <w:rFonts w:ascii="Verdana" w:hAnsi="Verdana"/>
          <w:b/>
          <w:bCs/>
        </w:rPr>
      </w:pPr>
    </w:p>
    <w:p w14:paraId="00CD4540" w14:textId="471590C7" w:rsidR="004C3CE1" w:rsidRPr="000935FE" w:rsidRDefault="004C3CE1">
      <w:pPr>
        <w:rPr>
          <w:rFonts w:ascii="Verdana" w:hAnsi="Verdana"/>
          <w:sz w:val="22"/>
          <w:szCs w:val="22"/>
        </w:rPr>
      </w:pPr>
      <w:r w:rsidRPr="000935FE">
        <w:rPr>
          <w:rFonts w:ascii="Verdana" w:hAnsi="Verdana"/>
          <w:sz w:val="22"/>
          <w:szCs w:val="22"/>
        </w:rPr>
        <w:t>Among year six pupils, White British pupils have significantly lower prevalence of being overweight and obese compared to all ethnic minority groups except White and Asian and Chinese ethnic groups.</w:t>
      </w:r>
    </w:p>
    <w:p w14:paraId="701F6A68" w14:textId="77777777" w:rsidR="004C3CE1" w:rsidRPr="000935FE" w:rsidRDefault="004C3CE1">
      <w:pPr>
        <w:rPr>
          <w:rFonts w:ascii="Verdana" w:hAnsi="Verdana"/>
          <w:b/>
          <w:bCs/>
        </w:rPr>
      </w:pPr>
    </w:p>
    <w:tbl>
      <w:tblPr>
        <w:tblW w:w="5380" w:type="dxa"/>
        <w:tblLook w:val="04A0" w:firstRow="1" w:lastRow="0" w:firstColumn="1" w:lastColumn="0" w:noHBand="0" w:noVBand="1"/>
      </w:tblPr>
      <w:tblGrid>
        <w:gridCol w:w="2852"/>
        <w:gridCol w:w="2528"/>
      </w:tblGrid>
      <w:tr w:rsidR="004C3CE1" w:rsidRPr="000935FE" w14:paraId="239DABEC" w14:textId="77777777" w:rsidTr="004C3CE1">
        <w:trPr>
          <w:trHeight w:val="320"/>
        </w:trPr>
        <w:tc>
          <w:tcPr>
            <w:tcW w:w="2852" w:type="dxa"/>
            <w:tcBorders>
              <w:top w:val="single" w:sz="4" w:space="0" w:color="auto"/>
              <w:left w:val="nil"/>
              <w:bottom w:val="single" w:sz="4" w:space="0" w:color="auto"/>
              <w:right w:val="nil"/>
            </w:tcBorders>
            <w:shd w:val="clear" w:color="auto" w:fill="auto"/>
            <w:noWrap/>
          </w:tcPr>
          <w:p w14:paraId="0F035F1E" w14:textId="7C274DC9" w:rsidR="004C3CE1" w:rsidRPr="000935FE" w:rsidRDefault="004C3CE1" w:rsidP="004C3CE1">
            <w:pPr>
              <w:rPr>
                <w:rFonts w:ascii="Verdana" w:hAnsi="Verdana"/>
                <w:color w:val="000000"/>
                <w:sz w:val="16"/>
                <w:szCs w:val="16"/>
              </w:rPr>
            </w:pPr>
            <w:r w:rsidRPr="000935FE">
              <w:rPr>
                <w:rFonts w:ascii="Verdana" w:hAnsi="Verdana"/>
                <w:b/>
                <w:bCs/>
                <w:color w:val="000000"/>
                <w:sz w:val="16"/>
                <w:szCs w:val="16"/>
              </w:rPr>
              <w:t>Ethnicity</w:t>
            </w:r>
          </w:p>
        </w:tc>
        <w:tc>
          <w:tcPr>
            <w:tcW w:w="2528" w:type="dxa"/>
            <w:tcBorders>
              <w:top w:val="single" w:sz="4" w:space="0" w:color="auto"/>
              <w:left w:val="nil"/>
              <w:bottom w:val="single" w:sz="4" w:space="0" w:color="auto"/>
              <w:right w:val="nil"/>
            </w:tcBorders>
            <w:shd w:val="clear" w:color="auto" w:fill="auto"/>
            <w:noWrap/>
          </w:tcPr>
          <w:p w14:paraId="0F64A86A" w14:textId="2D6A960F" w:rsidR="004C3CE1" w:rsidRPr="000935FE" w:rsidRDefault="004C3CE1" w:rsidP="004C3CE1">
            <w:pPr>
              <w:rPr>
                <w:rFonts w:ascii="Verdana" w:hAnsi="Verdana"/>
                <w:color w:val="000000"/>
                <w:sz w:val="16"/>
                <w:szCs w:val="16"/>
              </w:rPr>
            </w:pPr>
            <w:r w:rsidRPr="000935FE">
              <w:rPr>
                <w:rFonts w:ascii="Verdana" w:hAnsi="Verdana"/>
                <w:b/>
                <w:bCs/>
                <w:color w:val="000000"/>
                <w:sz w:val="16"/>
                <w:szCs w:val="16"/>
              </w:rPr>
              <w:t>Proportion of year six children class as overweight</w:t>
            </w:r>
          </w:p>
        </w:tc>
      </w:tr>
      <w:tr w:rsidR="004C3CE1" w:rsidRPr="000935FE" w14:paraId="311A821C" w14:textId="77777777" w:rsidTr="004C3CE1">
        <w:trPr>
          <w:trHeight w:val="320"/>
        </w:trPr>
        <w:tc>
          <w:tcPr>
            <w:tcW w:w="2852" w:type="dxa"/>
            <w:tcBorders>
              <w:top w:val="single" w:sz="4" w:space="0" w:color="auto"/>
              <w:left w:val="nil"/>
              <w:bottom w:val="nil"/>
              <w:right w:val="nil"/>
            </w:tcBorders>
            <w:shd w:val="clear" w:color="auto" w:fill="auto"/>
            <w:noWrap/>
            <w:vAlign w:val="bottom"/>
            <w:hideMark/>
          </w:tcPr>
          <w:p w14:paraId="5974E7B0"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White British</w:t>
            </w:r>
          </w:p>
        </w:tc>
        <w:tc>
          <w:tcPr>
            <w:tcW w:w="2528" w:type="dxa"/>
            <w:tcBorders>
              <w:top w:val="single" w:sz="4" w:space="0" w:color="auto"/>
              <w:left w:val="nil"/>
              <w:bottom w:val="nil"/>
              <w:right w:val="nil"/>
            </w:tcBorders>
            <w:shd w:val="clear" w:color="auto" w:fill="auto"/>
            <w:noWrap/>
            <w:vAlign w:val="bottom"/>
            <w:hideMark/>
          </w:tcPr>
          <w:p w14:paraId="74E93170"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31.7% (95% CI: 31.6-31.9)</w:t>
            </w:r>
          </w:p>
        </w:tc>
      </w:tr>
      <w:tr w:rsidR="004C3CE1" w:rsidRPr="000935FE" w14:paraId="534BFD6A" w14:textId="77777777" w:rsidTr="004C3CE1">
        <w:trPr>
          <w:trHeight w:val="320"/>
        </w:trPr>
        <w:tc>
          <w:tcPr>
            <w:tcW w:w="2852" w:type="dxa"/>
            <w:tcBorders>
              <w:top w:val="nil"/>
              <w:left w:val="nil"/>
              <w:bottom w:val="nil"/>
              <w:right w:val="nil"/>
            </w:tcBorders>
            <w:shd w:val="clear" w:color="auto" w:fill="auto"/>
            <w:noWrap/>
            <w:vAlign w:val="bottom"/>
            <w:hideMark/>
          </w:tcPr>
          <w:p w14:paraId="60FE3FB7"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White Irish</w:t>
            </w:r>
          </w:p>
        </w:tc>
        <w:tc>
          <w:tcPr>
            <w:tcW w:w="2528" w:type="dxa"/>
            <w:tcBorders>
              <w:top w:val="nil"/>
              <w:left w:val="nil"/>
              <w:bottom w:val="nil"/>
              <w:right w:val="nil"/>
            </w:tcBorders>
            <w:shd w:val="clear" w:color="auto" w:fill="auto"/>
            <w:noWrap/>
            <w:vAlign w:val="bottom"/>
            <w:hideMark/>
          </w:tcPr>
          <w:p w14:paraId="14DF3DA1"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31.3% (95% CI: 29-33.6)</w:t>
            </w:r>
          </w:p>
        </w:tc>
      </w:tr>
      <w:tr w:rsidR="004C3CE1" w:rsidRPr="000935FE" w14:paraId="7BA905A3" w14:textId="77777777" w:rsidTr="004C3CE1">
        <w:trPr>
          <w:trHeight w:val="320"/>
        </w:trPr>
        <w:tc>
          <w:tcPr>
            <w:tcW w:w="2852" w:type="dxa"/>
            <w:tcBorders>
              <w:top w:val="nil"/>
              <w:left w:val="nil"/>
              <w:bottom w:val="nil"/>
              <w:right w:val="nil"/>
            </w:tcBorders>
            <w:shd w:val="clear" w:color="auto" w:fill="auto"/>
            <w:noWrap/>
            <w:vAlign w:val="bottom"/>
            <w:hideMark/>
          </w:tcPr>
          <w:p w14:paraId="2545A0A1"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Any other White background</w:t>
            </w:r>
          </w:p>
        </w:tc>
        <w:tc>
          <w:tcPr>
            <w:tcW w:w="2528" w:type="dxa"/>
            <w:tcBorders>
              <w:top w:val="nil"/>
              <w:left w:val="nil"/>
              <w:bottom w:val="nil"/>
              <w:right w:val="nil"/>
            </w:tcBorders>
            <w:shd w:val="clear" w:color="auto" w:fill="auto"/>
            <w:noWrap/>
            <w:vAlign w:val="bottom"/>
            <w:hideMark/>
          </w:tcPr>
          <w:p w14:paraId="7B300126"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35.5% (95% CI: 35-35.9)</w:t>
            </w:r>
          </w:p>
        </w:tc>
      </w:tr>
      <w:tr w:rsidR="004C3CE1" w:rsidRPr="000935FE" w14:paraId="0B26A0F3" w14:textId="77777777" w:rsidTr="004C3CE1">
        <w:trPr>
          <w:trHeight w:val="320"/>
        </w:trPr>
        <w:tc>
          <w:tcPr>
            <w:tcW w:w="2852" w:type="dxa"/>
            <w:tcBorders>
              <w:top w:val="nil"/>
              <w:left w:val="nil"/>
              <w:bottom w:val="nil"/>
              <w:right w:val="nil"/>
            </w:tcBorders>
            <w:shd w:val="clear" w:color="auto" w:fill="auto"/>
            <w:noWrap/>
            <w:vAlign w:val="bottom"/>
            <w:hideMark/>
          </w:tcPr>
          <w:p w14:paraId="1E4A41B7"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White and Black Caribbean</w:t>
            </w:r>
          </w:p>
        </w:tc>
        <w:tc>
          <w:tcPr>
            <w:tcW w:w="2528" w:type="dxa"/>
            <w:tcBorders>
              <w:top w:val="nil"/>
              <w:left w:val="nil"/>
              <w:bottom w:val="nil"/>
              <w:right w:val="nil"/>
            </w:tcBorders>
            <w:shd w:val="clear" w:color="auto" w:fill="auto"/>
            <w:noWrap/>
            <w:vAlign w:val="bottom"/>
            <w:hideMark/>
          </w:tcPr>
          <w:p w14:paraId="21C7DAEE"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40.1% (95% CI: 39-41.3)</w:t>
            </w:r>
          </w:p>
        </w:tc>
      </w:tr>
      <w:tr w:rsidR="004C3CE1" w:rsidRPr="000935FE" w14:paraId="7DDCA950" w14:textId="77777777" w:rsidTr="004C3CE1">
        <w:trPr>
          <w:trHeight w:val="320"/>
        </w:trPr>
        <w:tc>
          <w:tcPr>
            <w:tcW w:w="2852" w:type="dxa"/>
            <w:tcBorders>
              <w:top w:val="nil"/>
              <w:left w:val="nil"/>
              <w:bottom w:val="nil"/>
              <w:right w:val="nil"/>
            </w:tcBorders>
            <w:shd w:val="clear" w:color="auto" w:fill="auto"/>
            <w:noWrap/>
            <w:vAlign w:val="bottom"/>
            <w:hideMark/>
          </w:tcPr>
          <w:p w14:paraId="63F93E80"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White and Black African</w:t>
            </w:r>
          </w:p>
        </w:tc>
        <w:tc>
          <w:tcPr>
            <w:tcW w:w="2528" w:type="dxa"/>
            <w:tcBorders>
              <w:top w:val="nil"/>
              <w:left w:val="nil"/>
              <w:bottom w:val="nil"/>
              <w:right w:val="nil"/>
            </w:tcBorders>
            <w:shd w:val="clear" w:color="auto" w:fill="auto"/>
            <w:noWrap/>
            <w:vAlign w:val="bottom"/>
            <w:hideMark/>
          </w:tcPr>
          <w:p w14:paraId="6BDFA57D"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42% (95% CI: 40.6-43.5)</w:t>
            </w:r>
          </w:p>
        </w:tc>
      </w:tr>
      <w:tr w:rsidR="004C3CE1" w:rsidRPr="000935FE" w14:paraId="30E9C382" w14:textId="77777777" w:rsidTr="004C3CE1">
        <w:trPr>
          <w:trHeight w:val="320"/>
        </w:trPr>
        <w:tc>
          <w:tcPr>
            <w:tcW w:w="2852" w:type="dxa"/>
            <w:tcBorders>
              <w:top w:val="nil"/>
              <w:left w:val="nil"/>
              <w:bottom w:val="nil"/>
              <w:right w:val="nil"/>
            </w:tcBorders>
            <w:shd w:val="clear" w:color="auto" w:fill="auto"/>
            <w:noWrap/>
            <w:vAlign w:val="bottom"/>
            <w:hideMark/>
          </w:tcPr>
          <w:p w14:paraId="15585A7A"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White and Asian</w:t>
            </w:r>
          </w:p>
        </w:tc>
        <w:tc>
          <w:tcPr>
            <w:tcW w:w="2528" w:type="dxa"/>
            <w:tcBorders>
              <w:top w:val="nil"/>
              <w:left w:val="nil"/>
              <w:bottom w:val="nil"/>
              <w:right w:val="nil"/>
            </w:tcBorders>
            <w:shd w:val="clear" w:color="auto" w:fill="auto"/>
            <w:noWrap/>
            <w:vAlign w:val="bottom"/>
            <w:hideMark/>
          </w:tcPr>
          <w:p w14:paraId="7993A9E6"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31.4% (95% CI: 30.2-32.5)</w:t>
            </w:r>
          </w:p>
        </w:tc>
      </w:tr>
      <w:tr w:rsidR="004C3CE1" w:rsidRPr="000935FE" w14:paraId="10335AD7" w14:textId="77777777" w:rsidTr="004C3CE1">
        <w:trPr>
          <w:trHeight w:val="320"/>
        </w:trPr>
        <w:tc>
          <w:tcPr>
            <w:tcW w:w="2852" w:type="dxa"/>
            <w:tcBorders>
              <w:top w:val="nil"/>
              <w:left w:val="nil"/>
              <w:bottom w:val="nil"/>
              <w:right w:val="nil"/>
            </w:tcBorders>
            <w:shd w:val="clear" w:color="auto" w:fill="auto"/>
            <w:noWrap/>
            <w:vAlign w:val="bottom"/>
            <w:hideMark/>
          </w:tcPr>
          <w:p w14:paraId="12FE1BE2"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Any other mixed background</w:t>
            </w:r>
          </w:p>
        </w:tc>
        <w:tc>
          <w:tcPr>
            <w:tcW w:w="2528" w:type="dxa"/>
            <w:tcBorders>
              <w:top w:val="nil"/>
              <w:left w:val="nil"/>
              <w:bottom w:val="nil"/>
              <w:right w:val="nil"/>
            </w:tcBorders>
            <w:shd w:val="clear" w:color="auto" w:fill="auto"/>
            <w:noWrap/>
            <w:vAlign w:val="bottom"/>
            <w:hideMark/>
          </w:tcPr>
          <w:p w14:paraId="398075C8"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35.4% (95% CI: 34.5-36.3)</w:t>
            </w:r>
          </w:p>
        </w:tc>
      </w:tr>
      <w:tr w:rsidR="004C3CE1" w:rsidRPr="000935FE" w14:paraId="494CC8F4" w14:textId="77777777" w:rsidTr="004C3CE1">
        <w:trPr>
          <w:trHeight w:val="320"/>
        </w:trPr>
        <w:tc>
          <w:tcPr>
            <w:tcW w:w="2852" w:type="dxa"/>
            <w:tcBorders>
              <w:top w:val="nil"/>
              <w:left w:val="nil"/>
              <w:bottom w:val="nil"/>
              <w:right w:val="nil"/>
            </w:tcBorders>
            <w:shd w:val="clear" w:color="auto" w:fill="auto"/>
            <w:noWrap/>
            <w:vAlign w:val="bottom"/>
            <w:hideMark/>
          </w:tcPr>
          <w:p w14:paraId="1D30B423"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Indian</w:t>
            </w:r>
          </w:p>
        </w:tc>
        <w:tc>
          <w:tcPr>
            <w:tcW w:w="2528" w:type="dxa"/>
            <w:tcBorders>
              <w:top w:val="nil"/>
              <w:left w:val="nil"/>
              <w:bottom w:val="nil"/>
              <w:right w:val="nil"/>
            </w:tcBorders>
            <w:shd w:val="clear" w:color="auto" w:fill="auto"/>
            <w:noWrap/>
            <w:vAlign w:val="bottom"/>
            <w:hideMark/>
          </w:tcPr>
          <w:p w14:paraId="707B67DF"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36.2% (95% CI: 35.4-36.9)</w:t>
            </w:r>
          </w:p>
        </w:tc>
      </w:tr>
      <w:tr w:rsidR="004C3CE1" w:rsidRPr="000935FE" w14:paraId="0426C292" w14:textId="77777777" w:rsidTr="004C3CE1">
        <w:trPr>
          <w:trHeight w:val="320"/>
        </w:trPr>
        <w:tc>
          <w:tcPr>
            <w:tcW w:w="2852" w:type="dxa"/>
            <w:tcBorders>
              <w:top w:val="nil"/>
              <w:left w:val="nil"/>
              <w:bottom w:val="nil"/>
              <w:right w:val="nil"/>
            </w:tcBorders>
            <w:shd w:val="clear" w:color="auto" w:fill="auto"/>
            <w:noWrap/>
            <w:vAlign w:val="bottom"/>
            <w:hideMark/>
          </w:tcPr>
          <w:p w14:paraId="21C604B2"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Pakistani</w:t>
            </w:r>
          </w:p>
        </w:tc>
        <w:tc>
          <w:tcPr>
            <w:tcW w:w="2528" w:type="dxa"/>
            <w:tcBorders>
              <w:top w:val="nil"/>
              <w:left w:val="nil"/>
              <w:bottom w:val="nil"/>
              <w:right w:val="nil"/>
            </w:tcBorders>
            <w:shd w:val="clear" w:color="auto" w:fill="auto"/>
            <w:noWrap/>
            <w:vAlign w:val="bottom"/>
            <w:hideMark/>
          </w:tcPr>
          <w:p w14:paraId="44AEE227"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40.8% (95% CI: 40.2-41.5)</w:t>
            </w:r>
          </w:p>
        </w:tc>
      </w:tr>
      <w:tr w:rsidR="004C3CE1" w:rsidRPr="000935FE" w14:paraId="58674E17" w14:textId="77777777" w:rsidTr="004C3CE1">
        <w:trPr>
          <w:trHeight w:val="320"/>
        </w:trPr>
        <w:tc>
          <w:tcPr>
            <w:tcW w:w="2852" w:type="dxa"/>
            <w:tcBorders>
              <w:top w:val="nil"/>
              <w:left w:val="nil"/>
              <w:bottom w:val="nil"/>
              <w:right w:val="nil"/>
            </w:tcBorders>
            <w:shd w:val="clear" w:color="auto" w:fill="auto"/>
            <w:noWrap/>
            <w:vAlign w:val="bottom"/>
            <w:hideMark/>
          </w:tcPr>
          <w:p w14:paraId="5E030AB1"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Bangladeshi</w:t>
            </w:r>
          </w:p>
        </w:tc>
        <w:tc>
          <w:tcPr>
            <w:tcW w:w="2528" w:type="dxa"/>
            <w:tcBorders>
              <w:top w:val="nil"/>
              <w:left w:val="nil"/>
              <w:bottom w:val="nil"/>
              <w:right w:val="nil"/>
            </w:tcBorders>
            <w:shd w:val="clear" w:color="auto" w:fill="auto"/>
            <w:noWrap/>
            <w:vAlign w:val="bottom"/>
            <w:hideMark/>
          </w:tcPr>
          <w:p w14:paraId="35BE1639"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44.5% (95% CI: 43.5-45.6)</w:t>
            </w:r>
          </w:p>
        </w:tc>
      </w:tr>
      <w:tr w:rsidR="004C3CE1" w:rsidRPr="000935FE" w14:paraId="1A3200FB" w14:textId="77777777" w:rsidTr="004C3CE1">
        <w:trPr>
          <w:trHeight w:val="320"/>
        </w:trPr>
        <w:tc>
          <w:tcPr>
            <w:tcW w:w="2852" w:type="dxa"/>
            <w:tcBorders>
              <w:top w:val="nil"/>
              <w:left w:val="nil"/>
              <w:bottom w:val="nil"/>
              <w:right w:val="nil"/>
            </w:tcBorders>
            <w:shd w:val="clear" w:color="auto" w:fill="auto"/>
            <w:noWrap/>
            <w:vAlign w:val="bottom"/>
            <w:hideMark/>
          </w:tcPr>
          <w:p w14:paraId="0E2BA9D7"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Any other Asian background</w:t>
            </w:r>
          </w:p>
        </w:tc>
        <w:tc>
          <w:tcPr>
            <w:tcW w:w="2528" w:type="dxa"/>
            <w:tcBorders>
              <w:top w:val="nil"/>
              <w:left w:val="nil"/>
              <w:bottom w:val="nil"/>
              <w:right w:val="nil"/>
            </w:tcBorders>
            <w:shd w:val="clear" w:color="auto" w:fill="auto"/>
            <w:noWrap/>
            <w:vAlign w:val="bottom"/>
            <w:hideMark/>
          </w:tcPr>
          <w:p w14:paraId="3C1F5CA5"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39.4% (95% CI: 38.5-40.4)</w:t>
            </w:r>
          </w:p>
        </w:tc>
      </w:tr>
      <w:tr w:rsidR="004C3CE1" w:rsidRPr="000935FE" w14:paraId="4F987DC0" w14:textId="77777777" w:rsidTr="004C3CE1">
        <w:trPr>
          <w:trHeight w:val="320"/>
        </w:trPr>
        <w:tc>
          <w:tcPr>
            <w:tcW w:w="2852" w:type="dxa"/>
            <w:tcBorders>
              <w:top w:val="nil"/>
              <w:left w:val="nil"/>
              <w:bottom w:val="nil"/>
              <w:right w:val="nil"/>
            </w:tcBorders>
            <w:shd w:val="clear" w:color="auto" w:fill="auto"/>
            <w:noWrap/>
            <w:vAlign w:val="bottom"/>
            <w:hideMark/>
          </w:tcPr>
          <w:p w14:paraId="0B5C6B43"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Black Caribbean</w:t>
            </w:r>
          </w:p>
        </w:tc>
        <w:tc>
          <w:tcPr>
            <w:tcW w:w="2528" w:type="dxa"/>
            <w:tcBorders>
              <w:top w:val="nil"/>
              <w:left w:val="nil"/>
              <w:bottom w:val="nil"/>
              <w:right w:val="nil"/>
            </w:tcBorders>
            <w:shd w:val="clear" w:color="auto" w:fill="auto"/>
            <w:noWrap/>
            <w:vAlign w:val="bottom"/>
            <w:hideMark/>
          </w:tcPr>
          <w:p w14:paraId="738BA727"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43.8% (95% CI: 42.5-45.1)</w:t>
            </w:r>
          </w:p>
        </w:tc>
      </w:tr>
      <w:tr w:rsidR="004C3CE1" w:rsidRPr="000935FE" w14:paraId="4EBB853F" w14:textId="77777777" w:rsidTr="004C3CE1">
        <w:trPr>
          <w:trHeight w:val="320"/>
        </w:trPr>
        <w:tc>
          <w:tcPr>
            <w:tcW w:w="2852" w:type="dxa"/>
            <w:tcBorders>
              <w:top w:val="nil"/>
              <w:left w:val="nil"/>
              <w:bottom w:val="nil"/>
              <w:right w:val="nil"/>
            </w:tcBorders>
            <w:shd w:val="clear" w:color="auto" w:fill="auto"/>
            <w:noWrap/>
            <w:vAlign w:val="bottom"/>
            <w:hideMark/>
          </w:tcPr>
          <w:p w14:paraId="281D0EE3"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Black African</w:t>
            </w:r>
          </w:p>
        </w:tc>
        <w:tc>
          <w:tcPr>
            <w:tcW w:w="2528" w:type="dxa"/>
            <w:tcBorders>
              <w:top w:val="nil"/>
              <w:left w:val="nil"/>
              <w:bottom w:val="nil"/>
              <w:right w:val="nil"/>
            </w:tcBorders>
            <w:shd w:val="clear" w:color="auto" w:fill="auto"/>
            <w:noWrap/>
            <w:vAlign w:val="bottom"/>
            <w:hideMark/>
          </w:tcPr>
          <w:p w14:paraId="7DD0CFA9"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45.8% (95% CI: 45.1-46.5)</w:t>
            </w:r>
          </w:p>
        </w:tc>
      </w:tr>
      <w:tr w:rsidR="004C3CE1" w:rsidRPr="000935FE" w14:paraId="30022AD5" w14:textId="77777777" w:rsidTr="004C3CE1">
        <w:trPr>
          <w:trHeight w:val="320"/>
        </w:trPr>
        <w:tc>
          <w:tcPr>
            <w:tcW w:w="2852" w:type="dxa"/>
            <w:tcBorders>
              <w:top w:val="nil"/>
              <w:left w:val="nil"/>
              <w:bottom w:val="nil"/>
              <w:right w:val="nil"/>
            </w:tcBorders>
            <w:shd w:val="clear" w:color="auto" w:fill="auto"/>
            <w:noWrap/>
            <w:vAlign w:val="bottom"/>
            <w:hideMark/>
          </w:tcPr>
          <w:p w14:paraId="0AF3AFA9"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Any other Black background</w:t>
            </w:r>
          </w:p>
        </w:tc>
        <w:tc>
          <w:tcPr>
            <w:tcW w:w="2528" w:type="dxa"/>
            <w:tcBorders>
              <w:top w:val="nil"/>
              <w:left w:val="nil"/>
              <w:bottom w:val="nil"/>
              <w:right w:val="nil"/>
            </w:tcBorders>
            <w:shd w:val="clear" w:color="auto" w:fill="auto"/>
            <w:noWrap/>
            <w:vAlign w:val="bottom"/>
            <w:hideMark/>
          </w:tcPr>
          <w:p w14:paraId="41A69DD7"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44.6% (95% CI: 43.3-45.9)</w:t>
            </w:r>
          </w:p>
        </w:tc>
      </w:tr>
      <w:tr w:rsidR="004C3CE1" w:rsidRPr="000935FE" w14:paraId="33ED3D50" w14:textId="77777777" w:rsidTr="004C3CE1">
        <w:trPr>
          <w:trHeight w:val="320"/>
        </w:trPr>
        <w:tc>
          <w:tcPr>
            <w:tcW w:w="2852" w:type="dxa"/>
            <w:tcBorders>
              <w:top w:val="nil"/>
              <w:left w:val="nil"/>
              <w:bottom w:val="nil"/>
              <w:right w:val="nil"/>
            </w:tcBorders>
            <w:shd w:val="clear" w:color="auto" w:fill="auto"/>
            <w:noWrap/>
            <w:vAlign w:val="bottom"/>
            <w:hideMark/>
          </w:tcPr>
          <w:p w14:paraId="5E31EC2B"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Chinese</w:t>
            </w:r>
          </w:p>
        </w:tc>
        <w:tc>
          <w:tcPr>
            <w:tcW w:w="2528" w:type="dxa"/>
            <w:tcBorders>
              <w:top w:val="nil"/>
              <w:left w:val="nil"/>
              <w:bottom w:val="nil"/>
              <w:right w:val="nil"/>
            </w:tcBorders>
            <w:shd w:val="clear" w:color="auto" w:fill="auto"/>
            <w:noWrap/>
            <w:vAlign w:val="bottom"/>
            <w:hideMark/>
          </w:tcPr>
          <w:p w14:paraId="3C3E0FB4"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30.5% (95% CI: 28.7-32.5)</w:t>
            </w:r>
          </w:p>
        </w:tc>
      </w:tr>
      <w:tr w:rsidR="004C3CE1" w:rsidRPr="000935FE" w14:paraId="56D56A9F" w14:textId="77777777" w:rsidTr="004C3CE1">
        <w:trPr>
          <w:trHeight w:val="320"/>
        </w:trPr>
        <w:tc>
          <w:tcPr>
            <w:tcW w:w="2852" w:type="dxa"/>
            <w:tcBorders>
              <w:top w:val="nil"/>
              <w:left w:val="nil"/>
              <w:right w:val="nil"/>
            </w:tcBorders>
            <w:shd w:val="clear" w:color="auto" w:fill="auto"/>
            <w:noWrap/>
            <w:vAlign w:val="bottom"/>
            <w:hideMark/>
          </w:tcPr>
          <w:p w14:paraId="2F56067F"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Any other ethnic group</w:t>
            </w:r>
          </w:p>
        </w:tc>
        <w:tc>
          <w:tcPr>
            <w:tcW w:w="2528" w:type="dxa"/>
            <w:tcBorders>
              <w:top w:val="nil"/>
              <w:left w:val="nil"/>
              <w:right w:val="nil"/>
            </w:tcBorders>
            <w:shd w:val="clear" w:color="auto" w:fill="auto"/>
            <w:noWrap/>
            <w:vAlign w:val="bottom"/>
            <w:hideMark/>
          </w:tcPr>
          <w:p w14:paraId="12440736"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40.8% (95% CI: 40-41.7)</w:t>
            </w:r>
          </w:p>
        </w:tc>
      </w:tr>
      <w:tr w:rsidR="004C3CE1" w:rsidRPr="000935FE" w14:paraId="511081A0" w14:textId="77777777" w:rsidTr="004C3CE1">
        <w:trPr>
          <w:trHeight w:val="320"/>
        </w:trPr>
        <w:tc>
          <w:tcPr>
            <w:tcW w:w="2852" w:type="dxa"/>
            <w:tcBorders>
              <w:top w:val="nil"/>
              <w:left w:val="nil"/>
              <w:bottom w:val="single" w:sz="4" w:space="0" w:color="auto"/>
              <w:right w:val="nil"/>
            </w:tcBorders>
            <w:shd w:val="clear" w:color="auto" w:fill="auto"/>
            <w:noWrap/>
            <w:vAlign w:val="bottom"/>
            <w:hideMark/>
          </w:tcPr>
          <w:p w14:paraId="546844F4"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Not stated / invalid</w:t>
            </w:r>
          </w:p>
        </w:tc>
        <w:tc>
          <w:tcPr>
            <w:tcW w:w="2528" w:type="dxa"/>
            <w:tcBorders>
              <w:top w:val="nil"/>
              <w:left w:val="nil"/>
              <w:bottom w:val="single" w:sz="4" w:space="0" w:color="auto"/>
              <w:right w:val="nil"/>
            </w:tcBorders>
            <w:shd w:val="clear" w:color="auto" w:fill="auto"/>
            <w:noWrap/>
            <w:vAlign w:val="bottom"/>
            <w:hideMark/>
          </w:tcPr>
          <w:p w14:paraId="3F2A33C2" w14:textId="77777777" w:rsidR="004C3CE1" w:rsidRPr="000935FE" w:rsidRDefault="004C3CE1" w:rsidP="004C3CE1">
            <w:pPr>
              <w:rPr>
                <w:rFonts w:ascii="Verdana" w:hAnsi="Verdana"/>
                <w:color w:val="000000"/>
                <w:sz w:val="16"/>
                <w:szCs w:val="16"/>
              </w:rPr>
            </w:pPr>
            <w:r w:rsidRPr="000935FE">
              <w:rPr>
                <w:rFonts w:ascii="Verdana" w:hAnsi="Verdana"/>
                <w:color w:val="000000"/>
                <w:sz w:val="16"/>
                <w:szCs w:val="16"/>
              </w:rPr>
              <w:t>34.8% (95% CI: 34.5-35.1)</w:t>
            </w:r>
          </w:p>
        </w:tc>
      </w:tr>
    </w:tbl>
    <w:p w14:paraId="32BAD194" w14:textId="43E4058F" w:rsidR="004C3CE1" w:rsidRDefault="004C3CE1">
      <w:pPr>
        <w:rPr>
          <w:rFonts w:ascii="Verdana" w:hAnsi="Verdana"/>
          <w:b/>
          <w:bCs/>
        </w:rPr>
      </w:pPr>
    </w:p>
    <w:p w14:paraId="1DB60CCD" w14:textId="6C15E3BF" w:rsidR="000935FE" w:rsidRDefault="000935FE">
      <w:pPr>
        <w:rPr>
          <w:rFonts w:ascii="Verdana" w:hAnsi="Verdana"/>
          <w:b/>
          <w:bCs/>
        </w:rPr>
      </w:pPr>
    </w:p>
    <w:p w14:paraId="1ECEF6F9" w14:textId="04E5672F" w:rsidR="000935FE" w:rsidRDefault="000935FE">
      <w:pPr>
        <w:rPr>
          <w:rFonts w:ascii="Verdana" w:hAnsi="Verdana"/>
          <w:b/>
          <w:bCs/>
        </w:rPr>
      </w:pPr>
    </w:p>
    <w:p w14:paraId="6FB41671" w14:textId="77777777" w:rsidR="000935FE" w:rsidRPr="000935FE" w:rsidRDefault="000935FE">
      <w:pPr>
        <w:rPr>
          <w:rFonts w:ascii="Verdana" w:hAnsi="Verdana"/>
          <w:b/>
          <w:bCs/>
        </w:rPr>
      </w:pPr>
    </w:p>
    <w:p w14:paraId="2273CBBF" w14:textId="43395AB9" w:rsidR="004C3CE1" w:rsidRPr="000935FE" w:rsidRDefault="004C3CE1">
      <w:pPr>
        <w:rPr>
          <w:rFonts w:ascii="Verdana" w:hAnsi="Verdana"/>
        </w:rPr>
      </w:pPr>
      <w:r w:rsidRPr="000935FE">
        <w:rPr>
          <w:rFonts w:ascii="Verdana" w:hAnsi="Verdana"/>
          <w:b/>
          <w:bCs/>
        </w:rPr>
        <w:lastRenderedPageBreak/>
        <w:t xml:space="preserve">Attainment 8 score Key Stage 4 – England and Local Authority Areas – 2018/19 academic year – </w:t>
      </w:r>
      <w:r w:rsidRPr="000935FE">
        <w:rPr>
          <w:rFonts w:ascii="Verdana" w:hAnsi="Verdana"/>
        </w:rPr>
        <w:t>Department for Education</w:t>
      </w:r>
    </w:p>
    <w:p w14:paraId="0A5A52D6" w14:textId="4628973C" w:rsidR="004C3CE1" w:rsidRPr="000935FE" w:rsidRDefault="004C3CE1">
      <w:pPr>
        <w:rPr>
          <w:rFonts w:ascii="Verdana" w:hAnsi="Verdana"/>
        </w:rPr>
      </w:pPr>
    </w:p>
    <w:p w14:paraId="1E3EBB2E" w14:textId="6EA1643C" w:rsidR="004C3CE1" w:rsidRPr="000935FE" w:rsidRDefault="004A6CE2">
      <w:pPr>
        <w:rPr>
          <w:rFonts w:ascii="Verdana" w:hAnsi="Verdana"/>
          <w:sz w:val="22"/>
          <w:szCs w:val="22"/>
        </w:rPr>
      </w:pPr>
      <w:r w:rsidRPr="000935FE">
        <w:rPr>
          <w:rFonts w:ascii="Verdana" w:hAnsi="Verdana"/>
          <w:sz w:val="22"/>
          <w:szCs w:val="22"/>
        </w:rPr>
        <w:t xml:space="preserve">This is the average total points scored (based on grades) for eight GCSE level qualifications. </w:t>
      </w:r>
    </w:p>
    <w:p w14:paraId="334E5797" w14:textId="7C83BFDB" w:rsidR="004A6CE2" w:rsidRPr="000935FE" w:rsidRDefault="004A6CE2">
      <w:pPr>
        <w:rPr>
          <w:rFonts w:ascii="Verdana" w:hAnsi="Verdana"/>
          <w:sz w:val="22"/>
          <w:szCs w:val="22"/>
        </w:rPr>
      </w:pPr>
    </w:p>
    <w:p w14:paraId="65641E6E" w14:textId="4B9113B7" w:rsidR="004A6CE2" w:rsidRPr="000935FE" w:rsidRDefault="004A6CE2">
      <w:pPr>
        <w:rPr>
          <w:rFonts w:ascii="Verdana" w:hAnsi="Verdana"/>
          <w:sz w:val="22"/>
          <w:szCs w:val="22"/>
        </w:rPr>
      </w:pPr>
      <w:r w:rsidRPr="000935FE">
        <w:rPr>
          <w:rFonts w:ascii="Verdana" w:hAnsi="Verdana"/>
          <w:sz w:val="22"/>
          <w:szCs w:val="22"/>
        </w:rPr>
        <w:t>Asian, Chinese and Mixed groups, both nationally and locally have higher average attainment 8 scores compared to White groups. KS4 pupils in Black ethnic groups have lower scores compared to all other groups except in the South East region where the score is slightly higher than for White pupils.</w:t>
      </w:r>
    </w:p>
    <w:p w14:paraId="3AFE8D6F" w14:textId="77777777" w:rsidR="004A6CE2" w:rsidRPr="000935FE" w:rsidRDefault="004A6CE2">
      <w:pPr>
        <w:rPr>
          <w:rFonts w:ascii="Verdana" w:hAnsi="Verdana"/>
        </w:rPr>
      </w:pPr>
    </w:p>
    <w:tbl>
      <w:tblPr>
        <w:tblW w:w="6968" w:type="dxa"/>
        <w:tblLook w:val="04A0" w:firstRow="1" w:lastRow="0" w:firstColumn="1" w:lastColumn="0" w:noHBand="0" w:noVBand="1"/>
      </w:tblPr>
      <w:tblGrid>
        <w:gridCol w:w="2220"/>
        <w:gridCol w:w="921"/>
        <w:gridCol w:w="886"/>
        <w:gridCol w:w="878"/>
        <w:gridCol w:w="1134"/>
        <w:gridCol w:w="929"/>
      </w:tblGrid>
      <w:tr w:rsidR="004A6CE2" w:rsidRPr="000935FE" w14:paraId="0EDAE602" w14:textId="77777777" w:rsidTr="000935FE">
        <w:trPr>
          <w:trHeight w:val="320"/>
        </w:trPr>
        <w:tc>
          <w:tcPr>
            <w:tcW w:w="2220" w:type="dxa"/>
            <w:tcBorders>
              <w:top w:val="single" w:sz="4" w:space="0" w:color="auto"/>
              <w:left w:val="nil"/>
              <w:bottom w:val="single" w:sz="4" w:space="0" w:color="auto"/>
              <w:right w:val="nil"/>
            </w:tcBorders>
            <w:shd w:val="clear" w:color="auto" w:fill="auto"/>
            <w:noWrap/>
            <w:vAlign w:val="bottom"/>
            <w:hideMark/>
          </w:tcPr>
          <w:p w14:paraId="587088B5" w14:textId="77777777" w:rsidR="004A6CE2" w:rsidRPr="000935FE" w:rsidRDefault="004A6CE2" w:rsidP="004A6CE2">
            <w:pPr>
              <w:rPr>
                <w:rFonts w:ascii="Verdana" w:hAnsi="Verdana"/>
                <w:color w:val="000000"/>
                <w:sz w:val="20"/>
                <w:szCs w:val="20"/>
              </w:rPr>
            </w:pPr>
            <w:r w:rsidRPr="000935FE">
              <w:rPr>
                <w:rFonts w:ascii="Verdana" w:hAnsi="Verdana"/>
                <w:color w:val="000000"/>
                <w:sz w:val="20"/>
                <w:szCs w:val="20"/>
              </w:rPr>
              <w:t> </w:t>
            </w:r>
          </w:p>
        </w:tc>
        <w:tc>
          <w:tcPr>
            <w:tcW w:w="921" w:type="dxa"/>
            <w:tcBorders>
              <w:top w:val="single" w:sz="4" w:space="0" w:color="auto"/>
              <w:left w:val="nil"/>
              <w:bottom w:val="single" w:sz="4" w:space="0" w:color="auto"/>
              <w:right w:val="nil"/>
            </w:tcBorders>
            <w:shd w:val="clear" w:color="auto" w:fill="auto"/>
            <w:noWrap/>
            <w:vAlign w:val="bottom"/>
            <w:hideMark/>
          </w:tcPr>
          <w:p w14:paraId="7039657D"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White</w:t>
            </w:r>
          </w:p>
        </w:tc>
        <w:tc>
          <w:tcPr>
            <w:tcW w:w="886" w:type="dxa"/>
            <w:tcBorders>
              <w:top w:val="single" w:sz="4" w:space="0" w:color="auto"/>
              <w:left w:val="nil"/>
              <w:bottom w:val="single" w:sz="4" w:space="0" w:color="auto"/>
              <w:right w:val="nil"/>
            </w:tcBorders>
            <w:shd w:val="clear" w:color="auto" w:fill="auto"/>
            <w:noWrap/>
            <w:vAlign w:val="bottom"/>
            <w:hideMark/>
          </w:tcPr>
          <w:p w14:paraId="64F74F2A"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Asian</w:t>
            </w:r>
          </w:p>
        </w:tc>
        <w:tc>
          <w:tcPr>
            <w:tcW w:w="878" w:type="dxa"/>
            <w:tcBorders>
              <w:top w:val="single" w:sz="4" w:space="0" w:color="auto"/>
              <w:left w:val="nil"/>
              <w:bottom w:val="single" w:sz="4" w:space="0" w:color="auto"/>
              <w:right w:val="nil"/>
            </w:tcBorders>
            <w:shd w:val="clear" w:color="auto" w:fill="auto"/>
            <w:noWrap/>
            <w:vAlign w:val="bottom"/>
            <w:hideMark/>
          </w:tcPr>
          <w:p w14:paraId="7EA4E7AE"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Black</w:t>
            </w:r>
          </w:p>
        </w:tc>
        <w:tc>
          <w:tcPr>
            <w:tcW w:w="1134" w:type="dxa"/>
            <w:tcBorders>
              <w:top w:val="single" w:sz="4" w:space="0" w:color="auto"/>
              <w:left w:val="nil"/>
              <w:bottom w:val="single" w:sz="4" w:space="0" w:color="auto"/>
              <w:right w:val="nil"/>
            </w:tcBorders>
            <w:shd w:val="clear" w:color="auto" w:fill="auto"/>
            <w:noWrap/>
            <w:vAlign w:val="bottom"/>
            <w:hideMark/>
          </w:tcPr>
          <w:p w14:paraId="1758EDDB"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Chinese</w:t>
            </w:r>
          </w:p>
        </w:tc>
        <w:tc>
          <w:tcPr>
            <w:tcW w:w="929" w:type="dxa"/>
            <w:tcBorders>
              <w:top w:val="single" w:sz="4" w:space="0" w:color="auto"/>
              <w:left w:val="nil"/>
              <w:bottom w:val="single" w:sz="4" w:space="0" w:color="auto"/>
              <w:right w:val="nil"/>
            </w:tcBorders>
            <w:shd w:val="clear" w:color="auto" w:fill="auto"/>
            <w:noWrap/>
            <w:vAlign w:val="bottom"/>
            <w:hideMark/>
          </w:tcPr>
          <w:p w14:paraId="49A9B6E9"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Mixed</w:t>
            </w:r>
          </w:p>
        </w:tc>
      </w:tr>
      <w:tr w:rsidR="004A6CE2" w:rsidRPr="000935FE" w14:paraId="7FA9C4F6" w14:textId="77777777" w:rsidTr="000935FE">
        <w:trPr>
          <w:trHeight w:val="320"/>
        </w:trPr>
        <w:tc>
          <w:tcPr>
            <w:tcW w:w="2220" w:type="dxa"/>
            <w:tcBorders>
              <w:top w:val="nil"/>
              <w:left w:val="nil"/>
              <w:bottom w:val="nil"/>
              <w:right w:val="nil"/>
            </w:tcBorders>
            <w:shd w:val="clear" w:color="auto" w:fill="auto"/>
            <w:noWrap/>
            <w:vAlign w:val="bottom"/>
            <w:hideMark/>
          </w:tcPr>
          <w:p w14:paraId="7EB69AA3" w14:textId="77777777" w:rsidR="004A6CE2" w:rsidRPr="000935FE" w:rsidRDefault="004A6CE2" w:rsidP="004A6CE2">
            <w:pPr>
              <w:rPr>
                <w:rFonts w:ascii="Verdana" w:hAnsi="Verdana"/>
                <w:color w:val="000000"/>
                <w:sz w:val="20"/>
                <w:szCs w:val="20"/>
              </w:rPr>
            </w:pPr>
            <w:r w:rsidRPr="000935FE">
              <w:rPr>
                <w:rFonts w:ascii="Verdana" w:hAnsi="Verdana"/>
                <w:color w:val="000000"/>
                <w:sz w:val="20"/>
                <w:szCs w:val="20"/>
              </w:rPr>
              <w:t>Brighton and Hove</w:t>
            </w:r>
          </w:p>
        </w:tc>
        <w:tc>
          <w:tcPr>
            <w:tcW w:w="921" w:type="dxa"/>
            <w:tcBorders>
              <w:top w:val="nil"/>
              <w:left w:val="nil"/>
              <w:bottom w:val="nil"/>
              <w:right w:val="nil"/>
            </w:tcBorders>
            <w:shd w:val="clear" w:color="auto" w:fill="auto"/>
            <w:noWrap/>
            <w:hideMark/>
          </w:tcPr>
          <w:p w14:paraId="3E575D18"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47.8</w:t>
            </w:r>
          </w:p>
        </w:tc>
        <w:tc>
          <w:tcPr>
            <w:tcW w:w="886" w:type="dxa"/>
            <w:tcBorders>
              <w:top w:val="nil"/>
              <w:left w:val="nil"/>
              <w:bottom w:val="nil"/>
              <w:right w:val="nil"/>
            </w:tcBorders>
            <w:shd w:val="clear" w:color="auto" w:fill="auto"/>
            <w:noWrap/>
            <w:hideMark/>
          </w:tcPr>
          <w:p w14:paraId="389B418E"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48</w:t>
            </w:r>
          </w:p>
        </w:tc>
        <w:tc>
          <w:tcPr>
            <w:tcW w:w="878" w:type="dxa"/>
            <w:tcBorders>
              <w:top w:val="nil"/>
              <w:left w:val="nil"/>
              <w:bottom w:val="nil"/>
              <w:right w:val="nil"/>
            </w:tcBorders>
            <w:shd w:val="clear" w:color="auto" w:fill="auto"/>
            <w:noWrap/>
            <w:hideMark/>
          </w:tcPr>
          <w:p w14:paraId="372EA447"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46.1</w:t>
            </w:r>
          </w:p>
        </w:tc>
        <w:tc>
          <w:tcPr>
            <w:tcW w:w="1134" w:type="dxa"/>
            <w:tcBorders>
              <w:top w:val="nil"/>
              <w:left w:val="nil"/>
              <w:bottom w:val="nil"/>
              <w:right w:val="nil"/>
            </w:tcBorders>
            <w:shd w:val="clear" w:color="auto" w:fill="auto"/>
            <w:noWrap/>
            <w:hideMark/>
          </w:tcPr>
          <w:p w14:paraId="1360FA68"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50.1</w:t>
            </w:r>
          </w:p>
        </w:tc>
        <w:tc>
          <w:tcPr>
            <w:tcW w:w="929" w:type="dxa"/>
            <w:tcBorders>
              <w:top w:val="nil"/>
              <w:left w:val="nil"/>
              <w:bottom w:val="nil"/>
              <w:right w:val="nil"/>
            </w:tcBorders>
            <w:shd w:val="clear" w:color="auto" w:fill="auto"/>
            <w:noWrap/>
            <w:hideMark/>
          </w:tcPr>
          <w:p w14:paraId="0A732D9E"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47.5</w:t>
            </w:r>
          </w:p>
        </w:tc>
      </w:tr>
      <w:tr w:rsidR="004A6CE2" w:rsidRPr="000935FE" w14:paraId="791516AD" w14:textId="77777777" w:rsidTr="000935FE">
        <w:trPr>
          <w:trHeight w:val="320"/>
        </w:trPr>
        <w:tc>
          <w:tcPr>
            <w:tcW w:w="2220" w:type="dxa"/>
            <w:tcBorders>
              <w:top w:val="nil"/>
              <w:left w:val="nil"/>
              <w:bottom w:val="nil"/>
              <w:right w:val="nil"/>
            </w:tcBorders>
            <w:shd w:val="clear" w:color="auto" w:fill="auto"/>
            <w:noWrap/>
            <w:vAlign w:val="bottom"/>
            <w:hideMark/>
          </w:tcPr>
          <w:p w14:paraId="2EF604E8" w14:textId="77777777" w:rsidR="004A6CE2" w:rsidRPr="000935FE" w:rsidRDefault="004A6CE2" w:rsidP="004A6CE2">
            <w:pPr>
              <w:rPr>
                <w:rFonts w:ascii="Verdana" w:hAnsi="Verdana"/>
                <w:color w:val="000000"/>
                <w:sz w:val="20"/>
                <w:szCs w:val="20"/>
              </w:rPr>
            </w:pPr>
            <w:r w:rsidRPr="000935FE">
              <w:rPr>
                <w:rFonts w:ascii="Verdana" w:hAnsi="Verdana"/>
                <w:color w:val="000000"/>
                <w:sz w:val="20"/>
                <w:szCs w:val="20"/>
              </w:rPr>
              <w:t>East Sussex</w:t>
            </w:r>
          </w:p>
        </w:tc>
        <w:tc>
          <w:tcPr>
            <w:tcW w:w="921" w:type="dxa"/>
            <w:tcBorders>
              <w:top w:val="nil"/>
              <w:left w:val="nil"/>
              <w:bottom w:val="nil"/>
              <w:right w:val="nil"/>
            </w:tcBorders>
            <w:shd w:val="clear" w:color="auto" w:fill="auto"/>
            <w:noWrap/>
            <w:hideMark/>
          </w:tcPr>
          <w:p w14:paraId="2F2715B8"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45.1</w:t>
            </w:r>
          </w:p>
        </w:tc>
        <w:tc>
          <w:tcPr>
            <w:tcW w:w="886" w:type="dxa"/>
            <w:tcBorders>
              <w:top w:val="nil"/>
              <w:left w:val="nil"/>
              <w:bottom w:val="nil"/>
              <w:right w:val="nil"/>
            </w:tcBorders>
            <w:shd w:val="clear" w:color="auto" w:fill="auto"/>
            <w:noWrap/>
            <w:hideMark/>
          </w:tcPr>
          <w:p w14:paraId="0978FABB"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56.6</w:t>
            </w:r>
          </w:p>
        </w:tc>
        <w:tc>
          <w:tcPr>
            <w:tcW w:w="878" w:type="dxa"/>
            <w:tcBorders>
              <w:top w:val="nil"/>
              <w:left w:val="nil"/>
              <w:bottom w:val="nil"/>
              <w:right w:val="nil"/>
            </w:tcBorders>
            <w:shd w:val="clear" w:color="auto" w:fill="auto"/>
            <w:noWrap/>
            <w:hideMark/>
          </w:tcPr>
          <w:p w14:paraId="013784F8"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43.7</w:t>
            </w:r>
          </w:p>
        </w:tc>
        <w:tc>
          <w:tcPr>
            <w:tcW w:w="1134" w:type="dxa"/>
            <w:tcBorders>
              <w:top w:val="nil"/>
              <w:left w:val="nil"/>
              <w:bottom w:val="nil"/>
              <w:right w:val="nil"/>
            </w:tcBorders>
            <w:shd w:val="clear" w:color="auto" w:fill="auto"/>
            <w:noWrap/>
            <w:hideMark/>
          </w:tcPr>
          <w:p w14:paraId="49F4D7F0"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64.7</w:t>
            </w:r>
          </w:p>
        </w:tc>
        <w:tc>
          <w:tcPr>
            <w:tcW w:w="929" w:type="dxa"/>
            <w:tcBorders>
              <w:top w:val="nil"/>
              <w:left w:val="nil"/>
              <w:bottom w:val="nil"/>
              <w:right w:val="nil"/>
            </w:tcBorders>
            <w:shd w:val="clear" w:color="auto" w:fill="auto"/>
            <w:noWrap/>
            <w:hideMark/>
          </w:tcPr>
          <w:p w14:paraId="510CF4B8"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47.8</w:t>
            </w:r>
          </w:p>
        </w:tc>
      </w:tr>
      <w:tr w:rsidR="004A6CE2" w:rsidRPr="000935FE" w14:paraId="2D031C6D" w14:textId="77777777" w:rsidTr="000935FE">
        <w:trPr>
          <w:trHeight w:val="320"/>
        </w:trPr>
        <w:tc>
          <w:tcPr>
            <w:tcW w:w="2220" w:type="dxa"/>
            <w:tcBorders>
              <w:top w:val="nil"/>
              <w:left w:val="nil"/>
              <w:bottom w:val="nil"/>
              <w:right w:val="nil"/>
            </w:tcBorders>
            <w:shd w:val="clear" w:color="auto" w:fill="auto"/>
            <w:noWrap/>
            <w:vAlign w:val="bottom"/>
            <w:hideMark/>
          </w:tcPr>
          <w:p w14:paraId="3913D0E7" w14:textId="77777777" w:rsidR="004A6CE2" w:rsidRPr="000935FE" w:rsidRDefault="004A6CE2" w:rsidP="004A6CE2">
            <w:pPr>
              <w:rPr>
                <w:rFonts w:ascii="Verdana" w:hAnsi="Verdana"/>
                <w:color w:val="000000"/>
                <w:sz w:val="20"/>
                <w:szCs w:val="20"/>
              </w:rPr>
            </w:pPr>
            <w:r w:rsidRPr="000935FE">
              <w:rPr>
                <w:rFonts w:ascii="Verdana" w:hAnsi="Verdana"/>
                <w:color w:val="000000"/>
                <w:sz w:val="20"/>
                <w:szCs w:val="20"/>
              </w:rPr>
              <w:t>West Sussex</w:t>
            </w:r>
          </w:p>
        </w:tc>
        <w:tc>
          <w:tcPr>
            <w:tcW w:w="921" w:type="dxa"/>
            <w:tcBorders>
              <w:top w:val="nil"/>
              <w:left w:val="nil"/>
              <w:bottom w:val="nil"/>
              <w:right w:val="nil"/>
            </w:tcBorders>
            <w:shd w:val="clear" w:color="auto" w:fill="auto"/>
            <w:noWrap/>
            <w:hideMark/>
          </w:tcPr>
          <w:p w14:paraId="4841F0AE"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46.7</w:t>
            </w:r>
          </w:p>
        </w:tc>
        <w:tc>
          <w:tcPr>
            <w:tcW w:w="886" w:type="dxa"/>
            <w:tcBorders>
              <w:top w:val="nil"/>
              <w:left w:val="nil"/>
              <w:bottom w:val="nil"/>
              <w:right w:val="nil"/>
            </w:tcBorders>
            <w:shd w:val="clear" w:color="auto" w:fill="auto"/>
            <w:noWrap/>
            <w:hideMark/>
          </w:tcPr>
          <w:p w14:paraId="24BB16FC"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51</w:t>
            </w:r>
          </w:p>
        </w:tc>
        <w:tc>
          <w:tcPr>
            <w:tcW w:w="878" w:type="dxa"/>
            <w:tcBorders>
              <w:top w:val="nil"/>
              <w:left w:val="nil"/>
              <w:bottom w:val="nil"/>
              <w:right w:val="nil"/>
            </w:tcBorders>
            <w:shd w:val="clear" w:color="auto" w:fill="auto"/>
            <w:noWrap/>
            <w:hideMark/>
          </w:tcPr>
          <w:p w14:paraId="386D77DF"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40.2</w:t>
            </w:r>
          </w:p>
        </w:tc>
        <w:tc>
          <w:tcPr>
            <w:tcW w:w="1134" w:type="dxa"/>
            <w:tcBorders>
              <w:top w:val="nil"/>
              <w:left w:val="nil"/>
              <w:bottom w:val="nil"/>
              <w:right w:val="nil"/>
            </w:tcBorders>
            <w:shd w:val="clear" w:color="auto" w:fill="auto"/>
            <w:noWrap/>
            <w:hideMark/>
          </w:tcPr>
          <w:p w14:paraId="5A9C73F0"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55</w:t>
            </w:r>
          </w:p>
        </w:tc>
        <w:tc>
          <w:tcPr>
            <w:tcW w:w="929" w:type="dxa"/>
            <w:tcBorders>
              <w:top w:val="nil"/>
              <w:left w:val="nil"/>
              <w:bottom w:val="nil"/>
              <w:right w:val="nil"/>
            </w:tcBorders>
            <w:shd w:val="clear" w:color="auto" w:fill="auto"/>
            <w:noWrap/>
            <w:hideMark/>
          </w:tcPr>
          <w:p w14:paraId="3F18946E"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48.1</w:t>
            </w:r>
          </w:p>
        </w:tc>
      </w:tr>
      <w:tr w:rsidR="004A6CE2" w:rsidRPr="000935FE" w14:paraId="5B590650" w14:textId="77777777" w:rsidTr="000935FE">
        <w:trPr>
          <w:trHeight w:val="320"/>
        </w:trPr>
        <w:tc>
          <w:tcPr>
            <w:tcW w:w="2220" w:type="dxa"/>
            <w:tcBorders>
              <w:top w:val="nil"/>
              <w:left w:val="nil"/>
              <w:bottom w:val="nil"/>
              <w:right w:val="nil"/>
            </w:tcBorders>
            <w:shd w:val="clear" w:color="auto" w:fill="auto"/>
            <w:noWrap/>
            <w:vAlign w:val="bottom"/>
            <w:hideMark/>
          </w:tcPr>
          <w:p w14:paraId="6B663A9E" w14:textId="77777777" w:rsidR="004A6CE2" w:rsidRPr="000935FE" w:rsidRDefault="004A6CE2" w:rsidP="004A6CE2">
            <w:pPr>
              <w:rPr>
                <w:rFonts w:ascii="Verdana" w:hAnsi="Verdana"/>
                <w:color w:val="000000"/>
                <w:sz w:val="20"/>
                <w:szCs w:val="20"/>
              </w:rPr>
            </w:pPr>
            <w:r w:rsidRPr="000935FE">
              <w:rPr>
                <w:rFonts w:ascii="Verdana" w:hAnsi="Verdana"/>
                <w:color w:val="000000"/>
                <w:sz w:val="20"/>
                <w:szCs w:val="20"/>
              </w:rPr>
              <w:t>South East</w:t>
            </w:r>
          </w:p>
        </w:tc>
        <w:tc>
          <w:tcPr>
            <w:tcW w:w="921" w:type="dxa"/>
            <w:tcBorders>
              <w:top w:val="nil"/>
              <w:left w:val="nil"/>
              <w:bottom w:val="nil"/>
              <w:right w:val="nil"/>
            </w:tcBorders>
            <w:shd w:val="clear" w:color="auto" w:fill="auto"/>
            <w:noWrap/>
            <w:hideMark/>
          </w:tcPr>
          <w:p w14:paraId="4BE3A201"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47.3</w:t>
            </w:r>
          </w:p>
        </w:tc>
        <w:tc>
          <w:tcPr>
            <w:tcW w:w="886" w:type="dxa"/>
            <w:tcBorders>
              <w:top w:val="nil"/>
              <w:left w:val="nil"/>
              <w:bottom w:val="nil"/>
              <w:right w:val="nil"/>
            </w:tcBorders>
            <w:shd w:val="clear" w:color="auto" w:fill="auto"/>
            <w:noWrap/>
            <w:hideMark/>
          </w:tcPr>
          <w:p w14:paraId="76CADBB3"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54.9</w:t>
            </w:r>
          </w:p>
        </w:tc>
        <w:tc>
          <w:tcPr>
            <w:tcW w:w="878" w:type="dxa"/>
            <w:tcBorders>
              <w:top w:val="nil"/>
              <w:left w:val="nil"/>
              <w:bottom w:val="nil"/>
              <w:right w:val="nil"/>
            </w:tcBorders>
            <w:shd w:val="clear" w:color="auto" w:fill="auto"/>
            <w:noWrap/>
            <w:hideMark/>
          </w:tcPr>
          <w:p w14:paraId="5F5B4BF9"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47.9</w:t>
            </w:r>
          </w:p>
        </w:tc>
        <w:tc>
          <w:tcPr>
            <w:tcW w:w="1134" w:type="dxa"/>
            <w:tcBorders>
              <w:top w:val="nil"/>
              <w:left w:val="nil"/>
              <w:bottom w:val="nil"/>
              <w:right w:val="nil"/>
            </w:tcBorders>
            <w:shd w:val="clear" w:color="auto" w:fill="auto"/>
            <w:noWrap/>
            <w:hideMark/>
          </w:tcPr>
          <w:p w14:paraId="4C7E89AA"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62.8</w:t>
            </w:r>
          </w:p>
        </w:tc>
        <w:tc>
          <w:tcPr>
            <w:tcW w:w="929" w:type="dxa"/>
            <w:tcBorders>
              <w:top w:val="nil"/>
              <w:left w:val="nil"/>
              <w:bottom w:val="nil"/>
              <w:right w:val="nil"/>
            </w:tcBorders>
            <w:shd w:val="clear" w:color="auto" w:fill="auto"/>
            <w:noWrap/>
            <w:hideMark/>
          </w:tcPr>
          <w:p w14:paraId="2D74226A"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49.7</w:t>
            </w:r>
          </w:p>
        </w:tc>
      </w:tr>
      <w:tr w:rsidR="004A6CE2" w:rsidRPr="000935FE" w14:paraId="3ECA935A" w14:textId="77777777" w:rsidTr="000935FE">
        <w:trPr>
          <w:trHeight w:val="320"/>
        </w:trPr>
        <w:tc>
          <w:tcPr>
            <w:tcW w:w="2220" w:type="dxa"/>
            <w:tcBorders>
              <w:top w:val="nil"/>
              <w:left w:val="nil"/>
              <w:bottom w:val="single" w:sz="4" w:space="0" w:color="auto"/>
              <w:right w:val="nil"/>
            </w:tcBorders>
            <w:shd w:val="clear" w:color="auto" w:fill="auto"/>
            <w:noWrap/>
            <w:vAlign w:val="bottom"/>
            <w:hideMark/>
          </w:tcPr>
          <w:p w14:paraId="015401AF" w14:textId="77777777" w:rsidR="004A6CE2" w:rsidRPr="000935FE" w:rsidRDefault="004A6CE2" w:rsidP="004A6CE2">
            <w:pPr>
              <w:rPr>
                <w:rFonts w:ascii="Verdana" w:hAnsi="Verdana"/>
                <w:color w:val="000000"/>
                <w:sz w:val="20"/>
                <w:szCs w:val="20"/>
              </w:rPr>
            </w:pPr>
            <w:r w:rsidRPr="000935FE">
              <w:rPr>
                <w:rFonts w:ascii="Verdana" w:hAnsi="Verdana"/>
                <w:color w:val="000000"/>
                <w:sz w:val="20"/>
                <w:szCs w:val="20"/>
              </w:rPr>
              <w:t>England</w:t>
            </w:r>
          </w:p>
        </w:tc>
        <w:tc>
          <w:tcPr>
            <w:tcW w:w="921" w:type="dxa"/>
            <w:tcBorders>
              <w:top w:val="nil"/>
              <w:left w:val="nil"/>
              <w:bottom w:val="single" w:sz="4" w:space="0" w:color="auto"/>
              <w:right w:val="nil"/>
            </w:tcBorders>
            <w:shd w:val="clear" w:color="auto" w:fill="auto"/>
            <w:noWrap/>
            <w:hideMark/>
          </w:tcPr>
          <w:p w14:paraId="0ED14927"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46.2</w:t>
            </w:r>
          </w:p>
        </w:tc>
        <w:tc>
          <w:tcPr>
            <w:tcW w:w="886" w:type="dxa"/>
            <w:tcBorders>
              <w:top w:val="nil"/>
              <w:left w:val="nil"/>
              <w:bottom w:val="single" w:sz="4" w:space="0" w:color="auto"/>
              <w:right w:val="nil"/>
            </w:tcBorders>
            <w:shd w:val="clear" w:color="auto" w:fill="auto"/>
            <w:noWrap/>
            <w:hideMark/>
          </w:tcPr>
          <w:p w14:paraId="0DF027F3"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51.5</w:t>
            </w:r>
          </w:p>
        </w:tc>
        <w:tc>
          <w:tcPr>
            <w:tcW w:w="878" w:type="dxa"/>
            <w:tcBorders>
              <w:top w:val="nil"/>
              <w:left w:val="nil"/>
              <w:bottom w:val="single" w:sz="4" w:space="0" w:color="auto"/>
              <w:right w:val="nil"/>
            </w:tcBorders>
            <w:shd w:val="clear" w:color="auto" w:fill="auto"/>
            <w:noWrap/>
            <w:hideMark/>
          </w:tcPr>
          <w:p w14:paraId="51395EE5"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45.2</w:t>
            </w:r>
          </w:p>
        </w:tc>
        <w:tc>
          <w:tcPr>
            <w:tcW w:w="1134" w:type="dxa"/>
            <w:tcBorders>
              <w:top w:val="nil"/>
              <w:left w:val="nil"/>
              <w:bottom w:val="single" w:sz="4" w:space="0" w:color="auto"/>
              <w:right w:val="nil"/>
            </w:tcBorders>
            <w:shd w:val="clear" w:color="auto" w:fill="auto"/>
            <w:noWrap/>
            <w:hideMark/>
          </w:tcPr>
          <w:p w14:paraId="20FA4F92"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64.5</w:t>
            </w:r>
          </w:p>
        </w:tc>
        <w:tc>
          <w:tcPr>
            <w:tcW w:w="929" w:type="dxa"/>
            <w:tcBorders>
              <w:top w:val="nil"/>
              <w:left w:val="nil"/>
              <w:bottom w:val="single" w:sz="4" w:space="0" w:color="auto"/>
              <w:right w:val="nil"/>
            </w:tcBorders>
            <w:shd w:val="clear" w:color="auto" w:fill="auto"/>
            <w:noWrap/>
            <w:hideMark/>
          </w:tcPr>
          <w:p w14:paraId="3DCB6410" w14:textId="77777777" w:rsidR="004A6CE2" w:rsidRPr="000935FE" w:rsidRDefault="004A6CE2" w:rsidP="004A6CE2">
            <w:pPr>
              <w:jc w:val="right"/>
              <w:rPr>
                <w:rFonts w:ascii="Verdana" w:hAnsi="Verdana"/>
                <w:color w:val="000000"/>
                <w:sz w:val="20"/>
                <w:szCs w:val="20"/>
              </w:rPr>
            </w:pPr>
            <w:r w:rsidRPr="000935FE">
              <w:rPr>
                <w:rFonts w:ascii="Verdana" w:hAnsi="Verdana"/>
                <w:color w:val="000000"/>
                <w:sz w:val="20"/>
                <w:szCs w:val="20"/>
              </w:rPr>
              <w:t>47.7</w:t>
            </w:r>
          </w:p>
        </w:tc>
      </w:tr>
    </w:tbl>
    <w:p w14:paraId="517847B8" w14:textId="77777777" w:rsidR="004A6CE2" w:rsidRPr="000935FE" w:rsidRDefault="004A6CE2">
      <w:pPr>
        <w:rPr>
          <w:rFonts w:ascii="Verdana" w:hAnsi="Verdana"/>
        </w:rPr>
      </w:pPr>
    </w:p>
    <w:p w14:paraId="02D86CCE" w14:textId="26C39656" w:rsidR="004C3CE1" w:rsidRPr="000935FE" w:rsidRDefault="004A6CE2">
      <w:pPr>
        <w:rPr>
          <w:rFonts w:ascii="Verdana" w:hAnsi="Verdana"/>
        </w:rPr>
      </w:pPr>
      <w:r w:rsidRPr="000935FE">
        <w:rPr>
          <w:rFonts w:ascii="Verdana" w:hAnsi="Verdana"/>
          <w:b/>
          <w:bCs/>
        </w:rPr>
        <w:t xml:space="preserve">Proportion of young people aged 16 and under living in low income and severely </w:t>
      </w:r>
      <w:proofErr w:type="gramStart"/>
      <w:r w:rsidRPr="000935FE">
        <w:rPr>
          <w:rFonts w:ascii="Verdana" w:hAnsi="Verdana"/>
          <w:b/>
          <w:bCs/>
        </w:rPr>
        <w:t>low income</w:t>
      </w:r>
      <w:proofErr w:type="gramEnd"/>
      <w:r w:rsidRPr="000935FE">
        <w:rPr>
          <w:rFonts w:ascii="Verdana" w:hAnsi="Verdana"/>
          <w:b/>
          <w:bCs/>
        </w:rPr>
        <w:t xml:space="preserve"> households – </w:t>
      </w:r>
      <w:r w:rsidR="0066500B" w:rsidRPr="000935FE">
        <w:rPr>
          <w:rFonts w:ascii="Verdana" w:hAnsi="Verdana"/>
          <w:b/>
          <w:bCs/>
        </w:rPr>
        <w:t>United Kingdom</w:t>
      </w:r>
      <w:r w:rsidRPr="000935FE">
        <w:rPr>
          <w:rFonts w:ascii="Verdana" w:hAnsi="Verdana"/>
          <w:b/>
          <w:bCs/>
        </w:rPr>
        <w:t xml:space="preserve"> – 2018/19 </w:t>
      </w:r>
      <w:r w:rsidRPr="000935FE">
        <w:rPr>
          <w:rFonts w:ascii="Verdana" w:hAnsi="Verdana"/>
        </w:rPr>
        <w:t>– Department for Work and Pensions</w:t>
      </w:r>
    </w:p>
    <w:p w14:paraId="69155F05" w14:textId="73EB330E" w:rsidR="004A6CE2" w:rsidRPr="000935FE" w:rsidRDefault="004A6CE2">
      <w:pPr>
        <w:rPr>
          <w:rFonts w:ascii="Verdana" w:hAnsi="Verdana"/>
        </w:rPr>
      </w:pPr>
    </w:p>
    <w:p w14:paraId="2112A409" w14:textId="45CA196A" w:rsidR="004A6CE2" w:rsidRPr="000935FE" w:rsidRDefault="0066500B" w:rsidP="0066500B">
      <w:pPr>
        <w:rPr>
          <w:rFonts w:ascii="Verdana" w:hAnsi="Verdana"/>
          <w:sz w:val="22"/>
          <w:szCs w:val="22"/>
        </w:rPr>
      </w:pPr>
      <w:r w:rsidRPr="000935FE">
        <w:rPr>
          <w:rFonts w:ascii="Verdana" w:hAnsi="Verdana"/>
          <w:sz w:val="22"/>
          <w:szCs w:val="22"/>
        </w:rPr>
        <w:t>A family is in low income and material deprivation if they have a material deprivation score of 25 or more and a household income below 70 per cent of contemporary median income, before Housing Costs. A family is in severe low income and material deprivation if they have a material deprivation score of 25 or more and a household income below 50 per cent of contemporary median income, Before Housing Costs. See the HBAI Quality and Methodology Information Report for further details.</w:t>
      </w:r>
    </w:p>
    <w:p w14:paraId="753DC5A8" w14:textId="5DD4A92D" w:rsidR="0066500B" w:rsidRPr="000935FE" w:rsidRDefault="0066500B" w:rsidP="0066500B">
      <w:pPr>
        <w:rPr>
          <w:rFonts w:ascii="Verdana" w:hAnsi="Verdana"/>
          <w:sz w:val="22"/>
          <w:szCs w:val="22"/>
        </w:rPr>
      </w:pPr>
    </w:p>
    <w:p w14:paraId="426B19F6" w14:textId="5AB9EEC9" w:rsidR="0066500B" w:rsidRPr="000935FE" w:rsidRDefault="0066500B" w:rsidP="0066500B">
      <w:pPr>
        <w:rPr>
          <w:rFonts w:ascii="Verdana" w:hAnsi="Verdana"/>
          <w:sz w:val="22"/>
          <w:szCs w:val="22"/>
        </w:rPr>
      </w:pPr>
      <w:r w:rsidRPr="000935FE">
        <w:rPr>
          <w:rFonts w:ascii="Verdana" w:hAnsi="Verdana"/>
          <w:sz w:val="22"/>
          <w:szCs w:val="22"/>
        </w:rPr>
        <w:t>Statistical significance values are unavailable for these figures.</w:t>
      </w:r>
    </w:p>
    <w:p w14:paraId="2A0A8BEF" w14:textId="210A35D3" w:rsidR="0066500B" w:rsidRPr="000935FE" w:rsidRDefault="0066500B" w:rsidP="0066500B">
      <w:pPr>
        <w:rPr>
          <w:rFonts w:ascii="Verdana" w:hAnsi="Verdana"/>
          <w:sz w:val="22"/>
          <w:szCs w:val="22"/>
        </w:rPr>
      </w:pPr>
    </w:p>
    <w:p w14:paraId="1FBFAAF5" w14:textId="1B1E1131" w:rsidR="0066500B" w:rsidRPr="000935FE" w:rsidRDefault="0066500B" w:rsidP="0066500B">
      <w:pPr>
        <w:rPr>
          <w:rFonts w:ascii="Verdana" w:hAnsi="Verdana"/>
          <w:sz w:val="22"/>
          <w:szCs w:val="22"/>
        </w:rPr>
      </w:pPr>
      <w:r w:rsidRPr="000935FE">
        <w:rPr>
          <w:rFonts w:ascii="Verdana" w:hAnsi="Verdana"/>
          <w:sz w:val="22"/>
          <w:szCs w:val="22"/>
        </w:rPr>
        <w:t xml:space="preserve">The proportion of children living in low and severely </w:t>
      </w:r>
      <w:proofErr w:type="gramStart"/>
      <w:r w:rsidRPr="000935FE">
        <w:rPr>
          <w:rFonts w:ascii="Verdana" w:hAnsi="Verdana"/>
          <w:sz w:val="22"/>
          <w:szCs w:val="22"/>
        </w:rPr>
        <w:t>low income</w:t>
      </w:r>
      <w:proofErr w:type="gramEnd"/>
      <w:r w:rsidRPr="000935FE">
        <w:rPr>
          <w:rFonts w:ascii="Verdana" w:hAnsi="Verdana"/>
          <w:sz w:val="22"/>
          <w:szCs w:val="22"/>
        </w:rPr>
        <w:t xml:space="preserve"> households is lower among white ethnic groups compared to BAME groups.</w:t>
      </w:r>
    </w:p>
    <w:p w14:paraId="537094D3" w14:textId="77777777" w:rsidR="0066500B" w:rsidRPr="000935FE" w:rsidRDefault="0066500B" w:rsidP="0066500B">
      <w:pPr>
        <w:rPr>
          <w:rFonts w:ascii="Verdana" w:hAnsi="Verdana"/>
          <w:sz w:val="22"/>
          <w:szCs w:val="22"/>
        </w:rPr>
      </w:pPr>
    </w:p>
    <w:p w14:paraId="30BA8130" w14:textId="6B86392C" w:rsidR="0066500B" w:rsidRPr="000935FE" w:rsidRDefault="0066500B" w:rsidP="0066500B">
      <w:pPr>
        <w:rPr>
          <w:rFonts w:ascii="Verdana" w:hAnsi="Verdana"/>
          <w:sz w:val="22"/>
          <w:szCs w:val="22"/>
        </w:rPr>
      </w:pPr>
      <w:r w:rsidRPr="000935FE">
        <w:rPr>
          <w:rFonts w:ascii="Verdana" w:hAnsi="Verdana"/>
          <w:sz w:val="22"/>
          <w:szCs w:val="22"/>
        </w:rPr>
        <w:t xml:space="preserve">One in 10 under 16s from white ethnic groups is estimated to </w:t>
      </w:r>
      <w:proofErr w:type="gramStart"/>
      <w:r w:rsidRPr="000935FE">
        <w:rPr>
          <w:rFonts w:ascii="Verdana" w:hAnsi="Verdana"/>
          <w:sz w:val="22"/>
          <w:szCs w:val="22"/>
        </w:rPr>
        <w:t>live in low income</w:t>
      </w:r>
      <w:proofErr w:type="gramEnd"/>
      <w:r w:rsidRPr="000935FE">
        <w:rPr>
          <w:rFonts w:ascii="Verdana" w:hAnsi="Verdana"/>
          <w:sz w:val="22"/>
          <w:szCs w:val="22"/>
        </w:rPr>
        <w:t xml:space="preserve"> households, and this increases twofold to one in five under 16s from Mixed, Black and other ethnic groups. Around 15% of young people in Asian/Asian British households in thought to be living in low income households.</w:t>
      </w:r>
    </w:p>
    <w:p w14:paraId="67A9845F" w14:textId="4D3F5256" w:rsidR="004C3CE1" w:rsidRPr="000935FE" w:rsidRDefault="004C3CE1">
      <w:pPr>
        <w:rPr>
          <w:rFonts w:ascii="Verdana" w:hAnsi="Verdana"/>
          <w:b/>
          <w:bCs/>
        </w:rPr>
      </w:pPr>
    </w:p>
    <w:tbl>
      <w:tblPr>
        <w:tblW w:w="10535" w:type="dxa"/>
        <w:tblLook w:val="04A0" w:firstRow="1" w:lastRow="0" w:firstColumn="1" w:lastColumn="0" w:noHBand="0" w:noVBand="1"/>
      </w:tblPr>
      <w:tblGrid>
        <w:gridCol w:w="3940"/>
        <w:gridCol w:w="2900"/>
        <w:gridCol w:w="3695"/>
      </w:tblGrid>
      <w:tr w:rsidR="0066500B" w:rsidRPr="000935FE" w14:paraId="55ED8770" w14:textId="77777777" w:rsidTr="0066500B">
        <w:trPr>
          <w:trHeight w:val="320"/>
        </w:trPr>
        <w:tc>
          <w:tcPr>
            <w:tcW w:w="3940" w:type="dxa"/>
            <w:tcBorders>
              <w:top w:val="nil"/>
              <w:left w:val="nil"/>
              <w:bottom w:val="nil"/>
              <w:right w:val="nil"/>
            </w:tcBorders>
            <w:shd w:val="clear" w:color="auto" w:fill="auto"/>
            <w:noWrap/>
            <w:hideMark/>
          </w:tcPr>
          <w:p w14:paraId="2A9AA64B" w14:textId="5BAEC477" w:rsidR="0066500B" w:rsidRPr="000935FE" w:rsidRDefault="0066500B" w:rsidP="0066500B">
            <w:pPr>
              <w:rPr>
                <w:rFonts w:ascii="Verdana" w:hAnsi="Verdana"/>
                <w:b/>
                <w:bCs/>
                <w:color w:val="000000"/>
                <w:sz w:val="20"/>
                <w:szCs w:val="20"/>
              </w:rPr>
            </w:pPr>
            <w:r w:rsidRPr="000935FE">
              <w:rPr>
                <w:rFonts w:ascii="Verdana" w:hAnsi="Verdana"/>
                <w:b/>
                <w:bCs/>
                <w:color w:val="000000"/>
                <w:sz w:val="20"/>
                <w:szCs w:val="20"/>
              </w:rPr>
              <w:t>Ethnicity of head of household</w:t>
            </w:r>
          </w:p>
        </w:tc>
        <w:tc>
          <w:tcPr>
            <w:tcW w:w="2900" w:type="dxa"/>
            <w:tcBorders>
              <w:top w:val="nil"/>
              <w:left w:val="nil"/>
              <w:bottom w:val="nil"/>
              <w:right w:val="nil"/>
            </w:tcBorders>
            <w:shd w:val="clear" w:color="auto" w:fill="auto"/>
            <w:noWrap/>
            <w:hideMark/>
          </w:tcPr>
          <w:p w14:paraId="09EA59ED" w14:textId="2DBC1F70" w:rsidR="0066500B" w:rsidRPr="000935FE" w:rsidRDefault="0066500B" w:rsidP="0066500B">
            <w:pPr>
              <w:jc w:val="right"/>
              <w:rPr>
                <w:rFonts w:ascii="Verdana" w:hAnsi="Verdana"/>
                <w:b/>
                <w:bCs/>
                <w:color w:val="000000"/>
                <w:sz w:val="20"/>
                <w:szCs w:val="20"/>
              </w:rPr>
            </w:pPr>
            <w:r w:rsidRPr="000935FE">
              <w:rPr>
                <w:rFonts w:ascii="Verdana" w:hAnsi="Verdana"/>
                <w:b/>
                <w:bCs/>
                <w:color w:val="000000"/>
                <w:sz w:val="20"/>
                <w:szCs w:val="20"/>
              </w:rPr>
              <w:t>Percentage under 16s in low income households</w:t>
            </w:r>
          </w:p>
        </w:tc>
        <w:tc>
          <w:tcPr>
            <w:tcW w:w="3695" w:type="dxa"/>
            <w:tcBorders>
              <w:top w:val="nil"/>
              <w:left w:val="nil"/>
              <w:bottom w:val="nil"/>
              <w:right w:val="nil"/>
            </w:tcBorders>
            <w:shd w:val="clear" w:color="auto" w:fill="auto"/>
            <w:noWrap/>
            <w:hideMark/>
          </w:tcPr>
          <w:p w14:paraId="7E8881EE" w14:textId="730805CA" w:rsidR="0066500B" w:rsidRPr="000935FE" w:rsidRDefault="0066500B" w:rsidP="0066500B">
            <w:pPr>
              <w:jc w:val="right"/>
              <w:rPr>
                <w:rFonts w:ascii="Verdana" w:hAnsi="Verdana"/>
                <w:b/>
                <w:bCs/>
                <w:color w:val="000000"/>
                <w:sz w:val="20"/>
                <w:szCs w:val="20"/>
              </w:rPr>
            </w:pPr>
            <w:r w:rsidRPr="000935FE">
              <w:rPr>
                <w:rFonts w:ascii="Verdana" w:hAnsi="Verdana"/>
                <w:b/>
                <w:bCs/>
                <w:color w:val="000000"/>
                <w:sz w:val="20"/>
                <w:szCs w:val="20"/>
              </w:rPr>
              <w:t xml:space="preserve">Percentage under 16s in severely </w:t>
            </w:r>
            <w:proofErr w:type="gramStart"/>
            <w:r w:rsidRPr="000935FE">
              <w:rPr>
                <w:rFonts w:ascii="Verdana" w:hAnsi="Verdana"/>
                <w:b/>
                <w:bCs/>
                <w:color w:val="000000"/>
                <w:sz w:val="20"/>
                <w:szCs w:val="20"/>
              </w:rPr>
              <w:t>low income</w:t>
            </w:r>
            <w:proofErr w:type="gramEnd"/>
            <w:r w:rsidRPr="000935FE">
              <w:rPr>
                <w:rFonts w:ascii="Verdana" w:hAnsi="Verdana"/>
                <w:b/>
                <w:bCs/>
                <w:color w:val="000000"/>
                <w:sz w:val="20"/>
                <w:szCs w:val="20"/>
              </w:rPr>
              <w:t xml:space="preserve"> households</w:t>
            </w:r>
          </w:p>
        </w:tc>
      </w:tr>
      <w:tr w:rsidR="0066500B" w:rsidRPr="000935FE" w14:paraId="7F32F060" w14:textId="77777777" w:rsidTr="0066500B">
        <w:trPr>
          <w:trHeight w:val="320"/>
        </w:trPr>
        <w:tc>
          <w:tcPr>
            <w:tcW w:w="3940" w:type="dxa"/>
            <w:tcBorders>
              <w:top w:val="nil"/>
              <w:left w:val="nil"/>
              <w:bottom w:val="nil"/>
              <w:right w:val="nil"/>
            </w:tcBorders>
            <w:shd w:val="clear" w:color="auto" w:fill="auto"/>
            <w:noWrap/>
            <w:vAlign w:val="bottom"/>
            <w:hideMark/>
          </w:tcPr>
          <w:p w14:paraId="1471B6D2" w14:textId="77777777" w:rsidR="0066500B" w:rsidRPr="000935FE" w:rsidRDefault="0066500B" w:rsidP="0066500B">
            <w:pPr>
              <w:rPr>
                <w:rFonts w:ascii="Verdana" w:hAnsi="Verdana"/>
                <w:color w:val="000000"/>
                <w:sz w:val="20"/>
                <w:szCs w:val="20"/>
              </w:rPr>
            </w:pPr>
            <w:r w:rsidRPr="000935FE">
              <w:rPr>
                <w:rFonts w:ascii="Verdana" w:hAnsi="Verdana"/>
                <w:color w:val="000000"/>
                <w:sz w:val="20"/>
                <w:szCs w:val="20"/>
              </w:rPr>
              <w:t>White</w:t>
            </w:r>
          </w:p>
        </w:tc>
        <w:tc>
          <w:tcPr>
            <w:tcW w:w="2900" w:type="dxa"/>
            <w:tcBorders>
              <w:top w:val="nil"/>
              <w:left w:val="nil"/>
              <w:bottom w:val="nil"/>
              <w:right w:val="nil"/>
            </w:tcBorders>
            <w:shd w:val="clear" w:color="auto" w:fill="auto"/>
            <w:noWrap/>
            <w:vAlign w:val="bottom"/>
            <w:hideMark/>
          </w:tcPr>
          <w:p w14:paraId="697F55AD" w14:textId="15D318B0"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10%</w:t>
            </w:r>
          </w:p>
        </w:tc>
        <w:tc>
          <w:tcPr>
            <w:tcW w:w="3695" w:type="dxa"/>
            <w:tcBorders>
              <w:top w:val="nil"/>
              <w:left w:val="nil"/>
              <w:bottom w:val="nil"/>
              <w:right w:val="nil"/>
            </w:tcBorders>
            <w:shd w:val="clear" w:color="auto" w:fill="auto"/>
            <w:noWrap/>
            <w:vAlign w:val="bottom"/>
            <w:hideMark/>
          </w:tcPr>
          <w:p w14:paraId="5506C150" w14:textId="5B7F82CF"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4%</w:t>
            </w:r>
          </w:p>
        </w:tc>
      </w:tr>
      <w:tr w:rsidR="0066500B" w:rsidRPr="000935FE" w14:paraId="482E3ED6" w14:textId="77777777" w:rsidTr="0066500B">
        <w:trPr>
          <w:trHeight w:val="320"/>
        </w:trPr>
        <w:tc>
          <w:tcPr>
            <w:tcW w:w="3940" w:type="dxa"/>
            <w:tcBorders>
              <w:top w:val="nil"/>
              <w:left w:val="nil"/>
              <w:bottom w:val="nil"/>
              <w:right w:val="nil"/>
            </w:tcBorders>
            <w:shd w:val="clear" w:color="auto" w:fill="auto"/>
            <w:noWrap/>
            <w:vAlign w:val="bottom"/>
            <w:hideMark/>
          </w:tcPr>
          <w:p w14:paraId="603C9CAB" w14:textId="77777777" w:rsidR="0066500B" w:rsidRPr="000935FE" w:rsidRDefault="0066500B" w:rsidP="0066500B">
            <w:pPr>
              <w:rPr>
                <w:rFonts w:ascii="Verdana" w:hAnsi="Verdana"/>
                <w:color w:val="000000"/>
                <w:sz w:val="20"/>
                <w:szCs w:val="20"/>
              </w:rPr>
            </w:pPr>
            <w:r w:rsidRPr="000935FE">
              <w:rPr>
                <w:rFonts w:ascii="Verdana" w:hAnsi="Verdana"/>
                <w:color w:val="000000"/>
                <w:sz w:val="20"/>
                <w:szCs w:val="20"/>
              </w:rPr>
              <w:t>Mixed/Multiple ethnic groups</w:t>
            </w:r>
          </w:p>
        </w:tc>
        <w:tc>
          <w:tcPr>
            <w:tcW w:w="2900" w:type="dxa"/>
            <w:tcBorders>
              <w:top w:val="nil"/>
              <w:left w:val="nil"/>
              <w:bottom w:val="nil"/>
              <w:right w:val="nil"/>
            </w:tcBorders>
            <w:shd w:val="clear" w:color="auto" w:fill="auto"/>
            <w:noWrap/>
            <w:vAlign w:val="bottom"/>
            <w:hideMark/>
          </w:tcPr>
          <w:p w14:paraId="10532776" w14:textId="5E66C69E"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21%</w:t>
            </w:r>
          </w:p>
        </w:tc>
        <w:tc>
          <w:tcPr>
            <w:tcW w:w="3695" w:type="dxa"/>
            <w:tcBorders>
              <w:top w:val="nil"/>
              <w:left w:val="nil"/>
              <w:bottom w:val="nil"/>
              <w:right w:val="nil"/>
            </w:tcBorders>
            <w:shd w:val="clear" w:color="auto" w:fill="auto"/>
            <w:noWrap/>
            <w:vAlign w:val="bottom"/>
            <w:hideMark/>
          </w:tcPr>
          <w:p w14:paraId="611D9D73" w14:textId="3C3F17C4"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8%</w:t>
            </w:r>
          </w:p>
        </w:tc>
      </w:tr>
      <w:tr w:rsidR="0066500B" w:rsidRPr="000935FE" w14:paraId="3136A05C" w14:textId="77777777" w:rsidTr="0066500B">
        <w:trPr>
          <w:trHeight w:val="320"/>
        </w:trPr>
        <w:tc>
          <w:tcPr>
            <w:tcW w:w="3940" w:type="dxa"/>
            <w:tcBorders>
              <w:top w:val="nil"/>
              <w:left w:val="nil"/>
              <w:bottom w:val="nil"/>
              <w:right w:val="nil"/>
            </w:tcBorders>
            <w:shd w:val="clear" w:color="auto" w:fill="auto"/>
            <w:noWrap/>
            <w:vAlign w:val="bottom"/>
            <w:hideMark/>
          </w:tcPr>
          <w:p w14:paraId="312D6D76" w14:textId="77777777" w:rsidR="0066500B" w:rsidRPr="000935FE" w:rsidRDefault="0066500B" w:rsidP="0066500B">
            <w:pPr>
              <w:rPr>
                <w:rFonts w:ascii="Verdana" w:hAnsi="Verdana"/>
                <w:color w:val="000000"/>
                <w:sz w:val="20"/>
                <w:szCs w:val="20"/>
              </w:rPr>
            </w:pPr>
            <w:r w:rsidRPr="000935FE">
              <w:rPr>
                <w:rFonts w:ascii="Verdana" w:hAnsi="Verdana"/>
                <w:color w:val="000000"/>
                <w:sz w:val="20"/>
                <w:szCs w:val="20"/>
              </w:rPr>
              <w:t>Asian/Asian British</w:t>
            </w:r>
          </w:p>
        </w:tc>
        <w:tc>
          <w:tcPr>
            <w:tcW w:w="2900" w:type="dxa"/>
            <w:tcBorders>
              <w:top w:val="nil"/>
              <w:left w:val="nil"/>
              <w:bottom w:val="nil"/>
              <w:right w:val="nil"/>
            </w:tcBorders>
            <w:shd w:val="clear" w:color="auto" w:fill="auto"/>
            <w:noWrap/>
            <w:vAlign w:val="bottom"/>
            <w:hideMark/>
          </w:tcPr>
          <w:p w14:paraId="36CD19EA" w14:textId="27DE7B75"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15%</w:t>
            </w:r>
          </w:p>
        </w:tc>
        <w:tc>
          <w:tcPr>
            <w:tcW w:w="3695" w:type="dxa"/>
            <w:tcBorders>
              <w:top w:val="nil"/>
              <w:left w:val="nil"/>
              <w:bottom w:val="nil"/>
              <w:right w:val="nil"/>
            </w:tcBorders>
            <w:shd w:val="clear" w:color="auto" w:fill="auto"/>
            <w:noWrap/>
            <w:vAlign w:val="bottom"/>
            <w:hideMark/>
          </w:tcPr>
          <w:p w14:paraId="7567FBDF" w14:textId="4A04FBDD"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7%</w:t>
            </w:r>
          </w:p>
        </w:tc>
      </w:tr>
      <w:tr w:rsidR="0066500B" w:rsidRPr="000935FE" w14:paraId="7325A30F" w14:textId="77777777" w:rsidTr="0066500B">
        <w:trPr>
          <w:trHeight w:val="320"/>
        </w:trPr>
        <w:tc>
          <w:tcPr>
            <w:tcW w:w="3940" w:type="dxa"/>
            <w:tcBorders>
              <w:top w:val="nil"/>
              <w:left w:val="nil"/>
              <w:bottom w:val="nil"/>
              <w:right w:val="nil"/>
            </w:tcBorders>
            <w:shd w:val="clear" w:color="auto" w:fill="auto"/>
            <w:noWrap/>
            <w:vAlign w:val="bottom"/>
            <w:hideMark/>
          </w:tcPr>
          <w:p w14:paraId="17B2B720" w14:textId="77777777" w:rsidR="0066500B" w:rsidRPr="000935FE" w:rsidRDefault="0066500B" w:rsidP="0066500B">
            <w:pPr>
              <w:rPr>
                <w:rFonts w:ascii="Verdana" w:hAnsi="Verdana"/>
                <w:color w:val="000000"/>
                <w:sz w:val="20"/>
                <w:szCs w:val="20"/>
              </w:rPr>
            </w:pPr>
            <w:r w:rsidRPr="000935FE">
              <w:rPr>
                <w:rFonts w:ascii="Verdana" w:hAnsi="Verdana"/>
                <w:color w:val="000000"/>
                <w:sz w:val="20"/>
                <w:szCs w:val="20"/>
              </w:rPr>
              <w:t>Black/African/Caribbean/Black British</w:t>
            </w:r>
          </w:p>
        </w:tc>
        <w:tc>
          <w:tcPr>
            <w:tcW w:w="2900" w:type="dxa"/>
            <w:tcBorders>
              <w:top w:val="nil"/>
              <w:left w:val="nil"/>
              <w:bottom w:val="nil"/>
              <w:right w:val="nil"/>
            </w:tcBorders>
            <w:shd w:val="clear" w:color="auto" w:fill="auto"/>
            <w:noWrap/>
            <w:vAlign w:val="bottom"/>
            <w:hideMark/>
          </w:tcPr>
          <w:p w14:paraId="3E2807F7" w14:textId="1D330C1A"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21%</w:t>
            </w:r>
          </w:p>
        </w:tc>
        <w:tc>
          <w:tcPr>
            <w:tcW w:w="3695" w:type="dxa"/>
            <w:tcBorders>
              <w:top w:val="nil"/>
              <w:left w:val="nil"/>
              <w:bottom w:val="nil"/>
              <w:right w:val="nil"/>
            </w:tcBorders>
            <w:shd w:val="clear" w:color="auto" w:fill="auto"/>
            <w:noWrap/>
            <w:vAlign w:val="bottom"/>
            <w:hideMark/>
          </w:tcPr>
          <w:p w14:paraId="20C65132" w14:textId="52636420"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10%</w:t>
            </w:r>
          </w:p>
        </w:tc>
      </w:tr>
      <w:tr w:rsidR="0066500B" w:rsidRPr="000935FE" w14:paraId="40B6DB40" w14:textId="77777777" w:rsidTr="0066500B">
        <w:trPr>
          <w:trHeight w:val="320"/>
        </w:trPr>
        <w:tc>
          <w:tcPr>
            <w:tcW w:w="3940" w:type="dxa"/>
            <w:tcBorders>
              <w:top w:val="nil"/>
              <w:left w:val="nil"/>
              <w:bottom w:val="nil"/>
              <w:right w:val="nil"/>
            </w:tcBorders>
            <w:shd w:val="clear" w:color="auto" w:fill="auto"/>
            <w:noWrap/>
            <w:vAlign w:val="bottom"/>
            <w:hideMark/>
          </w:tcPr>
          <w:p w14:paraId="05ED63A0" w14:textId="77777777" w:rsidR="0066500B" w:rsidRPr="000935FE" w:rsidRDefault="0066500B" w:rsidP="0066500B">
            <w:pPr>
              <w:rPr>
                <w:rFonts w:ascii="Verdana" w:hAnsi="Verdana"/>
                <w:color w:val="000000"/>
                <w:sz w:val="20"/>
                <w:szCs w:val="20"/>
              </w:rPr>
            </w:pPr>
            <w:r w:rsidRPr="000935FE">
              <w:rPr>
                <w:rFonts w:ascii="Verdana" w:hAnsi="Verdana"/>
                <w:color w:val="000000"/>
                <w:sz w:val="20"/>
                <w:szCs w:val="20"/>
              </w:rPr>
              <w:t>Other ethnic groups</w:t>
            </w:r>
          </w:p>
        </w:tc>
        <w:tc>
          <w:tcPr>
            <w:tcW w:w="2900" w:type="dxa"/>
            <w:tcBorders>
              <w:top w:val="nil"/>
              <w:left w:val="nil"/>
              <w:bottom w:val="nil"/>
              <w:right w:val="nil"/>
            </w:tcBorders>
            <w:shd w:val="clear" w:color="auto" w:fill="auto"/>
            <w:noWrap/>
            <w:vAlign w:val="bottom"/>
            <w:hideMark/>
          </w:tcPr>
          <w:p w14:paraId="7F139743" w14:textId="4A63F7B1"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22%</w:t>
            </w:r>
          </w:p>
        </w:tc>
        <w:tc>
          <w:tcPr>
            <w:tcW w:w="3695" w:type="dxa"/>
            <w:tcBorders>
              <w:top w:val="nil"/>
              <w:left w:val="nil"/>
              <w:bottom w:val="nil"/>
              <w:right w:val="nil"/>
            </w:tcBorders>
            <w:shd w:val="clear" w:color="auto" w:fill="auto"/>
            <w:noWrap/>
            <w:vAlign w:val="bottom"/>
            <w:hideMark/>
          </w:tcPr>
          <w:p w14:paraId="2D9ED0A3" w14:textId="78222E9E" w:rsidR="0066500B" w:rsidRPr="000935FE" w:rsidRDefault="0066500B" w:rsidP="0066500B">
            <w:pPr>
              <w:jc w:val="right"/>
              <w:rPr>
                <w:rFonts w:ascii="Verdana" w:hAnsi="Verdana"/>
                <w:color w:val="000000"/>
                <w:sz w:val="20"/>
                <w:szCs w:val="20"/>
              </w:rPr>
            </w:pPr>
            <w:r w:rsidRPr="000935FE">
              <w:rPr>
                <w:rFonts w:ascii="Verdana" w:hAnsi="Verdana"/>
                <w:color w:val="000000"/>
                <w:sz w:val="20"/>
                <w:szCs w:val="20"/>
              </w:rPr>
              <w:t>7%</w:t>
            </w:r>
          </w:p>
        </w:tc>
      </w:tr>
    </w:tbl>
    <w:p w14:paraId="11469732" w14:textId="77777777" w:rsidR="0066500B" w:rsidRPr="000935FE" w:rsidRDefault="0066500B">
      <w:pPr>
        <w:rPr>
          <w:rFonts w:ascii="Verdana" w:hAnsi="Verdana"/>
          <w:b/>
          <w:bCs/>
        </w:rPr>
      </w:pPr>
    </w:p>
    <w:p w14:paraId="7605CB89" w14:textId="77777777" w:rsidR="000935FE" w:rsidRDefault="000935FE">
      <w:pPr>
        <w:rPr>
          <w:rFonts w:ascii="Verdana" w:hAnsi="Verdana"/>
          <w:b/>
          <w:bCs/>
        </w:rPr>
      </w:pPr>
    </w:p>
    <w:p w14:paraId="5354B88D" w14:textId="77777777" w:rsidR="000935FE" w:rsidRDefault="000935FE">
      <w:pPr>
        <w:rPr>
          <w:rFonts w:ascii="Verdana" w:hAnsi="Verdana"/>
          <w:b/>
          <w:bCs/>
        </w:rPr>
      </w:pPr>
    </w:p>
    <w:p w14:paraId="46F6D117" w14:textId="77777777" w:rsidR="000935FE" w:rsidRDefault="000935FE">
      <w:pPr>
        <w:rPr>
          <w:rFonts w:ascii="Verdana" w:hAnsi="Verdana"/>
          <w:b/>
          <w:bCs/>
        </w:rPr>
      </w:pPr>
    </w:p>
    <w:p w14:paraId="3C02B1F4" w14:textId="77777777" w:rsidR="000935FE" w:rsidRDefault="000935FE">
      <w:pPr>
        <w:rPr>
          <w:rFonts w:ascii="Verdana" w:hAnsi="Verdana"/>
          <w:b/>
          <w:bCs/>
        </w:rPr>
      </w:pPr>
    </w:p>
    <w:p w14:paraId="7D59272D" w14:textId="77777777" w:rsidR="000935FE" w:rsidRDefault="000935FE">
      <w:pPr>
        <w:rPr>
          <w:rFonts w:ascii="Verdana" w:hAnsi="Verdana"/>
          <w:b/>
          <w:bCs/>
        </w:rPr>
      </w:pPr>
    </w:p>
    <w:p w14:paraId="369FC8B6" w14:textId="77777777" w:rsidR="000935FE" w:rsidRDefault="000935FE">
      <w:pPr>
        <w:rPr>
          <w:rFonts w:ascii="Verdana" w:hAnsi="Verdana"/>
          <w:b/>
          <w:bCs/>
        </w:rPr>
      </w:pPr>
    </w:p>
    <w:p w14:paraId="68FF5B46" w14:textId="6040F264" w:rsidR="004303ED" w:rsidRPr="000935FE" w:rsidRDefault="004303ED">
      <w:pPr>
        <w:rPr>
          <w:rFonts w:ascii="Verdana" w:hAnsi="Verdana"/>
        </w:rPr>
      </w:pPr>
      <w:r w:rsidRPr="000935FE">
        <w:rPr>
          <w:rFonts w:ascii="Verdana" w:hAnsi="Verdana"/>
          <w:b/>
          <w:bCs/>
        </w:rPr>
        <w:lastRenderedPageBreak/>
        <w:t xml:space="preserve">NEET – England – 2018 - </w:t>
      </w:r>
      <w:r w:rsidRPr="000935FE">
        <w:rPr>
          <w:rFonts w:ascii="Verdana" w:hAnsi="Verdana" w:cs="Lucida Grande"/>
          <w:color w:val="000000"/>
          <w:sz w:val="17"/>
          <w:szCs w:val="17"/>
        </w:rPr>
        <w:t>Department for Education</w:t>
      </w:r>
    </w:p>
    <w:p w14:paraId="651C07A2" w14:textId="77777777" w:rsidR="004303ED" w:rsidRPr="000935FE" w:rsidRDefault="004303ED">
      <w:pPr>
        <w:rPr>
          <w:rFonts w:ascii="Verdana" w:hAnsi="Verdana"/>
          <w:sz w:val="22"/>
          <w:szCs w:val="22"/>
        </w:rPr>
      </w:pPr>
    </w:p>
    <w:p w14:paraId="7965105F" w14:textId="65091E75" w:rsidR="004303ED" w:rsidRPr="000935FE" w:rsidRDefault="004303ED">
      <w:pPr>
        <w:rPr>
          <w:rFonts w:ascii="Verdana" w:hAnsi="Verdana"/>
          <w:sz w:val="22"/>
          <w:szCs w:val="22"/>
        </w:rPr>
      </w:pPr>
      <w:r w:rsidRPr="000935FE">
        <w:rPr>
          <w:rFonts w:ascii="Verdana" w:hAnsi="Verdana"/>
          <w:sz w:val="22"/>
          <w:szCs w:val="22"/>
        </w:rPr>
        <w:t>With the exception of mixed ethnic groups (who have the highest proportion of 16 and 17 year olds not in education, employment, or training at 6.2%, 95% CI: 5.9-6.3%)), White ethnic groups significantly higher proportion of NEETs (5.8%, 95% CI: 5.8-5.9) compared to other BAME groups, with those in Chinese ethnic groups having the lowest proportion (2.3%, 95% CI: 1.8-2.8%)</w:t>
      </w:r>
      <w:r w:rsidR="0066500B" w:rsidRPr="000935FE">
        <w:rPr>
          <w:rFonts w:ascii="Verdana" w:hAnsi="Verdana"/>
          <w:sz w:val="22"/>
          <w:szCs w:val="22"/>
        </w:rPr>
        <w:t>.</w:t>
      </w:r>
    </w:p>
    <w:p w14:paraId="29E24F2A" w14:textId="6A03BDDF" w:rsidR="0066500B" w:rsidRPr="000935FE" w:rsidRDefault="0066500B">
      <w:pPr>
        <w:rPr>
          <w:rFonts w:ascii="Verdana" w:hAnsi="Verdana"/>
        </w:rPr>
      </w:pPr>
    </w:p>
    <w:p w14:paraId="2C97F605" w14:textId="1B5FB68E" w:rsidR="0066500B" w:rsidRPr="000935FE" w:rsidRDefault="0066500B">
      <w:pPr>
        <w:rPr>
          <w:rFonts w:ascii="Verdana" w:hAnsi="Verdana"/>
        </w:rPr>
      </w:pPr>
      <w:r w:rsidRPr="000935FE">
        <w:rPr>
          <w:rFonts w:ascii="Verdana" w:hAnsi="Verdana"/>
          <w:b/>
          <w:bCs/>
        </w:rPr>
        <w:t>Proportion of people aged 16 and over receiving treatment for mental or emotion</w:t>
      </w:r>
      <w:r w:rsidR="00DB3D89" w:rsidRPr="000935FE">
        <w:rPr>
          <w:rFonts w:ascii="Verdana" w:hAnsi="Verdana"/>
          <w:b/>
          <w:bCs/>
        </w:rPr>
        <w:t>al</w:t>
      </w:r>
      <w:r w:rsidRPr="000935FE">
        <w:rPr>
          <w:rFonts w:ascii="Verdana" w:hAnsi="Verdana"/>
          <w:b/>
          <w:bCs/>
        </w:rPr>
        <w:t xml:space="preserve"> problems – England </w:t>
      </w:r>
      <w:r w:rsidR="00DB3D89" w:rsidRPr="000935FE">
        <w:rPr>
          <w:rFonts w:ascii="Verdana" w:hAnsi="Verdana"/>
          <w:b/>
          <w:bCs/>
        </w:rPr>
        <w:t>–</w:t>
      </w:r>
      <w:r w:rsidRPr="000935FE">
        <w:rPr>
          <w:rFonts w:ascii="Verdana" w:hAnsi="Verdana"/>
          <w:b/>
          <w:bCs/>
        </w:rPr>
        <w:t xml:space="preserve"> </w:t>
      </w:r>
      <w:r w:rsidR="00DB3D89" w:rsidRPr="000935FE">
        <w:rPr>
          <w:rFonts w:ascii="Verdana" w:hAnsi="Verdana"/>
          <w:b/>
          <w:bCs/>
        </w:rPr>
        <w:t>2014</w:t>
      </w:r>
      <w:r w:rsidR="00DB3D89" w:rsidRPr="000935FE">
        <w:rPr>
          <w:rFonts w:ascii="Verdana" w:hAnsi="Verdana"/>
        </w:rPr>
        <w:t xml:space="preserve"> – Adult Psychiatric Morbidity Survey.</w:t>
      </w:r>
    </w:p>
    <w:p w14:paraId="49CF5D1B" w14:textId="02BB65DB" w:rsidR="004303ED" w:rsidRPr="000935FE" w:rsidRDefault="004303ED">
      <w:pPr>
        <w:rPr>
          <w:rFonts w:ascii="Verdana" w:hAnsi="Verdana"/>
        </w:rPr>
      </w:pPr>
    </w:p>
    <w:p w14:paraId="5A9F8D4D" w14:textId="35FCA38E" w:rsidR="00DB3D89" w:rsidRPr="000935FE" w:rsidRDefault="00DB3D89">
      <w:pPr>
        <w:rPr>
          <w:rFonts w:ascii="Verdana" w:hAnsi="Verdana"/>
          <w:sz w:val="22"/>
          <w:szCs w:val="22"/>
        </w:rPr>
      </w:pPr>
      <w:r w:rsidRPr="000935FE">
        <w:rPr>
          <w:rFonts w:ascii="Verdana" w:hAnsi="Verdana"/>
          <w:sz w:val="22"/>
          <w:szCs w:val="22"/>
        </w:rPr>
        <w:t>Around 14% of White British adults aged 16 and over receive some form of treatment for mental health compared to around 7% for other ethnic minority groups. The proportion of over 16s receiving medication for mental health or emotional problems is also higher among White British ethnic groups (13%) compared to other groups (4.6% among Asian ethnic groups and 6.5% among Black groups).</w:t>
      </w:r>
    </w:p>
    <w:p w14:paraId="2182B3A8" w14:textId="77777777" w:rsidR="00DB3D89" w:rsidRPr="000935FE" w:rsidRDefault="00DB3D89">
      <w:pPr>
        <w:rPr>
          <w:rFonts w:ascii="Verdana" w:hAnsi="Verdana"/>
          <w:sz w:val="22"/>
          <w:szCs w:val="22"/>
        </w:rPr>
      </w:pPr>
    </w:p>
    <w:p w14:paraId="63AB465A" w14:textId="4DE7ECD5" w:rsidR="004303ED" w:rsidRPr="000935FE" w:rsidRDefault="004303ED">
      <w:pPr>
        <w:rPr>
          <w:rFonts w:ascii="Verdana" w:hAnsi="Verdana"/>
        </w:rPr>
      </w:pPr>
      <w:r w:rsidRPr="000935FE">
        <w:rPr>
          <w:rFonts w:ascii="Verdana" w:hAnsi="Verdana"/>
          <w:b/>
          <w:bCs/>
        </w:rPr>
        <w:t>Smoking prevalence adults – England – 2018</w:t>
      </w:r>
      <w:r w:rsidRPr="000935FE">
        <w:rPr>
          <w:rFonts w:ascii="Verdana" w:hAnsi="Verdana"/>
        </w:rPr>
        <w:t xml:space="preserve"> – Annual Population Survey</w:t>
      </w:r>
    </w:p>
    <w:p w14:paraId="55758DA8" w14:textId="77777777" w:rsidR="004303ED" w:rsidRPr="000935FE" w:rsidRDefault="004303ED">
      <w:pPr>
        <w:rPr>
          <w:rFonts w:ascii="Verdana" w:hAnsi="Verdana"/>
          <w:sz w:val="22"/>
          <w:szCs w:val="22"/>
        </w:rPr>
      </w:pPr>
    </w:p>
    <w:p w14:paraId="45D88ED9" w14:textId="34B56726" w:rsidR="004303ED" w:rsidRPr="000935FE" w:rsidRDefault="004303ED">
      <w:pPr>
        <w:rPr>
          <w:rFonts w:ascii="Verdana" w:hAnsi="Verdana"/>
          <w:sz w:val="22"/>
          <w:szCs w:val="22"/>
        </w:rPr>
      </w:pPr>
      <w:r w:rsidRPr="000935FE">
        <w:rPr>
          <w:rFonts w:ascii="Verdana" w:hAnsi="Verdana"/>
          <w:sz w:val="22"/>
          <w:szCs w:val="22"/>
        </w:rPr>
        <w:t>One in five people in mixed ethnicity groups report being current smokers compared with one in 13 in Chinese ethnicity groups. Mixed ethnicity groups have significantly higher proportion of adults who self-report as current smokers (20.4%, 17.8-22.9%) compared to those in 'other ethnicity' groups (15.5%, 13.6-17.3%) and White groups (15%, 14.7-15.2%). Chinese, Asian, and Black ethnicity groups all have current smoking prevalence rates significantly lower than White ethnicity groups.</w:t>
      </w:r>
    </w:p>
    <w:p w14:paraId="2E42E676" w14:textId="5790058C" w:rsidR="00E22D33" w:rsidRPr="000935FE" w:rsidRDefault="00E22D33">
      <w:pPr>
        <w:rPr>
          <w:rFonts w:ascii="Verdana" w:hAnsi="Verdana"/>
        </w:rPr>
      </w:pPr>
    </w:p>
    <w:p w14:paraId="44691851" w14:textId="370B8465" w:rsidR="004303ED" w:rsidRPr="000935FE" w:rsidRDefault="00E22D33">
      <w:pPr>
        <w:rPr>
          <w:rFonts w:ascii="Verdana" w:hAnsi="Verdana"/>
        </w:rPr>
      </w:pPr>
      <w:r w:rsidRPr="000935FE">
        <w:rPr>
          <w:rFonts w:ascii="Verdana" w:hAnsi="Verdana"/>
          <w:b/>
          <w:bCs/>
        </w:rPr>
        <w:t>Proportion of adults who experience a common mental disorder in the past week – England – 2014 –</w:t>
      </w:r>
      <w:r w:rsidRPr="000935FE">
        <w:rPr>
          <w:rFonts w:ascii="Verdana" w:hAnsi="Verdana"/>
        </w:rPr>
        <w:t xml:space="preserve"> Adult Psychiatric Morbidity Survey</w:t>
      </w:r>
    </w:p>
    <w:p w14:paraId="4FE2DC99" w14:textId="6452D852" w:rsidR="00E22D33" w:rsidRPr="000935FE" w:rsidRDefault="00E22D33">
      <w:pPr>
        <w:rPr>
          <w:rFonts w:ascii="Verdana" w:hAnsi="Verdana"/>
        </w:rPr>
      </w:pPr>
    </w:p>
    <w:p w14:paraId="59419D93" w14:textId="5A2B508A" w:rsidR="00E22D33" w:rsidRPr="000935FE" w:rsidRDefault="007D6D77">
      <w:pPr>
        <w:rPr>
          <w:rFonts w:ascii="Verdana" w:hAnsi="Verdana"/>
          <w:sz w:val="22"/>
          <w:szCs w:val="22"/>
        </w:rPr>
      </w:pPr>
      <w:r w:rsidRPr="000935FE">
        <w:rPr>
          <w:rFonts w:ascii="Verdana" w:hAnsi="Verdana"/>
          <w:sz w:val="22"/>
          <w:szCs w:val="22"/>
        </w:rPr>
        <w:t>One in six White British adults reported experiencing a common mental health disorder (17.3%) whilst one in five mixed ethnicity and black ethnicity adults reported mental health disorders (19.5% and 22.5% respectively). The gap is even larger for females (20.9</w:t>
      </w:r>
      <w:proofErr w:type="gramStart"/>
      <w:r w:rsidRPr="000935FE">
        <w:rPr>
          <w:rFonts w:ascii="Verdana" w:hAnsi="Verdana"/>
          <w:sz w:val="22"/>
          <w:szCs w:val="22"/>
        </w:rPr>
        <w:t>%  among</w:t>
      </w:r>
      <w:proofErr w:type="gramEnd"/>
      <w:r w:rsidRPr="000935FE">
        <w:rPr>
          <w:rFonts w:ascii="Verdana" w:hAnsi="Verdana"/>
          <w:sz w:val="22"/>
          <w:szCs w:val="22"/>
        </w:rPr>
        <w:t xml:space="preserve"> White females compared to 29.3% among black females).</w:t>
      </w:r>
    </w:p>
    <w:p w14:paraId="4ABDA8E8" w14:textId="69059FE6" w:rsidR="007D6D77" w:rsidRPr="000935FE" w:rsidRDefault="007D6D77">
      <w:pPr>
        <w:rPr>
          <w:rFonts w:ascii="Verdana" w:hAnsi="Verdana"/>
          <w:sz w:val="22"/>
          <w:szCs w:val="22"/>
        </w:rPr>
      </w:pPr>
    </w:p>
    <w:p w14:paraId="17D42FAC" w14:textId="57D40FB2" w:rsidR="007D6D77" w:rsidRPr="000935FE" w:rsidRDefault="007D6D77">
      <w:pPr>
        <w:rPr>
          <w:rFonts w:ascii="Verdana" w:hAnsi="Verdana"/>
        </w:rPr>
      </w:pPr>
      <w:r w:rsidRPr="008A470D">
        <w:rPr>
          <w:rFonts w:ascii="Verdana" w:hAnsi="Verdana"/>
          <w:b/>
          <w:bCs/>
          <w:color w:val="000000" w:themeColor="text1"/>
        </w:rPr>
        <w:t>Overcrowding</w:t>
      </w:r>
      <w:r w:rsidR="008A470D" w:rsidRPr="008A470D">
        <w:rPr>
          <w:rFonts w:ascii="Verdana" w:hAnsi="Verdana"/>
          <w:b/>
          <w:bCs/>
          <w:color w:val="000000" w:themeColor="text1"/>
        </w:rPr>
        <w:t xml:space="preserve"> in households by ethnicity – England – 2014/15-2016/17 – </w:t>
      </w:r>
      <w:r w:rsidR="008A470D">
        <w:rPr>
          <w:rFonts w:ascii="Verdana" w:hAnsi="Verdana"/>
          <w:color w:val="000000" w:themeColor="text1"/>
        </w:rPr>
        <w:t>English Housing Survey</w:t>
      </w:r>
    </w:p>
    <w:p w14:paraId="22E5C8BE" w14:textId="7D6B015B" w:rsidR="00E22D33" w:rsidRDefault="00E22D33">
      <w:pPr>
        <w:rPr>
          <w:rFonts w:ascii="Verdana" w:hAnsi="Verdana"/>
        </w:rPr>
      </w:pPr>
    </w:p>
    <w:p w14:paraId="0D1FF540" w14:textId="46FB5745" w:rsidR="008A470D" w:rsidRDefault="008A470D">
      <w:pPr>
        <w:rPr>
          <w:rFonts w:ascii="Verdana" w:hAnsi="Verdana"/>
        </w:rPr>
      </w:pPr>
      <w:r>
        <w:rPr>
          <w:rFonts w:ascii="Verdana" w:hAnsi="Verdana"/>
        </w:rPr>
        <w:t>Just 2% of White British households estimated to be overcrowded compared to 15% of Black African households and almost one third (30%) of Bangladeshi households reported to be overcrowded.</w:t>
      </w:r>
    </w:p>
    <w:p w14:paraId="72B46A8D" w14:textId="77777777" w:rsidR="008A470D" w:rsidRPr="000935FE" w:rsidRDefault="008A470D">
      <w:pPr>
        <w:rPr>
          <w:rFonts w:ascii="Verdana" w:hAnsi="Verdana"/>
        </w:rPr>
      </w:pPr>
    </w:p>
    <w:p w14:paraId="072E53FB" w14:textId="6EB66721" w:rsidR="007D6D77" w:rsidRPr="000935FE" w:rsidRDefault="008A470D">
      <w:pPr>
        <w:rPr>
          <w:rFonts w:ascii="Verdana" w:hAnsi="Verdana"/>
        </w:rPr>
      </w:pPr>
      <w:r w:rsidRPr="008A470D">
        <w:rPr>
          <w:rFonts w:ascii="Verdana" w:hAnsi="Verdana"/>
          <w:b/>
          <w:bCs/>
          <w:color w:val="FF0000"/>
        </w:rPr>
        <w:t>Not on walkthrough</w:t>
      </w:r>
      <w:r>
        <w:rPr>
          <w:rFonts w:ascii="Verdana" w:hAnsi="Verdana"/>
          <w:b/>
          <w:bCs/>
        </w:rPr>
        <w:t xml:space="preserve"> </w:t>
      </w:r>
      <w:r w:rsidR="007D6D77" w:rsidRPr="000935FE">
        <w:rPr>
          <w:rFonts w:ascii="Verdana" w:hAnsi="Verdana"/>
          <w:b/>
          <w:bCs/>
        </w:rPr>
        <w:t>Homeless households – England – 2017/18</w:t>
      </w:r>
      <w:r w:rsidR="007D6D77" w:rsidRPr="000935FE">
        <w:rPr>
          <w:rFonts w:ascii="Verdana" w:hAnsi="Verdana"/>
        </w:rPr>
        <w:t xml:space="preserve"> – Ministry of Housing, Communities &amp; Local Government</w:t>
      </w:r>
    </w:p>
    <w:p w14:paraId="17C256DF" w14:textId="158B6854" w:rsidR="007D6D77" w:rsidRPr="000935FE" w:rsidRDefault="007D6D77">
      <w:pPr>
        <w:rPr>
          <w:rFonts w:ascii="Verdana" w:hAnsi="Verdana"/>
        </w:rPr>
      </w:pPr>
    </w:p>
    <w:p w14:paraId="366991C9" w14:textId="669F5672" w:rsidR="007D6D77" w:rsidRDefault="007D6D77">
      <w:pPr>
        <w:rPr>
          <w:rFonts w:ascii="Verdana" w:hAnsi="Verdana"/>
          <w:sz w:val="22"/>
          <w:szCs w:val="22"/>
        </w:rPr>
      </w:pPr>
      <w:r w:rsidRPr="000935FE">
        <w:rPr>
          <w:rFonts w:ascii="Verdana" w:hAnsi="Verdana"/>
          <w:sz w:val="22"/>
          <w:szCs w:val="22"/>
        </w:rPr>
        <w:t xml:space="preserve">The picture is different in London compared to the rest of England. Outside of London, White ethnic groups make up three out of four homeless households with those in Asian ethnic backgrounds representing 7% of homeless households and Black groups representing 8%. In London, less than a third of homeless households are from White ethnic groups, with </w:t>
      </w:r>
      <w:r w:rsidR="009C41F0" w:rsidRPr="000935FE">
        <w:rPr>
          <w:rFonts w:ascii="Verdana" w:hAnsi="Verdana"/>
          <w:sz w:val="22"/>
          <w:szCs w:val="22"/>
        </w:rPr>
        <w:t>around the same proportion coming from Black ethnic groups.</w:t>
      </w:r>
    </w:p>
    <w:p w14:paraId="09C43E31" w14:textId="48928B0F" w:rsidR="008A470D" w:rsidRDefault="008A470D">
      <w:pPr>
        <w:rPr>
          <w:rFonts w:ascii="Verdana" w:hAnsi="Verdana"/>
          <w:sz w:val="22"/>
          <w:szCs w:val="22"/>
        </w:rPr>
      </w:pPr>
    </w:p>
    <w:p w14:paraId="6D1A8C8B" w14:textId="77777777" w:rsidR="008A470D" w:rsidRDefault="008A470D">
      <w:pPr>
        <w:rPr>
          <w:rFonts w:ascii="Verdana" w:hAnsi="Verdana"/>
          <w:b/>
          <w:bCs/>
          <w:sz w:val="22"/>
          <w:szCs w:val="22"/>
        </w:rPr>
      </w:pPr>
    </w:p>
    <w:p w14:paraId="3179E7A8" w14:textId="77777777" w:rsidR="008A470D" w:rsidRDefault="008A470D">
      <w:pPr>
        <w:rPr>
          <w:rFonts w:ascii="Verdana" w:hAnsi="Verdana"/>
          <w:b/>
          <w:bCs/>
          <w:sz w:val="22"/>
          <w:szCs w:val="22"/>
        </w:rPr>
      </w:pPr>
    </w:p>
    <w:p w14:paraId="4D4C3362" w14:textId="77777777" w:rsidR="008A470D" w:rsidRDefault="008A470D">
      <w:pPr>
        <w:rPr>
          <w:rFonts w:ascii="Verdana" w:hAnsi="Verdana"/>
          <w:b/>
          <w:bCs/>
          <w:sz w:val="22"/>
          <w:szCs w:val="22"/>
        </w:rPr>
      </w:pPr>
    </w:p>
    <w:p w14:paraId="0A31ADC0" w14:textId="77777777" w:rsidR="008A470D" w:rsidRDefault="008A470D">
      <w:pPr>
        <w:rPr>
          <w:rFonts w:ascii="Verdana" w:hAnsi="Verdana"/>
          <w:b/>
          <w:bCs/>
          <w:sz w:val="22"/>
          <w:szCs w:val="22"/>
        </w:rPr>
      </w:pPr>
    </w:p>
    <w:p w14:paraId="64D2EA57" w14:textId="77777777" w:rsidR="008A470D" w:rsidRDefault="008A470D">
      <w:pPr>
        <w:rPr>
          <w:rFonts w:ascii="Verdana" w:hAnsi="Verdana"/>
          <w:b/>
          <w:bCs/>
          <w:sz w:val="22"/>
          <w:szCs w:val="22"/>
        </w:rPr>
      </w:pPr>
    </w:p>
    <w:p w14:paraId="38ED8D33" w14:textId="5F0076EB" w:rsidR="008A470D" w:rsidRDefault="008A470D">
      <w:pPr>
        <w:rPr>
          <w:rFonts w:ascii="Verdana" w:hAnsi="Verdana"/>
          <w:sz w:val="22"/>
          <w:szCs w:val="22"/>
        </w:rPr>
      </w:pPr>
      <w:r w:rsidRPr="008A470D">
        <w:rPr>
          <w:rFonts w:ascii="Verdana" w:hAnsi="Verdana"/>
          <w:b/>
          <w:bCs/>
          <w:sz w:val="22"/>
          <w:szCs w:val="22"/>
        </w:rPr>
        <w:lastRenderedPageBreak/>
        <w:t>Overweight Adults – England – 2018/19</w:t>
      </w:r>
      <w:r>
        <w:rPr>
          <w:rFonts w:ascii="Verdana" w:hAnsi="Verdana"/>
          <w:sz w:val="22"/>
          <w:szCs w:val="22"/>
        </w:rPr>
        <w:t xml:space="preserve"> – Active Lives Adult Survey</w:t>
      </w:r>
    </w:p>
    <w:p w14:paraId="2FDEEFF6" w14:textId="16A87B00" w:rsidR="00FD76C1" w:rsidRDefault="00FD76C1">
      <w:pPr>
        <w:rPr>
          <w:rFonts w:ascii="Verdana" w:hAnsi="Verdana"/>
          <w:sz w:val="22"/>
          <w:szCs w:val="22"/>
        </w:rPr>
      </w:pPr>
    </w:p>
    <w:p w14:paraId="58835F2D" w14:textId="04245328" w:rsidR="00FD76C1" w:rsidRPr="000935FE" w:rsidRDefault="00FD76C1">
      <w:pPr>
        <w:rPr>
          <w:rFonts w:ascii="Verdana" w:hAnsi="Verdana"/>
          <w:sz w:val="22"/>
          <w:szCs w:val="22"/>
        </w:rPr>
      </w:pPr>
      <w:r>
        <w:rPr>
          <w:rFonts w:ascii="Verdana" w:hAnsi="Verdana"/>
          <w:sz w:val="22"/>
          <w:szCs w:val="22"/>
        </w:rPr>
        <w:t>White British adults have significantly higher prevalence of being overweight or obese compared to Asian, Chinese, and Mixed ethnic groups. Black ethnic groups had the highest prevalence at 74% and this is significantly higher than all other groups.</w:t>
      </w:r>
    </w:p>
    <w:p w14:paraId="6025BA0F" w14:textId="155F8E35" w:rsidR="00DD03AE" w:rsidRDefault="00DD03AE">
      <w:pPr>
        <w:rPr>
          <w:rFonts w:ascii="Verdana" w:hAnsi="Verdana"/>
        </w:rPr>
      </w:pPr>
    </w:p>
    <w:tbl>
      <w:tblPr>
        <w:tblW w:w="5982" w:type="dxa"/>
        <w:tblLook w:val="04A0" w:firstRow="1" w:lastRow="0" w:firstColumn="1" w:lastColumn="0" w:noHBand="0" w:noVBand="1"/>
      </w:tblPr>
      <w:tblGrid>
        <w:gridCol w:w="1610"/>
        <w:gridCol w:w="4372"/>
      </w:tblGrid>
      <w:tr w:rsidR="008A470D" w14:paraId="60FF1761" w14:textId="77777777" w:rsidTr="00FD76C1">
        <w:trPr>
          <w:trHeight w:val="866"/>
        </w:trPr>
        <w:tc>
          <w:tcPr>
            <w:tcW w:w="1610" w:type="dxa"/>
            <w:tcBorders>
              <w:top w:val="nil"/>
              <w:left w:val="nil"/>
              <w:bottom w:val="nil"/>
              <w:right w:val="nil"/>
            </w:tcBorders>
            <w:shd w:val="clear" w:color="auto" w:fill="auto"/>
            <w:noWrap/>
            <w:hideMark/>
          </w:tcPr>
          <w:p w14:paraId="399CD3B7" w14:textId="77777777" w:rsidR="008A470D" w:rsidRDefault="008A470D">
            <w:pPr>
              <w:rPr>
                <w:rFonts w:ascii="Calibri" w:hAnsi="Calibri"/>
                <w:b/>
                <w:bCs/>
                <w:color w:val="000000"/>
              </w:rPr>
            </w:pPr>
            <w:r>
              <w:rPr>
                <w:rFonts w:ascii="Calibri" w:hAnsi="Calibri"/>
                <w:b/>
                <w:bCs/>
                <w:color w:val="000000"/>
              </w:rPr>
              <w:t>Ethnicity</w:t>
            </w:r>
          </w:p>
        </w:tc>
        <w:tc>
          <w:tcPr>
            <w:tcW w:w="4372" w:type="dxa"/>
            <w:tcBorders>
              <w:top w:val="nil"/>
              <w:left w:val="nil"/>
              <w:bottom w:val="nil"/>
              <w:right w:val="nil"/>
            </w:tcBorders>
            <w:shd w:val="clear" w:color="auto" w:fill="auto"/>
            <w:hideMark/>
          </w:tcPr>
          <w:p w14:paraId="5072D917" w14:textId="77777777" w:rsidR="008A470D" w:rsidRDefault="008A470D" w:rsidP="00FD76C1">
            <w:pPr>
              <w:jc w:val="right"/>
              <w:rPr>
                <w:rFonts w:ascii="Calibri" w:hAnsi="Calibri"/>
                <w:b/>
                <w:bCs/>
                <w:color w:val="000000"/>
              </w:rPr>
            </w:pPr>
            <w:r>
              <w:rPr>
                <w:rFonts w:ascii="Calibri" w:hAnsi="Calibri"/>
                <w:b/>
                <w:bCs/>
                <w:color w:val="000000"/>
              </w:rPr>
              <w:t>Proportion of adults classified as overweight or obese (95% confidence limits in brackets)</w:t>
            </w:r>
          </w:p>
        </w:tc>
      </w:tr>
      <w:tr w:rsidR="008A470D" w14:paraId="1140E704" w14:textId="77777777" w:rsidTr="00FD76C1">
        <w:trPr>
          <w:trHeight w:val="320"/>
        </w:trPr>
        <w:tc>
          <w:tcPr>
            <w:tcW w:w="1610" w:type="dxa"/>
            <w:tcBorders>
              <w:top w:val="nil"/>
              <w:left w:val="nil"/>
              <w:bottom w:val="nil"/>
              <w:right w:val="nil"/>
            </w:tcBorders>
            <w:shd w:val="clear" w:color="auto" w:fill="auto"/>
            <w:noWrap/>
            <w:vAlign w:val="bottom"/>
            <w:hideMark/>
          </w:tcPr>
          <w:p w14:paraId="3530BDC7" w14:textId="77777777" w:rsidR="008A470D" w:rsidRDefault="008A470D">
            <w:pPr>
              <w:rPr>
                <w:rFonts w:ascii="Calibri" w:hAnsi="Calibri"/>
                <w:color w:val="000000"/>
              </w:rPr>
            </w:pPr>
            <w:r>
              <w:rPr>
                <w:rFonts w:ascii="Calibri" w:hAnsi="Calibri"/>
                <w:color w:val="000000"/>
              </w:rPr>
              <w:t>White British</w:t>
            </w:r>
          </w:p>
        </w:tc>
        <w:tc>
          <w:tcPr>
            <w:tcW w:w="4372" w:type="dxa"/>
            <w:tcBorders>
              <w:top w:val="nil"/>
              <w:left w:val="nil"/>
              <w:bottom w:val="nil"/>
              <w:right w:val="nil"/>
            </w:tcBorders>
            <w:shd w:val="clear" w:color="auto" w:fill="auto"/>
            <w:noWrap/>
            <w:vAlign w:val="bottom"/>
            <w:hideMark/>
          </w:tcPr>
          <w:p w14:paraId="29ED5775" w14:textId="77777777" w:rsidR="008A470D" w:rsidRDefault="008A470D">
            <w:pPr>
              <w:jc w:val="right"/>
              <w:rPr>
                <w:rFonts w:ascii="Calibri" w:hAnsi="Calibri"/>
                <w:color w:val="000000"/>
              </w:rPr>
            </w:pPr>
            <w:r>
              <w:rPr>
                <w:rFonts w:ascii="Calibri" w:hAnsi="Calibri"/>
                <w:color w:val="000000"/>
              </w:rPr>
              <w:t>63.3% (95% CI: 63-63.6)</w:t>
            </w:r>
          </w:p>
        </w:tc>
      </w:tr>
      <w:tr w:rsidR="008A470D" w14:paraId="0B1191E7" w14:textId="77777777" w:rsidTr="00FD76C1">
        <w:trPr>
          <w:trHeight w:val="320"/>
        </w:trPr>
        <w:tc>
          <w:tcPr>
            <w:tcW w:w="1610" w:type="dxa"/>
            <w:tcBorders>
              <w:top w:val="nil"/>
              <w:left w:val="nil"/>
              <w:bottom w:val="nil"/>
              <w:right w:val="nil"/>
            </w:tcBorders>
            <w:shd w:val="clear" w:color="auto" w:fill="auto"/>
            <w:noWrap/>
            <w:vAlign w:val="bottom"/>
            <w:hideMark/>
          </w:tcPr>
          <w:p w14:paraId="01EB512F" w14:textId="77777777" w:rsidR="008A470D" w:rsidRDefault="008A470D">
            <w:pPr>
              <w:rPr>
                <w:rFonts w:ascii="Calibri" w:hAnsi="Calibri"/>
                <w:color w:val="000000"/>
              </w:rPr>
            </w:pPr>
            <w:r>
              <w:rPr>
                <w:rFonts w:ascii="Calibri" w:hAnsi="Calibri"/>
                <w:color w:val="000000"/>
              </w:rPr>
              <w:t>White Other</w:t>
            </w:r>
          </w:p>
        </w:tc>
        <w:tc>
          <w:tcPr>
            <w:tcW w:w="4372" w:type="dxa"/>
            <w:tcBorders>
              <w:top w:val="nil"/>
              <w:left w:val="nil"/>
              <w:bottom w:val="nil"/>
              <w:right w:val="nil"/>
            </w:tcBorders>
            <w:shd w:val="clear" w:color="auto" w:fill="auto"/>
            <w:noWrap/>
            <w:vAlign w:val="bottom"/>
            <w:hideMark/>
          </w:tcPr>
          <w:p w14:paraId="3B962B8D" w14:textId="77777777" w:rsidR="008A470D" w:rsidRDefault="008A470D">
            <w:pPr>
              <w:jc w:val="right"/>
              <w:rPr>
                <w:rFonts w:ascii="Calibri" w:hAnsi="Calibri"/>
                <w:color w:val="000000"/>
              </w:rPr>
            </w:pPr>
            <w:r>
              <w:rPr>
                <w:rFonts w:ascii="Calibri" w:hAnsi="Calibri"/>
                <w:color w:val="000000"/>
              </w:rPr>
              <w:t>58.1% (95% CI: 57-59.2)</w:t>
            </w:r>
          </w:p>
        </w:tc>
      </w:tr>
      <w:tr w:rsidR="008A470D" w14:paraId="6004943E" w14:textId="77777777" w:rsidTr="00FD76C1">
        <w:trPr>
          <w:trHeight w:val="320"/>
        </w:trPr>
        <w:tc>
          <w:tcPr>
            <w:tcW w:w="1610" w:type="dxa"/>
            <w:tcBorders>
              <w:top w:val="nil"/>
              <w:left w:val="nil"/>
              <w:bottom w:val="nil"/>
              <w:right w:val="nil"/>
            </w:tcBorders>
            <w:shd w:val="clear" w:color="auto" w:fill="auto"/>
            <w:noWrap/>
            <w:vAlign w:val="bottom"/>
            <w:hideMark/>
          </w:tcPr>
          <w:p w14:paraId="3C16EE96" w14:textId="77777777" w:rsidR="008A470D" w:rsidRDefault="008A470D">
            <w:pPr>
              <w:rPr>
                <w:rFonts w:ascii="Calibri" w:hAnsi="Calibri"/>
                <w:color w:val="000000"/>
              </w:rPr>
            </w:pPr>
            <w:r>
              <w:rPr>
                <w:rFonts w:ascii="Calibri" w:hAnsi="Calibri"/>
                <w:color w:val="000000"/>
              </w:rPr>
              <w:t>Asian</w:t>
            </w:r>
          </w:p>
        </w:tc>
        <w:tc>
          <w:tcPr>
            <w:tcW w:w="4372" w:type="dxa"/>
            <w:tcBorders>
              <w:top w:val="nil"/>
              <w:left w:val="nil"/>
              <w:bottom w:val="nil"/>
              <w:right w:val="nil"/>
            </w:tcBorders>
            <w:shd w:val="clear" w:color="auto" w:fill="auto"/>
            <w:noWrap/>
            <w:vAlign w:val="bottom"/>
            <w:hideMark/>
          </w:tcPr>
          <w:p w14:paraId="56CBB5A6" w14:textId="77777777" w:rsidR="008A470D" w:rsidRDefault="008A470D">
            <w:pPr>
              <w:jc w:val="right"/>
              <w:rPr>
                <w:rFonts w:ascii="Calibri" w:hAnsi="Calibri"/>
                <w:color w:val="000000"/>
              </w:rPr>
            </w:pPr>
            <w:r>
              <w:rPr>
                <w:rFonts w:ascii="Calibri" w:hAnsi="Calibri"/>
                <w:color w:val="000000"/>
              </w:rPr>
              <w:t>56.2% (95% CI: 54.9-57.5)</w:t>
            </w:r>
          </w:p>
        </w:tc>
      </w:tr>
      <w:tr w:rsidR="008A470D" w14:paraId="42D47F40" w14:textId="77777777" w:rsidTr="00FD76C1">
        <w:trPr>
          <w:trHeight w:val="320"/>
        </w:trPr>
        <w:tc>
          <w:tcPr>
            <w:tcW w:w="1610" w:type="dxa"/>
            <w:tcBorders>
              <w:top w:val="nil"/>
              <w:left w:val="nil"/>
              <w:bottom w:val="nil"/>
              <w:right w:val="nil"/>
            </w:tcBorders>
            <w:shd w:val="clear" w:color="auto" w:fill="auto"/>
            <w:noWrap/>
            <w:vAlign w:val="bottom"/>
            <w:hideMark/>
          </w:tcPr>
          <w:p w14:paraId="2AB800CA" w14:textId="77777777" w:rsidR="008A470D" w:rsidRDefault="008A470D">
            <w:pPr>
              <w:rPr>
                <w:rFonts w:ascii="Calibri" w:hAnsi="Calibri"/>
                <w:color w:val="000000"/>
              </w:rPr>
            </w:pPr>
            <w:r>
              <w:rPr>
                <w:rFonts w:ascii="Calibri" w:hAnsi="Calibri"/>
                <w:color w:val="000000"/>
              </w:rPr>
              <w:t>Black</w:t>
            </w:r>
          </w:p>
        </w:tc>
        <w:tc>
          <w:tcPr>
            <w:tcW w:w="4372" w:type="dxa"/>
            <w:tcBorders>
              <w:top w:val="nil"/>
              <w:left w:val="nil"/>
              <w:bottom w:val="nil"/>
              <w:right w:val="nil"/>
            </w:tcBorders>
            <w:shd w:val="clear" w:color="auto" w:fill="auto"/>
            <w:noWrap/>
            <w:vAlign w:val="bottom"/>
            <w:hideMark/>
          </w:tcPr>
          <w:p w14:paraId="70031F4B" w14:textId="77777777" w:rsidR="008A470D" w:rsidRDefault="008A470D">
            <w:pPr>
              <w:jc w:val="right"/>
              <w:rPr>
                <w:rFonts w:ascii="Calibri" w:hAnsi="Calibri"/>
                <w:color w:val="000000"/>
              </w:rPr>
            </w:pPr>
            <w:r>
              <w:rPr>
                <w:rFonts w:ascii="Calibri" w:hAnsi="Calibri"/>
                <w:color w:val="000000"/>
              </w:rPr>
              <w:t>73.6% (95% CI: 71.4-75.6)</w:t>
            </w:r>
          </w:p>
        </w:tc>
      </w:tr>
      <w:tr w:rsidR="008A470D" w14:paraId="24F7FCA5" w14:textId="77777777" w:rsidTr="00FD76C1">
        <w:trPr>
          <w:trHeight w:val="320"/>
        </w:trPr>
        <w:tc>
          <w:tcPr>
            <w:tcW w:w="1610" w:type="dxa"/>
            <w:tcBorders>
              <w:top w:val="nil"/>
              <w:left w:val="nil"/>
              <w:bottom w:val="nil"/>
              <w:right w:val="nil"/>
            </w:tcBorders>
            <w:shd w:val="clear" w:color="auto" w:fill="auto"/>
            <w:noWrap/>
            <w:vAlign w:val="bottom"/>
            <w:hideMark/>
          </w:tcPr>
          <w:p w14:paraId="6D228F97" w14:textId="77777777" w:rsidR="008A470D" w:rsidRDefault="008A470D">
            <w:pPr>
              <w:rPr>
                <w:rFonts w:ascii="Calibri" w:hAnsi="Calibri"/>
                <w:color w:val="000000"/>
              </w:rPr>
            </w:pPr>
            <w:r>
              <w:rPr>
                <w:rFonts w:ascii="Calibri" w:hAnsi="Calibri"/>
                <w:color w:val="000000"/>
              </w:rPr>
              <w:t>Chinese</w:t>
            </w:r>
          </w:p>
        </w:tc>
        <w:tc>
          <w:tcPr>
            <w:tcW w:w="4372" w:type="dxa"/>
            <w:tcBorders>
              <w:top w:val="nil"/>
              <w:left w:val="nil"/>
              <w:bottom w:val="nil"/>
              <w:right w:val="nil"/>
            </w:tcBorders>
            <w:shd w:val="clear" w:color="auto" w:fill="auto"/>
            <w:noWrap/>
            <w:vAlign w:val="bottom"/>
            <w:hideMark/>
          </w:tcPr>
          <w:p w14:paraId="61EB8FC9" w14:textId="77777777" w:rsidR="008A470D" w:rsidRDefault="008A470D">
            <w:pPr>
              <w:jc w:val="right"/>
              <w:rPr>
                <w:rFonts w:ascii="Calibri" w:hAnsi="Calibri"/>
                <w:color w:val="000000"/>
              </w:rPr>
            </w:pPr>
            <w:r>
              <w:rPr>
                <w:rFonts w:ascii="Calibri" w:hAnsi="Calibri"/>
                <w:color w:val="000000"/>
              </w:rPr>
              <w:t>35.3% (95% CI: 32-38.7)</w:t>
            </w:r>
          </w:p>
        </w:tc>
      </w:tr>
      <w:tr w:rsidR="008A470D" w14:paraId="5862E451" w14:textId="77777777" w:rsidTr="00FD76C1">
        <w:trPr>
          <w:trHeight w:val="320"/>
        </w:trPr>
        <w:tc>
          <w:tcPr>
            <w:tcW w:w="1610" w:type="dxa"/>
            <w:tcBorders>
              <w:top w:val="nil"/>
              <w:left w:val="nil"/>
              <w:bottom w:val="nil"/>
              <w:right w:val="nil"/>
            </w:tcBorders>
            <w:shd w:val="clear" w:color="auto" w:fill="auto"/>
            <w:noWrap/>
            <w:vAlign w:val="bottom"/>
            <w:hideMark/>
          </w:tcPr>
          <w:p w14:paraId="58A40BA0" w14:textId="77777777" w:rsidR="008A470D" w:rsidRDefault="008A470D">
            <w:pPr>
              <w:rPr>
                <w:rFonts w:ascii="Calibri" w:hAnsi="Calibri"/>
                <w:color w:val="000000"/>
              </w:rPr>
            </w:pPr>
            <w:r>
              <w:rPr>
                <w:rFonts w:ascii="Calibri" w:hAnsi="Calibri"/>
                <w:color w:val="000000"/>
              </w:rPr>
              <w:t>Mixed</w:t>
            </w:r>
          </w:p>
        </w:tc>
        <w:tc>
          <w:tcPr>
            <w:tcW w:w="4372" w:type="dxa"/>
            <w:tcBorders>
              <w:top w:val="nil"/>
              <w:left w:val="nil"/>
              <w:bottom w:val="nil"/>
              <w:right w:val="nil"/>
            </w:tcBorders>
            <w:shd w:val="clear" w:color="auto" w:fill="auto"/>
            <w:noWrap/>
            <w:vAlign w:val="bottom"/>
            <w:hideMark/>
          </w:tcPr>
          <w:p w14:paraId="285ED01E" w14:textId="77777777" w:rsidR="008A470D" w:rsidRDefault="008A470D">
            <w:pPr>
              <w:jc w:val="right"/>
              <w:rPr>
                <w:rFonts w:ascii="Calibri" w:hAnsi="Calibri"/>
                <w:color w:val="000000"/>
              </w:rPr>
            </w:pPr>
            <w:r>
              <w:rPr>
                <w:rFonts w:ascii="Calibri" w:hAnsi="Calibri"/>
                <w:color w:val="000000"/>
              </w:rPr>
              <w:t>57% (95% CI: 54.6-59.4)</w:t>
            </w:r>
          </w:p>
        </w:tc>
      </w:tr>
      <w:tr w:rsidR="008A470D" w14:paraId="431FF354" w14:textId="77777777" w:rsidTr="00FD76C1">
        <w:trPr>
          <w:trHeight w:val="320"/>
        </w:trPr>
        <w:tc>
          <w:tcPr>
            <w:tcW w:w="1610" w:type="dxa"/>
            <w:tcBorders>
              <w:top w:val="nil"/>
              <w:left w:val="nil"/>
              <w:bottom w:val="nil"/>
              <w:right w:val="nil"/>
            </w:tcBorders>
            <w:shd w:val="clear" w:color="auto" w:fill="auto"/>
            <w:noWrap/>
            <w:vAlign w:val="bottom"/>
            <w:hideMark/>
          </w:tcPr>
          <w:p w14:paraId="64DDD3F6" w14:textId="77777777" w:rsidR="008A470D" w:rsidRDefault="008A470D">
            <w:pPr>
              <w:rPr>
                <w:rFonts w:ascii="Calibri" w:hAnsi="Calibri"/>
                <w:color w:val="000000"/>
              </w:rPr>
            </w:pPr>
            <w:r>
              <w:rPr>
                <w:rFonts w:ascii="Calibri" w:hAnsi="Calibri"/>
                <w:color w:val="000000"/>
              </w:rPr>
              <w:t>Other</w:t>
            </w:r>
          </w:p>
        </w:tc>
        <w:tc>
          <w:tcPr>
            <w:tcW w:w="4372" w:type="dxa"/>
            <w:tcBorders>
              <w:top w:val="nil"/>
              <w:left w:val="nil"/>
              <w:bottom w:val="nil"/>
              <w:right w:val="nil"/>
            </w:tcBorders>
            <w:shd w:val="clear" w:color="auto" w:fill="auto"/>
            <w:noWrap/>
            <w:vAlign w:val="bottom"/>
            <w:hideMark/>
          </w:tcPr>
          <w:p w14:paraId="2D196AB9" w14:textId="77777777" w:rsidR="008A470D" w:rsidRDefault="008A470D">
            <w:pPr>
              <w:jc w:val="right"/>
              <w:rPr>
                <w:rFonts w:ascii="Calibri" w:hAnsi="Calibri"/>
                <w:color w:val="000000"/>
              </w:rPr>
            </w:pPr>
            <w:r>
              <w:rPr>
                <w:rFonts w:ascii="Calibri" w:hAnsi="Calibri"/>
                <w:color w:val="000000"/>
              </w:rPr>
              <w:t>52.6% (95% CI: 49.5-55.7)</w:t>
            </w:r>
          </w:p>
        </w:tc>
      </w:tr>
    </w:tbl>
    <w:p w14:paraId="0EC06175" w14:textId="77777777" w:rsidR="008A470D" w:rsidRPr="000935FE" w:rsidRDefault="008A470D">
      <w:pPr>
        <w:rPr>
          <w:rFonts w:ascii="Verdana" w:hAnsi="Verdana"/>
        </w:rPr>
      </w:pPr>
    </w:p>
    <w:p w14:paraId="4E0C8718" w14:textId="00E8C917" w:rsidR="00DD03AE" w:rsidRPr="000935FE" w:rsidRDefault="00DD03AE">
      <w:pPr>
        <w:rPr>
          <w:rFonts w:ascii="Verdana" w:hAnsi="Verdana"/>
        </w:rPr>
      </w:pPr>
      <w:r w:rsidRPr="000935FE">
        <w:rPr>
          <w:rFonts w:ascii="Verdana" w:hAnsi="Verdana"/>
          <w:b/>
          <w:bCs/>
        </w:rPr>
        <w:t xml:space="preserve">Access to a car or van </w:t>
      </w:r>
      <w:r w:rsidR="008B2379" w:rsidRPr="000935FE">
        <w:rPr>
          <w:rFonts w:ascii="Verdana" w:hAnsi="Verdana"/>
          <w:b/>
          <w:bCs/>
        </w:rPr>
        <w:t xml:space="preserve">– Local Authority Areas – 2011 – </w:t>
      </w:r>
      <w:r w:rsidR="008B2379" w:rsidRPr="000935FE">
        <w:rPr>
          <w:rFonts w:ascii="Verdana" w:hAnsi="Verdana"/>
        </w:rPr>
        <w:t>Census</w:t>
      </w:r>
    </w:p>
    <w:p w14:paraId="7F1E3464" w14:textId="7D7717DF" w:rsidR="008B2379" w:rsidRPr="000935FE" w:rsidRDefault="008B2379">
      <w:pPr>
        <w:rPr>
          <w:rFonts w:ascii="Verdana" w:hAnsi="Verdana"/>
        </w:rPr>
      </w:pPr>
    </w:p>
    <w:p w14:paraId="6989FAD4" w14:textId="77777777" w:rsidR="008B2379" w:rsidRPr="000935FE" w:rsidRDefault="008B2379">
      <w:pPr>
        <w:rPr>
          <w:rFonts w:ascii="Verdana" w:hAnsi="Verdana"/>
          <w:sz w:val="22"/>
          <w:szCs w:val="22"/>
        </w:rPr>
      </w:pPr>
      <w:r w:rsidRPr="000935FE">
        <w:rPr>
          <w:rFonts w:ascii="Verdana" w:hAnsi="Verdana"/>
          <w:sz w:val="22"/>
          <w:szCs w:val="22"/>
        </w:rPr>
        <w:t>In 2011, in Brighton and Hove, almost a third of households from White ethnic groups had no car or van (29%) with those in Mixed ethnic groups, Asian and, Black groups all reporting higher proportions without access to a private car or van (34%, 35%, and 45% respectively). In East Sussex, fewer households overall had no access (15%) although the absolute percentage point gap remained across the BAME groups.</w:t>
      </w:r>
    </w:p>
    <w:p w14:paraId="604D3336" w14:textId="77777777" w:rsidR="008B2379" w:rsidRPr="000935FE" w:rsidRDefault="008B2379">
      <w:pPr>
        <w:rPr>
          <w:rFonts w:ascii="Verdana" w:hAnsi="Verdana"/>
        </w:rPr>
      </w:pPr>
    </w:p>
    <w:p w14:paraId="5CDBBFC5" w14:textId="495A1921" w:rsidR="008B2379" w:rsidRPr="000935FE" w:rsidRDefault="008B2379">
      <w:pPr>
        <w:rPr>
          <w:rFonts w:ascii="Verdana" w:hAnsi="Verdana"/>
          <w:sz w:val="22"/>
          <w:szCs w:val="22"/>
        </w:rPr>
      </w:pPr>
      <w:r w:rsidRPr="000935FE">
        <w:rPr>
          <w:rFonts w:ascii="Verdana" w:hAnsi="Verdana"/>
          <w:sz w:val="22"/>
          <w:szCs w:val="22"/>
        </w:rPr>
        <w:t xml:space="preserve">In West Sussex, 12% of households in White ethnic groups reported no access to private cars, compared to 17% of mixed groups, 14% of Asian groups, and 27% of Black ethnic groups. </w:t>
      </w:r>
    </w:p>
    <w:p w14:paraId="2082D238" w14:textId="11D4D284" w:rsidR="008B2379" w:rsidRPr="000935FE" w:rsidRDefault="008B2379">
      <w:pPr>
        <w:rPr>
          <w:rFonts w:ascii="Verdana" w:hAnsi="Verdana"/>
        </w:rPr>
      </w:pPr>
    </w:p>
    <w:p w14:paraId="2C9CDED5" w14:textId="2B1031C9" w:rsidR="00FB2B9E" w:rsidRPr="000935FE" w:rsidRDefault="00FB2B9E">
      <w:pPr>
        <w:rPr>
          <w:rFonts w:ascii="Verdana" w:hAnsi="Verdana"/>
        </w:rPr>
      </w:pPr>
      <w:r w:rsidRPr="000935FE">
        <w:rPr>
          <w:rFonts w:ascii="Verdana" w:hAnsi="Verdana"/>
          <w:b/>
          <w:bCs/>
        </w:rPr>
        <w:t xml:space="preserve">Proportion of working-age adults in persistently </w:t>
      </w:r>
      <w:proofErr w:type="gramStart"/>
      <w:r w:rsidRPr="000935FE">
        <w:rPr>
          <w:rFonts w:ascii="Verdana" w:hAnsi="Verdana"/>
          <w:b/>
          <w:bCs/>
        </w:rPr>
        <w:t>low income</w:t>
      </w:r>
      <w:proofErr w:type="gramEnd"/>
      <w:r w:rsidRPr="000935FE">
        <w:rPr>
          <w:rFonts w:ascii="Verdana" w:hAnsi="Verdana"/>
          <w:b/>
          <w:bCs/>
        </w:rPr>
        <w:t xml:space="preserve"> households before and after housing costs – England – 2010-2018 –</w:t>
      </w:r>
      <w:r w:rsidRPr="000935FE">
        <w:rPr>
          <w:rFonts w:ascii="Verdana" w:hAnsi="Verdana"/>
        </w:rPr>
        <w:t xml:space="preserve"> Department for Work &amp; Pensions</w:t>
      </w:r>
    </w:p>
    <w:p w14:paraId="7BB76873" w14:textId="2752B620" w:rsidR="007D6D77" w:rsidRPr="000935FE" w:rsidRDefault="007D6D77">
      <w:pPr>
        <w:rPr>
          <w:rFonts w:ascii="Verdana" w:hAnsi="Verdana"/>
        </w:rPr>
      </w:pPr>
    </w:p>
    <w:p w14:paraId="2B21B5C1" w14:textId="594A7D4C" w:rsidR="00FB2B9E" w:rsidRPr="000935FE" w:rsidRDefault="00A2485C">
      <w:pPr>
        <w:rPr>
          <w:rFonts w:ascii="Verdana" w:hAnsi="Verdana"/>
          <w:sz w:val="22"/>
          <w:szCs w:val="22"/>
        </w:rPr>
      </w:pPr>
      <w:r w:rsidRPr="000935FE">
        <w:rPr>
          <w:rFonts w:ascii="Verdana" w:hAnsi="Verdana"/>
          <w:sz w:val="22"/>
          <w:szCs w:val="22"/>
        </w:rPr>
        <w:t>Fewer w</w:t>
      </w:r>
      <w:r w:rsidR="00FB2B9E" w:rsidRPr="000935FE">
        <w:rPr>
          <w:rFonts w:ascii="Verdana" w:hAnsi="Verdana"/>
          <w:sz w:val="22"/>
          <w:szCs w:val="22"/>
        </w:rPr>
        <w:t>orking age individuals from White e</w:t>
      </w:r>
      <w:r w:rsidRPr="000935FE">
        <w:rPr>
          <w:rFonts w:ascii="Verdana" w:hAnsi="Verdana"/>
          <w:sz w:val="22"/>
          <w:szCs w:val="22"/>
        </w:rPr>
        <w:t xml:space="preserve">thnic groups were in persistently </w:t>
      </w:r>
      <w:proofErr w:type="gramStart"/>
      <w:r w:rsidRPr="000935FE">
        <w:rPr>
          <w:rFonts w:ascii="Verdana" w:hAnsi="Verdana"/>
          <w:sz w:val="22"/>
          <w:szCs w:val="22"/>
        </w:rPr>
        <w:t>low income</w:t>
      </w:r>
      <w:proofErr w:type="gramEnd"/>
      <w:r w:rsidRPr="000935FE">
        <w:rPr>
          <w:rFonts w:ascii="Verdana" w:hAnsi="Verdana"/>
          <w:sz w:val="22"/>
          <w:szCs w:val="22"/>
        </w:rPr>
        <w:t xml:space="preserve"> households (7% before and 11% after housing costs) compared to other groups.</w:t>
      </w:r>
    </w:p>
    <w:p w14:paraId="38F6AD78" w14:textId="6A699B66" w:rsidR="00A2485C" w:rsidRPr="000935FE" w:rsidRDefault="00A2485C">
      <w:pPr>
        <w:rPr>
          <w:rFonts w:ascii="Verdana" w:hAnsi="Verdana"/>
          <w:sz w:val="22"/>
          <w:szCs w:val="22"/>
        </w:rPr>
      </w:pPr>
    </w:p>
    <w:p w14:paraId="707B8AD8" w14:textId="19B5BBBB" w:rsidR="00A2485C" w:rsidRPr="000935FE" w:rsidRDefault="00A2485C">
      <w:pPr>
        <w:rPr>
          <w:rFonts w:ascii="Verdana" w:hAnsi="Verdana"/>
          <w:sz w:val="22"/>
          <w:szCs w:val="22"/>
        </w:rPr>
      </w:pPr>
      <w:r w:rsidRPr="000935FE">
        <w:rPr>
          <w:rFonts w:ascii="Verdana" w:hAnsi="Verdana"/>
          <w:sz w:val="22"/>
          <w:szCs w:val="22"/>
        </w:rPr>
        <w:t xml:space="preserve">After housing costs, one in 10 White ethnic individuals below state pension age were in persistently </w:t>
      </w:r>
      <w:proofErr w:type="gramStart"/>
      <w:r w:rsidRPr="000935FE">
        <w:rPr>
          <w:rFonts w:ascii="Verdana" w:hAnsi="Verdana"/>
          <w:sz w:val="22"/>
          <w:szCs w:val="22"/>
        </w:rPr>
        <w:t>low income</w:t>
      </w:r>
      <w:proofErr w:type="gramEnd"/>
      <w:r w:rsidRPr="000935FE">
        <w:rPr>
          <w:rFonts w:ascii="Verdana" w:hAnsi="Verdana"/>
          <w:sz w:val="22"/>
          <w:szCs w:val="22"/>
        </w:rPr>
        <w:t xml:space="preserve"> households compared to one in five Mixed, Asian/Asian British, or Black/African/Caribbean/Black British working age individuals.</w:t>
      </w:r>
    </w:p>
    <w:p w14:paraId="6BEFB6B8" w14:textId="66419D1D" w:rsidR="00A2485C" w:rsidRPr="000935FE" w:rsidRDefault="00A2485C">
      <w:pPr>
        <w:rPr>
          <w:rFonts w:ascii="Verdana" w:hAnsi="Verdana"/>
          <w:sz w:val="22"/>
          <w:szCs w:val="22"/>
        </w:rPr>
      </w:pPr>
    </w:p>
    <w:tbl>
      <w:tblPr>
        <w:tblW w:w="7651" w:type="dxa"/>
        <w:tblLook w:val="04A0" w:firstRow="1" w:lastRow="0" w:firstColumn="1" w:lastColumn="0" w:noHBand="0" w:noVBand="1"/>
      </w:tblPr>
      <w:tblGrid>
        <w:gridCol w:w="3698"/>
        <w:gridCol w:w="2055"/>
        <w:gridCol w:w="1898"/>
      </w:tblGrid>
      <w:tr w:rsidR="00FB2B9E" w:rsidRPr="000935FE" w14:paraId="2BCAE7CD" w14:textId="77777777" w:rsidTr="00FB2B9E">
        <w:trPr>
          <w:trHeight w:val="320"/>
        </w:trPr>
        <w:tc>
          <w:tcPr>
            <w:tcW w:w="7651" w:type="dxa"/>
            <w:gridSpan w:val="3"/>
            <w:tcBorders>
              <w:top w:val="nil"/>
              <w:left w:val="nil"/>
              <w:bottom w:val="nil"/>
              <w:right w:val="nil"/>
            </w:tcBorders>
            <w:shd w:val="clear" w:color="auto" w:fill="auto"/>
            <w:noWrap/>
            <w:vAlign w:val="bottom"/>
            <w:hideMark/>
          </w:tcPr>
          <w:p w14:paraId="044D7D41" w14:textId="77777777" w:rsidR="00FB2B9E" w:rsidRPr="000935FE" w:rsidRDefault="00FB2B9E" w:rsidP="00FB2B9E">
            <w:pPr>
              <w:rPr>
                <w:rFonts w:ascii="Verdana" w:hAnsi="Verdana"/>
                <w:b/>
                <w:bCs/>
                <w:color w:val="000000"/>
                <w:sz w:val="21"/>
                <w:szCs w:val="21"/>
              </w:rPr>
            </w:pPr>
            <w:r w:rsidRPr="000935FE">
              <w:rPr>
                <w:rFonts w:ascii="Verdana" w:hAnsi="Verdana"/>
                <w:b/>
                <w:bCs/>
                <w:color w:val="000000"/>
                <w:sz w:val="21"/>
                <w:szCs w:val="21"/>
              </w:rPr>
              <w:t>Proportion of working-age (adults under state pension age) in persistent (3 out of 4 years) low income (60% of median income); 2014/15 to 2017/18</w:t>
            </w:r>
          </w:p>
        </w:tc>
      </w:tr>
      <w:tr w:rsidR="00FB2B9E" w:rsidRPr="000935FE" w14:paraId="32099114" w14:textId="77777777" w:rsidTr="00A2485C">
        <w:trPr>
          <w:trHeight w:val="320"/>
        </w:trPr>
        <w:tc>
          <w:tcPr>
            <w:tcW w:w="3698" w:type="dxa"/>
            <w:tcBorders>
              <w:top w:val="nil"/>
              <w:left w:val="nil"/>
              <w:bottom w:val="nil"/>
              <w:right w:val="nil"/>
            </w:tcBorders>
            <w:shd w:val="clear" w:color="auto" w:fill="auto"/>
            <w:noWrap/>
            <w:hideMark/>
          </w:tcPr>
          <w:p w14:paraId="222B7E5D" w14:textId="77777777" w:rsidR="00FB2B9E" w:rsidRPr="000935FE" w:rsidRDefault="00FB2B9E" w:rsidP="00A2485C">
            <w:pPr>
              <w:rPr>
                <w:rFonts w:ascii="Verdana" w:hAnsi="Verdana"/>
                <w:b/>
                <w:bCs/>
                <w:color w:val="000000"/>
                <w:sz w:val="21"/>
                <w:szCs w:val="21"/>
              </w:rPr>
            </w:pPr>
            <w:r w:rsidRPr="000935FE">
              <w:rPr>
                <w:rFonts w:ascii="Verdana" w:hAnsi="Verdana"/>
                <w:b/>
                <w:bCs/>
                <w:color w:val="000000"/>
                <w:sz w:val="21"/>
                <w:szCs w:val="21"/>
              </w:rPr>
              <w:t>Ethnic group of head of household</w:t>
            </w:r>
          </w:p>
        </w:tc>
        <w:tc>
          <w:tcPr>
            <w:tcW w:w="2055" w:type="dxa"/>
            <w:tcBorders>
              <w:top w:val="nil"/>
              <w:left w:val="nil"/>
              <w:bottom w:val="nil"/>
              <w:right w:val="nil"/>
            </w:tcBorders>
            <w:shd w:val="clear" w:color="auto" w:fill="auto"/>
            <w:noWrap/>
            <w:hideMark/>
          </w:tcPr>
          <w:p w14:paraId="799B75EC" w14:textId="77777777" w:rsidR="00FB2B9E" w:rsidRPr="000935FE" w:rsidRDefault="00FB2B9E" w:rsidP="00A2485C">
            <w:pPr>
              <w:jc w:val="right"/>
              <w:rPr>
                <w:rFonts w:ascii="Verdana" w:hAnsi="Verdana"/>
                <w:b/>
                <w:bCs/>
                <w:color w:val="000000"/>
                <w:sz w:val="21"/>
                <w:szCs w:val="21"/>
              </w:rPr>
            </w:pPr>
            <w:r w:rsidRPr="000935FE">
              <w:rPr>
                <w:rFonts w:ascii="Verdana" w:hAnsi="Verdana"/>
                <w:b/>
                <w:bCs/>
                <w:color w:val="000000"/>
                <w:sz w:val="21"/>
                <w:szCs w:val="21"/>
              </w:rPr>
              <w:t>Before housing costs</w:t>
            </w:r>
          </w:p>
        </w:tc>
        <w:tc>
          <w:tcPr>
            <w:tcW w:w="1898" w:type="dxa"/>
            <w:tcBorders>
              <w:top w:val="nil"/>
              <w:left w:val="nil"/>
              <w:bottom w:val="nil"/>
              <w:right w:val="nil"/>
            </w:tcBorders>
            <w:shd w:val="clear" w:color="auto" w:fill="auto"/>
            <w:noWrap/>
            <w:hideMark/>
          </w:tcPr>
          <w:p w14:paraId="5C07CB27" w14:textId="77777777" w:rsidR="00FB2B9E" w:rsidRPr="000935FE" w:rsidRDefault="00FB2B9E" w:rsidP="00A2485C">
            <w:pPr>
              <w:jc w:val="right"/>
              <w:rPr>
                <w:rFonts w:ascii="Verdana" w:hAnsi="Verdana"/>
                <w:b/>
                <w:bCs/>
                <w:color w:val="000000"/>
                <w:sz w:val="21"/>
                <w:szCs w:val="21"/>
              </w:rPr>
            </w:pPr>
            <w:r w:rsidRPr="000935FE">
              <w:rPr>
                <w:rFonts w:ascii="Verdana" w:hAnsi="Verdana"/>
                <w:b/>
                <w:bCs/>
                <w:color w:val="000000"/>
                <w:sz w:val="21"/>
                <w:szCs w:val="21"/>
              </w:rPr>
              <w:t>After housing costs</w:t>
            </w:r>
          </w:p>
        </w:tc>
      </w:tr>
      <w:tr w:rsidR="00FB2B9E" w:rsidRPr="000935FE" w14:paraId="2CA97143" w14:textId="77777777" w:rsidTr="00FB2B9E">
        <w:trPr>
          <w:trHeight w:val="320"/>
        </w:trPr>
        <w:tc>
          <w:tcPr>
            <w:tcW w:w="3698" w:type="dxa"/>
            <w:tcBorders>
              <w:top w:val="nil"/>
              <w:left w:val="nil"/>
              <w:bottom w:val="nil"/>
              <w:right w:val="nil"/>
            </w:tcBorders>
            <w:shd w:val="clear" w:color="auto" w:fill="auto"/>
            <w:noWrap/>
            <w:vAlign w:val="bottom"/>
            <w:hideMark/>
          </w:tcPr>
          <w:p w14:paraId="340F740C" w14:textId="77777777" w:rsidR="00FB2B9E" w:rsidRPr="000935FE" w:rsidRDefault="00FB2B9E" w:rsidP="00FB2B9E">
            <w:pPr>
              <w:rPr>
                <w:rFonts w:ascii="Verdana" w:hAnsi="Verdana"/>
                <w:color w:val="000000"/>
                <w:sz w:val="21"/>
                <w:szCs w:val="21"/>
              </w:rPr>
            </w:pPr>
            <w:r w:rsidRPr="000935FE">
              <w:rPr>
                <w:rFonts w:ascii="Verdana" w:hAnsi="Verdana"/>
                <w:color w:val="000000"/>
                <w:sz w:val="21"/>
                <w:szCs w:val="21"/>
              </w:rPr>
              <w:t>White</w:t>
            </w:r>
          </w:p>
        </w:tc>
        <w:tc>
          <w:tcPr>
            <w:tcW w:w="2055" w:type="dxa"/>
            <w:tcBorders>
              <w:top w:val="nil"/>
              <w:left w:val="nil"/>
              <w:bottom w:val="nil"/>
              <w:right w:val="nil"/>
            </w:tcBorders>
            <w:shd w:val="clear" w:color="auto" w:fill="auto"/>
            <w:noWrap/>
            <w:vAlign w:val="bottom"/>
            <w:hideMark/>
          </w:tcPr>
          <w:p w14:paraId="4FE3CAA6" w14:textId="27215995"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7%</w:t>
            </w:r>
          </w:p>
        </w:tc>
        <w:tc>
          <w:tcPr>
            <w:tcW w:w="1898" w:type="dxa"/>
            <w:tcBorders>
              <w:top w:val="nil"/>
              <w:left w:val="nil"/>
              <w:bottom w:val="nil"/>
              <w:right w:val="nil"/>
            </w:tcBorders>
            <w:shd w:val="clear" w:color="auto" w:fill="auto"/>
            <w:noWrap/>
            <w:vAlign w:val="bottom"/>
            <w:hideMark/>
          </w:tcPr>
          <w:p w14:paraId="70E2176C" w14:textId="1D638504"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11%</w:t>
            </w:r>
          </w:p>
        </w:tc>
      </w:tr>
      <w:tr w:rsidR="00FB2B9E" w:rsidRPr="000935FE" w14:paraId="23A8C819" w14:textId="77777777" w:rsidTr="00FB2B9E">
        <w:trPr>
          <w:trHeight w:val="320"/>
        </w:trPr>
        <w:tc>
          <w:tcPr>
            <w:tcW w:w="3698" w:type="dxa"/>
            <w:tcBorders>
              <w:top w:val="nil"/>
              <w:left w:val="nil"/>
              <w:bottom w:val="nil"/>
              <w:right w:val="nil"/>
            </w:tcBorders>
            <w:shd w:val="clear" w:color="auto" w:fill="auto"/>
            <w:noWrap/>
            <w:vAlign w:val="bottom"/>
            <w:hideMark/>
          </w:tcPr>
          <w:p w14:paraId="7B6AE7E2" w14:textId="77777777" w:rsidR="00FB2B9E" w:rsidRPr="000935FE" w:rsidRDefault="00FB2B9E" w:rsidP="00FB2B9E">
            <w:pPr>
              <w:rPr>
                <w:rFonts w:ascii="Verdana" w:hAnsi="Verdana"/>
                <w:color w:val="000000"/>
                <w:sz w:val="21"/>
                <w:szCs w:val="21"/>
              </w:rPr>
            </w:pPr>
            <w:r w:rsidRPr="000935FE">
              <w:rPr>
                <w:rFonts w:ascii="Verdana" w:hAnsi="Verdana"/>
                <w:color w:val="000000"/>
                <w:sz w:val="21"/>
                <w:szCs w:val="21"/>
              </w:rPr>
              <w:t>Mixed</w:t>
            </w:r>
          </w:p>
        </w:tc>
        <w:tc>
          <w:tcPr>
            <w:tcW w:w="2055" w:type="dxa"/>
            <w:tcBorders>
              <w:top w:val="nil"/>
              <w:left w:val="nil"/>
              <w:bottom w:val="nil"/>
              <w:right w:val="nil"/>
            </w:tcBorders>
            <w:shd w:val="clear" w:color="auto" w:fill="auto"/>
            <w:noWrap/>
            <w:vAlign w:val="bottom"/>
            <w:hideMark/>
          </w:tcPr>
          <w:p w14:paraId="4F4ED36B" w14:textId="45767495"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8%</w:t>
            </w:r>
          </w:p>
        </w:tc>
        <w:tc>
          <w:tcPr>
            <w:tcW w:w="1898" w:type="dxa"/>
            <w:tcBorders>
              <w:top w:val="nil"/>
              <w:left w:val="nil"/>
              <w:bottom w:val="nil"/>
              <w:right w:val="nil"/>
            </w:tcBorders>
            <w:shd w:val="clear" w:color="auto" w:fill="auto"/>
            <w:noWrap/>
            <w:vAlign w:val="bottom"/>
            <w:hideMark/>
          </w:tcPr>
          <w:p w14:paraId="1E1195B3" w14:textId="52659074"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20%</w:t>
            </w:r>
          </w:p>
        </w:tc>
      </w:tr>
      <w:tr w:rsidR="00FB2B9E" w:rsidRPr="000935FE" w14:paraId="2457EB88" w14:textId="77777777" w:rsidTr="00FB2B9E">
        <w:trPr>
          <w:trHeight w:val="320"/>
        </w:trPr>
        <w:tc>
          <w:tcPr>
            <w:tcW w:w="3698" w:type="dxa"/>
            <w:tcBorders>
              <w:top w:val="nil"/>
              <w:left w:val="nil"/>
              <w:bottom w:val="nil"/>
              <w:right w:val="nil"/>
            </w:tcBorders>
            <w:shd w:val="clear" w:color="auto" w:fill="auto"/>
            <w:noWrap/>
            <w:vAlign w:val="bottom"/>
            <w:hideMark/>
          </w:tcPr>
          <w:p w14:paraId="1D113948" w14:textId="77777777" w:rsidR="00FB2B9E" w:rsidRPr="000935FE" w:rsidRDefault="00FB2B9E" w:rsidP="00FB2B9E">
            <w:pPr>
              <w:rPr>
                <w:rFonts w:ascii="Verdana" w:hAnsi="Verdana"/>
                <w:color w:val="000000"/>
                <w:sz w:val="21"/>
                <w:szCs w:val="21"/>
              </w:rPr>
            </w:pPr>
            <w:r w:rsidRPr="000935FE">
              <w:rPr>
                <w:rFonts w:ascii="Verdana" w:hAnsi="Verdana"/>
                <w:color w:val="000000"/>
                <w:sz w:val="21"/>
                <w:szCs w:val="21"/>
              </w:rPr>
              <w:t>Asian/Asian British</w:t>
            </w:r>
          </w:p>
        </w:tc>
        <w:tc>
          <w:tcPr>
            <w:tcW w:w="2055" w:type="dxa"/>
            <w:tcBorders>
              <w:top w:val="nil"/>
              <w:left w:val="nil"/>
              <w:bottom w:val="nil"/>
              <w:right w:val="nil"/>
            </w:tcBorders>
            <w:shd w:val="clear" w:color="auto" w:fill="auto"/>
            <w:noWrap/>
            <w:vAlign w:val="bottom"/>
            <w:hideMark/>
          </w:tcPr>
          <w:p w14:paraId="38CF3C99" w14:textId="6C634E98"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12%</w:t>
            </w:r>
          </w:p>
        </w:tc>
        <w:tc>
          <w:tcPr>
            <w:tcW w:w="1898" w:type="dxa"/>
            <w:tcBorders>
              <w:top w:val="nil"/>
              <w:left w:val="nil"/>
              <w:bottom w:val="nil"/>
              <w:right w:val="nil"/>
            </w:tcBorders>
            <w:shd w:val="clear" w:color="auto" w:fill="auto"/>
            <w:noWrap/>
            <w:vAlign w:val="bottom"/>
            <w:hideMark/>
          </w:tcPr>
          <w:p w14:paraId="01549154" w14:textId="27285C31"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19%</w:t>
            </w:r>
          </w:p>
        </w:tc>
      </w:tr>
      <w:tr w:rsidR="00FB2B9E" w:rsidRPr="000935FE" w14:paraId="085B7CE5" w14:textId="77777777" w:rsidTr="00FB2B9E">
        <w:trPr>
          <w:trHeight w:val="320"/>
        </w:trPr>
        <w:tc>
          <w:tcPr>
            <w:tcW w:w="3698" w:type="dxa"/>
            <w:tcBorders>
              <w:top w:val="nil"/>
              <w:left w:val="nil"/>
              <w:bottom w:val="nil"/>
              <w:right w:val="nil"/>
            </w:tcBorders>
            <w:shd w:val="clear" w:color="auto" w:fill="auto"/>
            <w:noWrap/>
            <w:vAlign w:val="bottom"/>
            <w:hideMark/>
          </w:tcPr>
          <w:p w14:paraId="5BF373BB" w14:textId="77777777" w:rsidR="00FB2B9E" w:rsidRPr="000935FE" w:rsidRDefault="00FB2B9E" w:rsidP="00FB2B9E">
            <w:pPr>
              <w:rPr>
                <w:rFonts w:ascii="Verdana" w:hAnsi="Verdana"/>
                <w:color w:val="000000"/>
                <w:sz w:val="21"/>
                <w:szCs w:val="21"/>
              </w:rPr>
            </w:pPr>
            <w:r w:rsidRPr="000935FE">
              <w:rPr>
                <w:rFonts w:ascii="Verdana" w:hAnsi="Verdana"/>
                <w:color w:val="000000"/>
                <w:sz w:val="21"/>
                <w:szCs w:val="21"/>
              </w:rPr>
              <w:t>Black/African/Caribbean/Black British</w:t>
            </w:r>
          </w:p>
        </w:tc>
        <w:tc>
          <w:tcPr>
            <w:tcW w:w="2055" w:type="dxa"/>
            <w:tcBorders>
              <w:top w:val="nil"/>
              <w:left w:val="nil"/>
              <w:bottom w:val="nil"/>
              <w:right w:val="nil"/>
            </w:tcBorders>
            <w:shd w:val="clear" w:color="auto" w:fill="auto"/>
            <w:noWrap/>
            <w:vAlign w:val="bottom"/>
            <w:hideMark/>
          </w:tcPr>
          <w:p w14:paraId="25ABC289" w14:textId="38CB0E96"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12%</w:t>
            </w:r>
          </w:p>
        </w:tc>
        <w:tc>
          <w:tcPr>
            <w:tcW w:w="1898" w:type="dxa"/>
            <w:tcBorders>
              <w:top w:val="nil"/>
              <w:left w:val="nil"/>
              <w:bottom w:val="nil"/>
              <w:right w:val="nil"/>
            </w:tcBorders>
            <w:shd w:val="clear" w:color="auto" w:fill="auto"/>
            <w:noWrap/>
            <w:vAlign w:val="bottom"/>
            <w:hideMark/>
          </w:tcPr>
          <w:p w14:paraId="4952CBA6" w14:textId="60FB6396" w:rsidR="00FB2B9E" w:rsidRPr="000935FE" w:rsidRDefault="00FB2B9E" w:rsidP="00FB2B9E">
            <w:pPr>
              <w:jc w:val="right"/>
              <w:rPr>
                <w:rFonts w:ascii="Verdana" w:hAnsi="Verdana"/>
                <w:color w:val="000000"/>
                <w:sz w:val="21"/>
                <w:szCs w:val="21"/>
              </w:rPr>
            </w:pPr>
            <w:r w:rsidRPr="000935FE">
              <w:rPr>
                <w:rFonts w:ascii="Verdana" w:hAnsi="Verdana"/>
                <w:color w:val="000000"/>
                <w:sz w:val="21"/>
                <w:szCs w:val="21"/>
              </w:rPr>
              <w:t>23%</w:t>
            </w:r>
          </w:p>
        </w:tc>
      </w:tr>
      <w:tr w:rsidR="00FB2B9E" w:rsidRPr="000935FE" w14:paraId="3B4A295B" w14:textId="77777777" w:rsidTr="00FB2B9E">
        <w:trPr>
          <w:trHeight w:val="320"/>
        </w:trPr>
        <w:tc>
          <w:tcPr>
            <w:tcW w:w="3698" w:type="dxa"/>
            <w:tcBorders>
              <w:top w:val="nil"/>
              <w:left w:val="nil"/>
              <w:bottom w:val="nil"/>
              <w:right w:val="nil"/>
            </w:tcBorders>
            <w:shd w:val="clear" w:color="auto" w:fill="auto"/>
            <w:noWrap/>
            <w:vAlign w:val="bottom"/>
            <w:hideMark/>
          </w:tcPr>
          <w:p w14:paraId="38D30BA6" w14:textId="77777777" w:rsidR="00FB2B9E" w:rsidRPr="000935FE" w:rsidRDefault="00FB2B9E" w:rsidP="00FB2B9E">
            <w:pPr>
              <w:rPr>
                <w:rFonts w:ascii="Verdana" w:hAnsi="Verdana"/>
                <w:color w:val="000000"/>
                <w:sz w:val="21"/>
                <w:szCs w:val="21"/>
              </w:rPr>
            </w:pPr>
            <w:r w:rsidRPr="000935FE">
              <w:rPr>
                <w:rFonts w:ascii="Verdana" w:hAnsi="Verdana"/>
                <w:color w:val="000000"/>
                <w:sz w:val="21"/>
                <w:szCs w:val="21"/>
              </w:rPr>
              <w:t>Other</w:t>
            </w:r>
          </w:p>
        </w:tc>
        <w:tc>
          <w:tcPr>
            <w:tcW w:w="2055" w:type="dxa"/>
            <w:tcBorders>
              <w:top w:val="nil"/>
              <w:left w:val="nil"/>
              <w:bottom w:val="nil"/>
              <w:right w:val="nil"/>
            </w:tcBorders>
            <w:shd w:val="clear" w:color="auto" w:fill="auto"/>
            <w:noWrap/>
            <w:vAlign w:val="bottom"/>
            <w:hideMark/>
          </w:tcPr>
          <w:p w14:paraId="1372AA76" w14:textId="77777777" w:rsidR="00FB2B9E" w:rsidRPr="000935FE" w:rsidRDefault="00FB2B9E" w:rsidP="00FB2B9E">
            <w:pPr>
              <w:rPr>
                <w:rFonts w:ascii="Verdana" w:hAnsi="Verdana"/>
                <w:color w:val="000000"/>
                <w:sz w:val="21"/>
                <w:szCs w:val="21"/>
              </w:rPr>
            </w:pPr>
            <w:r w:rsidRPr="000935FE">
              <w:rPr>
                <w:rFonts w:ascii="Verdana" w:hAnsi="Verdana"/>
                <w:color w:val="000000"/>
                <w:sz w:val="21"/>
                <w:szCs w:val="21"/>
              </w:rPr>
              <w:t>-</w:t>
            </w:r>
          </w:p>
        </w:tc>
        <w:tc>
          <w:tcPr>
            <w:tcW w:w="1898" w:type="dxa"/>
            <w:tcBorders>
              <w:top w:val="nil"/>
              <w:left w:val="nil"/>
              <w:bottom w:val="nil"/>
              <w:right w:val="nil"/>
            </w:tcBorders>
            <w:shd w:val="clear" w:color="auto" w:fill="auto"/>
            <w:noWrap/>
            <w:vAlign w:val="bottom"/>
            <w:hideMark/>
          </w:tcPr>
          <w:p w14:paraId="31022B76" w14:textId="77777777" w:rsidR="00FB2B9E" w:rsidRPr="000935FE" w:rsidRDefault="00FB2B9E" w:rsidP="00FB2B9E">
            <w:pPr>
              <w:rPr>
                <w:rFonts w:ascii="Verdana" w:hAnsi="Verdana"/>
                <w:color w:val="000000"/>
                <w:sz w:val="21"/>
                <w:szCs w:val="21"/>
              </w:rPr>
            </w:pPr>
            <w:r w:rsidRPr="000935FE">
              <w:rPr>
                <w:rFonts w:ascii="Verdana" w:hAnsi="Verdana"/>
                <w:color w:val="000000"/>
                <w:sz w:val="21"/>
                <w:szCs w:val="21"/>
              </w:rPr>
              <w:t>-</w:t>
            </w:r>
          </w:p>
        </w:tc>
      </w:tr>
    </w:tbl>
    <w:p w14:paraId="7734FF04" w14:textId="59BAD7D6" w:rsidR="00FB2B9E" w:rsidRDefault="00FB2B9E">
      <w:pPr>
        <w:rPr>
          <w:rFonts w:ascii="Verdana" w:hAnsi="Verdana"/>
        </w:rPr>
      </w:pPr>
    </w:p>
    <w:p w14:paraId="6FF702C2" w14:textId="77777777" w:rsidR="005C4F57" w:rsidRPr="000935FE" w:rsidRDefault="005C4F57">
      <w:pPr>
        <w:rPr>
          <w:rFonts w:ascii="Verdana" w:hAnsi="Verdana"/>
        </w:rPr>
      </w:pPr>
    </w:p>
    <w:p w14:paraId="75192E50" w14:textId="5EEBE87E" w:rsidR="00FB2B9E" w:rsidRPr="000935FE" w:rsidRDefault="00A2485C">
      <w:pPr>
        <w:rPr>
          <w:rFonts w:ascii="Verdana" w:hAnsi="Verdana"/>
        </w:rPr>
      </w:pPr>
      <w:r w:rsidRPr="000935FE">
        <w:rPr>
          <w:rFonts w:ascii="Verdana" w:hAnsi="Verdana"/>
          <w:b/>
          <w:bCs/>
        </w:rPr>
        <w:lastRenderedPageBreak/>
        <w:t xml:space="preserve">Deprivation – living in 10% most deprived neighbourhoods – England – 2011 – </w:t>
      </w:r>
      <w:r w:rsidRPr="000935FE">
        <w:rPr>
          <w:rFonts w:ascii="Verdana" w:hAnsi="Verdana"/>
        </w:rPr>
        <w:t>Census</w:t>
      </w:r>
    </w:p>
    <w:p w14:paraId="1B432076" w14:textId="79411DEA" w:rsidR="00A2485C" w:rsidRPr="000935FE" w:rsidRDefault="00A2485C">
      <w:pPr>
        <w:rPr>
          <w:rFonts w:ascii="Verdana" w:hAnsi="Verdana"/>
        </w:rPr>
      </w:pPr>
    </w:p>
    <w:p w14:paraId="52258C0C" w14:textId="19F7C488" w:rsidR="00A2485C" w:rsidRPr="000935FE" w:rsidRDefault="00A2485C">
      <w:pPr>
        <w:rPr>
          <w:rFonts w:ascii="Verdana" w:hAnsi="Verdana"/>
          <w:sz w:val="22"/>
          <w:szCs w:val="22"/>
        </w:rPr>
      </w:pPr>
      <w:r w:rsidRPr="000935FE">
        <w:rPr>
          <w:rFonts w:ascii="Verdana" w:hAnsi="Verdana"/>
          <w:sz w:val="22"/>
          <w:szCs w:val="22"/>
        </w:rPr>
        <w:t>Around 9% of White ethnic groups lived in the most deprived 10% of neighbourhoods on census day in 2011. This is lower than all other broad ethnic minority categories, with 14.6% of Mixed groups, 17.1% of Asian ethnic groups, 19.6% of Black groups and 16.8% of other groups residing in the most deprived neighbourhoods.</w:t>
      </w:r>
    </w:p>
    <w:p w14:paraId="513B5A1D" w14:textId="6CFCFA07" w:rsidR="00A2485C" w:rsidRPr="000935FE" w:rsidRDefault="00A2485C">
      <w:pPr>
        <w:rPr>
          <w:rFonts w:ascii="Verdana" w:hAnsi="Verdana"/>
        </w:rPr>
      </w:pPr>
    </w:p>
    <w:p w14:paraId="4010C32C" w14:textId="475221F9" w:rsidR="00A2485C" w:rsidRPr="000935FE" w:rsidRDefault="00A2485C">
      <w:pPr>
        <w:rPr>
          <w:rFonts w:ascii="Verdana" w:hAnsi="Verdana"/>
        </w:rPr>
      </w:pPr>
      <w:r w:rsidRPr="000935FE">
        <w:rPr>
          <w:rFonts w:ascii="Verdana" w:hAnsi="Verdana"/>
          <w:b/>
          <w:bCs/>
          <w:color w:val="000000" w:themeColor="text1"/>
        </w:rPr>
        <w:t>Proportion</w:t>
      </w:r>
      <w:r w:rsidRPr="000935FE">
        <w:rPr>
          <w:rFonts w:ascii="Verdana" w:hAnsi="Verdana"/>
          <w:b/>
          <w:bCs/>
        </w:rPr>
        <w:t xml:space="preserve"> of workers employed in </w:t>
      </w:r>
      <w:r w:rsidR="00C57958" w:rsidRPr="000935FE">
        <w:rPr>
          <w:rFonts w:ascii="Verdana" w:hAnsi="Verdana"/>
          <w:b/>
          <w:bCs/>
        </w:rPr>
        <w:t>elementary</w:t>
      </w:r>
      <w:r w:rsidRPr="000935FE">
        <w:rPr>
          <w:rFonts w:ascii="Verdana" w:hAnsi="Verdana"/>
          <w:b/>
          <w:bCs/>
        </w:rPr>
        <w:t xml:space="preserve"> types of occupation – England – 2018 –</w:t>
      </w:r>
      <w:r w:rsidRPr="000935FE">
        <w:rPr>
          <w:rFonts w:ascii="Verdana" w:hAnsi="Verdana"/>
        </w:rPr>
        <w:t xml:space="preserve"> Annual Population Survey Office for National Statistics</w:t>
      </w:r>
    </w:p>
    <w:p w14:paraId="7884861A" w14:textId="52EE05A0" w:rsidR="00A2485C" w:rsidRPr="000935FE" w:rsidRDefault="00A2485C">
      <w:pPr>
        <w:rPr>
          <w:rFonts w:ascii="Verdana" w:hAnsi="Verdana"/>
        </w:rPr>
      </w:pPr>
    </w:p>
    <w:p w14:paraId="62A7D0E2" w14:textId="38DDB151" w:rsidR="004C664D" w:rsidRPr="000935FE" w:rsidRDefault="004C664D">
      <w:pPr>
        <w:rPr>
          <w:rFonts w:ascii="Verdana" w:hAnsi="Verdana"/>
          <w:sz w:val="22"/>
          <w:szCs w:val="22"/>
        </w:rPr>
      </w:pPr>
      <w:r w:rsidRPr="000935FE">
        <w:rPr>
          <w:rFonts w:ascii="Verdana" w:hAnsi="Verdana"/>
          <w:sz w:val="22"/>
          <w:szCs w:val="22"/>
        </w:rPr>
        <w:t>The proportion of people from ethnic minority groups in elementary occupations is higher than amongst White ethnic groups. Around 15% of those in Black ethnic minority groups work in elementary occupations compared to 10% of White ethnic groups.</w:t>
      </w:r>
    </w:p>
    <w:p w14:paraId="2BE83D74" w14:textId="078A5A7E" w:rsidR="004333DC" w:rsidRPr="000935FE" w:rsidRDefault="004333DC">
      <w:pPr>
        <w:rPr>
          <w:rFonts w:ascii="Verdana" w:hAnsi="Verdana"/>
          <w:sz w:val="22"/>
          <w:szCs w:val="22"/>
        </w:rPr>
      </w:pPr>
    </w:p>
    <w:p w14:paraId="71DF48EB" w14:textId="6BB1118D" w:rsidR="00F24909" w:rsidRPr="000935FE" w:rsidRDefault="00F24909">
      <w:pPr>
        <w:rPr>
          <w:rFonts w:ascii="Verdana" w:hAnsi="Verdana"/>
        </w:rPr>
      </w:pPr>
      <w:r w:rsidRPr="000935FE">
        <w:rPr>
          <w:rFonts w:ascii="Verdana" w:hAnsi="Verdana"/>
          <w:b/>
          <w:bCs/>
        </w:rPr>
        <w:t xml:space="preserve">Proportion of </w:t>
      </w:r>
      <w:r w:rsidR="008463EC" w:rsidRPr="000935FE">
        <w:rPr>
          <w:rFonts w:ascii="Verdana" w:hAnsi="Verdana"/>
          <w:b/>
          <w:bCs/>
        </w:rPr>
        <w:t xml:space="preserve">NHS staff by ethnicity and type of role – 2019 – England </w:t>
      </w:r>
      <w:r w:rsidR="00B436FE" w:rsidRPr="000935FE">
        <w:rPr>
          <w:rFonts w:ascii="Verdana" w:hAnsi="Verdana"/>
          <w:b/>
          <w:bCs/>
        </w:rPr>
        <w:t>–</w:t>
      </w:r>
      <w:r w:rsidR="008463EC" w:rsidRPr="000935FE">
        <w:rPr>
          <w:rFonts w:ascii="Verdana" w:hAnsi="Verdana"/>
        </w:rPr>
        <w:t xml:space="preserve"> </w:t>
      </w:r>
      <w:r w:rsidR="00B436FE" w:rsidRPr="000935FE">
        <w:rPr>
          <w:rFonts w:ascii="Verdana" w:hAnsi="Verdana"/>
        </w:rPr>
        <w:t>NHS Workforce Statistics</w:t>
      </w:r>
    </w:p>
    <w:p w14:paraId="02FB36E7" w14:textId="7A75E5F3" w:rsidR="00B436FE" w:rsidRPr="000935FE" w:rsidRDefault="00B436FE">
      <w:pPr>
        <w:rPr>
          <w:rFonts w:ascii="Verdana" w:hAnsi="Verdana"/>
        </w:rPr>
      </w:pPr>
    </w:p>
    <w:p w14:paraId="180397AA" w14:textId="0DEE0857" w:rsidR="00B436FE" w:rsidRPr="000935FE" w:rsidRDefault="00B436FE">
      <w:pPr>
        <w:rPr>
          <w:rFonts w:ascii="Verdana" w:hAnsi="Verdana"/>
          <w:sz w:val="22"/>
          <w:szCs w:val="22"/>
        </w:rPr>
      </w:pPr>
      <w:r w:rsidRPr="000935FE">
        <w:rPr>
          <w:rFonts w:ascii="Verdana" w:hAnsi="Verdana"/>
          <w:sz w:val="22"/>
          <w:szCs w:val="22"/>
        </w:rPr>
        <w:t>White ethnic groups represent 55% of medical NHS staff and 82% of non-medical NHS staff.</w:t>
      </w:r>
    </w:p>
    <w:p w14:paraId="7FC2B291" w14:textId="0F90A785" w:rsidR="00B436FE" w:rsidRPr="000935FE" w:rsidRDefault="00B436FE">
      <w:pPr>
        <w:rPr>
          <w:rFonts w:ascii="Verdana" w:hAnsi="Verdana"/>
          <w:sz w:val="22"/>
          <w:szCs w:val="22"/>
        </w:rPr>
      </w:pPr>
      <w:r w:rsidRPr="000935FE">
        <w:rPr>
          <w:rFonts w:ascii="Verdana" w:hAnsi="Verdana"/>
          <w:sz w:val="22"/>
          <w:szCs w:val="22"/>
        </w:rPr>
        <w:t>Those in Asian ethnic groups represent the second largest proportion of medical NHS staff with 29.7% and Black ethnic groups represent 4.6% of medical staff. Those in Chinese ethnic groups represent the lowest proportion of medical staff at 2.5%.</w:t>
      </w:r>
    </w:p>
    <w:p w14:paraId="7A58499F" w14:textId="280D4FF9" w:rsidR="00B436FE" w:rsidRPr="000935FE" w:rsidRDefault="00B436FE">
      <w:pPr>
        <w:rPr>
          <w:rFonts w:ascii="Verdana" w:hAnsi="Verdana"/>
          <w:sz w:val="21"/>
          <w:szCs w:val="21"/>
        </w:rPr>
      </w:pPr>
    </w:p>
    <w:p w14:paraId="21C1DD00" w14:textId="1C7DF0E1" w:rsidR="00B436FE" w:rsidRPr="000935FE" w:rsidRDefault="00B436FE">
      <w:pPr>
        <w:rPr>
          <w:rFonts w:ascii="Verdana" w:hAnsi="Verdana"/>
          <w:sz w:val="22"/>
          <w:szCs w:val="22"/>
        </w:rPr>
      </w:pPr>
      <w:r w:rsidRPr="000935FE">
        <w:rPr>
          <w:rFonts w:ascii="Verdana" w:hAnsi="Verdana"/>
          <w:sz w:val="22"/>
          <w:szCs w:val="22"/>
        </w:rPr>
        <w:t xml:space="preserve">Among non-medical staff, 81.6% come from White ethnic groups, with 8% from Asian backgrounds and 6.3% from Black ethnic groups. </w:t>
      </w:r>
    </w:p>
    <w:p w14:paraId="268EB4D7" w14:textId="4BBC726C" w:rsidR="004333DC" w:rsidRPr="000935FE" w:rsidRDefault="004333DC">
      <w:pPr>
        <w:rPr>
          <w:rFonts w:ascii="Verdana" w:hAnsi="Verdana"/>
        </w:rPr>
      </w:pPr>
    </w:p>
    <w:p w14:paraId="0073DFCD" w14:textId="7A46C736" w:rsidR="004333DC" w:rsidRPr="000935FE" w:rsidRDefault="004333DC" w:rsidP="004333DC">
      <w:pPr>
        <w:rPr>
          <w:rFonts w:ascii="Verdana" w:hAnsi="Verdana"/>
        </w:rPr>
      </w:pPr>
      <w:r w:rsidRPr="000935FE">
        <w:rPr>
          <w:rFonts w:ascii="Verdana" w:hAnsi="Verdana"/>
          <w:b/>
          <w:bCs/>
        </w:rPr>
        <w:t xml:space="preserve">Proportion of non-medical staff in very senior manager broad grade posts – England – 2019 </w:t>
      </w:r>
      <w:r w:rsidRPr="000935FE">
        <w:rPr>
          <w:rFonts w:ascii="Verdana" w:hAnsi="Verdana"/>
        </w:rPr>
        <w:t>– NHS Workforce Statistics</w:t>
      </w:r>
    </w:p>
    <w:p w14:paraId="177E7CAB" w14:textId="3337A9C4" w:rsidR="004333DC" w:rsidRPr="000935FE" w:rsidRDefault="004333DC">
      <w:pPr>
        <w:rPr>
          <w:rFonts w:ascii="Verdana" w:hAnsi="Verdana"/>
          <w:b/>
          <w:bCs/>
        </w:rPr>
      </w:pPr>
    </w:p>
    <w:p w14:paraId="79789BA4" w14:textId="5076BE29" w:rsidR="00774062" w:rsidRPr="000935FE" w:rsidRDefault="00774062">
      <w:pPr>
        <w:rPr>
          <w:rFonts w:ascii="Verdana" w:hAnsi="Verdana"/>
          <w:sz w:val="22"/>
          <w:szCs w:val="22"/>
        </w:rPr>
      </w:pPr>
      <w:r w:rsidRPr="000935FE">
        <w:rPr>
          <w:rFonts w:ascii="Verdana" w:hAnsi="Verdana"/>
          <w:sz w:val="22"/>
          <w:szCs w:val="22"/>
        </w:rPr>
        <w:t xml:space="preserve">Just over 7% of very senior manager grade non-medical NHS staff are from non-White ethnic groups. This increases to 16.7% among support grades (bands 1-4). </w:t>
      </w:r>
    </w:p>
    <w:p w14:paraId="05B83F7A" w14:textId="77777777" w:rsidR="008463EC" w:rsidRPr="000935FE" w:rsidRDefault="008463EC">
      <w:pPr>
        <w:rPr>
          <w:rFonts w:ascii="Verdana" w:hAnsi="Verdana"/>
        </w:rPr>
      </w:pPr>
    </w:p>
    <w:p w14:paraId="4A8811AE" w14:textId="7AD4F604" w:rsidR="00A2485C" w:rsidRPr="000935FE" w:rsidRDefault="00B436FE">
      <w:pPr>
        <w:rPr>
          <w:rFonts w:ascii="Verdana" w:hAnsi="Verdana"/>
        </w:rPr>
      </w:pPr>
      <w:r w:rsidRPr="000935FE">
        <w:rPr>
          <w:rFonts w:ascii="Verdana" w:hAnsi="Verdana"/>
          <w:b/>
          <w:bCs/>
        </w:rPr>
        <w:t>NHS staff experiencing discrimination at work. England – 2018 –</w:t>
      </w:r>
      <w:r w:rsidRPr="000935FE">
        <w:rPr>
          <w:rFonts w:ascii="Verdana" w:hAnsi="Verdana"/>
        </w:rPr>
        <w:t xml:space="preserve"> Workforce Race Equality Standard (WRES)</w:t>
      </w:r>
    </w:p>
    <w:p w14:paraId="56EEFEEC" w14:textId="114AC461" w:rsidR="00B436FE" w:rsidRPr="000935FE" w:rsidRDefault="00B436FE">
      <w:pPr>
        <w:rPr>
          <w:rFonts w:ascii="Verdana" w:hAnsi="Verdana"/>
        </w:rPr>
      </w:pPr>
    </w:p>
    <w:p w14:paraId="7C5C7309" w14:textId="7F72A571" w:rsidR="004333DC" w:rsidRPr="000935FE" w:rsidRDefault="004333DC">
      <w:pPr>
        <w:rPr>
          <w:rFonts w:ascii="Verdana" w:hAnsi="Verdana"/>
          <w:sz w:val="22"/>
          <w:szCs w:val="22"/>
        </w:rPr>
      </w:pPr>
      <w:r w:rsidRPr="000935FE">
        <w:rPr>
          <w:rFonts w:ascii="Verdana" w:hAnsi="Verdana"/>
          <w:sz w:val="22"/>
          <w:szCs w:val="22"/>
        </w:rPr>
        <w:t>Overall, 7% (one in 14) of White ethnic groups reported experiencing discrimination at work. This is more than doubled among non-White groups with 15% (one in seven). The highest proportion of staff in non-White ethnic groups reporting discrimination was amongst staff in Ambulance Trusts.</w:t>
      </w:r>
    </w:p>
    <w:p w14:paraId="65127CCD" w14:textId="77777777" w:rsidR="004333DC" w:rsidRPr="000935FE" w:rsidRDefault="004333DC">
      <w:pPr>
        <w:rPr>
          <w:rFonts w:ascii="Verdana" w:hAnsi="Verdana"/>
          <w:sz w:val="22"/>
          <w:szCs w:val="22"/>
        </w:rPr>
      </w:pPr>
    </w:p>
    <w:p w14:paraId="4B02B1A5" w14:textId="5B6F7AC1" w:rsidR="00B436FE" w:rsidRPr="000935FE" w:rsidRDefault="00B436FE">
      <w:pPr>
        <w:rPr>
          <w:rFonts w:ascii="Verdana" w:hAnsi="Verdana"/>
          <w:sz w:val="22"/>
          <w:szCs w:val="22"/>
        </w:rPr>
      </w:pPr>
      <w:r w:rsidRPr="000935FE">
        <w:rPr>
          <w:rFonts w:ascii="Verdana" w:hAnsi="Verdana"/>
          <w:sz w:val="22"/>
          <w:szCs w:val="22"/>
        </w:rPr>
        <w:t xml:space="preserve">In all trust types (Acute, Ambulance, Community provider, and Mental Health), those in non-White ethnic groups reported </w:t>
      </w:r>
      <w:r w:rsidR="004333DC" w:rsidRPr="000935FE">
        <w:rPr>
          <w:rFonts w:ascii="Verdana" w:hAnsi="Verdana"/>
          <w:sz w:val="22"/>
          <w:szCs w:val="22"/>
        </w:rPr>
        <w:t>higher rates of discrimination at work.</w:t>
      </w:r>
    </w:p>
    <w:p w14:paraId="5EC519AD" w14:textId="4A76DA56" w:rsidR="004333DC" w:rsidRPr="000935FE" w:rsidRDefault="004333DC">
      <w:pPr>
        <w:rPr>
          <w:rFonts w:ascii="Verdana" w:hAnsi="Verdana"/>
        </w:rPr>
      </w:pPr>
    </w:p>
    <w:p w14:paraId="4CA302F0" w14:textId="50AF712D" w:rsidR="004333DC" w:rsidRPr="000935FE" w:rsidRDefault="00946023">
      <w:pPr>
        <w:rPr>
          <w:rFonts w:ascii="Verdana" w:hAnsi="Verdana"/>
          <w:color w:val="000000" w:themeColor="text1"/>
        </w:rPr>
      </w:pPr>
      <w:r w:rsidRPr="000935FE">
        <w:rPr>
          <w:rFonts w:ascii="Verdana" w:hAnsi="Verdana"/>
          <w:b/>
          <w:bCs/>
          <w:color w:val="000000" w:themeColor="text1"/>
        </w:rPr>
        <w:t>Proportion</w:t>
      </w:r>
      <w:r w:rsidR="004333DC" w:rsidRPr="000935FE">
        <w:rPr>
          <w:rFonts w:ascii="Verdana" w:hAnsi="Verdana"/>
          <w:b/>
          <w:bCs/>
          <w:color w:val="000000" w:themeColor="text1"/>
        </w:rPr>
        <w:t xml:space="preserve"> in good health </w:t>
      </w:r>
      <w:r w:rsidR="00774062" w:rsidRPr="000935FE">
        <w:rPr>
          <w:rFonts w:ascii="Verdana" w:hAnsi="Verdana"/>
          <w:b/>
          <w:bCs/>
          <w:color w:val="000000" w:themeColor="text1"/>
        </w:rPr>
        <w:t>– Local Authority Areas – 2011 –</w:t>
      </w:r>
      <w:r w:rsidR="00774062" w:rsidRPr="000935FE">
        <w:rPr>
          <w:rFonts w:ascii="Verdana" w:hAnsi="Verdana"/>
          <w:color w:val="000000" w:themeColor="text1"/>
        </w:rPr>
        <w:t xml:space="preserve"> Census</w:t>
      </w:r>
    </w:p>
    <w:p w14:paraId="2B8C2182" w14:textId="7C342C35" w:rsidR="00774062" w:rsidRPr="000935FE" w:rsidRDefault="00774062">
      <w:pPr>
        <w:rPr>
          <w:rFonts w:ascii="Verdana" w:hAnsi="Verdana"/>
          <w:color w:val="000000" w:themeColor="text1"/>
        </w:rPr>
      </w:pPr>
    </w:p>
    <w:p w14:paraId="37840115" w14:textId="7AF39592" w:rsidR="004333DC" w:rsidRPr="000935FE" w:rsidRDefault="00774062">
      <w:pPr>
        <w:rPr>
          <w:rFonts w:ascii="Verdana" w:hAnsi="Verdana"/>
          <w:color w:val="000000" w:themeColor="text1"/>
          <w:sz w:val="22"/>
          <w:szCs w:val="22"/>
        </w:rPr>
      </w:pPr>
      <w:r w:rsidRPr="000935FE">
        <w:rPr>
          <w:rFonts w:ascii="Verdana" w:hAnsi="Verdana"/>
          <w:color w:val="000000" w:themeColor="text1"/>
          <w:sz w:val="22"/>
          <w:szCs w:val="22"/>
        </w:rPr>
        <w:t>In Sussex local areas around 80% of those in White ethnic</w:t>
      </w:r>
      <w:r w:rsidR="00946023" w:rsidRPr="000935FE">
        <w:rPr>
          <w:rFonts w:ascii="Verdana" w:hAnsi="Verdana"/>
          <w:color w:val="000000" w:themeColor="text1"/>
          <w:sz w:val="22"/>
          <w:szCs w:val="22"/>
        </w:rPr>
        <w:t xml:space="preserve"> groups reported very good or good health on census day 2011. Self-reported very good and good health was between 88-91% of BAME groups, although ‘other’ ethnic groups in Brighton and Hove reported comparable good health to White groups (83%)</w:t>
      </w:r>
    </w:p>
    <w:p w14:paraId="2496C0C2" w14:textId="7E7E9F73" w:rsidR="00946023" w:rsidRDefault="00946023">
      <w:pPr>
        <w:rPr>
          <w:rFonts w:ascii="Verdana" w:hAnsi="Verdana"/>
        </w:rPr>
      </w:pPr>
    </w:p>
    <w:p w14:paraId="5AB7EBB9" w14:textId="5CDAF63E" w:rsidR="00C21E04" w:rsidRDefault="00C21E04">
      <w:pPr>
        <w:rPr>
          <w:rFonts w:ascii="Verdana" w:hAnsi="Verdana"/>
        </w:rPr>
      </w:pPr>
    </w:p>
    <w:p w14:paraId="572580CA" w14:textId="54CA9E2C" w:rsidR="00C21E04" w:rsidRDefault="00C21E04">
      <w:pPr>
        <w:rPr>
          <w:rFonts w:ascii="Verdana" w:hAnsi="Verdana"/>
        </w:rPr>
      </w:pPr>
    </w:p>
    <w:p w14:paraId="7C22E130" w14:textId="77777777" w:rsidR="00C21E04" w:rsidRPr="000935FE" w:rsidRDefault="00C21E04">
      <w:pPr>
        <w:rPr>
          <w:rFonts w:ascii="Verdana" w:hAnsi="Verdana"/>
        </w:rPr>
      </w:pPr>
    </w:p>
    <w:p w14:paraId="2C621C9B" w14:textId="77777777" w:rsidR="004333DC" w:rsidRPr="000935FE" w:rsidRDefault="004333DC" w:rsidP="004333DC">
      <w:pPr>
        <w:rPr>
          <w:rFonts w:ascii="Verdana" w:hAnsi="Verdana"/>
        </w:rPr>
      </w:pPr>
      <w:r w:rsidRPr="000935FE">
        <w:rPr>
          <w:rFonts w:ascii="Verdana" w:hAnsi="Verdana"/>
          <w:b/>
          <w:bCs/>
        </w:rPr>
        <w:lastRenderedPageBreak/>
        <w:t>Employment rate of those with Long Term Conditions – England – Quarter 3 2019 (July-September 2019) – NHS Outcomes Framework –</w:t>
      </w:r>
      <w:r w:rsidRPr="000935FE">
        <w:rPr>
          <w:rFonts w:ascii="Verdana" w:hAnsi="Verdana"/>
        </w:rPr>
        <w:t xml:space="preserve"> ONS Labour Force Survey</w:t>
      </w:r>
    </w:p>
    <w:p w14:paraId="4AF02C84" w14:textId="77777777" w:rsidR="004333DC" w:rsidRPr="000935FE" w:rsidRDefault="004333DC" w:rsidP="004333DC">
      <w:pPr>
        <w:rPr>
          <w:rFonts w:ascii="Verdana" w:hAnsi="Verdana"/>
        </w:rPr>
      </w:pPr>
    </w:p>
    <w:p w14:paraId="7AE8A55B" w14:textId="77777777" w:rsidR="004333DC" w:rsidRPr="000935FE" w:rsidRDefault="004333DC" w:rsidP="004333DC">
      <w:pPr>
        <w:rPr>
          <w:rFonts w:ascii="Verdana" w:hAnsi="Verdana"/>
          <w:sz w:val="22"/>
          <w:szCs w:val="22"/>
        </w:rPr>
      </w:pPr>
      <w:r w:rsidRPr="000935FE">
        <w:rPr>
          <w:rFonts w:ascii="Verdana" w:hAnsi="Verdana"/>
          <w:sz w:val="22"/>
          <w:szCs w:val="22"/>
        </w:rPr>
        <w:t xml:space="preserve">65.6% of the population in England with a </w:t>
      </w:r>
      <w:proofErr w:type="gramStart"/>
      <w:r w:rsidRPr="000935FE">
        <w:rPr>
          <w:rFonts w:ascii="Verdana" w:hAnsi="Verdana"/>
          <w:sz w:val="22"/>
          <w:szCs w:val="22"/>
        </w:rPr>
        <w:t>long term</w:t>
      </w:r>
      <w:proofErr w:type="gramEnd"/>
      <w:r w:rsidRPr="000935FE">
        <w:rPr>
          <w:rFonts w:ascii="Verdana" w:hAnsi="Verdana"/>
          <w:sz w:val="22"/>
          <w:szCs w:val="22"/>
        </w:rPr>
        <w:t xml:space="preserve"> condition were in employment as at September 2019. This is 11 percentage points lower than the population employment overall (76.6%).</w:t>
      </w:r>
    </w:p>
    <w:p w14:paraId="4A1C995B" w14:textId="77777777" w:rsidR="004333DC" w:rsidRPr="000935FE" w:rsidRDefault="004333DC" w:rsidP="004333DC">
      <w:pPr>
        <w:rPr>
          <w:rFonts w:ascii="Verdana" w:hAnsi="Verdana"/>
          <w:sz w:val="22"/>
          <w:szCs w:val="22"/>
        </w:rPr>
      </w:pPr>
    </w:p>
    <w:p w14:paraId="4634174B" w14:textId="77777777" w:rsidR="004333DC" w:rsidRPr="000935FE" w:rsidRDefault="004333DC" w:rsidP="004333DC">
      <w:pPr>
        <w:rPr>
          <w:rFonts w:ascii="Verdana" w:hAnsi="Verdana"/>
          <w:sz w:val="22"/>
          <w:szCs w:val="22"/>
        </w:rPr>
      </w:pPr>
      <w:r w:rsidRPr="000935FE">
        <w:rPr>
          <w:rFonts w:ascii="Verdana" w:hAnsi="Verdana"/>
          <w:sz w:val="22"/>
          <w:szCs w:val="22"/>
        </w:rPr>
        <w:t>The employment rate among Chinese ethnic groups is actually higher among those with LTCs compared to the general employment rate for Chinese groups. The smallest gap in employment rate was among those in Arab ethnic groups and Asian ethnic groups.</w:t>
      </w:r>
    </w:p>
    <w:p w14:paraId="576E6CEA" w14:textId="77777777" w:rsidR="004333DC" w:rsidRPr="000935FE" w:rsidRDefault="004333DC" w:rsidP="004333DC">
      <w:pPr>
        <w:rPr>
          <w:rFonts w:ascii="Verdana" w:hAnsi="Verdana"/>
        </w:rPr>
      </w:pPr>
    </w:p>
    <w:tbl>
      <w:tblPr>
        <w:tblW w:w="9923" w:type="dxa"/>
        <w:tblLook w:val="04A0" w:firstRow="1" w:lastRow="0" w:firstColumn="1" w:lastColumn="0" w:noHBand="0" w:noVBand="1"/>
      </w:tblPr>
      <w:tblGrid>
        <w:gridCol w:w="3040"/>
        <w:gridCol w:w="3056"/>
        <w:gridCol w:w="2126"/>
        <w:gridCol w:w="1701"/>
      </w:tblGrid>
      <w:tr w:rsidR="004333DC" w:rsidRPr="000935FE" w14:paraId="07C7B2D5" w14:textId="77777777" w:rsidTr="000935FE">
        <w:trPr>
          <w:trHeight w:val="20"/>
        </w:trPr>
        <w:tc>
          <w:tcPr>
            <w:tcW w:w="3040" w:type="dxa"/>
            <w:shd w:val="clear" w:color="auto" w:fill="auto"/>
            <w:hideMark/>
          </w:tcPr>
          <w:p w14:paraId="42553096" w14:textId="77777777" w:rsidR="004333DC" w:rsidRPr="000935FE" w:rsidRDefault="004333DC" w:rsidP="000935FE">
            <w:pPr>
              <w:rPr>
                <w:rFonts w:ascii="Verdana" w:hAnsi="Verdana" w:cs="Arial"/>
                <w:b/>
                <w:bCs/>
                <w:sz w:val="20"/>
                <w:szCs w:val="20"/>
              </w:rPr>
            </w:pPr>
            <w:r w:rsidRPr="000935FE">
              <w:rPr>
                <w:rFonts w:ascii="Verdana" w:hAnsi="Verdana" w:cs="Arial"/>
                <w:b/>
                <w:bCs/>
                <w:sz w:val="20"/>
                <w:szCs w:val="20"/>
              </w:rPr>
              <w:t>Ethnicity</w:t>
            </w:r>
          </w:p>
        </w:tc>
        <w:tc>
          <w:tcPr>
            <w:tcW w:w="3056" w:type="dxa"/>
            <w:shd w:val="clear" w:color="auto" w:fill="auto"/>
            <w:hideMark/>
          </w:tcPr>
          <w:p w14:paraId="5935D3B1" w14:textId="77777777" w:rsidR="004333DC" w:rsidRPr="000935FE" w:rsidRDefault="004333DC" w:rsidP="000935FE">
            <w:pPr>
              <w:jc w:val="right"/>
              <w:rPr>
                <w:rFonts w:ascii="Verdana" w:hAnsi="Verdana" w:cs="Arial"/>
                <w:b/>
                <w:bCs/>
                <w:sz w:val="20"/>
                <w:szCs w:val="20"/>
              </w:rPr>
            </w:pPr>
            <w:r w:rsidRPr="000935FE">
              <w:rPr>
                <w:rFonts w:ascii="Verdana" w:hAnsi="Verdana" w:cs="Arial"/>
                <w:b/>
                <w:bCs/>
                <w:sz w:val="20"/>
                <w:szCs w:val="20"/>
              </w:rPr>
              <w:t>Employment rate of people with long-term conditions</w:t>
            </w:r>
          </w:p>
        </w:tc>
        <w:tc>
          <w:tcPr>
            <w:tcW w:w="2126" w:type="dxa"/>
            <w:shd w:val="clear" w:color="auto" w:fill="auto"/>
            <w:hideMark/>
          </w:tcPr>
          <w:p w14:paraId="0107080B" w14:textId="77777777" w:rsidR="004333DC" w:rsidRPr="000935FE" w:rsidRDefault="004333DC" w:rsidP="000935FE">
            <w:pPr>
              <w:jc w:val="right"/>
              <w:rPr>
                <w:rFonts w:ascii="Verdana" w:hAnsi="Verdana" w:cs="Arial"/>
                <w:b/>
                <w:bCs/>
                <w:sz w:val="20"/>
                <w:szCs w:val="20"/>
              </w:rPr>
            </w:pPr>
            <w:r w:rsidRPr="000935FE">
              <w:rPr>
                <w:rFonts w:ascii="Verdana" w:hAnsi="Verdana" w:cs="Arial"/>
                <w:b/>
                <w:bCs/>
                <w:sz w:val="20"/>
                <w:szCs w:val="20"/>
              </w:rPr>
              <w:t xml:space="preserve">Employment rate of population </w:t>
            </w:r>
          </w:p>
        </w:tc>
        <w:tc>
          <w:tcPr>
            <w:tcW w:w="1701" w:type="dxa"/>
            <w:shd w:val="clear" w:color="auto" w:fill="auto"/>
            <w:hideMark/>
          </w:tcPr>
          <w:p w14:paraId="05CC4034" w14:textId="77777777" w:rsidR="004333DC" w:rsidRPr="000935FE" w:rsidRDefault="004333DC" w:rsidP="000935FE">
            <w:pPr>
              <w:jc w:val="right"/>
              <w:rPr>
                <w:rFonts w:ascii="Verdana" w:hAnsi="Verdana" w:cs="Arial"/>
                <w:b/>
                <w:bCs/>
                <w:sz w:val="20"/>
                <w:szCs w:val="20"/>
              </w:rPr>
            </w:pPr>
            <w:r w:rsidRPr="000935FE">
              <w:rPr>
                <w:rFonts w:ascii="Verdana" w:hAnsi="Verdana" w:cs="Arial"/>
                <w:b/>
                <w:bCs/>
                <w:sz w:val="20"/>
                <w:szCs w:val="20"/>
              </w:rPr>
              <w:t>Percentage point difference</w:t>
            </w:r>
          </w:p>
        </w:tc>
      </w:tr>
      <w:tr w:rsidR="004333DC" w:rsidRPr="000935FE" w14:paraId="26B08D2C" w14:textId="77777777" w:rsidTr="000935FE">
        <w:trPr>
          <w:trHeight w:val="20"/>
        </w:trPr>
        <w:tc>
          <w:tcPr>
            <w:tcW w:w="3040" w:type="dxa"/>
            <w:shd w:val="clear" w:color="auto" w:fill="auto"/>
            <w:vAlign w:val="bottom"/>
            <w:hideMark/>
          </w:tcPr>
          <w:p w14:paraId="13244D3D" w14:textId="77777777" w:rsidR="004333DC" w:rsidRPr="000935FE" w:rsidRDefault="004333DC" w:rsidP="00B0722B">
            <w:pPr>
              <w:rPr>
                <w:rFonts w:ascii="Verdana" w:hAnsi="Verdana" w:cs="Arial"/>
                <w:sz w:val="20"/>
                <w:szCs w:val="20"/>
              </w:rPr>
            </w:pPr>
            <w:r w:rsidRPr="000935FE">
              <w:rPr>
                <w:rFonts w:ascii="Verdana" w:hAnsi="Verdana" w:cs="Arial"/>
                <w:sz w:val="20"/>
                <w:szCs w:val="20"/>
              </w:rPr>
              <w:t>Arab</w:t>
            </w:r>
          </w:p>
        </w:tc>
        <w:tc>
          <w:tcPr>
            <w:tcW w:w="3056" w:type="dxa"/>
            <w:shd w:val="clear" w:color="auto" w:fill="auto"/>
            <w:vAlign w:val="bottom"/>
            <w:hideMark/>
          </w:tcPr>
          <w:p w14:paraId="72B3C5AD"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45.5</w:t>
            </w:r>
          </w:p>
        </w:tc>
        <w:tc>
          <w:tcPr>
            <w:tcW w:w="2126" w:type="dxa"/>
            <w:shd w:val="clear" w:color="auto" w:fill="auto"/>
            <w:vAlign w:val="bottom"/>
            <w:hideMark/>
          </w:tcPr>
          <w:p w14:paraId="75B369CC"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52.4</w:t>
            </w:r>
          </w:p>
        </w:tc>
        <w:tc>
          <w:tcPr>
            <w:tcW w:w="1701" w:type="dxa"/>
            <w:shd w:val="clear" w:color="auto" w:fill="auto"/>
            <w:noWrap/>
            <w:vAlign w:val="bottom"/>
            <w:hideMark/>
          </w:tcPr>
          <w:p w14:paraId="7EEEB55C"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6.9</w:t>
            </w:r>
          </w:p>
        </w:tc>
      </w:tr>
      <w:tr w:rsidR="004333DC" w:rsidRPr="000935FE" w14:paraId="518F8551" w14:textId="77777777" w:rsidTr="000935FE">
        <w:trPr>
          <w:trHeight w:val="20"/>
        </w:trPr>
        <w:tc>
          <w:tcPr>
            <w:tcW w:w="3040" w:type="dxa"/>
            <w:shd w:val="clear" w:color="auto" w:fill="auto"/>
            <w:vAlign w:val="bottom"/>
            <w:hideMark/>
          </w:tcPr>
          <w:p w14:paraId="5E24A979" w14:textId="77777777" w:rsidR="004333DC" w:rsidRPr="000935FE" w:rsidRDefault="004333DC" w:rsidP="00B0722B">
            <w:pPr>
              <w:rPr>
                <w:rFonts w:ascii="Verdana" w:hAnsi="Verdana" w:cs="Arial"/>
                <w:sz w:val="20"/>
                <w:szCs w:val="20"/>
              </w:rPr>
            </w:pPr>
            <w:r w:rsidRPr="000935FE">
              <w:rPr>
                <w:rFonts w:ascii="Verdana" w:hAnsi="Verdana" w:cs="Arial"/>
                <w:sz w:val="20"/>
                <w:szCs w:val="20"/>
              </w:rPr>
              <w:t>Asian / Asian British</w:t>
            </w:r>
          </w:p>
        </w:tc>
        <w:tc>
          <w:tcPr>
            <w:tcW w:w="3056" w:type="dxa"/>
            <w:shd w:val="clear" w:color="auto" w:fill="auto"/>
            <w:vAlign w:val="bottom"/>
            <w:hideMark/>
          </w:tcPr>
          <w:p w14:paraId="3F8674A7"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58.2</w:t>
            </w:r>
          </w:p>
        </w:tc>
        <w:tc>
          <w:tcPr>
            <w:tcW w:w="2126" w:type="dxa"/>
            <w:shd w:val="clear" w:color="auto" w:fill="auto"/>
            <w:vAlign w:val="bottom"/>
            <w:hideMark/>
          </w:tcPr>
          <w:p w14:paraId="24360183"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66.3</w:t>
            </w:r>
          </w:p>
        </w:tc>
        <w:tc>
          <w:tcPr>
            <w:tcW w:w="1701" w:type="dxa"/>
            <w:shd w:val="clear" w:color="auto" w:fill="auto"/>
            <w:noWrap/>
            <w:vAlign w:val="bottom"/>
            <w:hideMark/>
          </w:tcPr>
          <w:p w14:paraId="46E4C612"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8.1</w:t>
            </w:r>
          </w:p>
        </w:tc>
      </w:tr>
      <w:tr w:rsidR="004333DC" w:rsidRPr="000935FE" w14:paraId="564FA525" w14:textId="77777777" w:rsidTr="000935FE">
        <w:trPr>
          <w:trHeight w:val="20"/>
        </w:trPr>
        <w:tc>
          <w:tcPr>
            <w:tcW w:w="3040" w:type="dxa"/>
            <w:shd w:val="clear" w:color="auto" w:fill="auto"/>
            <w:vAlign w:val="bottom"/>
            <w:hideMark/>
          </w:tcPr>
          <w:p w14:paraId="09FA5A08" w14:textId="77777777" w:rsidR="004333DC" w:rsidRPr="000935FE" w:rsidRDefault="004333DC" w:rsidP="00B0722B">
            <w:pPr>
              <w:rPr>
                <w:rFonts w:ascii="Verdana" w:hAnsi="Verdana" w:cs="Arial"/>
                <w:sz w:val="20"/>
                <w:szCs w:val="20"/>
              </w:rPr>
            </w:pPr>
            <w:r w:rsidRPr="000935FE">
              <w:rPr>
                <w:rFonts w:ascii="Verdana" w:hAnsi="Verdana" w:cs="Arial"/>
                <w:sz w:val="20"/>
                <w:szCs w:val="20"/>
              </w:rPr>
              <w:t>Black / African / Caribbean / Black British</w:t>
            </w:r>
          </w:p>
        </w:tc>
        <w:tc>
          <w:tcPr>
            <w:tcW w:w="3056" w:type="dxa"/>
            <w:shd w:val="clear" w:color="auto" w:fill="auto"/>
            <w:vAlign w:val="bottom"/>
            <w:hideMark/>
          </w:tcPr>
          <w:p w14:paraId="645CA412"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58.9</w:t>
            </w:r>
          </w:p>
        </w:tc>
        <w:tc>
          <w:tcPr>
            <w:tcW w:w="2126" w:type="dxa"/>
            <w:shd w:val="clear" w:color="auto" w:fill="auto"/>
            <w:vAlign w:val="bottom"/>
            <w:hideMark/>
          </w:tcPr>
          <w:p w14:paraId="510F2519"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69.2</w:t>
            </w:r>
          </w:p>
        </w:tc>
        <w:tc>
          <w:tcPr>
            <w:tcW w:w="1701" w:type="dxa"/>
            <w:shd w:val="clear" w:color="auto" w:fill="auto"/>
            <w:noWrap/>
            <w:vAlign w:val="bottom"/>
            <w:hideMark/>
          </w:tcPr>
          <w:p w14:paraId="4D0F12C3"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10.4</w:t>
            </w:r>
          </w:p>
        </w:tc>
      </w:tr>
      <w:tr w:rsidR="004333DC" w:rsidRPr="000935FE" w14:paraId="5D875284" w14:textId="77777777" w:rsidTr="000935FE">
        <w:trPr>
          <w:trHeight w:val="20"/>
        </w:trPr>
        <w:tc>
          <w:tcPr>
            <w:tcW w:w="3040" w:type="dxa"/>
            <w:shd w:val="clear" w:color="auto" w:fill="auto"/>
            <w:vAlign w:val="bottom"/>
            <w:hideMark/>
          </w:tcPr>
          <w:p w14:paraId="487F6245" w14:textId="77777777" w:rsidR="004333DC" w:rsidRPr="000935FE" w:rsidRDefault="004333DC" w:rsidP="00B0722B">
            <w:pPr>
              <w:rPr>
                <w:rFonts w:ascii="Verdana" w:hAnsi="Verdana" w:cs="Arial"/>
                <w:sz w:val="20"/>
                <w:szCs w:val="20"/>
              </w:rPr>
            </w:pPr>
            <w:r w:rsidRPr="000935FE">
              <w:rPr>
                <w:rFonts w:ascii="Verdana" w:hAnsi="Verdana" w:cs="Arial"/>
                <w:sz w:val="20"/>
                <w:szCs w:val="20"/>
              </w:rPr>
              <w:t>Chinese</w:t>
            </w:r>
          </w:p>
        </w:tc>
        <w:tc>
          <w:tcPr>
            <w:tcW w:w="3056" w:type="dxa"/>
            <w:shd w:val="clear" w:color="auto" w:fill="auto"/>
            <w:vAlign w:val="bottom"/>
            <w:hideMark/>
          </w:tcPr>
          <w:p w14:paraId="59E9C522"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72.0</w:t>
            </w:r>
          </w:p>
        </w:tc>
        <w:tc>
          <w:tcPr>
            <w:tcW w:w="2126" w:type="dxa"/>
            <w:shd w:val="clear" w:color="auto" w:fill="auto"/>
            <w:vAlign w:val="bottom"/>
            <w:hideMark/>
          </w:tcPr>
          <w:p w14:paraId="783CA1E8"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62.0</w:t>
            </w:r>
          </w:p>
        </w:tc>
        <w:tc>
          <w:tcPr>
            <w:tcW w:w="1701" w:type="dxa"/>
            <w:shd w:val="clear" w:color="auto" w:fill="auto"/>
            <w:noWrap/>
            <w:vAlign w:val="bottom"/>
            <w:hideMark/>
          </w:tcPr>
          <w:p w14:paraId="491C4B73"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-10.0</w:t>
            </w:r>
          </w:p>
        </w:tc>
      </w:tr>
      <w:tr w:rsidR="004333DC" w:rsidRPr="000935FE" w14:paraId="0BFE01E7" w14:textId="77777777" w:rsidTr="000935FE">
        <w:trPr>
          <w:trHeight w:val="20"/>
        </w:trPr>
        <w:tc>
          <w:tcPr>
            <w:tcW w:w="3040" w:type="dxa"/>
            <w:shd w:val="clear" w:color="auto" w:fill="auto"/>
            <w:vAlign w:val="bottom"/>
            <w:hideMark/>
          </w:tcPr>
          <w:p w14:paraId="2B7586B1" w14:textId="77777777" w:rsidR="004333DC" w:rsidRPr="000935FE" w:rsidRDefault="004333DC" w:rsidP="00B0722B">
            <w:pPr>
              <w:rPr>
                <w:rFonts w:ascii="Verdana" w:hAnsi="Verdana" w:cs="Arial"/>
                <w:sz w:val="20"/>
                <w:szCs w:val="20"/>
              </w:rPr>
            </w:pPr>
            <w:r w:rsidRPr="000935FE">
              <w:rPr>
                <w:rFonts w:ascii="Verdana" w:hAnsi="Verdana" w:cs="Arial"/>
                <w:sz w:val="20"/>
                <w:szCs w:val="20"/>
              </w:rPr>
              <w:t>Mixed / Multiple ethnic groups</w:t>
            </w:r>
          </w:p>
        </w:tc>
        <w:tc>
          <w:tcPr>
            <w:tcW w:w="3056" w:type="dxa"/>
            <w:shd w:val="clear" w:color="auto" w:fill="auto"/>
            <w:vAlign w:val="bottom"/>
            <w:hideMark/>
          </w:tcPr>
          <w:p w14:paraId="56BD0DFD"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55.1</w:t>
            </w:r>
          </w:p>
        </w:tc>
        <w:tc>
          <w:tcPr>
            <w:tcW w:w="2126" w:type="dxa"/>
            <w:shd w:val="clear" w:color="auto" w:fill="auto"/>
            <w:vAlign w:val="bottom"/>
            <w:hideMark/>
          </w:tcPr>
          <w:p w14:paraId="2DCE8D03"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66.4</w:t>
            </w:r>
          </w:p>
        </w:tc>
        <w:tc>
          <w:tcPr>
            <w:tcW w:w="1701" w:type="dxa"/>
            <w:shd w:val="clear" w:color="auto" w:fill="auto"/>
            <w:noWrap/>
            <w:vAlign w:val="bottom"/>
            <w:hideMark/>
          </w:tcPr>
          <w:p w14:paraId="6804675B"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11.3</w:t>
            </w:r>
          </w:p>
        </w:tc>
      </w:tr>
      <w:tr w:rsidR="004333DC" w:rsidRPr="000935FE" w14:paraId="14A93D79" w14:textId="77777777" w:rsidTr="000935FE">
        <w:trPr>
          <w:trHeight w:val="20"/>
        </w:trPr>
        <w:tc>
          <w:tcPr>
            <w:tcW w:w="3040" w:type="dxa"/>
            <w:shd w:val="clear" w:color="auto" w:fill="auto"/>
            <w:vAlign w:val="bottom"/>
            <w:hideMark/>
          </w:tcPr>
          <w:p w14:paraId="2A9BA75A" w14:textId="77777777" w:rsidR="004333DC" w:rsidRPr="000935FE" w:rsidRDefault="004333DC" w:rsidP="00B0722B">
            <w:pPr>
              <w:rPr>
                <w:rFonts w:ascii="Verdana" w:hAnsi="Verdana" w:cs="Arial"/>
                <w:sz w:val="20"/>
                <w:szCs w:val="20"/>
              </w:rPr>
            </w:pPr>
            <w:r w:rsidRPr="000935FE">
              <w:rPr>
                <w:rFonts w:ascii="Verdana" w:hAnsi="Verdana" w:cs="Arial"/>
                <w:sz w:val="20"/>
                <w:szCs w:val="20"/>
              </w:rPr>
              <w:t>White</w:t>
            </w:r>
          </w:p>
        </w:tc>
        <w:tc>
          <w:tcPr>
            <w:tcW w:w="3056" w:type="dxa"/>
            <w:shd w:val="clear" w:color="auto" w:fill="auto"/>
            <w:vAlign w:val="bottom"/>
            <w:hideMark/>
          </w:tcPr>
          <w:p w14:paraId="306FF685"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66.7</w:t>
            </w:r>
          </w:p>
        </w:tc>
        <w:tc>
          <w:tcPr>
            <w:tcW w:w="2126" w:type="dxa"/>
            <w:shd w:val="clear" w:color="auto" w:fill="auto"/>
            <w:vAlign w:val="bottom"/>
            <w:hideMark/>
          </w:tcPr>
          <w:p w14:paraId="52512974"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78.5</w:t>
            </w:r>
          </w:p>
        </w:tc>
        <w:tc>
          <w:tcPr>
            <w:tcW w:w="1701" w:type="dxa"/>
            <w:shd w:val="clear" w:color="auto" w:fill="auto"/>
            <w:noWrap/>
            <w:vAlign w:val="bottom"/>
            <w:hideMark/>
          </w:tcPr>
          <w:p w14:paraId="0EB01884"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11.8</w:t>
            </w:r>
          </w:p>
        </w:tc>
      </w:tr>
      <w:tr w:rsidR="004333DC" w:rsidRPr="000935FE" w14:paraId="08105F4F" w14:textId="77777777" w:rsidTr="000935FE">
        <w:trPr>
          <w:trHeight w:val="20"/>
        </w:trPr>
        <w:tc>
          <w:tcPr>
            <w:tcW w:w="3040" w:type="dxa"/>
            <w:shd w:val="clear" w:color="auto" w:fill="auto"/>
            <w:vAlign w:val="bottom"/>
            <w:hideMark/>
          </w:tcPr>
          <w:p w14:paraId="3BA8034E" w14:textId="77777777" w:rsidR="004333DC" w:rsidRPr="000935FE" w:rsidRDefault="004333DC" w:rsidP="00B0722B">
            <w:pPr>
              <w:rPr>
                <w:rFonts w:ascii="Verdana" w:hAnsi="Verdana" w:cs="Arial"/>
                <w:sz w:val="20"/>
                <w:szCs w:val="20"/>
              </w:rPr>
            </w:pPr>
            <w:proofErr w:type="gramStart"/>
            <w:r w:rsidRPr="000935FE">
              <w:rPr>
                <w:rFonts w:ascii="Verdana" w:hAnsi="Verdana" w:cs="Arial"/>
                <w:sz w:val="20"/>
                <w:szCs w:val="20"/>
              </w:rPr>
              <w:t>Other</w:t>
            </w:r>
            <w:proofErr w:type="gramEnd"/>
            <w:r w:rsidRPr="000935FE">
              <w:rPr>
                <w:rFonts w:ascii="Verdana" w:hAnsi="Verdana" w:cs="Arial"/>
                <w:sz w:val="20"/>
                <w:szCs w:val="20"/>
              </w:rPr>
              <w:t xml:space="preserve"> ethnic group</w:t>
            </w:r>
          </w:p>
        </w:tc>
        <w:tc>
          <w:tcPr>
            <w:tcW w:w="3056" w:type="dxa"/>
            <w:shd w:val="clear" w:color="auto" w:fill="auto"/>
            <w:vAlign w:val="bottom"/>
            <w:hideMark/>
          </w:tcPr>
          <w:p w14:paraId="37939197"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64.1</w:t>
            </w:r>
          </w:p>
        </w:tc>
        <w:tc>
          <w:tcPr>
            <w:tcW w:w="2126" w:type="dxa"/>
            <w:shd w:val="clear" w:color="auto" w:fill="auto"/>
            <w:vAlign w:val="bottom"/>
            <w:hideMark/>
          </w:tcPr>
          <w:p w14:paraId="334527EC"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68.9</w:t>
            </w:r>
          </w:p>
        </w:tc>
        <w:tc>
          <w:tcPr>
            <w:tcW w:w="1701" w:type="dxa"/>
            <w:shd w:val="clear" w:color="auto" w:fill="auto"/>
            <w:noWrap/>
            <w:vAlign w:val="bottom"/>
            <w:hideMark/>
          </w:tcPr>
          <w:p w14:paraId="7F1948F2"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4.8</w:t>
            </w:r>
          </w:p>
        </w:tc>
      </w:tr>
      <w:tr w:rsidR="004333DC" w:rsidRPr="000935FE" w14:paraId="7E98378E" w14:textId="77777777" w:rsidTr="000935FE">
        <w:trPr>
          <w:trHeight w:val="20"/>
        </w:trPr>
        <w:tc>
          <w:tcPr>
            <w:tcW w:w="3040" w:type="dxa"/>
            <w:shd w:val="clear" w:color="auto" w:fill="auto"/>
            <w:vAlign w:val="bottom"/>
            <w:hideMark/>
          </w:tcPr>
          <w:p w14:paraId="772502AF" w14:textId="77777777" w:rsidR="004333DC" w:rsidRPr="000935FE" w:rsidRDefault="004333DC" w:rsidP="00B0722B">
            <w:pPr>
              <w:rPr>
                <w:rFonts w:ascii="Verdana" w:hAnsi="Verdana" w:cs="Arial"/>
                <w:sz w:val="20"/>
                <w:szCs w:val="20"/>
              </w:rPr>
            </w:pPr>
            <w:r w:rsidRPr="000935FE">
              <w:rPr>
                <w:rFonts w:ascii="Verdana" w:hAnsi="Verdana" w:cs="Arial"/>
                <w:sz w:val="20"/>
                <w:szCs w:val="20"/>
              </w:rPr>
              <w:t>Don't know / Refused</w:t>
            </w:r>
          </w:p>
        </w:tc>
        <w:tc>
          <w:tcPr>
            <w:tcW w:w="3056" w:type="dxa"/>
            <w:shd w:val="clear" w:color="auto" w:fill="auto"/>
            <w:vAlign w:val="bottom"/>
            <w:hideMark/>
          </w:tcPr>
          <w:p w14:paraId="61E4DB20"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w:t>
            </w:r>
          </w:p>
        </w:tc>
        <w:tc>
          <w:tcPr>
            <w:tcW w:w="2126" w:type="dxa"/>
            <w:shd w:val="clear" w:color="auto" w:fill="auto"/>
            <w:vAlign w:val="bottom"/>
            <w:hideMark/>
          </w:tcPr>
          <w:p w14:paraId="23B735AA"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83.2</w:t>
            </w:r>
          </w:p>
        </w:tc>
        <w:tc>
          <w:tcPr>
            <w:tcW w:w="1701" w:type="dxa"/>
            <w:shd w:val="clear" w:color="auto" w:fill="auto"/>
            <w:noWrap/>
            <w:vAlign w:val="bottom"/>
            <w:hideMark/>
          </w:tcPr>
          <w:p w14:paraId="469288D5" w14:textId="77777777" w:rsidR="004333DC" w:rsidRPr="000935FE" w:rsidRDefault="004333DC" w:rsidP="00B0722B">
            <w:pPr>
              <w:jc w:val="right"/>
              <w:rPr>
                <w:rFonts w:ascii="Verdana" w:hAnsi="Verdana" w:cs="Arial"/>
                <w:sz w:val="20"/>
                <w:szCs w:val="20"/>
              </w:rPr>
            </w:pPr>
            <w:r w:rsidRPr="000935FE">
              <w:rPr>
                <w:rFonts w:ascii="Verdana" w:hAnsi="Verdana" w:cs="Arial"/>
                <w:sz w:val="20"/>
                <w:szCs w:val="20"/>
              </w:rPr>
              <w:t>*</w:t>
            </w:r>
          </w:p>
        </w:tc>
      </w:tr>
    </w:tbl>
    <w:p w14:paraId="30983D2B" w14:textId="5C03466E" w:rsidR="004333DC" w:rsidRPr="000935FE" w:rsidRDefault="004333DC" w:rsidP="004333DC">
      <w:pPr>
        <w:rPr>
          <w:rFonts w:ascii="Verdana" w:hAnsi="Verdana"/>
        </w:rPr>
      </w:pPr>
    </w:p>
    <w:p w14:paraId="66634BC3" w14:textId="684CB2DB" w:rsidR="00946023" w:rsidRPr="000935FE" w:rsidRDefault="00946023">
      <w:pPr>
        <w:rPr>
          <w:rFonts w:ascii="Verdana" w:hAnsi="Verdana"/>
        </w:rPr>
      </w:pPr>
      <w:r w:rsidRPr="000935FE">
        <w:rPr>
          <w:rFonts w:ascii="Verdana" w:hAnsi="Verdana"/>
          <w:b/>
          <w:bCs/>
        </w:rPr>
        <w:t xml:space="preserve">Percentage of people who feel supported to manage their long-term condition (LTC), weighted for design and non-response – England - 2018/19 – </w:t>
      </w:r>
      <w:r w:rsidRPr="000935FE">
        <w:rPr>
          <w:rFonts w:ascii="Verdana" w:hAnsi="Verdana"/>
        </w:rPr>
        <w:t xml:space="preserve">GP Patient Survey </w:t>
      </w:r>
      <w:r w:rsidR="00C22581" w:rsidRPr="000935FE">
        <w:rPr>
          <w:rFonts w:ascii="Verdana" w:hAnsi="Verdana"/>
        </w:rPr>
        <w:t>Ipsos</w:t>
      </w:r>
      <w:r w:rsidRPr="000935FE">
        <w:rPr>
          <w:rFonts w:ascii="Verdana" w:hAnsi="Verdana"/>
        </w:rPr>
        <w:t xml:space="preserve"> </w:t>
      </w:r>
      <w:r w:rsidR="00C22581" w:rsidRPr="000935FE">
        <w:rPr>
          <w:rFonts w:ascii="Verdana" w:hAnsi="Verdana"/>
        </w:rPr>
        <w:t>MORI</w:t>
      </w:r>
    </w:p>
    <w:p w14:paraId="5B4CE1A5" w14:textId="2F795BCC" w:rsidR="00B0722B" w:rsidRPr="000935FE" w:rsidRDefault="00B0722B">
      <w:pPr>
        <w:rPr>
          <w:rFonts w:ascii="Verdana" w:hAnsi="Verdana"/>
        </w:rPr>
      </w:pPr>
    </w:p>
    <w:p w14:paraId="5DC36751" w14:textId="7308BB06" w:rsidR="00B0722B" w:rsidRPr="0089257B" w:rsidRDefault="00B0722B">
      <w:pPr>
        <w:rPr>
          <w:rFonts w:ascii="Verdana" w:hAnsi="Verdana"/>
          <w:sz w:val="22"/>
          <w:szCs w:val="22"/>
        </w:rPr>
      </w:pPr>
      <w:r w:rsidRPr="0089257B">
        <w:rPr>
          <w:rFonts w:ascii="Verdana" w:hAnsi="Verdana"/>
          <w:sz w:val="22"/>
          <w:szCs w:val="22"/>
        </w:rPr>
        <w:t xml:space="preserve">Those in Irish and English/Welsh/Scottish/Northern Irish/British ethnic groups reported significantly higher rates of feeling supported to manage their </w:t>
      </w:r>
      <w:proofErr w:type="gramStart"/>
      <w:r w:rsidRPr="0089257B">
        <w:rPr>
          <w:rFonts w:ascii="Verdana" w:hAnsi="Verdana"/>
          <w:sz w:val="22"/>
          <w:szCs w:val="22"/>
        </w:rPr>
        <w:t>long term</w:t>
      </w:r>
      <w:proofErr w:type="gramEnd"/>
      <w:r w:rsidRPr="0089257B">
        <w:rPr>
          <w:rFonts w:ascii="Verdana" w:hAnsi="Verdana"/>
          <w:sz w:val="22"/>
          <w:szCs w:val="22"/>
        </w:rPr>
        <w:t xml:space="preserve"> conditions compared to BAME groups.</w:t>
      </w:r>
    </w:p>
    <w:p w14:paraId="30FBC174" w14:textId="453944C0" w:rsidR="00B0722B" w:rsidRPr="0089257B" w:rsidRDefault="00B0722B">
      <w:pPr>
        <w:rPr>
          <w:rFonts w:ascii="Verdana" w:hAnsi="Verdana"/>
          <w:sz w:val="22"/>
          <w:szCs w:val="22"/>
        </w:rPr>
      </w:pPr>
    </w:p>
    <w:p w14:paraId="410F49C6" w14:textId="4DE29533" w:rsidR="00B0722B" w:rsidRPr="0089257B" w:rsidRDefault="00B0722B">
      <w:pPr>
        <w:rPr>
          <w:rFonts w:ascii="Verdana" w:hAnsi="Verdana"/>
          <w:sz w:val="22"/>
          <w:szCs w:val="22"/>
        </w:rPr>
      </w:pPr>
      <w:r w:rsidRPr="0089257B">
        <w:rPr>
          <w:rFonts w:ascii="Verdana" w:hAnsi="Verdana"/>
          <w:sz w:val="22"/>
          <w:szCs w:val="22"/>
        </w:rPr>
        <w:t>Less than half of those in Pakistani, Bangladeshi, African, Arab, or any other Black/African/Caribbean background, or other ethnic group reported feeling supported.</w:t>
      </w:r>
    </w:p>
    <w:p w14:paraId="47FC083C" w14:textId="2F3CD9A5" w:rsidR="00946023" w:rsidRPr="000935FE" w:rsidRDefault="00946023">
      <w:pPr>
        <w:rPr>
          <w:rFonts w:ascii="Verdana" w:hAnsi="Verdana"/>
        </w:rPr>
      </w:pPr>
    </w:p>
    <w:tbl>
      <w:tblPr>
        <w:tblW w:w="8789" w:type="dxa"/>
        <w:tblLook w:val="04A0" w:firstRow="1" w:lastRow="0" w:firstColumn="1" w:lastColumn="0" w:noHBand="0" w:noVBand="1"/>
      </w:tblPr>
      <w:tblGrid>
        <w:gridCol w:w="4903"/>
        <w:gridCol w:w="3886"/>
      </w:tblGrid>
      <w:tr w:rsidR="00B0722B" w:rsidRPr="000935FE" w14:paraId="5B99AD77" w14:textId="77777777" w:rsidTr="00B0722B">
        <w:trPr>
          <w:trHeight w:val="320"/>
        </w:trPr>
        <w:tc>
          <w:tcPr>
            <w:tcW w:w="4903" w:type="dxa"/>
            <w:tcBorders>
              <w:top w:val="nil"/>
              <w:left w:val="nil"/>
              <w:bottom w:val="nil"/>
              <w:right w:val="nil"/>
            </w:tcBorders>
            <w:shd w:val="clear" w:color="auto" w:fill="auto"/>
            <w:noWrap/>
            <w:hideMark/>
          </w:tcPr>
          <w:p w14:paraId="68D441F5" w14:textId="7178EF22" w:rsidR="00B0722B" w:rsidRPr="000935FE" w:rsidRDefault="00B0722B" w:rsidP="00B0722B">
            <w:pPr>
              <w:rPr>
                <w:rFonts w:ascii="Verdana" w:hAnsi="Verdana"/>
                <w:b/>
                <w:bCs/>
                <w:color w:val="000000"/>
                <w:sz w:val="20"/>
                <w:szCs w:val="20"/>
              </w:rPr>
            </w:pPr>
            <w:r w:rsidRPr="000935FE">
              <w:rPr>
                <w:rFonts w:ascii="Verdana" w:hAnsi="Verdana"/>
                <w:b/>
                <w:bCs/>
                <w:color w:val="000000"/>
                <w:sz w:val="20"/>
                <w:szCs w:val="20"/>
              </w:rPr>
              <w:t>Ethnicity</w:t>
            </w:r>
          </w:p>
        </w:tc>
        <w:tc>
          <w:tcPr>
            <w:tcW w:w="3886" w:type="dxa"/>
            <w:tcBorders>
              <w:top w:val="nil"/>
              <w:left w:val="nil"/>
              <w:bottom w:val="nil"/>
              <w:right w:val="nil"/>
            </w:tcBorders>
            <w:shd w:val="clear" w:color="auto" w:fill="auto"/>
            <w:noWrap/>
            <w:hideMark/>
          </w:tcPr>
          <w:p w14:paraId="31F33DE1" w14:textId="0C492C4B" w:rsidR="00B0722B" w:rsidRPr="000935FE" w:rsidRDefault="00B0722B" w:rsidP="00C22581">
            <w:pPr>
              <w:jc w:val="right"/>
              <w:rPr>
                <w:rFonts w:ascii="Verdana" w:hAnsi="Verdana"/>
                <w:b/>
                <w:bCs/>
                <w:color w:val="000000"/>
                <w:sz w:val="20"/>
                <w:szCs w:val="20"/>
              </w:rPr>
            </w:pPr>
            <w:r w:rsidRPr="000935FE">
              <w:rPr>
                <w:rFonts w:ascii="Verdana" w:hAnsi="Verdana"/>
                <w:b/>
                <w:bCs/>
                <w:color w:val="000000"/>
                <w:sz w:val="20"/>
                <w:szCs w:val="20"/>
              </w:rPr>
              <w:t>Proportion of patients with LTC who feel supported to manage their condition (95% confidence limits in brackets)</w:t>
            </w:r>
          </w:p>
        </w:tc>
      </w:tr>
      <w:tr w:rsidR="00B0722B" w:rsidRPr="000935FE" w14:paraId="30C2AD02" w14:textId="77777777" w:rsidTr="00B0722B">
        <w:trPr>
          <w:trHeight w:val="320"/>
        </w:trPr>
        <w:tc>
          <w:tcPr>
            <w:tcW w:w="4903" w:type="dxa"/>
            <w:tcBorders>
              <w:top w:val="nil"/>
              <w:left w:val="nil"/>
              <w:bottom w:val="nil"/>
              <w:right w:val="nil"/>
            </w:tcBorders>
            <w:shd w:val="clear" w:color="auto" w:fill="auto"/>
            <w:noWrap/>
            <w:vAlign w:val="bottom"/>
            <w:hideMark/>
          </w:tcPr>
          <w:p w14:paraId="31A08812"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Irish</w:t>
            </w:r>
          </w:p>
        </w:tc>
        <w:tc>
          <w:tcPr>
            <w:tcW w:w="3886" w:type="dxa"/>
            <w:tcBorders>
              <w:top w:val="nil"/>
              <w:left w:val="nil"/>
              <w:bottom w:val="nil"/>
              <w:right w:val="nil"/>
            </w:tcBorders>
            <w:shd w:val="clear" w:color="auto" w:fill="auto"/>
            <w:noWrap/>
            <w:vAlign w:val="bottom"/>
            <w:hideMark/>
          </w:tcPr>
          <w:p w14:paraId="7690EC35" w14:textId="55C5E05F"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65.1%</w:t>
            </w:r>
            <w:r w:rsidR="00C22581" w:rsidRPr="000935FE">
              <w:rPr>
                <w:rFonts w:ascii="Verdana" w:hAnsi="Verdana"/>
                <w:color w:val="000000"/>
                <w:sz w:val="20"/>
                <w:szCs w:val="20"/>
              </w:rPr>
              <w:t xml:space="preserve"> </w:t>
            </w:r>
            <w:r w:rsidRPr="000935FE">
              <w:rPr>
                <w:rFonts w:ascii="Verdana" w:hAnsi="Verdana"/>
                <w:color w:val="000000"/>
                <w:sz w:val="20"/>
                <w:szCs w:val="20"/>
              </w:rPr>
              <w:t>(63.2-67%)</w:t>
            </w:r>
          </w:p>
        </w:tc>
      </w:tr>
      <w:tr w:rsidR="00B0722B" w:rsidRPr="000935FE" w14:paraId="2F698F90" w14:textId="77777777" w:rsidTr="00B0722B">
        <w:trPr>
          <w:trHeight w:val="320"/>
        </w:trPr>
        <w:tc>
          <w:tcPr>
            <w:tcW w:w="4903" w:type="dxa"/>
            <w:tcBorders>
              <w:top w:val="nil"/>
              <w:left w:val="nil"/>
              <w:bottom w:val="nil"/>
              <w:right w:val="nil"/>
            </w:tcBorders>
            <w:shd w:val="clear" w:color="auto" w:fill="auto"/>
            <w:noWrap/>
            <w:vAlign w:val="bottom"/>
            <w:hideMark/>
          </w:tcPr>
          <w:p w14:paraId="3773F407"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English / Welsh / Scottish / Northern Irish / British</w:t>
            </w:r>
          </w:p>
        </w:tc>
        <w:tc>
          <w:tcPr>
            <w:tcW w:w="3886" w:type="dxa"/>
            <w:tcBorders>
              <w:top w:val="nil"/>
              <w:left w:val="nil"/>
              <w:bottom w:val="nil"/>
              <w:right w:val="nil"/>
            </w:tcBorders>
            <w:shd w:val="clear" w:color="auto" w:fill="auto"/>
            <w:noWrap/>
            <w:vAlign w:val="bottom"/>
            <w:hideMark/>
          </w:tcPr>
          <w:p w14:paraId="76658343" w14:textId="233D7514"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62.1%</w:t>
            </w:r>
            <w:r w:rsidR="00C22581" w:rsidRPr="000935FE">
              <w:rPr>
                <w:rFonts w:ascii="Verdana" w:hAnsi="Verdana"/>
                <w:color w:val="000000"/>
                <w:sz w:val="20"/>
                <w:szCs w:val="20"/>
              </w:rPr>
              <w:t xml:space="preserve"> </w:t>
            </w:r>
            <w:r w:rsidRPr="000935FE">
              <w:rPr>
                <w:rFonts w:ascii="Verdana" w:hAnsi="Verdana"/>
                <w:color w:val="000000"/>
                <w:sz w:val="20"/>
                <w:szCs w:val="20"/>
              </w:rPr>
              <w:t>(61.9-62.3%)</w:t>
            </w:r>
          </w:p>
        </w:tc>
      </w:tr>
      <w:tr w:rsidR="00B0722B" w:rsidRPr="000935FE" w14:paraId="49BE34B1" w14:textId="77777777" w:rsidTr="00B0722B">
        <w:trPr>
          <w:trHeight w:val="320"/>
        </w:trPr>
        <w:tc>
          <w:tcPr>
            <w:tcW w:w="4903" w:type="dxa"/>
            <w:tcBorders>
              <w:top w:val="nil"/>
              <w:left w:val="nil"/>
              <w:bottom w:val="nil"/>
              <w:right w:val="nil"/>
            </w:tcBorders>
            <w:shd w:val="clear" w:color="auto" w:fill="auto"/>
            <w:noWrap/>
            <w:vAlign w:val="bottom"/>
            <w:hideMark/>
          </w:tcPr>
          <w:p w14:paraId="7FB54247"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Any other Mixed / multiple ethnic background</w:t>
            </w:r>
          </w:p>
        </w:tc>
        <w:tc>
          <w:tcPr>
            <w:tcW w:w="3886" w:type="dxa"/>
            <w:tcBorders>
              <w:top w:val="nil"/>
              <w:left w:val="nil"/>
              <w:bottom w:val="nil"/>
              <w:right w:val="nil"/>
            </w:tcBorders>
            <w:shd w:val="clear" w:color="auto" w:fill="auto"/>
            <w:noWrap/>
            <w:vAlign w:val="bottom"/>
            <w:hideMark/>
          </w:tcPr>
          <w:p w14:paraId="67BC9C1F" w14:textId="71890100"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52.8%</w:t>
            </w:r>
            <w:r w:rsidR="00C22581" w:rsidRPr="000935FE">
              <w:rPr>
                <w:rFonts w:ascii="Verdana" w:hAnsi="Verdana"/>
                <w:color w:val="000000"/>
                <w:sz w:val="20"/>
                <w:szCs w:val="20"/>
              </w:rPr>
              <w:t xml:space="preserve"> </w:t>
            </w:r>
            <w:r w:rsidRPr="000935FE">
              <w:rPr>
                <w:rFonts w:ascii="Verdana" w:hAnsi="Verdana"/>
                <w:color w:val="000000"/>
                <w:sz w:val="20"/>
                <w:szCs w:val="20"/>
              </w:rPr>
              <w:t>(49.7-55.8%)</w:t>
            </w:r>
          </w:p>
        </w:tc>
      </w:tr>
      <w:tr w:rsidR="00B0722B" w:rsidRPr="000935FE" w14:paraId="3D267D10" w14:textId="77777777" w:rsidTr="00B0722B">
        <w:trPr>
          <w:trHeight w:val="320"/>
        </w:trPr>
        <w:tc>
          <w:tcPr>
            <w:tcW w:w="4903" w:type="dxa"/>
            <w:tcBorders>
              <w:top w:val="nil"/>
              <w:left w:val="nil"/>
              <w:bottom w:val="nil"/>
              <w:right w:val="nil"/>
            </w:tcBorders>
            <w:shd w:val="clear" w:color="auto" w:fill="auto"/>
            <w:noWrap/>
            <w:vAlign w:val="bottom"/>
            <w:hideMark/>
          </w:tcPr>
          <w:p w14:paraId="20F84591"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Caribbean</w:t>
            </w:r>
          </w:p>
        </w:tc>
        <w:tc>
          <w:tcPr>
            <w:tcW w:w="3886" w:type="dxa"/>
            <w:tcBorders>
              <w:top w:val="nil"/>
              <w:left w:val="nil"/>
              <w:bottom w:val="nil"/>
              <w:right w:val="nil"/>
            </w:tcBorders>
            <w:shd w:val="clear" w:color="auto" w:fill="auto"/>
            <w:noWrap/>
            <w:vAlign w:val="bottom"/>
            <w:hideMark/>
          </w:tcPr>
          <w:p w14:paraId="6F91884A" w14:textId="7F29615C"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52.1%</w:t>
            </w:r>
            <w:r w:rsidR="00C22581" w:rsidRPr="000935FE">
              <w:rPr>
                <w:rFonts w:ascii="Verdana" w:hAnsi="Verdana"/>
                <w:color w:val="000000"/>
                <w:sz w:val="20"/>
                <w:szCs w:val="20"/>
              </w:rPr>
              <w:t xml:space="preserve"> </w:t>
            </w:r>
            <w:r w:rsidRPr="000935FE">
              <w:rPr>
                <w:rFonts w:ascii="Verdana" w:hAnsi="Verdana"/>
                <w:color w:val="000000"/>
                <w:sz w:val="20"/>
                <w:szCs w:val="20"/>
              </w:rPr>
              <w:t>(50.1-54%)</w:t>
            </w:r>
          </w:p>
        </w:tc>
      </w:tr>
      <w:tr w:rsidR="00B0722B" w:rsidRPr="000935FE" w14:paraId="094C718F" w14:textId="77777777" w:rsidTr="00B0722B">
        <w:trPr>
          <w:trHeight w:val="320"/>
        </w:trPr>
        <w:tc>
          <w:tcPr>
            <w:tcW w:w="4903" w:type="dxa"/>
            <w:tcBorders>
              <w:top w:val="nil"/>
              <w:left w:val="nil"/>
              <w:bottom w:val="nil"/>
              <w:right w:val="nil"/>
            </w:tcBorders>
            <w:shd w:val="clear" w:color="auto" w:fill="auto"/>
            <w:noWrap/>
            <w:vAlign w:val="bottom"/>
            <w:hideMark/>
          </w:tcPr>
          <w:p w14:paraId="0898A429"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Chinese</w:t>
            </w:r>
          </w:p>
        </w:tc>
        <w:tc>
          <w:tcPr>
            <w:tcW w:w="3886" w:type="dxa"/>
            <w:tcBorders>
              <w:top w:val="nil"/>
              <w:left w:val="nil"/>
              <w:bottom w:val="nil"/>
              <w:right w:val="nil"/>
            </w:tcBorders>
            <w:shd w:val="clear" w:color="auto" w:fill="auto"/>
            <w:noWrap/>
            <w:vAlign w:val="bottom"/>
            <w:hideMark/>
          </w:tcPr>
          <w:p w14:paraId="62DE6819" w14:textId="2AA460FC"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51.9</w:t>
            </w:r>
            <w:r w:rsidR="00C22581" w:rsidRPr="000935FE">
              <w:rPr>
                <w:rFonts w:ascii="Verdana" w:hAnsi="Verdana"/>
                <w:color w:val="000000"/>
                <w:sz w:val="20"/>
                <w:szCs w:val="20"/>
              </w:rPr>
              <w:t xml:space="preserve"> </w:t>
            </w:r>
            <w:r w:rsidRPr="000935FE">
              <w:rPr>
                <w:rFonts w:ascii="Verdana" w:hAnsi="Verdana"/>
                <w:color w:val="000000"/>
                <w:sz w:val="20"/>
                <w:szCs w:val="20"/>
              </w:rPr>
              <w:t>%</w:t>
            </w:r>
            <w:r w:rsidR="00C22581" w:rsidRPr="000935FE">
              <w:rPr>
                <w:rFonts w:ascii="Verdana" w:hAnsi="Verdana"/>
                <w:color w:val="000000"/>
                <w:sz w:val="20"/>
                <w:szCs w:val="20"/>
              </w:rPr>
              <w:t xml:space="preserve"> </w:t>
            </w:r>
            <w:r w:rsidRPr="000935FE">
              <w:rPr>
                <w:rFonts w:ascii="Verdana" w:hAnsi="Verdana"/>
                <w:color w:val="000000"/>
                <w:sz w:val="20"/>
                <w:szCs w:val="20"/>
              </w:rPr>
              <w:t>(4</w:t>
            </w:r>
            <w:r w:rsidR="00C22581" w:rsidRPr="000935FE">
              <w:rPr>
                <w:rFonts w:ascii="Verdana" w:hAnsi="Verdana"/>
                <w:color w:val="000000"/>
                <w:sz w:val="20"/>
                <w:szCs w:val="20"/>
              </w:rPr>
              <w:t>9</w:t>
            </w:r>
            <w:r w:rsidRPr="000935FE">
              <w:rPr>
                <w:rFonts w:ascii="Verdana" w:hAnsi="Verdana"/>
                <w:color w:val="000000"/>
                <w:sz w:val="20"/>
                <w:szCs w:val="20"/>
              </w:rPr>
              <w:t>-54.</w:t>
            </w:r>
            <w:r w:rsidR="00C22581" w:rsidRPr="000935FE">
              <w:rPr>
                <w:rFonts w:ascii="Verdana" w:hAnsi="Verdana"/>
                <w:color w:val="000000"/>
                <w:sz w:val="20"/>
                <w:szCs w:val="20"/>
              </w:rPr>
              <w:t>8</w:t>
            </w:r>
            <w:r w:rsidRPr="000935FE">
              <w:rPr>
                <w:rFonts w:ascii="Verdana" w:hAnsi="Verdana"/>
                <w:color w:val="000000"/>
                <w:sz w:val="20"/>
                <w:szCs w:val="20"/>
              </w:rPr>
              <w:t>%)</w:t>
            </w:r>
          </w:p>
        </w:tc>
      </w:tr>
      <w:tr w:rsidR="00B0722B" w:rsidRPr="000935FE" w14:paraId="7F150D38" w14:textId="77777777" w:rsidTr="00B0722B">
        <w:trPr>
          <w:trHeight w:val="320"/>
        </w:trPr>
        <w:tc>
          <w:tcPr>
            <w:tcW w:w="4903" w:type="dxa"/>
            <w:tcBorders>
              <w:top w:val="nil"/>
              <w:left w:val="nil"/>
              <w:bottom w:val="nil"/>
              <w:right w:val="nil"/>
            </w:tcBorders>
            <w:shd w:val="clear" w:color="auto" w:fill="auto"/>
            <w:noWrap/>
            <w:vAlign w:val="bottom"/>
            <w:hideMark/>
          </w:tcPr>
          <w:p w14:paraId="54AD32B2"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Any other Asian background</w:t>
            </w:r>
          </w:p>
        </w:tc>
        <w:tc>
          <w:tcPr>
            <w:tcW w:w="3886" w:type="dxa"/>
            <w:tcBorders>
              <w:top w:val="nil"/>
              <w:left w:val="nil"/>
              <w:bottom w:val="nil"/>
              <w:right w:val="nil"/>
            </w:tcBorders>
            <w:shd w:val="clear" w:color="auto" w:fill="auto"/>
            <w:noWrap/>
            <w:vAlign w:val="bottom"/>
            <w:hideMark/>
          </w:tcPr>
          <w:p w14:paraId="137EB5E7" w14:textId="36AEEDB8"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51.4%</w:t>
            </w:r>
            <w:r w:rsidR="00C22581" w:rsidRPr="000935FE">
              <w:rPr>
                <w:rFonts w:ascii="Verdana" w:hAnsi="Verdana"/>
                <w:color w:val="000000"/>
                <w:sz w:val="20"/>
                <w:szCs w:val="20"/>
              </w:rPr>
              <w:t xml:space="preserve"> </w:t>
            </w:r>
            <w:r w:rsidRPr="000935FE">
              <w:rPr>
                <w:rFonts w:ascii="Verdana" w:hAnsi="Verdana"/>
                <w:color w:val="000000"/>
                <w:sz w:val="20"/>
                <w:szCs w:val="20"/>
              </w:rPr>
              <w:t>(49.</w:t>
            </w:r>
            <w:r w:rsidR="00C22581" w:rsidRPr="000935FE">
              <w:rPr>
                <w:rFonts w:ascii="Verdana" w:hAnsi="Verdana"/>
                <w:color w:val="000000"/>
                <w:sz w:val="20"/>
                <w:szCs w:val="20"/>
              </w:rPr>
              <w:t>6</w:t>
            </w:r>
            <w:r w:rsidRPr="000935FE">
              <w:rPr>
                <w:rFonts w:ascii="Verdana" w:hAnsi="Verdana"/>
                <w:color w:val="000000"/>
                <w:sz w:val="20"/>
                <w:szCs w:val="20"/>
              </w:rPr>
              <w:t>-53.</w:t>
            </w:r>
            <w:r w:rsidR="00C22581" w:rsidRPr="000935FE">
              <w:rPr>
                <w:rFonts w:ascii="Verdana" w:hAnsi="Verdana"/>
                <w:color w:val="000000"/>
                <w:sz w:val="20"/>
                <w:szCs w:val="20"/>
              </w:rPr>
              <w:t>2</w:t>
            </w:r>
            <w:r w:rsidRPr="000935FE">
              <w:rPr>
                <w:rFonts w:ascii="Verdana" w:hAnsi="Verdana"/>
                <w:color w:val="000000"/>
                <w:sz w:val="20"/>
                <w:szCs w:val="20"/>
              </w:rPr>
              <w:t>%)</w:t>
            </w:r>
          </w:p>
        </w:tc>
      </w:tr>
      <w:tr w:rsidR="00B0722B" w:rsidRPr="000935FE" w14:paraId="49A5C174" w14:textId="77777777" w:rsidTr="00B0722B">
        <w:trPr>
          <w:trHeight w:val="320"/>
        </w:trPr>
        <w:tc>
          <w:tcPr>
            <w:tcW w:w="4903" w:type="dxa"/>
            <w:tcBorders>
              <w:top w:val="nil"/>
              <w:left w:val="nil"/>
              <w:bottom w:val="nil"/>
              <w:right w:val="nil"/>
            </w:tcBorders>
            <w:shd w:val="clear" w:color="auto" w:fill="auto"/>
            <w:noWrap/>
            <w:vAlign w:val="bottom"/>
            <w:hideMark/>
          </w:tcPr>
          <w:p w14:paraId="65A92749"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Any other White background</w:t>
            </w:r>
          </w:p>
        </w:tc>
        <w:tc>
          <w:tcPr>
            <w:tcW w:w="3886" w:type="dxa"/>
            <w:tcBorders>
              <w:top w:val="nil"/>
              <w:left w:val="nil"/>
              <w:bottom w:val="nil"/>
              <w:right w:val="nil"/>
            </w:tcBorders>
            <w:shd w:val="clear" w:color="auto" w:fill="auto"/>
            <w:noWrap/>
            <w:vAlign w:val="bottom"/>
            <w:hideMark/>
          </w:tcPr>
          <w:p w14:paraId="255504CC" w14:textId="03DFD453"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51.4%</w:t>
            </w:r>
            <w:r w:rsidR="00C22581" w:rsidRPr="000935FE">
              <w:rPr>
                <w:rFonts w:ascii="Verdana" w:hAnsi="Verdana"/>
                <w:color w:val="000000"/>
                <w:sz w:val="20"/>
                <w:szCs w:val="20"/>
              </w:rPr>
              <w:t xml:space="preserve"> </w:t>
            </w:r>
            <w:r w:rsidRPr="000935FE">
              <w:rPr>
                <w:rFonts w:ascii="Verdana" w:hAnsi="Verdana"/>
                <w:color w:val="000000"/>
                <w:sz w:val="20"/>
                <w:szCs w:val="20"/>
              </w:rPr>
              <w:t>(50.5-52.</w:t>
            </w:r>
            <w:r w:rsidR="00C22581" w:rsidRPr="000935FE">
              <w:rPr>
                <w:rFonts w:ascii="Verdana" w:hAnsi="Verdana"/>
                <w:color w:val="000000"/>
                <w:sz w:val="20"/>
                <w:szCs w:val="20"/>
              </w:rPr>
              <w:t>4</w:t>
            </w:r>
            <w:r w:rsidRPr="000935FE">
              <w:rPr>
                <w:rFonts w:ascii="Verdana" w:hAnsi="Verdana"/>
                <w:color w:val="000000"/>
                <w:sz w:val="20"/>
                <w:szCs w:val="20"/>
              </w:rPr>
              <w:t>%)</w:t>
            </w:r>
          </w:p>
        </w:tc>
      </w:tr>
      <w:tr w:rsidR="00B0722B" w:rsidRPr="000935FE" w14:paraId="1855F0F9" w14:textId="77777777" w:rsidTr="00B0722B">
        <w:trPr>
          <w:trHeight w:val="320"/>
        </w:trPr>
        <w:tc>
          <w:tcPr>
            <w:tcW w:w="4903" w:type="dxa"/>
            <w:tcBorders>
              <w:top w:val="nil"/>
              <w:left w:val="nil"/>
              <w:bottom w:val="nil"/>
              <w:right w:val="nil"/>
            </w:tcBorders>
            <w:shd w:val="clear" w:color="auto" w:fill="auto"/>
            <w:noWrap/>
            <w:vAlign w:val="bottom"/>
            <w:hideMark/>
          </w:tcPr>
          <w:p w14:paraId="76FB5395"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White and Black Caribbean</w:t>
            </w:r>
          </w:p>
        </w:tc>
        <w:tc>
          <w:tcPr>
            <w:tcW w:w="3886" w:type="dxa"/>
            <w:tcBorders>
              <w:top w:val="nil"/>
              <w:left w:val="nil"/>
              <w:bottom w:val="nil"/>
              <w:right w:val="nil"/>
            </w:tcBorders>
            <w:shd w:val="clear" w:color="auto" w:fill="auto"/>
            <w:noWrap/>
            <w:vAlign w:val="bottom"/>
            <w:hideMark/>
          </w:tcPr>
          <w:p w14:paraId="22C2702B" w14:textId="031B46B3"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51.2%</w:t>
            </w:r>
            <w:r w:rsidR="00C22581" w:rsidRPr="000935FE">
              <w:rPr>
                <w:rFonts w:ascii="Verdana" w:hAnsi="Verdana"/>
                <w:color w:val="000000"/>
                <w:sz w:val="20"/>
                <w:szCs w:val="20"/>
              </w:rPr>
              <w:t xml:space="preserve"> </w:t>
            </w:r>
            <w:r w:rsidRPr="000935FE">
              <w:rPr>
                <w:rFonts w:ascii="Verdana" w:hAnsi="Verdana"/>
                <w:color w:val="000000"/>
                <w:sz w:val="20"/>
                <w:szCs w:val="20"/>
              </w:rPr>
              <w:t>(48.</w:t>
            </w:r>
            <w:r w:rsidR="00C22581" w:rsidRPr="000935FE">
              <w:rPr>
                <w:rFonts w:ascii="Verdana" w:hAnsi="Verdana"/>
                <w:color w:val="000000"/>
                <w:sz w:val="20"/>
                <w:szCs w:val="20"/>
              </w:rPr>
              <w:t>2</w:t>
            </w:r>
            <w:r w:rsidRPr="000935FE">
              <w:rPr>
                <w:rFonts w:ascii="Verdana" w:hAnsi="Verdana"/>
                <w:color w:val="000000"/>
                <w:sz w:val="20"/>
                <w:szCs w:val="20"/>
              </w:rPr>
              <w:t>-54.2%)</w:t>
            </w:r>
          </w:p>
        </w:tc>
      </w:tr>
      <w:tr w:rsidR="00B0722B" w:rsidRPr="000935FE" w14:paraId="78D57884" w14:textId="77777777" w:rsidTr="00B0722B">
        <w:trPr>
          <w:trHeight w:val="320"/>
        </w:trPr>
        <w:tc>
          <w:tcPr>
            <w:tcW w:w="4903" w:type="dxa"/>
            <w:tcBorders>
              <w:top w:val="nil"/>
              <w:left w:val="nil"/>
              <w:bottom w:val="nil"/>
              <w:right w:val="nil"/>
            </w:tcBorders>
            <w:shd w:val="clear" w:color="auto" w:fill="auto"/>
            <w:noWrap/>
            <w:vAlign w:val="bottom"/>
            <w:hideMark/>
          </w:tcPr>
          <w:p w14:paraId="340A41A5"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Indian</w:t>
            </w:r>
          </w:p>
        </w:tc>
        <w:tc>
          <w:tcPr>
            <w:tcW w:w="3886" w:type="dxa"/>
            <w:tcBorders>
              <w:top w:val="nil"/>
              <w:left w:val="nil"/>
              <w:bottom w:val="nil"/>
              <w:right w:val="nil"/>
            </w:tcBorders>
            <w:shd w:val="clear" w:color="auto" w:fill="auto"/>
            <w:noWrap/>
            <w:vAlign w:val="bottom"/>
            <w:hideMark/>
          </w:tcPr>
          <w:p w14:paraId="088531D5" w14:textId="47C05CDE"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51.1%</w:t>
            </w:r>
            <w:r w:rsidR="00C22581" w:rsidRPr="000935FE">
              <w:rPr>
                <w:rFonts w:ascii="Verdana" w:hAnsi="Verdana"/>
                <w:color w:val="000000"/>
                <w:sz w:val="20"/>
                <w:szCs w:val="20"/>
              </w:rPr>
              <w:t xml:space="preserve"> </w:t>
            </w:r>
            <w:r w:rsidRPr="000935FE">
              <w:rPr>
                <w:rFonts w:ascii="Verdana" w:hAnsi="Verdana"/>
                <w:color w:val="000000"/>
                <w:sz w:val="20"/>
                <w:szCs w:val="20"/>
              </w:rPr>
              <w:t>(49.8-52.</w:t>
            </w:r>
            <w:r w:rsidR="00C22581" w:rsidRPr="000935FE">
              <w:rPr>
                <w:rFonts w:ascii="Verdana" w:hAnsi="Verdana"/>
                <w:color w:val="000000"/>
                <w:sz w:val="20"/>
                <w:szCs w:val="20"/>
              </w:rPr>
              <w:t>4</w:t>
            </w:r>
            <w:r w:rsidRPr="000935FE">
              <w:rPr>
                <w:rFonts w:ascii="Verdana" w:hAnsi="Verdana"/>
                <w:color w:val="000000"/>
                <w:sz w:val="20"/>
                <w:szCs w:val="20"/>
              </w:rPr>
              <w:t>%)</w:t>
            </w:r>
          </w:p>
        </w:tc>
      </w:tr>
      <w:tr w:rsidR="00B0722B" w:rsidRPr="000935FE" w14:paraId="45804104" w14:textId="77777777" w:rsidTr="00B0722B">
        <w:trPr>
          <w:trHeight w:val="320"/>
        </w:trPr>
        <w:tc>
          <w:tcPr>
            <w:tcW w:w="4903" w:type="dxa"/>
            <w:tcBorders>
              <w:top w:val="nil"/>
              <w:left w:val="nil"/>
              <w:bottom w:val="nil"/>
              <w:right w:val="nil"/>
            </w:tcBorders>
            <w:shd w:val="clear" w:color="auto" w:fill="auto"/>
            <w:noWrap/>
            <w:vAlign w:val="bottom"/>
            <w:hideMark/>
          </w:tcPr>
          <w:p w14:paraId="307D4C60"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Gypsy or Irish Traveller</w:t>
            </w:r>
          </w:p>
        </w:tc>
        <w:tc>
          <w:tcPr>
            <w:tcW w:w="3886" w:type="dxa"/>
            <w:tcBorders>
              <w:top w:val="nil"/>
              <w:left w:val="nil"/>
              <w:bottom w:val="nil"/>
              <w:right w:val="nil"/>
            </w:tcBorders>
            <w:shd w:val="clear" w:color="auto" w:fill="auto"/>
            <w:noWrap/>
            <w:vAlign w:val="bottom"/>
            <w:hideMark/>
          </w:tcPr>
          <w:p w14:paraId="51E7D26B" w14:textId="4BC15DFB"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50.9%</w:t>
            </w:r>
            <w:r w:rsidR="00C22581" w:rsidRPr="000935FE">
              <w:rPr>
                <w:rFonts w:ascii="Verdana" w:hAnsi="Verdana"/>
                <w:color w:val="000000"/>
                <w:sz w:val="20"/>
                <w:szCs w:val="20"/>
              </w:rPr>
              <w:t xml:space="preserve"> </w:t>
            </w:r>
            <w:r w:rsidRPr="000935FE">
              <w:rPr>
                <w:rFonts w:ascii="Verdana" w:hAnsi="Verdana"/>
                <w:color w:val="000000"/>
                <w:sz w:val="20"/>
                <w:szCs w:val="20"/>
              </w:rPr>
              <w:t>(42.</w:t>
            </w:r>
            <w:r w:rsidR="00C22581" w:rsidRPr="000935FE">
              <w:rPr>
                <w:rFonts w:ascii="Verdana" w:hAnsi="Verdana"/>
                <w:color w:val="000000"/>
                <w:sz w:val="20"/>
                <w:szCs w:val="20"/>
              </w:rPr>
              <w:t>5</w:t>
            </w:r>
            <w:r w:rsidRPr="000935FE">
              <w:rPr>
                <w:rFonts w:ascii="Verdana" w:hAnsi="Verdana"/>
                <w:color w:val="000000"/>
                <w:sz w:val="20"/>
                <w:szCs w:val="20"/>
              </w:rPr>
              <w:t>-59.</w:t>
            </w:r>
            <w:r w:rsidR="00C22581" w:rsidRPr="000935FE">
              <w:rPr>
                <w:rFonts w:ascii="Verdana" w:hAnsi="Verdana"/>
                <w:color w:val="000000"/>
                <w:sz w:val="20"/>
                <w:szCs w:val="20"/>
              </w:rPr>
              <w:t>2</w:t>
            </w:r>
            <w:r w:rsidRPr="000935FE">
              <w:rPr>
                <w:rFonts w:ascii="Verdana" w:hAnsi="Verdana"/>
                <w:color w:val="000000"/>
                <w:sz w:val="20"/>
                <w:szCs w:val="20"/>
              </w:rPr>
              <w:t>%)</w:t>
            </w:r>
          </w:p>
        </w:tc>
      </w:tr>
      <w:tr w:rsidR="00B0722B" w:rsidRPr="000935FE" w14:paraId="3467321B" w14:textId="77777777" w:rsidTr="00B0722B">
        <w:trPr>
          <w:trHeight w:val="320"/>
        </w:trPr>
        <w:tc>
          <w:tcPr>
            <w:tcW w:w="4903" w:type="dxa"/>
            <w:tcBorders>
              <w:top w:val="nil"/>
              <w:left w:val="nil"/>
              <w:bottom w:val="nil"/>
              <w:right w:val="nil"/>
            </w:tcBorders>
            <w:shd w:val="clear" w:color="auto" w:fill="auto"/>
            <w:noWrap/>
            <w:vAlign w:val="bottom"/>
            <w:hideMark/>
          </w:tcPr>
          <w:p w14:paraId="644B10BD"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White and Black African</w:t>
            </w:r>
          </w:p>
        </w:tc>
        <w:tc>
          <w:tcPr>
            <w:tcW w:w="3886" w:type="dxa"/>
            <w:tcBorders>
              <w:top w:val="nil"/>
              <w:left w:val="nil"/>
              <w:bottom w:val="nil"/>
              <w:right w:val="nil"/>
            </w:tcBorders>
            <w:shd w:val="clear" w:color="auto" w:fill="auto"/>
            <w:noWrap/>
            <w:vAlign w:val="bottom"/>
            <w:hideMark/>
          </w:tcPr>
          <w:p w14:paraId="2ECE1E25" w14:textId="76C3169A"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50.6%</w:t>
            </w:r>
            <w:r w:rsidR="00C22581" w:rsidRPr="000935FE">
              <w:rPr>
                <w:rFonts w:ascii="Verdana" w:hAnsi="Verdana"/>
                <w:color w:val="000000"/>
                <w:sz w:val="20"/>
                <w:szCs w:val="20"/>
              </w:rPr>
              <w:t xml:space="preserve"> </w:t>
            </w:r>
            <w:r w:rsidRPr="000935FE">
              <w:rPr>
                <w:rFonts w:ascii="Verdana" w:hAnsi="Verdana"/>
                <w:color w:val="000000"/>
                <w:sz w:val="20"/>
                <w:szCs w:val="20"/>
              </w:rPr>
              <w:t>(46.</w:t>
            </w:r>
            <w:r w:rsidR="00C22581" w:rsidRPr="000935FE">
              <w:rPr>
                <w:rFonts w:ascii="Verdana" w:hAnsi="Verdana"/>
                <w:color w:val="000000"/>
                <w:sz w:val="20"/>
                <w:szCs w:val="20"/>
              </w:rPr>
              <w:t>1</w:t>
            </w:r>
            <w:r w:rsidRPr="000935FE">
              <w:rPr>
                <w:rFonts w:ascii="Verdana" w:hAnsi="Verdana"/>
                <w:color w:val="000000"/>
                <w:sz w:val="20"/>
                <w:szCs w:val="20"/>
              </w:rPr>
              <w:t>-55.</w:t>
            </w:r>
            <w:r w:rsidR="00C22581" w:rsidRPr="000935FE">
              <w:rPr>
                <w:rFonts w:ascii="Verdana" w:hAnsi="Verdana"/>
                <w:color w:val="000000"/>
                <w:sz w:val="20"/>
                <w:szCs w:val="20"/>
              </w:rPr>
              <w:t>2</w:t>
            </w:r>
            <w:r w:rsidRPr="000935FE">
              <w:rPr>
                <w:rFonts w:ascii="Verdana" w:hAnsi="Verdana"/>
                <w:color w:val="000000"/>
                <w:sz w:val="20"/>
                <w:szCs w:val="20"/>
              </w:rPr>
              <w:t>%)</w:t>
            </w:r>
          </w:p>
        </w:tc>
      </w:tr>
      <w:tr w:rsidR="00B0722B" w:rsidRPr="000935FE" w14:paraId="2730AFF4" w14:textId="77777777" w:rsidTr="00B0722B">
        <w:trPr>
          <w:trHeight w:val="320"/>
        </w:trPr>
        <w:tc>
          <w:tcPr>
            <w:tcW w:w="4903" w:type="dxa"/>
            <w:tcBorders>
              <w:top w:val="nil"/>
              <w:left w:val="nil"/>
              <w:bottom w:val="nil"/>
              <w:right w:val="nil"/>
            </w:tcBorders>
            <w:shd w:val="clear" w:color="auto" w:fill="auto"/>
            <w:noWrap/>
            <w:vAlign w:val="bottom"/>
            <w:hideMark/>
          </w:tcPr>
          <w:p w14:paraId="75FA0647"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White and Asian</w:t>
            </w:r>
          </w:p>
        </w:tc>
        <w:tc>
          <w:tcPr>
            <w:tcW w:w="3886" w:type="dxa"/>
            <w:tcBorders>
              <w:top w:val="nil"/>
              <w:left w:val="nil"/>
              <w:bottom w:val="nil"/>
              <w:right w:val="nil"/>
            </w:tcBorders>
            <w:shd w:val="clear" w:color="auto" w:fill="auto"/>
            <w:noWrap/>
            <w:vAlign w:val="bottom"/>
            <w:hideMark/>
          </w:tcPr>
          <w:p w14:paraId="13CFD525" w14:textId="24806475"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50.3%</w:t>
            </w:r>
            <w:r w:rsidR="00C22581" w:rsidRPr="000935FE">
              <w:rPr>
                <w:rFonts w:ascii="Verdana" w:hAnsi="Verdana"/>
                <w:color w:val="000000"/>
                <w:sz w:val="20"/>
                <w:szCs w:val="20"/>
              </w:rPr>
              <w:t xml:space="preserve"> </w:t>
            </w:r>
            <w:r w:rsidRPr="000935FE">
              <w:rPr>
                <w:rFonts w:ascii="Verdana" w:hAnsi="Verdana"/>
                <w:color w:val="000000"/>
                <w:sz w:val="20"/>
                <w:szCs w:val="20"/>
              </w:rPr>
              <w:t>(47</w:t>
            </w:r>
            <w:r w:rsidR="00C22581" w:rsidRPr="000935FE">
              <w:rPr>
                <w:rFonts w:ascii="Verdana" w:hAnsi="Verdana"/>
                <w:color w:val="000000"/>
                <w:sz w:val="20"/>
                <w:szCs w:val="20"/>
              </w:rPr>
              <w:t>.3</w:t>
            </w:r>
            <w:r w:rsidRPr="000935FE">
              <w:rPr>
                <w:rFonts w:ascii="Verdana" w:hAnsi="Verdana"/>
                <w:color w:val="000000"/>
                <w:sz w:val="20"/>
                <w:szCs w:val="20"/>
              </w:rPr>
              <w:t>-53.</w:t>
            </w:r>
            <w:r w:rsidR="00C22581" w:rsidRPr="000935FE">
              <w:rPr>
                <w:rFonts w:ascii="Verdana" w:hAnsi="Verdana"/>
                <w:color w:val="000000"/>
                <w:sz w:val="20"/>
                <w:szCs w:val="20"/>
              </w:rPr>
              <w:t>3</w:t>
            </w:r>
            <w:r w:rsidRPr="000935FE">
              <w:rPr>
                <w:rFonts w:ascii="Verdana" w:hAnsi="Verdana"/>
                <w:color w:val="000000"/>
                <w:sz w:val="20"/>
                <w:szCs w:val="20"/>
              </w:rPr>
              <w:t>%)</w:t>
            </w:r>
          </w:p>
        </w:tc>
      </w:tr>
      <w:tr w:rsidR="00B0722B" w:rsidRPr="000935FE" w14:paraId="2B8BFE95" w14:textId="77777777" w:rsidTr="00B0722B">
        <w:trPr>
          <w:trHeight w:val="320"/>
        </w:trPr>
        <w:tc>
          <w:tcPr>
            <w:tcW w:w="4903" w:type="dxa"/>
            <w:tcBorders>
              <w:top w:val="nil"/>
              <w:left w:val="nil"/>
              <w:bottom w:val="nil"/>
              <w:right w:val="nil"/>
            </w:tcBorders>
            <w:shd w:val="clear" w:color="auto" w:fill="auto"/>
            <w:noWrap/>
            <w:vAlign w:val="bottom"/>
            <w:hideMark/>
          </w:tcPr>
          <w:p w14:paraId="11DAF05F"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Pakistani</w:t>
            </w:r>
          </w:p>
        </w:tc>
        <w:tc>
          <w:tcPr>
            <w:tcW w:w="3886" w:type="dxa"/>
            <w:tcBorders>
              <w:top w:val="nil"/>
              <w:left w:val="nil"/>
              <w:bottom w:val="nil"/>
              <w:right w:val="nil"/>
            </w:tcBorders>
            <w:shd w:val="clear" w:color="auto" w:fill="auto"/>
            <w:noWrap/>
            <w:vAlign w:val="bottom"/>
            <w:hideMark/>
          </w:tcPr>
          <w:p w14:paraId="17441FFE" w14:textId="27545CA8"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48.6%</w:t>
            </w:r>
            <w:r w:rsidR="00C22581" w:rsidRPr="000935FE">
              <w:rPr>
                <w:rFonts w:ascii="Verdana" w:hAnsi="Verdana"/>
                <w:color w:val="000000"/>
                <w:sz w:val="20"/>
                <w:szCs w:val="20"/>
              </w:rPr>
              <w:t xml:space="preserve"> </w:t>
            </w:r>
            <w:r w:rsidRPr="000935FE">
              <w:rPr>
                <w:rFonts w:ascii="Verdana" w:hAnsi="Verdana"/>
                <w:color w:val="000000"/>
                <w:sz w:val="20"/>
                <w:szCs w:val="20"/>
              </w:rPr>
              <w:t>(47.</w:t>
            </w:r>
            <w:r w:rsidR="00C22581" w:rsidRPr="000935FE">
              <w:rPr>
                <w:rFonts w:ascii="Verdana" w:hAnsi="Verdana"/>
                <w:color w:val="000000"/>
                <w:sz w:val="20"/>
                <w:szCs w:val="20"/>
              </w:rPr>
              <w:t>1</w:t>
            </w:r>
            <w:r w:rsidRPr="000935FE">
              <w:rPr>
                <w:rFonts w:ascii="Verdana" w:hAnsi="Verdana"/>
                <w:color w:val="000000"/>
                <w:sz w:val="20"/>
                <w:szCs w:val="20"/>
              </w:rPr>
              <w:t>-50.1%)</w:t>
            </w:r>
          </w:p>
        </w:tc>
      </w:tr>
      <w:tr w:rsidR="00B0722B" w:rsidRPr="000935FE" w14:paraId="3DF13740" w14:textId="77777777" w:rsidTr="00B0722B">
        <w:trPr>
          <w:trHeight w:val="320"/>
        </w:trPr>
        <w:tc>
          <w:tcPr>
            <w:tcW w:w="4903" w:type="dxa"/>
            <w:tcBorders>
              <w:top w:val="nil"/>
              <w:left w:val="nil"/>
              <w:bottom w:val="nil"/>
              <w:right w:val="nil"/>
            </w:tcBorders>
            <w:shd w:val="clear" w:color="auto" w:fill="auto"/>
            <w:noWrap/>
            <w:vAlign w:val="bottom"/>
            <w:hideMark/>
          </w:tcPr>
          <w:p w14:paraId="34B27385"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lastRenderedPageBreak/>
              <w:t>Any other ethnic group</w:t>
            </w:r>
          </w:p>
        </w:tc>
        <w:tc>
          <w:tcPr>
            <w:tcW w:w="3886" w:type="dxa"/>
            <w:tcBorders>
              <w:top w:val="nil"/>
              <w:left w:val="nil"/>
              <w:bottom w:val="nil"/>
              <w:right w:val="nil"/>
            </w:tcBorders>
            <w:shd w:val="clear" w:color="auto" w:fill="auto"/>
            <w:noWrap/>
            <w:vAlign w:val="bottom"/>
            <w:hideMark/>
          </w:tcPr>
          <w:p w14:paraId="3D06838B" w14:textId="668F8EC6"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47.9%</w:t>
            </w:r>
            <w:r w:rsidR="00C22581" w:rsidRPr="000935FE">
              <w:rPr>
                <w:rFonts w:ascii="Verdana" w:hAnsi="Verdana"/>
                <w:color w:val="000000"/>
                <w:sz w:val="20"/>
                <w:szCs w:val="20"/>
              </w:rPr>
              <w:t xml:space="preserve"> </w:t>
            </w:r>
            <w:r w:rsidRPr="000935FE">
              <w:rPr>
                <w:rFonts w:ascii="Verdana" w:hAnsi="Verdana"/>
                <w:color w:val="000000"/>
                <w:sz w:val="20"/>
                <w:szCs w:val="20"/>
              </w:rPr>
              <w:t>(46.2-49.5%)</w:t>
            </w:r>
          </w:p>
        </w:tc>
      </w:tr>
      <w:tr w:rsidR="00B0722B" w:rsidRPr="000935FE" w14:paraId="4BE5E029" w14:textId="77777777" w:rsidTr="00B0722B">
        <w:trPr>
          <w:trHeight w:val="320"/>
        </w:trPr>
        <w:tc>
          <w:tcPr>
            <w:tcW w:w="4903" w:type="dxa"/>
            <w:tcBorders>
              <w:top w:val="nil"/>
              <w:left w:val="nil"/>
              <w:bottom w:val="nil"/>
              <w:right w:val="nil"/>
            </w:tcBorders>
            <w:shd w:val="clear" w:color="auto" w:fill="auto"/>
            <w:noWrap/>
            <w:vAlign w:val="bottom"/>
            <w:hideMark/>
          </w:tcPr>
          <w:p w14:paraId="69E15E3A"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Bangladeshi</w:t>
            </w:r>
          </w:p>
        </w:tc>
        <w:tc>
          <w:tcPr>
            <w:tcW w:w="3886" w:type="dxa"/>
            <w:tcBorders>
              <w:top w:val="nil"/>
              <w:left w:val="nil"/>
              <w:bottom w:val="nil"/>
              <w:right w:val="nil"/>
            </w:tcBorders>
            <w:shd w:val="clear" w:color="auto" w:fill="auto"/>
            <w:noWrap/>
            <w:vAlign w:val="bottom"/>
            <w:hideMark/>
          </w:tcPr>
          <w:p w14:paraId="05E8B7F5" w14:textId="03E9301E"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47.7%</w:t>
            </w:r>
            <w:r w:rsidR="00C22581" w:rsidRPr="000935FE">
              <w:rPr>
                <w:rFonts w:ascii="Verdana" w:hAnsi="Verdana"/>
                <w:color w:val="000000"/>
                <w:sz w:val="20"/>
                <w:szCs w:val="20"/>
              </w:rPr>
              <w:t xml:space="preserve"> </w:t>
            </w:r>
            <w:r w:rsidRPr="000935FE">
              <w:rPr>
                <w:rFonts w:ascii="Verdana" w:hAnsi="Verdana"/>
                <w:color w:val="000000"/>
                <w:sz w:val="20"/>
                <w:szCs w:val="20"/>
              </w:rPr>
              <w:t>(45.</w:t>
            </w:r>
            <w:r w:rsidR="00C22581" w:rsidRPr="000935FE">
              <w:rPr>
                <w:rFonts w:ascii="Verdana" w:hAnsi="Verdana"/>
                <w:color w:val="000000"/>
                <w:sz w:val="20"/>
                <w:szCs w:val="20"/>
              </w:rPr>
              <w:t>4</w:t>
            </w:r>
            <w:r w:rsidRPr="000935FE">
              <w:rPr>
                <w:rFonts w:ascii="Verdana" w:hAnsi="Verdana"/>
                <w:color w:val="000000"/>
                <w:sz w:val="20"/>
                <w:szCs w:val="20"/>
              </w:rPr>
              <w:t>-50.1%)</w:t>
            </w:r>
          </w:p>
        </w:tc>
      </w:tr>
      <w:tr w:rsidR="00B0722B" w:rsidRPr="000935FE" w14:paraId="6B29909B" w14:textId="77777777" w:rsidTr="00B0722B">
        <w:trPr>
          <w:trHeight w:val="320"/>
        </w:trPr>
        <w:tc>
          <w:tcPr>
            <w:tcW w:w="4903" w:type="dxa"/>
            <w:tcBorders>
              <w:top w:val="nil"/>
              <w:left w:val="nil"/>
              <w:bottom w:val="nil"/>
              <w:right w:val="nil"/>
            </w:tcBorders>
            <w:shd w:val="clear" w:color="auto" w:fill="auto"/>
            <w:noWrap/>
            <w:vAlign w:val="bottom"/>
            <w:hideMark/>
          </w:tcPr>
          <w:p w14:paraId="4CD55A8A"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African</w:t>
            </w:r>
          </w:p>
        </w:tc>
        <w:tc>
          <w:tcPr>
            <w:tcW w:w="3886" w:type="dxa"/>
            <w:tcBorders>
              <w:top w:val="nil"/>
              <w:left w:val="nil"/>
              <w:bottom w:val="nil"/>
              <w:right w:val="nil"/>
            </w:tcBorders>
            <w:shd w:val="clear" w:color="auto" w:fill="auto"/>
            <w:noWrap/>
            <w:vAlign w:val="bottom"/>
            <w:hideMark/>
          </w:tcPr>
          <w:p w14:paraId="2FFF2B36" w14:textId="79671DA5"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47.4%</w:t>
            </w:r>
            <w:r w:rsidR="00C22581" w:rsidRPr="000935FE">
              <w:rPr>
                <w:rFonts w:ascii="Verdana" w:hAnsi="Verdana"/>
                <w:color w:val="000000"/>
                <w:sz w:val="20"/>
                <w:szCs w:val="20"/>
              </w:rPr>
              <w:t xml:space="preserve"> </w:t>
            </w:r>
            <w:r w:rsidRPr="000935FE">
              <w:rPr>
                <w:rFonts w:ascii="Verdana" w:hAnsi="Verdana"/>
                <w:color w:val="000000"/>
                <w:sz w:val="20"/>
                <w:szCs w:val="20"/>
              </w:rPr>
              <w:t>(45.8-49%)</w:t>
            </w:r>
          </w:p>
        </w:tc>
      </w:tr>
      <w:tr w:rsidR="00B0722B" w:rsidRPr="000935FE" w14:paraId="79E0164A" w14:textId="77777777" w:rsidTr="00B0722B">
        <w:trPr>
          <w:trHeight w:val="320"/>
        </w:trPr>
        <w:tc>
          <w:tcPr>
            <w:tcW w:w="4903" w:type="dxa"/>
            <w:tcBorders>
              <w:top w:val="nil"/>
              <w:left w:val="nil"/>
              <w:bottom w:val="nil"/>
              <w:right w:val="nil"/>
            </w:tcBorders>
            <w:shd w:val="clear" w:color="auto" w:fill="auto"/>
            <w:noWrap/>
            <w:vAlign w:val="bottom"/>
            <w:hideMark/>
          </w:tcPr>
          <w:p w14:paraId="349D69EB"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Any other Black / African / Caribbean background</w:t>
            </w:r>
          </w:p>
        </w:tc>
        <w:tc>
          <w:tcPr>
            <w:tcW w:w="3886" w:type="dxa"/>
            <w:tcBorders>
              <w:top w:val="nil"/>
              <w:left w:val="nil"/>
              <w:bottom w:val="nil"/>
              <w:right w:val="nil"/>
            </w:tcBorders>
            <w:shd w:val="clear" w:color="auto" w:fill="auto"/>
            <w:noWrap/>
            <w:vAlign w:val="bottom"/>
            <w:hideMark/>
          </w:tcPr>
          <w:p w14:paraId="15F52D85" w14:textId="4412B93D"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46.6%</w:t>
            </w:r>
            <w:r w:rsidR="00C22581" w:rsidRPr="000935FE">
              <w:rPr>
                <w:rFonts w:ascii="Verdana" w:hAnsi="Verdana"/>
                <w:color w:val="000000"/>
                <w:sz w:val="20"/>
                <w:szCs w:val="20"/>
              </w:rPr>
              <w:t xml:space="preserve"> </w:t>
            </w:r>
            <w:r w:rsidRPr="000935FE">
              <w:rPr>
                <w:rFonts w:ascii="Verdana" w:hAnsi="Verdana"/>
                <w:color w:val="000000"/>
                <w:sz w:val="20"/>
                <w:szCs w:val="20"/>
              </w:rPr>
              <w:t>(42.</w:t>
            </w:r>
            <w:r w:rsidR="00C22581" w:rsidRPr="000935FE">
              <w:rPr>
                <w:rFonts w:ascii="Verdana" w:hAnsi="Verdana"/>
                <w:color w:val="000000"/>
                <w:sz w:val="20"/>
                <w:szCs w:val="20"/>
              </w:rPr>
              <w:t>7</w:t>
            </w:r>
            <w:r w:rsidRPr="000935FE">
              <w:rPr>
                <w:rFonts w:ascii="Verdana" w:hAnsi="Verdana"/>
                <w:color w:val="000000"/>
                <w:sz w:val="20"/>
                <w:szCs w:val="20"/>
              </w:rPr>
              <w:t>-50.5%)</w:t>
            </w:r>
          </w:p>
        </w:tc>
      </w:tr>
      <w:tr w:rsidR="00B0722B" w:rsidRPr="000935FE" w14:paraId="273693DA" w14:textId="77777777" w:rsidTr="00B0722B">
        <w:trPr>
          <w:trHeight w:val="320"/>
        </w:trPr>
        <w:tc>
          <w:tcPr>
            <w:tcW w:w="4903" w:type="dxa"/>
            <w:tcBorders>
              <w:top w:val="nil"/>
              <w:left w:val="nil"/>
              <w:bottom w:val="nil"/>
              <w:right w:val="nil"/>
            </w:tcBorders>
            <w:shd w:val="clear" w:color="auto" w:fill="auto"/>
            <w:noWrap/>
            <w:vAlign w:val="bottom"/>
            <w:hideMark/>
          </w:tcPr>
          <w:p w14:paraId="24C3FFF5" w14:textId="77777777" w:rsidR="00B0722B" w:rsidRPr="000935FE" w:rsidRDefault="00B0722B" w:rsidP="00B0722B">
            <w:pPr>
              <w:rPr>
                <w:rFonts w:ascii="Verdana" w:hAnsi="Verdana"/>
                <w:color w:val="000000"/>
                <w:sz w:val="20"/>
                <w:szCs w:val="20"/>
              </w:rPr>
            </w:pPr>
            <w:r w:rsidRPr="000935FE">
              <w:rPr>
                <w:rFonts w:ascii="Verdana" w:hAnsi="Verdana"/>
                <w:color w:val="000000"/>
                <w:sz w:val="20"/>
                <w:szCs w:val="20"/>
              </w:rPr>
              <w:t>Arab</w:t>
            </w:r>
          </w:p>
        </w:tc>
        <w:tc>
          <w:tcPr>
            <w:tcW w:w="3886" w:type="dxa"/>
            <w:tcBorders>
              <w:top w:val="nil"/>
              <w:left w:val="nil"/>
              <w:bottom w:val="nil"/>
              <w:right w:val="nil"/>
            </w:tcBorders>
            <w:shd w:val="clear" w:color="auto" w:fill="auto"/>
            <w:noWrap/>
            <w:vAlign w:val="bottom"/>
            <w:hideMark/>
          </w:tcPr>
          <w:p w14:paraId="0E3F2336" w14:textId="214A8D12" w:rsidR="00B0722B" w:rsidRPr="000935FE" w:rsidRDefault="00B0722B" w:rsidP="00C22581">
            <w:pPr>
              <w:jc w:val="right"/>
              <w:rPr>
                <w:rFonts w:ascii="Verdana" w:hAnsi="Verdana"/>
                <w:color w:val="000000"/>
                <w:sz w:val="20"/>
                <w:szCs w:val="20"/>
              </w:rPr>
            </w:pPr>
            <w:r w:rsidRPr="000935FE">
              <w:rPr>
                <w:rFonts w:ascii="Verdana" w:hAnsi="Verdana"/>
                <w:color w:val="000000"/>
                <w:sz w:val="20"/>
                <w:szCs w:val="20"/>
              </w:rPr>
              <w:t>43.9%</w:t>
            </w:r>
            <w:r w:rsidR="00C22581" w:rsidRPr="000935FE">
              <w:rPr>
                <w:rFonts w:ascii="Verdana" w:hAnsi="Verdana"/>
                <w:color w:val="000000"/>
                <w:sz w:val="20"/>
                <w:szCs w:val="20"/>
              </w:rPr>
              <w:t xml:space="preserve"> </w:t>
            </w:r>
            <w:r w:rsidRPr="000935FE">
              <w:rPr>
                <w:rFonts w:ascii="Verdana" w:hAnsi="Verdana"/>
                <w:color w:val="000000"/>
                <w:sz w:val="20"/>
                <w:szCs w:val="20"/>
              </w:rPr>
              <w:t>(40.</w:t>
            </w:r>
            <w:r w:rsidR="00C22581" w:rsidRPr="000935FE">
              <w:rPr>
                <w:rFonts w:ascii="Verdana" w:hAnsi="Verdana"/>
                <w:color w:val="000000"/>
                <w:sz w:val="20"/>
                <w:szCs w:val="20"/>
              </w:rPr>
              <w:t>5</w:t>
            </w:r>
            <w:r w:rsidRPr="000935FE">
              <w:rPr>
                <w:rFonts w:ascii="Verdana" w:hAnsi="Verdana"/>
                <w:color w:val="000000"/>
                <w:sz w:val="20"/>
                <w:szCs w:val="20"/>
              </w:rPr>
              <w:t>-47.4%)</w:t>
            </w:r>
          </w:p>
        </w:tc>
      </w:tr>
    </w:tbl>
    <w:p w14:paraId="4C765BE4" w14:textId="08829DB9" w:rsidR="00B0722B" w:rsidRPr="000935FE" w:rsidRDefault="00B0722B">
      <w:pPr>
        <w:rPr>
          <w:rFonts w:ascii="Verdana" w:hAnsi="Verdana"/>
        </w:rPr>
      </w:pPr>
    </w:p>
    <w:p w14:paraId="2A03E5A0" w14:textId="77777777" w:rsidR="00C21E04" w:rsidRPr="000935FE" w:rsidRDefault="00C21E04" w:rsidP="00C21E04">
      <w:pPr>
        <w:rPr>
          <w:rFonts w:ascii="Verdana" w:hAnsi="Verdana"/>
        </w:rPr>
      </w:pPr>
      <w:r w:rsidRPr="000935FE">
        <w:rPr>
          <w:rFonts w:ascii="Verdana" w:hAnsi="Verdana"/>
          <w:b/>
          <w:bCs/>
        </w:rPr>
        <w:t xml:space="preserve">Proportion of ethnic minority groups attending NHS Health Checks over time – England – 2017-18 – </w:t>
      </w:r>
      <w:r w:rsidRPr="000935FE">
        <w:rPr>
          <w:rFonts w:ascii="Verdana" w:hAnsi="Verdana"/>
        </w:rPr>
        <w:t>NHS Digital</w:t>
      </w:r>
    </w:p>
    <w:p w14:paraId="728CF8F9" w14:textId="77777777" w:rsidR="00C21E04" w:rsidRPr="0089257B" w:rsidRDefault="00C21E04" w:rsidP="00C21E04">
      <w:pPr>
        <w:rPr>
          <w:rFonts w:ascii="Verdana" w:hAnsi="Verdana"/>
          <w:sz w:val="22"/>
          <w:szCs w:val="22"/>
        </w:rPr>
      </w:pPr>
    </w:p>
    <w:p w14:paraId="25385E19" w14:textId="77777777" w:rsidR="00C21E04" w:rsidRPr="0089257B" w:rsidRDefault="00C21E04" w:rsidP="00C21E04">
      <w:pPr>
        <w:rPr>
          <w:rFonts w:ascii="Verdana" w:hAnsi="Verdana"/>
          <w:sz w:val="22"/>
          <w:szCs w:val="22"/>
        </w:rPr>
      </w:pPr>
      <w:r w:rsidRPr="0089257B">
        <w:rPr>
          <w:rFonts w:ascii="Verdana" w:hAnsi="Verdana"/>
          <w:sz w:val="22"/>
          <w:szCs w:val="22"/>
        </w:rPr>
        <w:t>Since 2012-13, the proportion of adults attending NHS Health Checks has steadily increased among BAME groups and in 2017-18 represented 22.1% of Health Checks (up from 18.5% in 2012-13). Around 9% of Health Checks in 2017-18 were attended by those in Asian groups, whilst those in mixed ethnic groups represented the lowest proportion of Health Check attenders.</w:t>
      </w:r>
    </w:p>
    <w:p w14:paraId="1CE8CCC2" w14:textId="77777777" w:rsidR="00C21E04" w:rsidRDefault="00C21E04">
      <w:pPr>
        <w:rPr>
          <w:rFonts w:ascii="Verdana" w:hAnsi="Verdana"/>
          <w:b/>
          <w:bCs/>
        </w:rPr>
      </w:pPr>
    </w:p>
    <w:p w14:paraId="15E96DAB" w14:textId="39C02F71" w:rsidR="00B0722B" w:rsidRPr="000935FE" w:rsidRDefault="00B0722B">
      <w:pPr>
        <w:rPr>
          <w:rFonts w:ascii="Verdana" w:hAnsi="Verdana"/>
        </w:rPr>
      </w:pPr>
      <w:r w:rsidRPr="000935FE">
        <w:rPr>
          <w:rFonts w:ascii="Verdana" w:hAnsi="Verdana"/>
          <w:b/>
          <w:bCs/>
        </w:rPr>
        <w:t xml:space="preserve">Proportion of ethnic groups reporting positive GP experiences – England </w:t>
      </w:r>
      <w:r w:rsidR="00C22581" w:rsidRPr="000935FE">
        <w:rPr>
          <w:rFonts w:ascii="Verdana" w:hAnsi="Verdana"/>
          <w:b/>
          <w:bCs/>
        </w:rPr>
        <w:t>–</w:t>
      </w:r>
      <w:r w:rsidRPr="000935FE">
        <w:rPr>
          <w:rFonts w:ascii="Verdana" w:hAnsi="Verdana"/>
          <w:b/>
          <w:bCs/>
        </w:rPr>
        <w:t xml:space="preserve"> 2018</w:t>
      </w:r>
      <w:r w:rsidR="00C22581" w:rsidRPr="000935FE">
        <w:rPr>
          <w:rFonts w:ascii="Verdana" w:hAnsi="Verdana"/>
          <w:b/>
          <w:bCs/>
        </w:rPr>
        <w:t>-19 –</w:t>
      </w:r>
      <w:r w:rsidR="00C22581" w:rsidRPr="000935FE">
        <w:rPr>
          <w:rFonts w:ascii="Verdana" w:hAnsi="Verdana"/>
        </w:rPr>
        <w:t xml:space="preserve"> GP Patient Survey – Ipsos MORI</w:t>
      </w:r>
    </w:p>
    <w:p w14:paraId="1A50FD7E" w14:textId="61766AFA" w:rsidR="00C22581" w:rsidRPr="000935FE" w:rsidRDefault="00C22581">
      <w:pPr>
        <w:rPr>
          <w:rFonts w:ascii="Verdana" w:hAnsi="Verdana"/>
        </w:rPr>
      </w:pPr>
    </w:p>
    <w:p w14:paraId="16F2D67C" w14:textId="75FC8242" w:rsidR="00C22581" w:rsidRPr="0089257B" w:rsidRDefault="00C22581">
      <w:pPr>
        <w:rPr>
          <w:rFonts w:ascii="Verdana" w:hAnsi="Verdana"/>
          <w:sz w:val="22"/>
          <w:szCs w:val="22"/>
        </w:rPr>
      </w:pPr>
      <w:r w:rsidRPr="0089257B">
        <w:rPr>
          <w:rFonts w:ascii="Verdana" w:hAnsi="Verdana"/>
          <w:sz w:val="22"/>
          <w:szCs w:val="22"/>
        </w:rPr>
        <w:t>The proportion of patients reporting a very good or fairly good experience of their GP surgery varies by ethnicity group. Those in African ethnic groups report the highest satisfaction rates (86.9%) and those in Bangladeshi groups report the lowest (71.7%).</w:t>
      </w:r>
    </w:p>
    <w:p w14:paraId="731E1662" w14:textId="644DA9E8" w:rsidR="00C22581" w:rsidRPr="0089257B" w:rsidRDefault="00C22581">
      <w:pPr>
        <w:rPr>
          <w:rFonts w:ascii="Verdana" w:hAnsi="Verdana"/>
          <w:sz w:val="22"/>
          <w:szCs w:val="22"/>
        </w:rPr>
      </w:pPr>
    </w:p>
    <w:p w14:paraId="127C1050" w14:textId="3E407DFB" w:rsidR="00C22581" w:rsidRPr="0089257B" w:rsidRDefault="00C22581">
      <w:pPr>
        <w:rPr>
          <w:rFonts w:ascii="Verdana" w:hAnsi="Verdana"/>
          <w:sz w:val="22"/>
          <w:szCs w:val="22"/>
        </w:rPr>
      </w:pPr>
      <w:r w:rsidRPr="0089257B">
        <w:rPr>
          <w:rFonts w:ascii="Verdana" w:hAnsi="Verdana"/>
          <w:sz w:val="22"/>
          <w:szCs w:val="22"/>
        </w:rPr>
        <w:t xml:space="preserve">Those in African groups </w:t>
      </w:r>
      <w:r w:rsidR="00335D4E" w:rsidRPr="0089257B">
        <w:rPr>
          <w:rFonts w:ascii="Verdana" w:hAnsi="Verdana"/>
          <w:sz w:val="22"/>
          <w:szCs w:val="22"/>
        </w:rPr>
        <w:t xml:space="preserve">(86.9%) </w:t>
      </w:r>
      <w:r w:rsidRPr="0089257B">
        <w:rPr>
          <w:rFonts w:ascii="Verdana" w:hAnsi="Verdana"/>
          <w:sz w:val="22"/>
          <w:szCs w:val="22"/>
        </w:rPr>
        <w:t>report significantly higher satisfaction than those in English/Welsh/Scottish/Northern Irish/British groups (84.5%)</w:t>
      </w:r>
    </w:p>
    <w:p w14:paraId="528E8176" w14:textId="40096BB3" w:rsidR="00C22581" w:rsidRPr="000935FE" w:rsidRDefault="00C22581">
      <w:pPr>
        <w:rPr>
          <w:rFonts w:ascii="Verdana" w:hAnsi="Verdana"/>
        </w:rPr>
      </w:pPr>
    </w:p>
    <w:tbl>
      <w:tblPr>
        <w:tblW w:w="8789" w:type="dxa"/>
        <w:tblLook w:val="04A0" w:firstRow="1" w:lastRow="0" w:firstColumn="1" w:lastColumn="0" w:noHBand="0" w:noVBand="1"/>
      </w:tblPr>
      <w:tblGrid>
        <w:gridCol w:w="4962"/>
        <w:gridCol w:w="3827"/>
      </w:tblGrid>
      <w:tr w:rsidR="00C22581" w:rsidRPr="00C22581" w14:paraId="1F5A3F03" w14:textId="77777777" w:rsidTr="00D12625">
        <w:trPr>
          <w:trHeight w:val="320"/>
        </w:trPr>
        <w:tc>
          <w:tcPr>
            <w:tcW w:w="4962" w:type="dxa"/>
            <w:tcBorders>
              <w:top w:val="nil"/>
              <w:left w:val="nil"/>
              <w:bottom w:val="nil"/>
              <w:right w:val="nil"/>
            </w:tcBorders>
            <w:shd w:val="clear" w:color="auto" w:fill="auto"/>
            <w:noWrap/>
            <w:hideMark/>
          </w:tcPr>
          <w:p w14:paraId="3DDC1C94" w14:textId="305E6D5D" w:rsidR="00C22581" w:rsidRPr="00C22581" w:rsidRDefault="00C22581" w:rsidP="00C22581">
            <w:pPr>
              <w:rPr>
                <w:rFonts w:ascii="Verdana" w:hAnsi="Verdana"/>
                <w:color w:val="000000"/>
                <w:sz w:val="20"/>
                <w:szCs w:val="20"/>
              </w:rPr>
            </w:pPr>
            <w:r w:rsidRPr="000935FE">
              <w:rPr>
                <w:rFonts w:ascii="Verdana" w:hAnsi="Verdana"/>
                <w:b/>
                <w:bCs/>
                <w:color w:val="000000"/>
                <w:sz w:val="20"/>
                <w:szCs w:val="20"/>
              </w:rPr>
              <w:t>Ethnicity</w:t>
            </w:r>
          </w:p>
        </w:tc>
        <w:tc>
          <w:tcPr>
            <w:tcW w:w="3827" w:type="dxa"/>
            <w:tcBorders>
              <w:top w:val="nil"/>
              <w:left w:val="nil"/>
              <w:bottom w:val="nil"/>
              <w:right w:val="nil"/>
            </w:tcBorders>
            <w:shd w:val="clear" w:color="auto" w:fill="auto"/>
            <w:noWrap/>
            <w:hideMark/>
          </w:tcPr>
          <w:p w14:paraId="40412CA3" w14:textId="4988CA28" w:rsidR="00C22581" w:rsidRPr="00C22581" w:rsidRDefault="00C22581" w:rsidP="00335D4E">
            <w:pPr>
              <w:jc w:val="right"/>
              <w:rPr>
                <w:rFonts w:ascii="Verdana" w:hAnsi="Verdana"/>
                <w:color w:val="000000"/>
                <w:sz w:val="20"/>
                <w:szCs w:val="20"/>
              </w:rPr>
            </w:pPr>
            <w:r w:rsidRPr="000935FE">
              <w:rPr>
                <w:rFonts w:ascii="Verdana" w:hAnsi="Verdana"/>
                <w:b/>
                <w:bCs/>
                <w:color w:val="000000"/>
                <w:sz w:val="20"/>
                <w:szCs w:val="20"/>
              </w:rPr>
              <w:t xml:space="preserve">Proportion of patients </w:t>
            </w:r>
            <w:r w:rsidR="00335D4E" w:rsidRPr="000935FE">
              <w:rPr>
                <w:rFonts w:ascii="Verdana" w:hAnsi="Verdana"/>
                <w:b/>
                <w:bCs/>
                <w:color w:val="000000"/>
                <w:sz w:val="20"/>
                <w:szCs w:val="20"/>
              </w:rPr>
              <w:t>reporting very good or fairly good experience of their GP surgery</w:t>
            </w:r>
            <w:r w:rsidRPr="000935FE">
              <w:rPr>
                <w:rFonts w:ascii="Verdana" w:hAnsi="Verdana"/>
                <w:b/>
                <w:bCs/>
                <w:color w:val="000000"/>
                <w:sz w:val="20"/>
                <w:szCs w:val="20"/>
              </w:rPr>
              <w:t xml:space="preserve"> (95% confidence limits in brackets)</w:t>
            </w:r>
          </w:p>
        </w:tc>
      </w:tr>
      <w:tr w:rsidR="00C22581" w:rsidRPr="00C22581" w14:paraId="31C48FED" w14:textId="77777777" w:rsidTr="00C22581">
        <w:trPr>
          <w:trHeight w:val="320"/>
        </w:trPr>
        <w:tc>
          <w:tcPr>
            <w:tcW w:w="4962" w:type="dxa"/>
            <w:tcBorders>
              <w:top w:val="nil"/>
              <w:left w:val="nil"/>
              <w:bottom w:val="nil"/>
              <w:right w:val="nil"/>
            </w:tcBorders>
            <w:shd w:val="clear" w:color="auto" w:fill="auto"/>
            <w:noWrap/>
            <w:vAlign w:val="bottom"/>
            <w:hideMark/>
          </w:tcPr>
          <w:p w14:paraId="643008BD"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African</w:t>
            </w:r>
          </w:p>
        </w:tc>
        <w:tc>
          <w:tcPr>
            <w:tcW w:w="3827" w:type="dxa"/>
            <w:tcBorders>
              <w:top w:val="nil"/>
              <w:left w:val="nil"/>
              <w:bottom w:val="nil"/>
              <w:right w:val="nil"/>
            </w:tcBorders>
            <w:shd w:val="clear" w:color="auto" w:fill="auto"/>
            <w:noWrap/>
            <w:vAlign w:val="bottom"/>
            <w:hideMark/>
          </w:tcPr>
          <w:p w14:paraId="21CC32C6" w14:textId="318F3A35"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86.9%</w:t>
            </w:r>
            <w:r w:rsidRPr="000935FE">
              <w:rPr>
                <w:rFonts w:ascii="Verdana" w:hAnsi="Verdana"/>
                <w:color w:val="000000"/>
                <w:sz w:val="20"/>
                <w:szCs w:val="20"/>
              </w:rPr>
              <w:t xml:space="preserve"> </w:t>
            </w:r>
            <w:r w:rsidRPr="00C22581">
              <w:rPr>
                <w:rFonts w:ascii="Verdana" w:hAnsi="Verdana"/>
                <w:color w:val="000000"/>
                <w:sz w:val="20"/>
                <w:szCs w:val="20"/>
              </w:rPr>
              <w:t>(86.</w:t>
            </w:r>
            <w:r w:rsidRPr="000935FE">
              <w:rPr>
                <w:rFonts w:ascii="Verdana" w:hAnsi="Verdana"/>
                <w:color w:val="000000"/>
                <w:sz w:val="20"/>
                <w:szCs w:val="20"/>
              </w:rPr>
              <w:t>4</w:t>
            </w:r>
            <w:r w:rsidRPr="00C22581">
              <w:rPr>
                <w:rFonts w:ascii="Verdana" w:hAnsi="Verdana"/>
                <w:color w:val="000000"/>
                <w:sz w:val="20"/>
                <w:szCs w:val="20"/>
              </w:rPr>
              <w:t>-87.4%)</w:t>
            </w:r>
          </w:p>
        </w:tc>
      </w:tr>
      <w:tr w:rsidR="00C22581" w:rsidRPr="00C22581" w14:paraId="1A046C46" w14:textId="77777777" w:rsidTr="00C22581">
        <w:trPr>
          <w:trHeight w:val="320"/>
        </w:trPr>
        <w:tc>
          <w:tcPr>
            <w:tcW w:w="4962" w:type="dxa"/>
            <w:tcBorders>
              <w:top w:val="nil"/>
              <w:left w:val="nil"/>
              <w:bottom w:val="nil"/>
              <w:right w:val="nil"/>
            </w:tcBorders>
            <w:shd w:val="clear" w:color="auto" w:fill="auto"/>
            <w:noWrap/>
            <w:vAlign w:val="bottom"/>
            <w:hideMark/>
          </w:tcPr>
          <w:p w14:paraId="5CD24133"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Irish</w:t>
            </w:r>
          </w:p>
        </w:tc>
        <w:tc>
          <w:tcPr>
            <w:tcW w:w="3827" w:type="dxa"/>
            <w:tcBorders>
              <w:top w:val="nil"/>
              <w:left w:val="nil"/>
              <w:bottom w:val="nil"/>
              <w:right w:val="nil"/>
            </w:tcBorders>
            <w:shd w:val="clear" w:color="auto" w:fill="auto"/>
            <w:noWrap/>
            <w:vAlign w:val="bottom"/>
            <w:hideMark/>
          </w:tcPr>
          <w:p w14:paraId="091C3405" w14:textId="64AAEE2C"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86.9%</w:t>
            </w:r>
            <w:r w:rsidRPr="000935FE">
              <w:rPr>
                <w:rFonts w:ascii="Verdana" w:hAnsi="Verdana"/>
                <w:color w:val="000000"/>
                <w:sz w:val="20"/>
                <w:szCs w:val="20"/>
              </w:rPr>
              <w:t xml:space="preserve"> </w:t>
            </w:r>
            <w:r w:rsidRPr="00C22581">
              <w:rPr>
                <w:rFonts w:ascii="Verdana" w:hAnsi="Verdana"/>
                <w:color w:val="000000"/>
                <w:sz w:val="20"/>
                <w:szCs w:val="20"/>
              </w:rPr>
              <w:t>(86.</w:t>
            </w:r>
            <w:r w:rsidRPr="000935FE">
              <w:rPr>
                <w:rFonts w:ascii="Verdana" w:hAnsi="Verdana"/>
                <w:color w:val="000000"/>
                <w:sz w:val="20"/>
                <w:szCs w:val="20"/>
              </w:rPr>
              <w:t>1</w:t>
            </w:r>
            <w:r w:rsidRPr="00C22581">
              <w:rPr>
                <w:rFonts w:ascii="Verdana" w:hAnsi="Verdana"/>
                <w:color w:val="000000"/>
                <w:sz w:val="20"/>
                <w:szCs w:val="20"/>
              </w:rPr>
              <w:t>-87.</w:t>
            </w:r>
            <w:r w:rsidRPr="000935FE">
              <w:rPr>
                <w:rFonts w:ascii="Verdana" w:hAnsi="Verdana"/>
                <w:color w:val="000000"/>
                <w:sz w:val="20"/>
                <w:szCs w:val="20"/>
              </w:rPr>
              <w:t>7</w:t>
            </w:r>
            <w:r w:rsidRPr="00C22581">
              <w:rPr>
                <w:rFonts w:ascii="Verdana" w:hAnsi="Verdana"/>
                <w:color w:val="000000"/>
                <w:sz w:val="20"/>
                <w:szCs w:val="20"/>
              </w:rPr>
              <w:t>%)</w:t>
            </w:r>
          </w:p>
        </w:tc>
      </w:tr>
      <w:tr w:rsidR="00C22581" w:rsidRPr="00C22581" w14:paraId="4EBE40D7" w14:textId="77777777" w:rsidTr="00C22581">
        <w:trPr>
          <w:trHeight w:val="320"/>
        </w:trPr>
        <w:tc>
          <w:tcPr>
            <w:tcW w:w="4962" w:type="dxa"/>
            <w:tcBorders>
              <w:top w:val="nil"/>
              <w:left w:val="nil"/>
              <w:bottom w:val="nil"/>
              <w:right w:val="nil"/>
            </w:tcBorders>
            <w:shd w:val="clear" w:color="auto" w:fill="auto"/>
            <w:noWrap/>
            <w:vAlign w:val="bottom"/>
            <w:hideMark/>
          </w:tcPr>
          <w:p w14:paraId="36BA85B5"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Caribbean</w:t>
            </w:r>
          </w:p>
        </w:tc>
        <w:tc>
          <w:tcPr>
            <w:tcW w:w="3827" w:type="dxa"/>
            <w:tcBorders>
              <w:top w:val="nil"/>
              <w:left w:val="nil"/>
              <w:bottom w:val="nil"/>
              <w:right w:val="nil"/>
            </w:tcBorders>
            <w:shd w:val="clear" w:color="auto" w:fill="auto"/>
            <w:noWrap/>
            <w:vAlign w:val="bottom"/>
            <w:hideMark/>
          </w:tcPr>
          <w:p w14:paraId="2CA84726" w14:textId="41E1B717"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84.6%</w:t>
            </w:r>
            <w:r w:rsidRPr="000935FE">
              <w:rPr>
                <w:rFonts w:ascii="Verdana" w:hAnsi="Verdana"/>
                <w:color w:val="000000"/>
                <w:sz w:val="20"/>
                <w:szCs w:val="20"/>
              </w:rPr>
              <w:t xml:space="preserve"> </w:t>
            </w:r>
            <w:r w:rsidRPr="00C22581">
              <w:rPr>
                <w:rFonts w:ascii="Verdana" w:hAnsi="Verdana"/>
                <w:color w:val="000000"/>
                <w:sz w:val="20"/>
                <w:szCs w:val="20"/>
              </w:rPr>
              <w:t>(83.</w:t>
            </w:r>
            <w:r w:rsidRPr="000935FE">
              <w:rPr>
                <w:rFonts w:ascii="Verdana" w:hAnsi="Verdana"/>
                <w:color w:val="000000"/>
                <w:sz w:val="20"/>
                <w:szCs w:val="20"/>
              </w:rPr>
              <w:t>8</w:t>
            </w:r>
            <w:r w:rsidRPr="00C22581">
              <w:rPr>
                <w:rFonts w:ascii="Verdana" w:hAnsi="Verdana"/>
                <w:color w:val="000000"/>
                <w:sz w:val="20"/>
                <w:szCs w:val="20"/>
              </w:rPr>
              <w:t>-85.5%)</w:t>
            </w:r>
          </w:p>
        </w:tc>
      </w:tr>
      <w:tr w:rsidR="00C22581" w:rsidRPr="00C22581" w14:paraId="79D5A9F7" w14:textId="77777777" w:rsidTr="00C22581">
        <w:trPr>
          <w:trHeight w:val="320"/>
        </w:trPr>
        <w:tc>
          <w:tcPr>
            <w:tcW w:w="4962" w:type="dxa"/>
            <w:tcBorders>
              <w:top w:val="nil"/>
              <w:left w:val="nil"/>
              <w:bottom w:val="nil"/>
              <w:right w:val="nil"/>
            </w:tcBorders>
            <w:shd w:val="clear" w:color="auto" w:fill="auto"/>
            <w:noWrap/>
            <w:vAlign w:val="bottom"/>
            <w:hideMark/>
          </w:tcPr>
          <w:p w14:paraId="73CA4F3F"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English / Welsh / Scottish / Northern Irish / British</w:t>
            </w:r>
          </w:p>
        </w:tc>
        <w:tc>
          <w:tcPr>
            <w:tcW w:w="3827" w:type="dxa"/>
            <w:tcBorders>
              <w:top w:val="nil"/>
              <w:left w:val="nil"/>
              <w:bottom w:val="nil"/>
              <w:right w:val="nil"/>
            </w:tcBorders>
            <w:shd w:val="clear" w:color="auto" w:fill="auto"/>
            <w:noWrap/>
            <w:vAlign w:val="bottom"/>
            <w:hideMark/>
          </w:tcPr>
          <w:p w14:paraId="334F073E" w14:textId="42CF5882"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84.5%</w:t>
            </w:r>
            <w:r w:rsidRPr="000935FE">
              <w:rPr>
                <w:rFonts w:ascii="Verdana" w:hAnsi="Verdana"/>
                <w:color w:val="000000"/>
                <w:sz w:val="20"/>
                <w:szCs w:val="20"/>
              </w:rPr>
              <w:t xml:space="preserve"> </w:t>
            </w:r>
            <w:r w:rsidRPr="00C22581">
              <w:rPr>
                <w:rFonts w:ascii="Verdana" w:hAnsi="Verdana"/>
                <w:color w:val="000000"/>
                <w:sz w:val="20"/>
                <w:szCs w:val="20"/>
              </w:rPr>
              <w:t>(84.4-84.6%)</w:t>
            </w:r>
          </w:p>
        </w:tc>
      </w:tr>
      <w:tr w:rsidR="00C22581" w:rsidRPr="00C22581" w14:paraId="20908190" w14:textId="77777777" w:rsidTr="00C22581">
        <w:trPr>
          <w:trHeight w:val="320"/>
        </w:trPr>
        <w:tc>
          <w:tcPr>
            <w:tcW w:w="4962" w:type="dxa"/>
            <w:tcBorders>
              <w:top w:val="nil"/>
              <w:left w:val="nil"/>
              <w:bottom w:val="nil"/>
              <w:right w:val="nil"/>
            </w:tcBorders>
            <w:shd w:val="clear" w:color="auto" w:fill="auto"/>
            <w:noWrap/>
            <w:vAlign w:val="bottom"/>
            <w:hideMark/>
          </w:tcPr>
          <w:p w14:paraId="14E65DC5"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White and Black African</w:t>
            </w:r>
          </w:p>
        </w:tc>
        <w:tc>
          <w:tcPr>
            <w:tcW w:w="3827" w:type="dxa"/>
            <w:tcBorders>
              <w:top w:val="nil"/>
              <w:left w:val="nil"/>
              <w:bottom w:val="nil"/>
              <w:right w:val="nil"/>
            </w:tcBorders>
            <w:shd w:val="clear" w:color="auto" w:fill="auto"/>
            <w:noWrap/>
            <w:vAlign w:val="bottom"/>
            <w:hideMark/>
          </w:tcPr>
          <w:p w14:paraId="64A81DEA" w14:textId="140B25B4"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80.9%</w:t>
            </w:r>
            <w:r w:rsidRPr="000935FE">
              <w:rPr>
                <w:rFonts w:ascii="Verdana" w:hAnsi="Verdana"/>
                <w:color w:val="000000"/>
                <w:sz w:val="20"/>
                <w:szCs w:val="20"/>
              </w:rPr>
              <w:t xml:space="preserve"> </w:t>
            </w:r>
            <w:r w:rsidRPr="00C22581">
              <w:rPr>
                <w:rFonts w:ascii="Verdana" w:hAnsi="Verdana"/>
                <w:color w:val="000000"/>
                <w:sz w:val="20"/>
                <w:szCs w:val="20"/>
              </w:rPr>
              <w:t>(78.</w:t>
            </w:r>
            <w:r w:rsidRPr="000935FE">
              <w:rPr>
                <w:rFonts w:ascii="Verdana" w:hAnsi="Verdana"/>
                <w:color w:val="000000"/>
                <w:sz w:val="20"/>
                <w:szCs w:val="20"/>
              </w:rPr>
              <w:t>9</w:t>
            </w:r>
            <w:r w:rsidRPr="00C22581">
              <w:rPr>
                <w:rFonts w:ascii="Verdana" w:hAnsi="Verdana"/>
                <w:color w:val="000000"/>
                <w:sz w:val="20"/>
                <w:szCs w:val="20"/>
              </w:rPr>
              <w:t>-82.8%)</w:t>
            </w:r>
          </w:p>
        </w:tc>
      </w:tr>
      <w:tr w:rsidR="00C22581" w:rsidRPr="00C22581" w14:paraId="56E95BF2" w14:textId="77777777" w:rsidTr="00C22581">
        <w:trPr>
          <w:trHeight w:val="320"/>
        </w:trPr>
        <w:tc>
          <w:tcPr>
            <w:tcW w:w="4962" w:type="dxa"/>
            <w:tcBorders>
              <w:top w:val="nil"/>
              <w:left w:val="nil"/>
              <w:bottom w:val="nil"/>
              <w:right w:val="nil"/>
            </w:tcBorders>
            <w:shd w:val="clear" w:color="auto" w:fill="auto"/>
            <w:noWrap/>
            <w:vAlign w:val="bottom"/>
            <w:hideMark/>
          </w:tcPr>
          <w:p w14:paraId="62C725D6"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Arab</w:t>
            </w:r>
          </w:p>
        </w:tc>
        <w:tc>
          <w:tcPr>
            <w:tcW w:w="3827" w:type="dxa"/>
            <w:tcBorders>
              <w:top w:val="nil"/>
              <w:left w:val="nil"/>
              <w:bottom w:val="nil"/>
              <w:right w:val="nil"/>
            </w:tcBorders>
            <w:shd w:val="clear" w:color="auto" w:fill="auto"/>
            <w:noWrap/>
            <w:vAlign w:val="bottom"/>
            <w:hideMark/>
          </w:tcPr>
          <w:p w14:paraId="0D03693F" w14:textId="4A707598"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79.6%</w:t>
            </w:r>
            <w:r w:rsidRPr="000935FE">
              <w:rPr>
                <w:rFonts w:ascii="Verdana" w:hAnsi="Verdana"/>
                <w:color w:val="000000"/>
                <w:sz w:val="20"/>
                <w:szCs w:val="20"/>
              </w:rPr>
              <w:t xml:space="preserve"> </w:t>
            </w:r>
            <w:r w:rsidRPr="00C22581">
              <w:rPr>
                <w:rFonts w:ascii="Verdana" w:hAnsi="Verdana"/>
                <w:color w:val="000000"/>
                <w:sz w:val="20"/>
                <w:szCs w:val="20"/>
              </w:rPr>
              <w:t>(78.</w:t>
            </w:r>
            <w:r w:rsidRPr="000935FE">
              <w:rPr>
                <w:rFonts w:ascii="Verdana" w:hAnsi="Verdana"/>
                <w:color w:val="000000"/>
                <w:sz w:val="20"/>
                <w:szCs w:val="20"/>
              </w:rPr>
              <w:t>1</w:t>
            </w:r>
            <w:r w:rsidRPr="00C22581">
              <w:rPr>
                <w:rFonts w:ascii="Verdana" w:hAnsi="Verdana"/>
                <w:color w:val="000000"/>
                <w:sz w:val="20"/>
                <w:szCs w:val="20"/>
              </w:rPr>
              <w:t>-8%)</w:t>
            </w:r>
          </w:p>
        </w:tc>
      </w:tr>
      <w:tr w:rsidR="00C22581" w:rsidRPr="00C22581" w14:paraId="4FA104B4" w14:textId="77777777" w:rsidTr="00C22581">
        <w:trPr>
          <w:trHeight w:val="320"/>
        </w:trPr>
        <w:tc>
          <w:tcPr>
            <w:tcW w:w="4962" w:type="dxa"/>
            <w:tcBorders>
              <w:top w:val="nil"/>
              <w:left w:val="nil"/>
              <w:bottom w:val="nil"/>
              <w:right w:val="nil"/>
            </w:tcBorders>
            <w:shd w:val="clear" w:color="auto" w:fill="auto"/>
            <w:noWrap/>
            <w:vAlign w:val="bottom"/>
            <w:hideMark/>
          </w:tcPr>
          <w:p w14:paraId="51792662"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Unknown</w:t>
            </w:r>
          </w:p>
        </w:tc>
        <w:tc>
          <w:tcPr>
            <w:tcW w:w="3827" w:type="dxa"/>
            <w:tcBorders>
              <w:top w:val="nil"/>
              <w:left w:val="nil"/>
              <w:bottom w:val="nil"/>
              <w:right w:val="nil"/>
            </w:tcBorders>
            <w:shd w:val="clear" w:color="auto" w:fill="auto"/>
            <w:noWrap/>
            <w:vAlign w:val="bottom"/>
            <w:hideMark/>
          </w:tcPr>
          <w:p w14:paraId="2FC264C7" w14:textId="0AB220DE"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79.6%</w:t>
            </w:r>
            <w:r w:rsidRPr="000935FE">
              <w:rPr>
                <w:rFonts w:ascii="Verdana" w:hAnsi="Verdana"/>
                <w:color w:val="000000"/>
                <w:sz w:val="20"/>
                <w:szCs w:val="20"/>
              </w:rPr>
              <w:t xml:space="preserve"> </w:t>
            </w:r>
            <w:r w:rsidRPr="00C22581">
              <w:rPr>
                <w:rFonts w:ascii="Verdana" w:hAnsi="Verdana"/>
                <w:color w:val="000000"/>
                <w:sz w:val="20"/>
                <w:szCs w:val="20"/>
              </w:rPr>
              <w:t>(78.8-80.4%)</w:t>
            </w:r>
          </w:p>
        </w:tc>
      </w:tr>
      <w:tr w:rsidR="00C22581" w:rsidRPr="00C22581" w14:paraId="29A1E8C9" w14:textId="77777777" w:rsidTr="00C22581">
        <w:trPr>
          <w:trHeight w:val="320"/>
        </w:trPr>
        <w:tc>
          <w:tcPr>
            <w:tcW w:w="4962" w:type="dxa"/>
            <w:tcBorders>
              <w:top w:val="nil"/>
              <w:left w:val="nil"/>
              <w:bottom w:val="nil"/>
              <w:right w:val="nil"/>
            </w:tcBorders>
            <w:shd w:val="clear" w:color="auto" w:fill="auto"/>
            <w:noWrap/>
            <w:vAlign w:val="bottom"/>
            <w:hideMark/>
          </w:tcPr>
          <w:p w14:paraId="6F3E4222"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Any other Asian background</w:t>
            </w:r>
          </w:p>
        </w:tc>
        <w:tc>
          <w:tcPr>
            <w:tcW w:w="3827" w:type="dxa"/>
            <w:tcBorders>
              <w:top w:val="nil"/>
              <w:left w:val="nil"/>
              <w:bottom w:val="nil"/>
              <w:right w:val="nil"/>
            </w:tcBorders>
            <w:shd w:val="clear" w:color="auto" w:fill="auto"/>
            <w:noWrap/>
            <w:vAlign w:val="bottom"/>
            <w:hideMark/>
          </w:tcPr>
          <w:p w14:paraId="427BFCE6" w14:textId="41D86BD5"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79.2%</w:t>
            </w:r>
            <w:r w:rsidRPr="000935FE">
              <w:rPr>
                <w:rFonts w:ascii="Verdana" w:hAnsi="Verdana"/>
                <w:color w:val="000000"/>
                <w:sz w:val="20"/>
                <w:szCs w:val="20"/>
              </w:rPr>
              <w:t xml:space="preserve"> </w:t>
            </w:r>
            <w:r w:rsidRPr="00C22581">
              <w:rPr>
                <w:rFonts w:ascii="Verdana" w:hAnsi="Verdana"/>
                <w:color w:val="000000"/>
                <w:sz w:val="20"/>
                <w:szCs w:val="20"/>
              </w:rPr>
              <w:t>(78.5-79.9%)</w:t>
            </w:r>
          </w:p>
        </w:tc>
      </w:tr>
      <w:tr w:rsidR="00C22581" w:rsidRPr="00C22581" w14:paraId="46DC1565" w14:textId="77777777" w:rsidTr="00C22581">
        <w:trPr>
          <w:trHeight w:val="320"/>
        </w:trPr>
        <w:tc>
          <w:tcPr>
            <w:tcW w:w="4962" w:type="dxa"/>
            <w:tcBorders>
              <w:top w:val="nil"/>
              <w:left w:val="nil"/>
              <w:bottom w:val="nil"/>
              <w:right w:val="nil"/>
            </w:tcBorders>
            <w:shd w:val="clear" w:color="auto" w:fill="auto"/>
            <w:noWrap/>
            <w:vAlign w:val="bottom"/>
            <w:hideMark/>
          </w:tcPr>
          <w:p w14:paraId="436C29B5"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Any other ethnic group</w:t>
            </w:r>
          </w:p>
        </w:tc>
        <w:tc>
          <w:tcPr>
            <w:tcW w:w="3827" w:type="dxa"/>
            <w:tcBorders>
              <w:top w:val="nil"/>
              <w:left w:val="nil"/>
              <w:bottom w:val="nil"/>
              <w:right w:val="nil"/>
            </w:tcBorders>
            <w:shd w:val="clear" w:color="auto" w:fill="auto"/>
            <w:noWrap/>
            <w:vAlign w:val="bottom"/>
            <w:hideMark/>
          </w:tcPr>
          <w:p w14:paraId="2788D18F" w14:textId="6EC6C6E9"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79.2%</w:t>
            </w:r>
            <w:r w:rsidRPr="000935FE">
              <w:rPr>
                <w:rFonts w:ascii="Verdana" w:hAnsi="Verdana"/>
                <w:color w:val="000000"/>
                <w:sz w:val="20"/>
                <w:szCs w:val="20"/>
              </w:rPr>
              <w:t xml:space="preserve"> </w:t>
            </w:r>
            <w:r w:rsidRPr="00C22581">
              <w:rPr>
                <w:rFonts w:ascii="Verdana" w:hAnsi="Verdana"/>
                <w:color w:val="000000"/>
                <w:sz w:val="20"/>
                <w:szCs w:val="20"/>
              </w:rPr>
              <w:t>(78.5-79.9%)</w:t>
            </w:r>
          </w:p>
        </w:tc>
      </w:tr>
      <w:tr w:rsidR="00C22581" w:rsidRPr="00C22581" w14:paraId="564ECE96" w14:textId="77777777" w:rsidTr="00C22581">
        <w:trPr>
          <w:trHeight w:val="320"/>
        </w:trPr>
        <w:tc>
          <w:tcPr>
            <w:tcW w:w="4962" w:type="dxa"/>
            <w:tcBorders>
              <w:top w:val="nil"/>
              <w:left w:val="nil"/>
              <w:bottom w:val="nil"/>
              <w:right w:val="nil"/>
            </w:tcBorders>
            <w:shd w:val="clear" w:color="auto" w:fill="auto"/>
            <w:noWrap/>
            <w:vAlign w:val="bottom"/>
            <w:hideMark/>
          </w:tcPr>
          <w:p w14:paraId="042D913F"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Any other Black / African / Caribbean background</w:t>
            </w:r>
          </w:p>
        </w:tc>
        <w:tc>
          <w:tcPr>
            <w:tcW w:w="3827" w:type="dxa"/>
            <w:tcBorders>
              <w:top w:val="nil"/>
              <w:left w:val="nil"/>
              <w:bottom w:val="nil"/>
              <w:right w:val="nil"/>
            </w:tcBorders>
            <w:shd w:val="clear" w:color="auto" w:fill="auto"/>
            <w:noWrap/>
            <w:vAlign w:val="bottom"/>
            <w:hideMark/>
          </w:tcPr>
          <w:p w14:paraId="6329D149" w14:textId="092CB5A4"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79.1%</w:t>
            </w:r>
            <w:r w:rsidRPr="000935FE">
              <w:rPr>
                <w:rFonts w:ascii="Verdana" w:hAnsi="Verdana"/>
                <w:color w:val="000000"/>
                <w:sz w:val="20"/>
                <w:szCs w:val="20"/>
              </w:rPr>
              <w:t xml:space="preserve"> </w:t>
            </w:r>
            <w:r w:rsidRPr="00C22581">
              <w:rPr>
                <w:rFonts w:ascii="Verdana" w:hAnsi="Verdana"/>
                <w:color w:val="000000"/>
                <w:sz w:val="20"/>
                <w:szCs w:val="20"/>
              </w:rPr>
              <w:t>(77.2-80.9%)</w:t>
            </w:r>
          </w:p>
        </w:tc>
      </w:tr>
      <w:tr w:rsidR="00C22581" w:rsidRPr="00C22581" w14:paraId="7433CF40" w14:textId="77777777" w:rsidTr="00C22581">
        <w:trPr>
          <w:trHeight w:val="320"/>
        </w:trPr>
        <w:tc>
          <w:tcPr>
            <w:tcW w:w="4962" w:type="dxa"/>
            <w:tcBorders>
              <w:top w:val="nil"/>
              <w:left w:val="nil"/>
              <w:bottom w:val="nil"/>
              <w:right w:val="nil"/>
            </w:tcBorders>
            <w:shd w:val="clear" w:color="auto" w:fill="auto"/>
            <w:noWrap/>
            <w:vAlign w:val="bottom"/>
            <w:hideMark/>
          </w:tcPr>
          <w:p w14:paraId="28582E01"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White and Black Caribbean</w:t>
            </w:r>
          </w:p>
        </w:tc>
        <w:tc>
          <w:tcPr>
            <w:tcW w:w="3827" w:type="dxa"/>
            <w:tcBorders>
              <w:top w:val="nil"/>
              <w:left w:val="nil"/>
              <w:bottom w:val="nil"/>
              <w:right w:val="nil"/>
            </w:tcBorders>
            <w:shd w:val="clear" w:color="auto" w:fill="auto"/>
            <w:noWrap/>
            <w:vAlign w:val="bottom"/>
            <w:hideMark/>
          </w:tcPr>
          <w:p w14:paraId="59E9AA36" w14:textId="3EA2CC7E"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78.8%</w:t>
            </w:r>
            <w:r w:rsidRPr="000935FE">
              <w:rPr>
                <w:rFonts w:ascii="Verdana" w:hAnsi="Verdana"/>
                <w:color w:val="000000"/>
                <w:sz w:val="20"/>
                <w:szCs w:val="20"/>
              </w:rPr>
              <w:t xml:space="preserve"> </w:t>
            </w:r>
            <w:r w:rsidRPr="00C22581">
              <w:rPr>
                <w:rFonts w:ascii="Verdana" w:hAnsi="Verdana"/>
                <w:color w:val="000000"/>
                <w:sz w:val="20"/>
                <w:szCs w:val="20"/>
              </w:rPr>
              <w:t>(77.2-80.2%)</w:t>
            </w:r>
          </w:p>
        </w:tc>
      </w:tr>
      <w:tr w:rsidR="00C22581" w:rsidRPr="00C22581" w14:paraId="2C6D3FFC" w14:textId="77777777" w:rsidTr="00C22581">
        <w:trPr>
          <w:trHeight w:val="320"/>
        </w:trPr>
        <w:tc>
          <w:tcPr>
            <w:tcW w:w="4962" w:type="dxa"/>
            <w:tcBorders>
              <w:top w:val="nil"/>
              <w:left w:val="nil"/>
              <w:bottom w:val="nil"/>
              <w:right w:val="nil"/>
            </w:tcBorders>
            <w:shd w:val="clear" w:color="auto" w:fill="auto"/>
            <w:noWrap/>
            <w:vAlign w:val="bottom"/>
            <w:hideMark/>
          </w:tcPr>
          <w:p w14:paraId="02A2D133"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Any other Mixed / multiple ethnic background</w:t>
            </w:r>
          </w:p>
        </w:tc>
        <w:tc>
          <w:tcPr>
            <w:tcW w:w="3827" w:type="dxa"/>
            <w:tcBorders>
              <w:top w:val="nil"/>
              <w:left w:val="nil"/>
              <w:bottom w:val="nil"/>
              <w:right w:val="nil"/>
            </w:tcBorders>
            <w:shd w:val="clear" w:color="auto" w:fill="auto"/>
            <w:noWrap/>
            <w:vAlign w:val="bottom"/>
            <w:hideMark/>
          </w:tcPr>
          <w:p w14:paraId="3B404A40" w14:textId="3FF4FB86"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78.1%</w:t>
            </w:r>
            <w:r w:rsidRPr="000935FE">
              <w:rPr>
                <w:rFonts w:ascii="Verdana" w:hAnsi="Verdana"/>
                <w:color w:val="000000"/>
                <w:sz w:val="20"/>
                <w:szCs w:val="20"/>
              </w:rPr>
              <w:t xml:space="preserve"> </w:t>
            </w:r>
            <w:r w:rsidRPr="00C22581">
              <w:rPr>
                <w:rFonts w:ascii="Verdana" w:hAnsi="Verdana"/>
                <w:color w:val="000000"/>
                <w:sz w:val="20"/>
                <w:szCs w:val="20"/>
              </w:rPr>
              <w:t>(76.7-79.</w:t>
            </w:r>
            <w:r w:rsidRPr="000935FE">
              <w:rPr>
                <w:rFonts w:ascii="Verdana" w:hAnsi="Verdana"/>
                <w:color w:val="000000"/>
                <w:sz w:val="20"/>
                <w:szCs w:val="20"/>
              </w:rPr>
              <w:t>4</w:t>
            </w:r>
            <w:r w:rsidRPr="00C22581">
              <w:rPr>
                <w:rFonts w:ascii="Verdana" w:hAnsi="Verdana"/>
                <w:color w:val="000000"/>
                <w:sz w:val="20"/>
                <w:szCs w:val="20"/>
              </w:rPr>
              <w:t>%)</w:t>
            </w:r>
          </w:p>
        </w:tc>
      </w:tr>
      <w:tr w:rsidR="00C22581" w:rsidRPr="00C22581" w14:paraId="229BEBDB" w14:textId="77777777" w:rsidTr="00C22581">
        <w:trPr>
          <w:trHeight w:val="320"/>
        </w:trPr>
        <w:tc>
          <w:tcPr>
            <w:tcW w:w="4962" w:type="dxa"/>
            <w:tcBorders>
              <w:top w:val="nil"/>
              <w:left w:val="nil"/>
              <w:bottom w:val="nil"/>
              <w:right w:val="nil"/>
            </w:tcBorders>
            <w:shd w:val="clear" w:color="auto" w:fill="auto"/>
            <w:noWrap/>
            <w:vAlign w:val="bottom"/>
            <w:hideMark/>
          </w:tcPr>
          <w:p w14:paraId="763C8301"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White and Asian</w:t>
            </w:r>
          </w:p>
        </w:tc>
        <w:tc>
          <w:tcPr>
            <w:tcW w:w="3827" w:type="dxa"/>
            <w:tcBorders>
              <w:top w:val="nil"/>
              <w:left w:val="nil"/>
              <w:bottom w:val="nil"/>
              <w:right w:val="nil"/>
            </w:tcBorders>
            <w:shd w:val="clear" w:color="auto" w:fill="auto"/>
            <w:noWrap/>
            <w:vAlign w:val="bottom"/>
            <w:hideMark/>
          </w:tcPr>
          <w:p w14:paraId="0A7AC31D" w14:textId="3280AF96"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77.9%</w:t>
            </w:r>
            <w:r w:rsidRPr="000935FE">
              <w:rPr>
                <w:rFonts w:ascii="Verdana" w:hAnsi="Verdana"/>
                <w:color w:val="000000"/>
                <w:sz w:val="20"/>
                <w:szCs w:val="20"/>
              </w:rPr>
              <w:t xml:space="preserve"> </w:t>
            </w:r>
            <w:r w:rsidRPr="00C22581">
              <w:rPr>
                <w:rFonts w:ascii="Verdana" w:hAnsi="Verdana"/>
                <w:color w:val="000000"/>
                <w:sz w:val="20"/>
                <w:szCs w:val="20"/>
              </w:rPr>
              <w:t>(76.5-79.</w:t>
            </w:r>
            <w:r w:rsidRPr="000935FE">
              <w:rPr>
                <w:rFonts w:ascii="Verdana" w:hAnsi="Verdana"/>
                <w:color w:val="000000"/>
                <w:sz w:val="20"/>
                <w:szCs w:val="20"/>
              </w:rPr>
              <w:t>3</w:t>
            </w:r>
            <w:r w:rsidRPr="00C22581">
              <w:rPr>
                <w:rFonts w:ascii="Verdana" w:hAnsi="Verdana"/>
                <w:color w:val="000000"/>
                <w:sz w:val="20"/>
                <w:szCs w:val="20"/>
              </w:rPr>
              <w:t>%)</w:t>
            </w:r>
          </w:p>
        </w:tc>
      </w:tr>
      <w:tr w:rsidR="00C22581" w:rsidRPr="00C22581" w14:paraId="1138FA97" w14:textId="77777777" w:rsidTr="00C22581">
        <w:trPr>
          <w:trHeight w:val="320"/>
        </w:trPr>
        <w:tc>
          <w:tcPr>
            <w:tcW w:w="4962" w:type="dxa"/>
            <w:tcBorders>
              <w:top w:val="nil"/>
              <w:left w:val="nil"/>
              <w:bottom w:val="nil"/>
              <w:right w:val="nil"/>
            </w:tcBorders>
            <w:shd w:val="clear" w:color="auto" w:fill="auto"/>
            <w:noWrap/>
            <w:vAlign w:val="bottom"/>
            <w:hideMark/>
          </w:tcPr>
          <w:p w14:paraId="52B3EC80"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Indian</w:t>
            </w:r>
          </w:p>
        </w:tc>
        <w:tc>
          <w:tcPr>
            <w:tcW w:w="3827" w:type="dxa"/>
            <w:tcBorders>
              <w:top w:val="nil"/>
              <w:left w:val="nil"/>
              <w:bottom w:val="nil"/>
              <w:right w:val="nil"/>
            </w:tcBorders>
            <w:shd w:val="clear" w:color="auto" w:fill="auto"/>
            <w:noWrap/>
            <w:vAlign w:val="bottom"/>
            <w:hideMark/>
          </w:tcPr>
          <w:p w14:paraId="5B84D054" w14:textId="6B92BCDB"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76.3%</w:t>
            </w:r>
            <w:r w:rsidRPr="000935FE">
              <w:rPr>
                <w:rFonts w:ascii="Verdana" w:hAnsi="Verdana"/>
                <w:color w:val="000000"/>
                <w:sz w:val="20"/>
                <w:szCs w:val="20"/>
              </w:rPr>
              <w:t xml:space="preserve"> </w:t>
            </w:r>
            <w:r w:rsidRPr="00C22581">
              <w:rPr>
                <w:rFonts w:ascii="Verdana" w:hAnsi="Verdana"/>
                <w:color w:val="000000"/>
                <w:sz w:val="20"/>
                <w:szCs w:val="20"/>
              </w:rPr>
              <w:t>(75.8-76.</w:t>
            </w:r>
            <w:r w:rsidRPr="000935FE">
              <w:rPr>
                <w:rFonts w:ascii="Verdana" w:hAnsi="Verdana"/>
                <w:color w:val="000000"/>
                <w:sz w:val="20"/>
                <w:szCs w:val="20"/>
              </w:rPr>
              <w:t>9</w:t>
            </w:r>
            <w:r w:rsidRPr="00C22581">
              <w:rPr>
                <w:rFonts w:ascii="Verdana" w:hAnsi="Verdana"/>
                <w:color w:val="000000"/>
                <w:sz w:val="20"/>
                <w:szCs w:val="20"/>
              </w:rPr>
              <w:t>%)</w:t>
            </w:r>
          </w:p>
        </w:tc>
      </w:tr>
      <w:tr w:rsidR="00C22581" w:rsidRPr="00C22581" w14:paraId="459E35C4" w14:textId="77777777" w:rsidTr="00C22581">
        <w:trPr>
          <w:trHeight w:val="320"/>
        </w:trPr>
        <w:tc>
          <w:tcPr>
            <w:tcW w:w="4962" w:type="dxa"/>
            <w:tcBorders>
              <w:top w:val="nil"/>
              <w:left w:val="nil"/>
              <w:bottom w:val="nil"/>
              <w:right w:val="nil"/>
            </w:tcBorders>
            <w:shd w:val="clear" w:color="auto" w:fill="auto"/>
            <w:noWrap/>
            <w:vAlign w:val="bottom"/>
            <w:hideMark/>
          </w:tcPr>
          <w:p w14:paraId="51F21EB0"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Any other White background</w:t>
            </w:r>
          </w:p>
        </w:tc>
        <w:tc>
          <w:tcPr>
            <w:tcW w:w="3827" w:type="dxa"/>
            <w:tcBorders>
              <w:top w:val="nil"/>
              <w:left w:val="nil"/>
              <w:bottom w:val="nil"/>
              <w:right w:val="nil"/>
            </w:tcBorders>
            <w:shd w:val="clear" w:color="auto" w:fill="auto"/>
            <w:noWrap/>
            <w:vAlign w:val="bottom"/>
            <w:hideMark/>
          </w:tcPr>
          <w:p w14:paraId="509029BE" w14:textId="52E5A0E7"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75.7%</w:t>
            </w:r>
            <w:r w:rsidRPr="000935FE">
              <w:rPr>
                <w:rFonts w:ascii="Verdana" w:hAnsi="Verdana"/>
                <w:color w:val="000000"/>
                <w:sz w:val="20"/>
                <w:szCs w:val="20"/>
              </w:rPr>
              <w:t xml:space="preserve"> </w:t>
            </w:r>
            <w:r w:rsidRPr="00C22581">
              <w:rPr>
                <w:rFonts w:ascii="Verdana" w:hAnsi="Verdana"/>
                <w:color w:val="000000"/>
                <w:sz w:val="20"/>
                <w:szCs w:val="20"/>
              </w:rPr>
              <w:t>(75.3-76.</w:t>
            </w:r>
            <w:r w:rsidRPr="000935FE">
              <w:rPr>
                <w:rFonts w:ascii="Verdana" w:hAnsi="Verdana"/>
                <w:color w:val="000000"/>
                <w:sz w:val="20"/>
                <w:szCs w:val="20"/>
              </w:rPr>
              <w:t>1</w:t>
            </w:r>
            <w:r w:rsidRPr="00C22581">
              <w:rPr>
                <w:rFonts w:ascii="Verdana" w:hAnsi="Verdana"/>
                <w:color w:val="000000"/>
                <w:sz w:val="20"/>
                <w:szCs w:val="20"/>
              </w:rPr>
              <w:t>%)</w:t>
            </w:r>
          </w:p>
        </w:tc>
      </w:tr>
      <w:tr w:rsidR="00C22581" w:rsidRPr="00C22581" w14:paraId="58B7353D" w14:textId="77777777" w:rsidTr="00C22581">
        <w:trPr>
          <w:trHeight w:val="320"/>
        </w:trPr>
        <w:tc>
          <w:tcPr>
            <w:tcW w:w="4962" w:type="dxa"/>
            <w:tcBorders>
              <w:top w:val="nil"/>
              <w:left w:val="nil"/>
              <w:bottom w:val="nil"/>
              <w:right w:val="nil"/>
            </w:tcBorders>
            <w:shd w:val="clear" w:color="auto" w:fill="auto"/>
            <w:noWrap/>
            <w:vAlign w:val="bottom"/>
            <w:hideMark/>
          </w:tcPr>
          <w:p w14:paraId="61816E94"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Chinese</w:t>
            </w:r>
          </w:p>
        </w:tc>
        <w:tc>
          <w:tcPr>
            <w:tcW w:w="3827" w:type="dxa"/>
            <w:tcBorders>
              <w:top w:val="nil"/>
              <w:left w:val="nil"/>
              <w:bottom w:val="nil"/>
              <w:right w:val="nil"/>
            </w:tcBorders>
            <w:shd w:val="clear" w:color="auto" w:fill="auto"/>
            <w:noWrap/>
            <w:vAlign w:val="bottom"/>
            <w:hideMark/>
          </w:tcPr>
          <w:p w14:paraId="3D7BFD75" w14:textId="087C111D"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74.6%</w:t>
            </w:r>
            <w:r w:rsidRPr="000935FE">
              <w:rPr>
                <w:rFonts w:ascii="Verdana" w:hAnsi="Verdana"/>
                <w:color w:val="000000"/>
                <w:sz w:val="20"/>
                <w:szCs w:val="20"/>
              </w:rPr>
              <w:t xml:space="preserve"> </w:t>
            </w:r>
            <w:r w:rsidRPr="00C22581">
              <w:rPr>
                <w:rFonts w:ascii="Verdana" w:hAnsi="Verdana"/>
                <w:color w:val="000000"/>
                <w:sz w:val="20"/>
                <w:szCs w:val="20"/>
              </w:rPr>
              <w:t>(73.6-75.7%)</w:t>
            </w:r>
          </w:p>
        </w:tc>
      </w:tr>
      <w:tr w:rsidR="00C22581" w:rsidRPr="00C22581" w14:paraId="31360881" w14:textId="77777777" w:rsidTr="00C22581">
        <w:trPr>
          <w:trHeight w:val="320"/>
        </w:trPr>
        <w:tc>
          <w:tcPr>
            <w:tcW w:w="4962" w:type="dxa"/>
            <w:tcBorders>
              <w:top w:val="nil"/>
              <w:left w:val="nil"/>
              <w:bottom w:val="nil"/>
              <w:right w:val="nil"/>
            </w:tcBorders>
            <w:shd w:val="clear" w:color="auto" w:fill="auto"/>
            <w:noWrap/>
            <w:vAlign w:val="bottom"/>
            <w:hideMark/>
          </w:tcPr>
          <w:p w14:paraId="078246CC"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Gypsy or Irish Traveller</w:t>
            </w:r>
          </w:p>
        </w:tc>
        <w:tc>
          <w:tcPr>
            <w:tcW w:w="3827" w:type="dxa"/>
            <w:tcBorders>
              <w:top w:val="nil"/>
              <w:left w:val="nil"/>
              <w:bottom w:val="nil"/>
              <w:right w:val="nil"/>
            </w:tcBorders>
            <w:shd w:val="clear" w:color="auto" w:fill="auto"/>
            <w:noWrap/>
            <w:vAlign w:val="bottom"/>
            <w:hideMark/>
          </w:tcPr>
          <w:p w14:paraId="2BE2A739" w14:textId="67874A92"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73%</w:t>
            </w:r>
            <w:r w:rsidRPr="000935FE">
              <w:rPr>
                <w:rFonts w:ascii="Verdana" w:hAnsi="Verdana"/>
                <w:color w:val="000000"/>
                <w:sz w:val="20"/>
                <w:szCs w:val="20"/>
              </w:rPr>
              <w:t xml:space="preserve"> </w:t>
            </w:r>
            <w:r w:rsidRPr="00C22581">
              <w:rPr>
                <w:rFonts w:ascii="Verdana" w:hAnsi="Verdana"/>
                <w:color w:val="000000"/>
                <w:sz w:val="20"/>
                <w:szCs w:val="20"/>
              </w:rPr>
              <w:t>(67.9-77.</w:t>
            </w:r>
            <w:r w:rsidRPr="000935FE">
              <w:rPr>
                <w:rFonts w:ascii="Verdana" w:hAnsi="Verdana"/>
                <w:color w:val="000000"/>
                <w:sz w:val="20"/>
                <w:szCs w:val="20"/>
              </w:rPr>
              <w:t>6</w:t>
            </w:r>
            <w:r w:rsidRPr="00C22581">
              <w:rPr>
                <w:rFonts w:ascii="Verdana" w:hAnsi="Verdana"/>
                <w:color w:val="000000"/>
                <w:sz w:val="20"/>
                <w:szCs w:val="20"/>
              </w:rPr>
              <w:t>%)</w:t>
            </w:r>
          </w:p>
        </w:tc>
      </w:tr>
      <w:tr w:rsidR="00C22581" w:rsidRPr="00C22581" w14:paraId="32BF7647" w14:textId="77777777" w:rsidTr="00C22581">
        <w:trPr>
          <w:trHeight w:val="320"/>
        </w:trPr>
        <w:tc>
          <w:tcPr>
            <w:tcW w:w="4962" w:type="dxa"/>
            <w:tcBorders>
              <w:top w:val="nil"/>
              <w:left w:val="nil"/>
              <w:bottom w:val="nil"/>
              <w:right w:val="nil"/>
            </w:tcBorders>
            <w:shd w:val="clear" w:color="auto" w:fill="auto"/>
            <w:noWrap/>
            <w:vAlign w:val="bottom"/>
            <w:hideMark/>
          </w:tcPr>
          <w:p w14:paraId="00F10BB1"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Pakistani</w:t>
            </w:r>
          </w:p>
        </w:tc>
        <w:tc>
          <w:tcPr>
            <w:tcW w:w="3827" w:type="dxa"/>
            <w:tcBorders>
              <w:top w:val="nil"/>
              <w:left w:val="nil"/>
              <w:bottom w:val="nil"/>
              <w:right w:val="nil"/>
            </w:tcBorders>
            <w:shd w:val="clear" w:color="auto" w:fill="auto"/>
            <w:noWrap/>
            <w:vAlign w:val="bottom"/>
            <w:hideMark/>
          </w:tcPr>
          <w:p w14:paraId="3A5A3C13" w14:textId="5783054B"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72.5%</w:t>
            </w:r>
            <w:r w:rsidRPr="000935FE">
              <w:rPr>
                <w:rFonts w:ascii="Verdana" w:hAnsi="Verdana"/>
                <w:color w:val="000000"/>
                <w:sz w:val="20"/>
                <w:szCs w:val="20"/>
              </w:rPr>
              <w:t xml:space="preserve"> </w:t>
            </w:r>
            <w:r w:rsidRPr="00C22581">
              <w:rPr>
                <w:rFonts w:ascii="Verdana" w:hAnsi="Verdana"/>
                <w:color w:val="000000"/>
                <w:sz w:val="20"/>
                <w:szCs w:val="20"/>
              </w:rPr>
              <w:t>(71.8-73.</w:t>
            </w:r>
            <w:r w:rsidRPr="000935FE">
              <w:rPr>
                <w:rFonts w:ascii="Verdana" w:hAnsi="Verdana"/>
                <w:color w:val="000000"/>
                <w:sz w:val="20"/>
                <w:szCs w:val="20"/>
              </w:rPr>
              <w:t>3</w:t>
            </w:r>
            <w:r w:rsidRPr="00C22581">
              <w:rPr>
                <w:rFonts w:ascii="Verdana" w:hAnsi="Verdana"/>
                <w:color w:val="000000"/>
                <w:sz w:val="20"/>
                <w:szCs w:val="20"/>
              </w:rPr>
              <w:t>%)</w:t>
            </w:r>
          </w:p>
        </w:tc>
      </w:tr>
      <w:tr w:rsidR="00C22581" w:rsidRPr="00C22581" w14:paraId="40EF07BF" w14:textId="77777777" w:rsidTr="00C22581">
        <w:trPr>
          <w:trHeight w:val="320"/>
        </w:trPr>
        <w:tc>
          <w:tcPr>
            <w:tcW w:w="4962" w:type="dxa"/>
            <w:tcBorders>
              <w:top w:val="nil"/>
              <w:left w:val="nil"/>
              <w:bottom w:val="nil"/>
              <w:right w:val="nil"/>
            </w:tcBorders>
            <w:shd w:val="clear" w:color="auto" w:fill="auto"/>
            <w:noWrap/>
            <w:vAlign w:val="bottom"/>
            <w:hideMark/>
          </w:tcPr>
          <w:p w14:paraId="76294AC5" w14:textId="77777777" w:rsidR="00C22581" w:rsidRPr="00C22581" w:rsidRDefault="00C22581" w:rsidP="00C22581">
            <w:pPr>
              <w:rPr>
                <w:rFonts w:ascii="Verdana" w:hAnsi="Verdana"/>
                <w:color w:val="000000"/>
                <w:sz w:val="20"/>
                <w:szCs w:val="20"/>
              </w:rPr>
            </w:pPr>
            <w:r w:rsidRPr="00C22581">
              <w:rPr>
                <w:rFonts w:ascii="Verdana" w:hAnsi="Verdana"/>
                <w:color w:val="000000"/>
                <w:sz w:val="20"/>
                <w:szCs w:val="20"/>
              </w:rPr>
              <w:t>Bangladeshi</w:t>
            </w:r>
          </w:p>
        </w:tc>
        <w:tc>
          <w:tcPr>
            <w:tcW w:w="3827" w:type="dxa"/>
            <w:tcBorders>
              <w:top w:val="nil"/>
              <w:left w:val="nil"/>
              <w:bottom w:val="nil"/>
              <w:right w:val="nil"/>
            </w:tcBorders>
            <w:shd w:val="clear" w:color="auto" w:fill="auto"/>
            <w:noWrap/>
            <w:vAlign w:val="bottom"/>
            <w:hideMark/>
          </w:tcPr>
          <w:p w14:paraId="292664A0" w14:textId="16DA6F90" w:rsidR="00C22581" w:rsidRPr="00C22581" w:rsidRDefault="00C22581" w:rsidP="00335D4E">
            <w:pPr>
              <w:jc w:val="right"/>
              <w:rPr>
                <w:rFonts w:ascii="Verdana" w:hAnsi="Verdana"/>
                <w:color w:val="000000"/>
                <w:sz w:val="20"/>
                <w:szCs w:val="20"/>
              </w:rPr>
            </w:pPr>
            <w:r w:rsidRPr="00C22581">
              <w:rPr>
                <w:rFonts w:ascii="Verdana" w:hAnsi="Verdana"/>
                <w:color w:val="000000"/>
                <w:sz w:val="20"/>
                <w:szCs w:val="20"/>
              </w:rPr>
              <w:t>71.7%</w:t>
            </w:r>
            <w:r w:rsidRPr="000935FE">
              <w:rPr>
                <w:rFonts w:ascii="Verdana" w:hAnsi="Verdana"/>
                <w:color w:val="000000"/>
                <w:sz w:val="20"/>
                <w:szCs w:val="20"/>
              </w:rPr>
              <w:t xml:space="preserve"> </w:t>
            </w:r>
            <w:r w:rsidRPr="00C22581">
              <w:rPr>
                <w:rFonts w:ascii="Verdana" w:hAnsi="Verdana"/>
                <w:color w:val="000000"/>
                <w:sz w:val="20"/>
                <w:szCs w:val="20"/>
              </w:rPr>
              <w:t>(70.6-72.8%)</w:t>
            </w:r>
          </w:p>
        </w:tc>
      </w:tr>
    </w:tbl>
    <w:p w14:paraId="759514CF" w14:textId="4D10EF8C" w:rsidR="00875390" w:rsidRPr="000935FE" w:rsidRDefault="00DB5CCD" w:rsidP="00875390">
      <w:pPr>
        <w:rPr>
          <w:rFonts w:ascii="Verdana" w:hAnsi="Verdana"/>
        </w:rPr>
      </w:pPr>
      <w:r w:rsidRPr="000935FE">
        <w:rPr>
          <w:rFonts w:ascii="Verdana" w:hAnsi="Verdana"/>
          <w:b/>
          <w:bCs/>
        </w:rPr>
        <w:lastRenderedPageBreak/>
        <w:t xml:space="preserve">Average satisfaction score for adult inpatient hospital care </w:t>
      </w:r>
      <w:r w:rsidRPr="000935FE">
        <w:rPr>
          <w:rFonts w:ascii="Verdana" w:hAnsi="Verdana"/>
          <w:b/>
          <w:bCs/>
        </w:rPr>
        <w:t>– England – 2017-18 -</w:t>
      </w:r>
      <w:r w:rsidR="00875390" w:rsidRPr="000935FE">
        <w:rPr>
          <w:rFonts w:ascii="Verdana" w:hAnsi="Verdana" w:cs="Arial"/>
          <w:color w:val="0B0C0C"/>
          <w:sz w:val="29"/>
          <w:szCs w:val="29"/>
          <w:shd w:val="clear" w:color="auto" w:fill="FFFFFF"/>
        </w:rPr>
        <w:t xml:space="preserve"> </w:t>
      </w:r>
      <w:r w:rsidR="00875390" w:rsidRPr="000935FE">
        <w:rPr>
          <w:rFonts w:ascii="Verdana" w:hAnsi="Verdana" w:cs="Arial"/>
          <w:color w:val="0B0C0C"/>
          <w:shd w:val="clear" w:color="auto" w:fill="FFFFFF"/>
        </w:rPr>
        <w:t>Care Quality Commission (CQC) Adult inpatient survey</w:t>
      </w:r>
    </w:p>
    <w:p w14:paraId="6A577DDF" w14:textId="0227317D" w:rsidR="00DB5CCD" w:rsidRPr="0089257B" w:rsidRDefault="00DB5CCD" w:rsidP="00DB5CCD">
      <w:pPr>
        <w:spacing w:before="100" w:beforeAutospacing="1" w:after="300"/>
        <w:rPr>
          <w:rFonts w:ascii="Verdana" w:hAnsi="Verdana" w:cs="Arial"/>
          <w:color w:val="0B0C0C"/>
          <w:sz w:val="22"/>
          <w:szCs w:val="22"/>
        </w:rPr>
      </w:pPr>
      <w:r w:rsidRPr="0089257B">
        <w:rPr>
          <w:rFonts w:ascii="Verdana" w:hAnsi="Verdana" w:cs="Arial"/>
          <w:color w:val="0B0C0C"/>
          <w:sz w:val="22"/>
          <w:szCs w:val="22"/>
        </w:rPr>
        <w:t>I</w:t>
      </w:r>
      <w:r w:rsidRPr="00DB5CCD">
        <w:rPr>
          <w:rFonts w:ascii="Verdana" w:hAnsi="Verdana" w:cs="Arial"/>
          <w:color w:val="0B0C0C"/>
          <w:sz w:val="22"/>
          <w:szCs w:val="22"/>
        </w:rPr>
        <w:t>npatients from White Irish</w:t>
      </w:r>
      <w:r w:rsidRPr="0089257B">
        <w:rPr>
          <w:rFonts w:ascii="Verdana" w:hAnsi="Verdana" w:cs="Arial"/>
          <w:color w:val="0B0C0C"/>
          <w:sz w:val="22"/>
          <w:szCs w:val="22"/>
        </w:rPr>
        <w:t xml:space="preserve"> (81.4)</w:t>
      </w:r>
      <w:r w:rsidRPr="00DB5CCD">
        <w:rPr>
          <w:rFonts w:ascii="Verdana" w:hAnsi="Verdana" w:cs="Arial"/>
          <w:color w:val="0B0C0C"/>
          <w:sz w:val="22"/>
          <w:szCs w:val="22"/>
        </w:rPr>
        <w:t>, Chinese</w:t>
      </w:r>
      <w:r w:rsidRPr="0089257B">
        <w:rPr>
          <w:rFonts w:ascii="Verdana" w:hAnsi="Verdana" w:cs="Arial"/>
          <w:color w:val="0B0C0C"/>
          <w:sz w:val="22"/>
          <w:szCs w:val="22"/>
        </w:rPr>
        <w:t xml:space="preserve"> (80.6),</w:t>
      </w:r>
      <w:r w:rsidRPr="00DB5CCD">
        <w:rPr>
          <w:rFonts w:ascii="Verdana" w:hAnsi="Verdana" w:cs="Arial"/>
          <w:color w:val="0B0C0C"/>
          <w:sz w:val="22"/>
          <w:szCs w:val="22"/>
        </w:rPr>
        <w:t xml:space="preserve"> Arab</w:t>
      </w:r>
      <w:r w:rsidRPr="0089257B">
        <w:rPr>
          <w:rFonts w:ascii="Verdana" w:hAnsi="Verdana" w:cs="Arial"/>
          <w:color w:val="0B0C0C"/>
          <w:sz w:val="22"/>
          <w:szCs w:val="22"/>
        </w:rPr>
        <w:t xml:space="preserve"> (80.1) and a</w:t>
      </w:r>
      <w:r w:rsidRPr="00DB5CCD">
        <w:rPr>
          <w:rFonts w:ascii="Verdana" w:hAnsi="Verdana" w:cs="Arial"/>
          <w:color w:val="0B0C0C"/>
          <w:sz w:val="22"/>
          <w:szCs w:val="22"/>
        </w:rPr>
        <w:t>ny other ethnic group</w:t>
      </w:r>
      <w:r w:rsidRPr="0089257B">
        <w:rPr>
          <w:rFonts w:ascii="Verdana" w:hAnsi="Verdana" w:cs="Arial"/>
          <w:color w:val="0B0C0C"/>
          <w:sz w:val="22"/>
          <w:szCs w:val="22"/>
        </w:rPr>
        <w:t xml:space="preserve"> (83.1)</w:t>
      </w:r>
      <w:r w:rsidRPr="00DB5CCD">
        <w:rPr>
          <w:rFonts w:ascii="Verdana" w:hAnsi="Verdana" w:cs="Arial"/>
          <w:color w:val="0B0C0C"/>
          <w:sz w:val="22"/>
          <w:szCs w:val="22"/>
        </w:rPr>
        <w:t xml:space="preserve"> backgrounds were most satisfied with hospital services in 2017/18</w:t>
      </w:r>
      <w:r w:rsidRPr="0089257B">
        <w:rPr>
          <w:rFonts w:ascii="Verdana" w:hAnsi="Verdana" w:cs="Arial"/>
          <w:color w:val="0B0C0C"/>
          <w:sz w:val="22"/>
          <w:szCs w:val="22"/>
        </w:rPr>
        <w:t>.</w:t>
      </w:r>
    </w:p>
    <w:p w14:paraId="53C1840F" w14:textId="47D24063" w:rsidR="00DB5CCD" w:rsidRPr="00DB5CCD" w:rsidRDefault="00DB5CCD" w:rsidP="00DB5CCD">
      <w:pPr>
        <w:spacing w:before="100" w:beforeAutospacing="1" w:after="300"/>
        <w:rPr>
          <w:rFonts w:ascii="Verdana" w:hAnsi="Verdana" w:cs="Arial"/>
          <w:color w:val="0B0C0C"/>
          <w:sz w:val="22"/>
          <w:szCs w:val="22"/>
        </w:rPr>
      </w:pPr>
      <w:r w:rsidRPr="0089257B">
        <w:rPr>
          <w:rFonts w:ascii="Verdana" w:hAnsi="Verdana" w:cs="Arial"/>
          <w:color w:val="0B0C0C"/>
          <w:sz w:val="22"/>
          <w:szCs w:val="22"/>
        </w:rPr>
        <w:t>I</w:t>
      </w:r>
      <w:r w:rsidRPr="00DB5CCD">
        <w:rPr>
          <w:rFonts w:ascii="Verdana" w:hAnsi="Verdana" w:cs="Arial"/>
          <w:color w:val="0B0C0C"/>
          <w:sz w:val="22"/>
          <w:szCs w:val="22"/>
        </w:rPr>
        <w:t>npatients from Bangladeshi</w:t>
      </w:r>
      <w:r w:rsidRPr="0089257B">
        <w:rPr>
          <w:rFonts w:ascii="Verdana" w:hAnsi="Verdana" w:cs="Arial"/>
          <w:color w:val="0B0C0C"/>
          <w:sz w:val="22"/>
          <w:szCs w:val="22"/>
        </w:rPr>
        <w:t xml:space="preserve"> (71.9)</w:t>
      </w:r>
      <w:r w:rsidRPr="00DB5CCD">
        <w:rPr>
          <w:rFonts w:ascii="Verdana" w:hAnsi="Verdana" w:cs="Arial"/>
          <w:color w:val="0B0C0C"/>
          <w:sz w:val="22"/>
          <w:szCs w:val="22"/>
        </w:rPr>
        <w:t>, Black Caribbean</w:t>
      </w:r>
      <w:r w:rsidRPr="0089257B">
        <w:rPr>
          <w:rFonts w:ascii="Verdana" w:hAnsi="Verdana" w:cs="Arial"/>
          <w:color w:val="0B0C0C"/>
          <w:sz w:val="22"/>
          <w:szCs w:val="22"/>
        </w:rPr>
        <w:t xml:space="preserve"> (74.7)</w:t>
      </w:r>
      <w:r w:rsidRPr="00DB5CCD">
        <w:rPr>
          <w:rFonts w:ascii="Verdana" w:hAnsi="Verdana" w:cs="Arial"/>
          <w:color w:val="0B0C0C"/>
          <w:sz w:val="22"/>
          <w:szCs w:val="22"/>
        </w:rPr>
        <w:t xml:space="preserve"> and other Black backgrounds</w:t>
      </w:r>
      <w:r w:rsidRPr="0089257B">
        <w:rPr>
          <w:rFonts w:ascii="Verdana" w:hAnsi="Verdana" w:cs="Arial"/>
          <w:color w:val="0B0C0C"/>
          <w:sz w:val="22"/>
          <w:szCs w:val="22"/>
        </w:rPr>
        <w:t xml:space="preserve"> (74.7)</w:t>
      </w:r>
      <w:r w:rsidRPr="00DB5CCD">
        <w:rPr>
          <w:rFonts w:ascii="Verdana" w:hAnsi="Verdana" w:cs="Arial"/>
          <w:color w:val="0B0C0C"/>
          <w:sz w:val="22"/>
          <w:szCs w:val="22"/>
        </w:rPr>
        <w:t xml:space="preserve"> were the least satisfied with hospital services in 2017/18</w:t>
      </w:r>
      <w:r w:rsidRPr="0089257B">
        <w:rPr>
          <w:rFonts w:ascii="Verdana" w:hAnsi="Verdana" w:cs="Arial"/>
          <w:color w:val="0B0C0C"/>
          <w:sz w:val="22"/>
          <w:szCs w:val="22"/>
        </w:rPr>
        <w:t xml:space="preserve">. </w:t>
      </w:r>
      <w:r w:rsidRPr="00DB5CCD">
        <w:rPr>
          <w:rFonts w:ascii="Verdana" w:hAnsi="Verdana" w:cs="Arial"/>
          <w:color w:val="0B0C0C"/>
          <w:sz w:val="22"/>
          <w:szCs w:val="22"/>
        </w:rPr>
        <w:t>Bangladeshi patients were the least satisfied with hospital care in each of the 2 years covered</w:t>
      </w:r>
    </w:p>
    <w:p w14:paraId="3F073132" w14:textId="5D6BC79C" w:rsidR="00107E3E" w:rsidRPr="000935FE" w:rsidRDefault="00DB5CCD">
      <w:pPr>
        <w:rPr>
          <w:rFonts w:ascii="Verdana" w:hAnsi="Verdana"/>
        </w:rPr>
      </w:pPr>
      <w:r w:rsidRPr="000935FE">
        <w:rPr>
          <w:rFonts w:ascii="Verdana" w:hAnsi="Verdana"/>
        </w:rPr>
        <w:t xml:space="preserve">Average satisfaction score for adult inpatient hospital care </w:t>
      </w:r>
    </w:p>
    <w:tbl>
      <w:tblPr>
        <w:tblW w:w="5755" w:type="dxa"/>
        <w:tblLook w:val="04A0" w:firstRow="1" w:lastRow="0" w:firstColumn="1" w:lastColumn="0" w:noHBand="0" w:noVBand="1"/>
      </w:tblPr>
      <w:tblGrid>
        <w:gridCol w:w="2941"/>
        <w:gridCol w:w="1407"/>
        <w:gridCol w:w="1407"/>
      </w:tblGrid>
      <w:tr w:rsidR="00DB5CCD" w:rsidRPr="000935FE" w14:paraId="71F11D79" w14:textId="77777777" w:rsidTr="00DB5CCD">
        <w:trPr>
          <w:trHeight w:val="320"/>
        </w:trPr>
        <w:tc>
          <w:tcPr>
            <w:tcW w:w="2941" w:type="dxa"/>
            <w:tcBorders>
              <w:top w:val="nil"/>
              <w:left w:val="nil"/>
              <w:bottom w:val="nil"/>
              <w:right w:val="nil"/>
            </w:tcBorders>
            <w:shd w:val="clear" w:color="auto" w:fill="auto"/>
            <w:noWrap/>
            <w:vAlign w:val="bottom"/>
            <w:hideMark/>
          </w:tcPr>
          <w:p w14:paraId="1390D90D" w14:textId="77777777" w:rsidR="00DB5CCD" w:rsidRPr="000935FE" w:rsidRDefault="00DB5CCD">
            <w:pPr>
              <w:rPr>
                <w:rFonts w:ascii="Verdana" w:hAnsi="Verdana"/>
                <w:b/>
                <w:bCs/>
                <w:sz w:val="20"/>
                <w:szCs w:val="20"/>
              </w:rPr>
            </w:pPr>
          </w:p>
        </w:tc>
        <w:tc>
          <w:tcPr>
            <w:tcW w:w="1407" w:type="dxa"/>
            <w:tcBorders>
              <w:top w:val="nil"/>
              <w:left w:val="nil"/>
              <w:bottom w:val="nil"/>
              <w:right w:val="nil"/>
            </w:tcBorders>
            <w:shd w:val="clear" w:color="auto" w:fill="auto"/>
            <w:noWrap/>
            <w:vAlign w:val="bottom"/>
            <w:hideMark/>
          </w:tcPr>
          <w:p w14:paraId="36E376B4" w14:textId="77777777" w:rsidR="00DB5CCD" w:rsidRPr="000935FE" w:rsidRDefault="00DB5CCD">
            <w:pPr>
              <w:rPr>
                <w:rFonts w:ascii="Verdana" w:hAnsi="Verdana"/>
                <w:b/>
                <w:bCs/>
                <w:color w:val="000000"/>
                <w:sz w:val="20"/>
                <w:szCs w:val="20"/>
              </w:rPr>
            </w:pPr>
            <w:r w:rsidRPr="000935FE">
              <w:rPr>
                <w:rFonts w:ascii="Verdana" w:hAnsi="Verdana"/>
                <w:b/>
                <w:bCs/>
                <w:color w:val="000000"/>
                <w:sz w:val="20"/>
                <w:szCs w:val="20"/>
              </w:rPr>
              <w:t>2016-17</w:t>
            </w:r>
          </w:p>
        </w:tc>
        <w:tc>
          <w:tcPr>
            <w:tcW w:w="1407" w:type="dxa"/>
            <w:tcBorders>
              <w:top w:val="nil"/>
              <w:left w:val="nil"/>
              <w:bottom w:val="nil"/>
              <w:right w:val="nil"/>
            </w:tcBorders>
            <w:shd w:val="clear" w:color="auto" w:fill="auto"/>
            <w:noWrap/>
            <w:vAlign w:val="bottom"/>
            <w:hideMark/>
          </w:tcPr>
          <w:p w14:paraId="4F4DACF5" w14:textId="77777777" w:rsidR="00DB5CCD" w:rsidRPr="000935FE" w:rsidRDefault="00DB5CCD">
            <w:pPr>
              <w:rPr>
                <w:rFonts w:ascii="Verdana" w:hAnsi="Verdana"/>
                <w:b/>
                <w:bCs/>
                <w:color w:val="000000"/>
                <w:sz w:val="20"/>
                <w:szCs w:val="20"/>
              </w:rPr>
            </w:pPr>
            <w:r w:rsidRPr="000935FE">
              <w:rPr>
                <w:rFonts w:ascii="Verdana" w:hAnsi="Verdana"/>
                <w:b/>
                <w:bCs/>
                <w:color w:val="000000"/>
                <w:sz w:val="20"/>
                <w:szCs w:val="20"/>
              </w:rPr>
              <w:t>2017-18</w:t>
            </w:r>
          </w:p>
        </w:tc>
      </w:tr>
      <w:tr w:rsidR="00DB5CCD" w:rsidRPr="000935FE" w14:paraId="28C576F6" w14:textId="77777777" w:rsidTr="00DB5CCD">
        <w:trPr>
          <w:trHeight w:val="320"/>
        </w:trPr>
        <w:tc>
          <w:tcPr>
            <w:tcW w:w="2941" w:type="dxa"/>
            <w:tcBorders>
              <w:top w:val="nil"/>
              <w:left w:val="nil"/>
              <w:bottom w:val="nil"/>
              <w:right w:val="nil"/>
            </w:tcBorders>
            <w:shd w:val="clear" w:color="auto" w:fill="auto"/>
            <w:noWrap/>
            <w:vAlign w:val="bottom"/>
            <w:hideMark/>
          </w:tcPr>
          <w:p w14:paraId="4A04AF6E" w14:textId="77777777" w:rsidR="00DB5CCD" w:rsidRPr="000935FE" w:rsidRDefault="00DB5CCD">
            <w:pPr>
              <w:rPr>
                <w:rFonts w:ascii="Verdana" w:hAnsi="Verdana"/>
                <w:b/>
                <w:bCs/>
                <w:color w:val="000000"/>
                <w:sz w:val="20"/>
                <w:szCs w:val="20"/>
              </w:rPr>
            </w:pPr>
            <w:r w:rsidRPr="000935FE">
              <w:rPr>
                <w:rFonts w:ascii="Verdana" w:hAnsi="Verdana"/>
                <w:b/>
                <w:bCs/>
                <w:color w:val="000000"/>
                <w:sz w:val="20"/>
                <w:szCs w:val="20"/>
              </w:rPr>
              <w:t>Ethnicity</w:t>
            </w:r>
          </w:p>
        </w:tc>
        <w:tc>
          <w:tcPr>
            <w:tcW w:w="1407" w:type="dxa"/>
            <w:tcBorders>
              <w:top w:val="nil"/>
              <w:left w:val="nil"/>
              <w:bottom w:val="nil"/>
              <w:right w:val="nil"/>
            </w:tcBorders>
            <w:shd w:val="clear" w:color="auto" w:fill="auto"/>
            <w:noWrap/>
            <w:vAlign w:val="bottom"/>
            <w:hideMark/>
          </w:tcPr>
          <w:p w14:paraId="30CAEE32" w14:textId="77777777" w:rsidR="00DB5CCD" w:rsidRPr="000935FE" w:rsidRDefault="00DB5CCD">
            <w:pPr>
              <w:rPr>
                <w:rFonts w:ascii="Verdana" w:hAnsi="Verdana"/>
                <w:b/>
                <w:bCs/>
                <w:color w:val="000000"/>
                <w:sz w:val="20"/>
                <w:szCs w:val="20"/>
              </w:rPr>
            </w:pPr>
            <w:r w:rsidRPr="000935FE">
              <w:rPr>
                <w:rFonts w:ascii="Verdana" w:hAnsi="Verdana"/>
                <w:b/>
                <w:bCs/>
                <w:color w:val="000000"/>
                <w:sz w:val="20"/>
                <w:szCs w:val="20"/>
              </w:rPr>
              <w:t>Average score</w:t>
            </w:r>
          </w:p>
        </w:tc>
        <w:tc>
          <w:tcPr>
            <w:tcW w:w="1407" w:type="dxa"/>
            <w:tcBorders>
              <w:top w:val="nil"/>
              <w:left w:val="nil"/>
              <w:bottom w:val="nil"/>
              <w:right w:val="nil"/>
            </w:tcBorders>
            <w:shd w:val="clear" w:color="auto" w:fill="auto"/>
            <w:noWrap/>
            <w:vAlign w:val="bottom"/>
            <w:hideMark/>
          </w:tcPr>
          <w:p w14:paraId="7420C8D5" w14:textId="77777777" w:rsidR="00DB5CCD" w:rsidRPr="000935FE" w:rsidRDefault="00DB5CCD">
            <w:pPr>
              <w:rPr>
                <w:rFonts w:ascii="Verdana" w:hAnsi="Verdana"/>
                <w:b/>
                <w:bCs/>
                <w:color w:val="000000"/>
                <w:sz w:val="20"/>
                <w:szCs w:val="20"/>
              </w:rPr>
            </w:pPr>
            <w:r w:rsidRPr="000935FE">
              <w:rPr>
                <w:rFonts w:ascii="Verdana" w:hAnsi="Verdana"/>
                <w:b/>
                <w:bCs/>
                <w:color w:val="000000"/>
                <w:sz w:val="20"/>
                <w:szCs w:val="20"/>
              </w:rPr>
              <w:t>Average score</w:t>
            </w:r>
          </w:p>
        </w:tc>
      </w:tr>
      <w:tr w:rsidR="00DB5CCD" w:rsidRPr="000935FE" w14:paraId="3C6DAF97" w14:textId="77777777" w:rsidTr="00DB5CCD">
        <w:trPr>
          <w:trHeight w:val="320"/>
        </w:trPr>
        <w:tc>
          <w:tcPr>
            <w:tcW w:w="2941" w:type="dxa"/>
            <w:tcBorders>
              <w:top w:val="nil"/>
              <w:left w:val="nil"/>
              <w:bottom w:val="nil"/>
              <w:right w:val="nil"/>
            </w:tcBorders>
            <w:shd w:val="clear" w:color="auto" w:fill="auto"/>
            <w:noWrap/>
            <w:vAlign w:val="bottom"/>
            <w:hideMark/>
          </w:tcPr>
          <w:p w14:paraId="3A717E47"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All</w:t>
            </w:r>
          </w:p>
        </w:tc>
        <w:tc>
          <w:tcPr>
            <w:tcW w:w="1407" w:type="dxa"/>
            <w:tcBorders>
              <w:top w:val="nil"/>
              <w:left w:val="nil"/>
              <w:bottom w:val="nil"/>
              <w:right w:val="nil"/>
            </w:tcBorders>
            <w:shd w:val="clear" w:color="auto" w:fill="auto"/>
            <w:noWrap/>
            <w:vAlign w:val="bottom"/>
            <w:hideMark/>
          </w:tcPr>
          <w:p w14:paraId="2F064B80"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w:t>
            </w:r>
          </w:p>
        </w:tc>
        <w:tc>
          <w:tcPr>
            <w:tcW w:w="1407" w:type="dxa"/>
            <w:tcBorders>
              <w:top w:val="nil"/>
              <w:left w:val="nil"/>
              <w:bottom w:val="nil"/>
              <w:right w:val="nil"/>
            </w:tcBorders>
            <w:shd w:val="clear" w:color="auto" w:fill="auto"/>
            <w:noWrap/>
            <w:vAlign w:val="bottom"/>
            <w:hideMark/>
          </w:tcPr>
          <w:p w14:paraId="1F8B41F2"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78.4</w:t>
            </w:r>
          </w:p>
        </w:tc>
      </w:tr>
      <w:tr w:rsidR="00DB5CCD" w:rsidRPr="000935FE" w14:paraId="22A74FEE" w14:textId="77777777" w:rsidTr="00DB5CCD">
        <w:trPr>
          <w:trHeight w:val="320"/>
        </w:trPr>
        <w:tc>
          <w:tcPr>
            <w:tcW w:w="2941" w:type="dxa"/>
            <w:tcBorders>
              <w:top w:val="nil"/>
              <w:left w:val="nil"/>
              <w:bottom w:val="nil"/>
              <w:right w:val="nil"/>
            </w:tcBorders>
            <w:shd w:val="clear" w:color="auto" w:fill="auto"/>
            <w:noWrap/>
            <w:vAlign w:val="bottom"/>
            <w:hideMark/>
          </w:tcPr>
          <w:p w14:paraId="30C0A49F"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Bangladeshi</w:t>
            </w:r>
          </w:p>
        </w:tc>
        <w:tc>
          <w:tcPr>
            <w:tcW w:w="1407" w:type="dxa"/>
            <w:tcBorders>
              <w:top w:val="nil"/>
              <w:left w:val="nil"/>
              <w:bottom w:val="nil"/>
              <w:right w:val="nil"/>
            </w:tcBorders>
            <w:shd w:val="clear" w:color="auto" w:fill="auto"/>
            <w:noWrap/>
            <w:vAlign w:val="bottom"/>
            <w:hideMark/>
          </w:tcPr>
          <w:p w14:paraId="69783E14"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72.7</w:t>
            </w:r>
          </w:p>
        </w:tc>
        <w:tc>
          <w:tcPr>
            <w:tcW w:w="1407" w:type="dxa"/>
            <w:tcBorders>
              <w:top w:val="nil"/>
              <w:left w:val="nil"/>
              <w:bottom w:val="nil"/>
              <w:right w:val="nil"/>
            </w:tcBorders>
            <w:shd w:val="clear" w:color="auto" w:fill="auto"/>
            <w:noWrap/>
            <w:vAlign w:val="bottom"/>
            <w:hideMark/>
          </w:tcPr>
          <w:p w14:paraId="44F268B2"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71.9</w:t>
            </w:r>
          </w:p>
        </w:tc>
      </w:tr>
      <w:tr w:rsidR="00DB5CCD" w:rsidRPr="000935FE" w14:paraId="62114906" w14:textId="77777777" w:rsidTr="00DB5CCD">
        <w:trPr>
          <w:trHeight w:val="320"/>
        </w:trPr>
        <w:tc>
          <w:tcPr>
            <w:tcW w:w="2941" w:type="dxa"/>
            <w:tcBorders>
              <w:top w:val="nil"/>
              <w:left w:val="nil"/>
              <w:bottom w:val="nil"/>
              <w:right w:val="nil"/>
            </w:tcBorders>
            <w:shd w:val="clear" w:color="auto" w:fill="auto"/>
            <w:noWrap/>
            <w:vAlign w:val="bottom"/>
            <w:hideMark/>
          </w:tcPr>
          <w:p w14:paraId="07B21A15"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Chinese</w:t>
            </w:r>
          </w:p>
        </w:tc>
        <w:tc>
          <w:tcPr>
            <w:tcW w:w="1407" w:type="dxa"/>
            <w:tcBorders>
              <w:top w:val="nil"/>
              <w:left w:val="nil"/>
              <w:bottom w:val="nil"/>
              <w:right w:val="nil"/>
            </w:tcBorders>
            <w:shd w:val="clear" w:color="auto" w:fill="auto"/>
            <w:noWrap/>
            <w:vAlign w:val="bottom"/>
            <w:hideMark/>
          </w:tcPr>
          <w:p w14:paraId="569F4915"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75.2</w:t>
            </w:r>
          </w:p>
        </w:tc>
        <w:tc>
          <w:tcPr>
            <w:tcW w:w="1407" w:type="dxa"/>
            <w:tcBorders>
              <w:top w:val="nil"/>
              <w:left w:val="nil"/>
              <w:bottom w:val="nil"/>
              <w:right w:val="nil"/>
            </w:tcBorders>
            <w:shd w:val="clear" w:color="auto" w:fill="auto"/>
            <w:noWrap/>
            <w:vAlign w:val="bottom"/>
            <w:hideMark/>
          </w:tcPr>
          <w:p w14:paraId="37C37FF9"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80.6</w:t>
            </w:r>
          </w:p>
        </w:tc>
      </w:tr>
      <w:tr w:rsidR="00DB5CCD" w:rsidRPr="000935FE" w14:paraId="1C3E09B7" w14:textId="77777777" w:rsidTr="00DB5CCD">
        <w:trPr>
          <w:trHeight w:val="320"/>
        </w:trPr>
        <w:tc>
          <w:tcPr>
            <w:tcW w:w="2941" w:type="dxa"/>
            <w:tcBorders>
              <w:top w:val="nil"/>
              <w:left w:val="nil"/>
              <w:bottom w:val="nil"/>
              <w:right w:val="nil"/>
            </w:tcBorders>
            <w:shd w:val="clear" w:color="auto" w:fill="auto"/>
            <w:noWrap/>
            <w:vAlign w:val="bottom"/>
            <w:hideMark/>
          </w:tcPr>
          <w:p w14:paraId="4C2B55A7"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Indian</w:t>
            </w:r>
          </w:p>
        </w:tc>
        <w:tc>
          <w:tcPr>
            <w:tcW w:w="1407" w:type="dxa"/>
            <w:tcBorders>
              <w:top w:val="nil"/>
              <w:left w:val="nil"/>
              <w:bottom w:val="nil"/>
              <w:right w:val="nil"/>
            </w:tcBorders>
            <w:shd w:val="clear" w:color="auto" w:fill="auto"/>
            <w:noWrap/>
            <w:vAlign w:val="bottom"/>
            <w:hideMark/>
          </w:tcPr>
          <w:p w14:paraId="3581C5C7"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76</w:t>
            </w:r>
          </w:p>
        </w:tc>
        <w:tc>
          <w:tcPr>
            <w:tcW w:w="1407" w:type="dxa"/>
            <w:tcBorders>
              <w:top w:val="nil"/>
              <w:left w:val="nil"/>
              <w:bottom w:val="nil"/>
              <w:right w:val="nil"/>
            </w:tcBorders>
            <w:shd w:val="clear" w:color="auto" w:fill="auto"/>
            <w:noWrap/>
            <w:vAlign w:val="bottom"/>
            <w:hideMark/>
          </w:tcPr>
          <w:p w14:paraId="4E8D4287"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76.7</w:t>
            </w:r>
          </w:p>
        </w:tc>
      </w:tr>
      <w:tr w:rsidR="00DB5CCD" w:rsidRPr="000935FE" w14:paraId="5AE156BE" w14:textId="77777777" w:rsidTr="00DB5CCD">
        <w:trPr>
          <w:trHeight w:val="320"/>
        </w:trPr>
        <w:tc>
          <w:tcPr>
            <w:tcW w:w="2941" w:type="dxa"/>
            <w:tcBorders>
              <w:top w:val="nil"/>
              <w:left w:val="nil"/>
              <w:bottom w:val="nil"/>
              <w:right w:val="nil"/>
            </w:tcBorders>
            <w:shd w:val="clear" w:color="auto" w:fill="auto"/>
            <w:noWrap/>
            <w:vAlign w:val="bottom"/>
            <w:hideMark/>
          </w:tcPr>
          <w:p w14:paraId="13076EB3"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Pakistani</w:t>
            </w:r>
          </w:p>
        </w:tc>
        <w:tc>
          <w:tcPr>
            <w:tcW w:w="1407" w:type="dxa"/>
            <w:tcBorders>
              <w:top w:val="nil"/>
              <w:left w:val="nil"/>
              <w:bottom w:val="nil"/>
              <w:right w:val="nil"/>
            </w:tcBorders>
            <w:shd w:val="clear" w:color="auto" w:fill="auto"/>
            <w:noWrap/>
            <w:vAlign w:val="bottom"/>
            <w:hideMark/>
          </w:tcPr>
          <w:p w14:paraId="1F2E8BDE"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75.2</w:t>
            </w:r>
          </w:p>
        </w:tc>
        <w:tc>
          <w:tcPr>
            <w:tcW w:w="1407" w:type="dxa"/>
            <w:tcBorders>
              <w:top w:val="nil"/>
              <w:left w:val="nil"/>
              <w:bottom w:val="nil"/>
              <w:right w:val="nil"/>
            </w:tcBorders>
            <w:shd w:val="clear" w:color="auto" w:fill="auto"/>
            <w:noWrap/>
            <w:vAlign w:val="bottom"/>
            <w:hideMark/>
          </w:tcPr>
          <w:p w14:paraId="57B87806"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75</w:t>
            </w:r>
          </w:p>
        </w:tc>
      </w:tr>
      <w:tr w:rsidR="00DB5CCD" w:rsidRPr="000935FE" w14:paraId="0728E083" w14:textId="77777777" w:rsidTr="00DB5CCD">
        <w:trPr>
          <w:trHeight w:val="320"/>
        </w:trPr>
        <w:tc>
          <w:tcPr>
            <w:tcW w:w="2941" w:type="dxa"/>
            <w:tcBorders>
              <w:top w:val="nil"/>
              <w:left w:val="nil"/>
              <w:bottom w:val="nil"/>
              <w:right w:val="nil"/>
            </w:tcBorders>
            <w:shd w:val="clear" w:color="auto" w:fill="auto"/>
            <w:noWrap/>
            <w:vAlign w:val="bottom"/>
            <w:hideMark/>
          </w:tcPr>
          <w:p w14:paraId="11C9ABB1"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Asian other</w:t>
            </w:r>
          </w:p>
        </w:tc>
        <w:tc>
          <w:tcPr>
            <w:tcW w:w="1407" w:type="dxa"/>
            <w:tcBorders>
              <w:top w:val="nil"/>
              <w:left w:val="nil"/>
              <w:bottom w:val="nil"/>
              <w:right w:val="nil"/>
            </w:tcBorders>
            <w:shd w:val="clear" w:color="auto" w:fill="auto"/>
            <w:noWrap/>
            <w:vAlign w:val="bottom"/>
            <w:hideMark/>
          </w:tcPr>
          <w:p w14:paraId="00CC51AA"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w:t>
            </w:r>
          </w:p>
        </w:tc>
        <w:tc>
          <w:tcPr>
            <w:tcW w:w="1407" w:type="dxa"/>
            <w:tcBorders>
              <w:top w:val="nil"/>
              <w:left w:val="nil"/>
              <w:bottom w:val="nil"/>
              <w:right w:val="nil"/>
            </w:tcBorders>
            <w:shd w:val="clear" w:color="auto" w:fill="auto"/>
            <w:noWrap/>
            <w:vAlign w:val="bottom"/>
            <w:hideMark/>
          </w:tcPr>
          <w:p w14:paraId="39658840"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79.8</w:t>
            </w:r>
          </w:p>
        </w:tc>
      </w:tr>
      <w:tr w:rsidR="00DB5CCD" w:rsidRPr="000935FE" w14:paraId="7030EB1B" w14:textId="77777777" w:rsidTr="00DB5CCD">
        <w:trPr>
          <w:trHeight w:val="320"/>
        </w:trPr>
        <w:tc>
          <w:tcPr>
            <w:tcW w:w="2941" w:type="dxa"/>
            <w:tcBorders>
              <w:top w:val="nil"/>
              <w:left w:val="nil"/>
              <w:bottom w:val="nil"/>
              <w:right w:val="nil"/>
            </w:tcBorders>
            <w:shd w:val="clear" w:color="auto" w:fill="auto"/>
            <w:noWrap/>
            <w:vAlign w:val="bottom"/>
            <w:hideMark/>
          </w:tcPr>
          <w:p w14:paraId="57E86A7E"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Black African</w:t>
            </w:r>
          </w:p>
        </w:tc>
        <w:tc>
          <w:tcPr>
            <w:tcW w:w="1407" w:type="dxa"/>
            <w:tcBorders>
              <w:top w:val="nil"/>
              <w:left w:val="nil"/>
              <w:bottom w:val="nil"/>
              <w:right w:val="nil"/>
            </w:tcBorders>
            <w:shd w:val="clear" w:color="auto" w:fill="auto"/>
            <w:noWrap/>
            <w:vAlign w:val="bottom"/>
            <w:hideMark/>
          </w:tcPr>
          <w:p w14:paraId="0A4A3779"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77.3</w:t>
            </w:r>
          </w:p>
        </w:tc>
        <w:tc>
          <w:tcPr>
            <w:tcW w:w="1407" w:type="dxa"/>
            <w:tcBorders>
              <w:top w:val="nil"/>
              <w:left w:val="nil"/>
              <w:bottom w:val="nil"/>
              <w:right w:val="nil"/>
            </w:tcBorders>
            <w:shd w:val="clear" w:color="auto" w:fill="auto"/>
            <w:noWrap/>
            <w:vAlign w:val="bottom"/>
            <w:hideMark/>
          </w:tcPr>
          <w:p w14:paraId="5C3ECC4F"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78.4</w:t>
            </w:r>
          </w:p>
        </w:tc>
      </w:tr>
      <w:tr w:rsidR="00DB5CCD" w:rsidRPr="000935FE" w14:paraId="0D9AE3B3" w14:textId="77777777" w:rsidTr="00DB5CCD">
        <w:trPr>
          <w:trHeight w:val="320"/>
        </w:trPr>
        <w:tc>
          <w:tcPr>
            <w:tcW w:w="2941" w:type="dxa"/>
            <w:tcBorders>
              <w:top w:val="nil"/>
              <w:left w:val="nil"/>
              <w:bottom w:val="nil"/>
              <w:right w:val="nil"/>
            </w:tcBorders>
            <w:shd w:val="clear" w:color="auto" w:fill="auto"/>
            <w:noWrap/>
            <w:vAlign w:val="bottom"/>
            <w:hideMark/>
          </w:tcPr>
          <w:p w14:paraId="1FB8670B"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Black Caribbean</w:t>
            </w:r>
          </w:p>
        </w:tc>
        <w:tc>
          <w:tcPr>
            <w:tcW w:w="1407" w:type="dxa"/>
            <w:tcBorders>
              <w:top w:val="nil"/>
              <w:left w:val="nil"/>
              <w:bottom w:val="nil"/>
              <w:right w:val="nil"/>
            </w:tcBorders>
            <w:shd w:val="clear" w:color="auto" w:fill="auto"/>
            <w:noWrap/>
            <w:vAlign w:val="bottom"/>
            <w:hideMark/>
          </w:tcPr>
          <w:p w14:paraId="0055CAC5"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77.2</w:t>
            </w:r>
          </w:p>
        </w:tc>
        <w:tc>
          <w:tcPr>
            <w:tcW w:w="1407" w:type="dxa"/>
            <w:tcBorders>
              <w:top w:val="nil"/>
              <w:left w:val="nil"/>
              <w:bottom w:val="nil"/>
              <w:right w:val="nil"/>
            </w:tcBorders>
            <w:shd w:val="clear" w:color="auto" w:fill="auto"/>
            <w:noWrap/>
            <w:vAlign w:val="bottom"/>
            <w:hideMark/>
          </w:tcPr>
          <w:p w14:paraId="76509CC3"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74.7</w:t>
            </w:r>
          </w:p>
        </w:tc>
      </w:tr>
      <w:tr w:rsidR="00DB5CCD" w:rsidRPr="000935FE" w14:paraId="420A0C2C" w14:textId="77777777" w:rsidTr="00DB5CCD">
        <w:trPr>
          <w:trHeight w:val="320"/>
        </w:trPr>
        <w:tc>
          <w:tcPr>
            <w:tcW w:w="2941" w:type="dxa"/>
            <w:tcBorders>
              <w:top w:val="nil"/>
              <w:left w:val="nil"/>
              <w:bottom w:val="nil"/>
              <w:right w:val="nil"/>
            </w:tcBorders>
            <w:shd w:val="clear" w:color="auto" w:fill="auto"/>
            <w:noWrap/>
            <w:vAlign w:val="bottom"/>
            <w:hideMark/>
          </w:tcPr>
          <w:p w14:paraId="0A1DF976"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Black other</w:t>
            </w:r>
          </w:p>
        </w:tc>
        <w:tc>
          <w:tcPr>
            <w:tcW w:w="1407" w:type="dxa"/>
            <w:tcBorders>
              <w:top w:val="nil"/>
              <w:left w:val="nil"/>
              <w:bottom w:val="nil"/>
              <w:right w:val="nil"/>
            </w:tcBorders>
            <w:shd w:val="clear" w:color="auto" w:fill="auto"/>
            <w:noWrap/>
            <w:vAlign w:val="bottom"/>
            <w:hideMark/>
          </w:tcPr>
          <w:p w14:paraId="3AF7D685"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79.8</w:t>
            </w:r>
          </w:p>
        </w:tc>
        <w:tc>
          <w:tcPr>
            <w:tcW w:w="1407" w:type="dxa"/>
            <w:tcBorders>
              <w:top w:val="nil"/>
              <w:left w:val="nil"/>
              <w:bottom w:val="nil"/>
              <w:right w:val="nil"/>
            </w:tcBorders>
            <w:shd w:val="clear" w:color="auto" w:fill="auto"/>
            <w:noWrap/>
            <w:vAlign w:val="bottom"/>
            <w:hideMark/>
          </w:tcPr>
          <w:p w14:paraId="50ED7E10"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74.7</w:t>
            </w:r>
          </w:p>
        </w:tc>
      </w:tr>
      <w:tr w:rsidR="00DB5CCD" w:rsidRPr="000935FE" w14:paraId="62BE52DC" w14:textId="77777777" w:rsidTr="00DB5CCD">
        <w:trPr>
          <w:trHeight w:val="320"/>
        </w:trPr>
        <w:tc>
          <w:tcPr>
            <w:tcW w:w="2941" w:type="dxa"/>
            <w:tcBorders>
              <w:top w:val="nil"/>
              <w:left w:val="nil"/>
              <w:bottom w:val="nil"/>
              <w:right w:val="nil"/>
            </w:tcBorders>
            <w:shd w:val="clear" w:color="auto" w:fill="auto"/>
            <w:noWrap/>
            <w:vAlign w:val="bottom"/>
            <w:hideMark/>
          </w:tcPr>
          <w:p w14:paraId="360C9179"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Mixed White/Asian</w:t>
            </w:r>
          </w:p>
        </w:tc>
        <w:tc>
          <w:tcPr>
            <w:tcW w:w="1407" w:type="dxa"/>
            <w:tcBorders>
              <w:top w:val="nil"/>
              <w:left w:val="nil"/>
              <w:bottom w:val="nil"/>
              <w:right w:val="nil"/>
            </w:tcBorders>
            <w:shd w:val="clear" w:color="auto" w:fill="auto"/>
            <w:noWrap/>
            <w:vAlign w:val="bottom"/>
            <w:hideMark/>
          </w:tcPr>
          <w:p w14:paraId="1B3592FF"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75.8</w:t>
            </w:r>
          </w:p>
        </w:tc>
        <w:tc>
          <w:tcPr>
            <w:tcW w:w="1407" w:type="dxa"/>
            <w:tcBorders>
              <w:top w:val="nil"/>
              <w:left w:val="nil"/>
              <w:bottom w:val="nil"/>
              <w:right w:val="nil"/>
            </w:tcBorders>
            <w:shd w:val="clear" w:color="auto" w:fill="auto"/>
            <w:noWrap/>
            <w:vAlign w:val="bottom"/>
            <w:hideMark/>
          </w:tcPr>
          <w:p w14:paraId="7154F16A"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76.6</w:t>
            </w:r>
          </w:p>
        </w:tc>
      </w:tr>
      <w:tr w:rsidR="00DB5CCD" w:rsidRPr="000935FE" w14:paraId="4D3477A0" w14:textId="77777777" w:rsidTr="00DB5CCD">
        <w:trPr>
          <w:trHeight w:val="320"/>
        </w:trPr>
        <w:tc>
          <w:tcPr>
            <w:tcW w:w="2941" w:type="dxa"/>
            <w:tcBorders>
              <w:top w:val="nil"/>
              <w:left w:val="nil"/>
              <w:bottom w:val="nil"/>
              <w:right w:val="nil"/>
            </w:tcBorders>
            <w:shd w:val="clear" w:color="auto" w:fill="auto"/>
            <w:noWrap/>
            <w:vAlign w:val="bottom"/>
            <w:hideMark/>
          </w:tcPr>
          <w:p w14:paraId="3A7DBCBB"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Mixed White/Black African</w:t>
            </w:r>
          </w:p>
        </w:tc>
        <w:tc>
          <w:tcPr>
            <w:tcW w:w="1407" w:type="dxa"/>
            <w:tcBorders>
              <w:top w:val="nil"/>
              <w:left w:val="nil"/>
              <w:bottom w:val="nil"/>
              <w:right w:val="nil"/>
            </w:tcBorders>
            <w:shd w:val="clear" w:color="auto" w:fill="auto"/>
            <w:noWrap/>
            <w:vAlign w:val="bottom"/>
            <w:hideMark/>
          </w:tcPr>
          <w:p w14:paraId="04BE209D"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79.4</w:t>
            </w:r>
          </w:p>
        </w:tc>
        <w:tc>
          <w:tcPr>
            <w:tcW w:w="1407" w:type="dxa"/>
            <w:tcBorders>
              <w:top w:val="nil"/>
              <w:left w:val="nil"/>
              <w:bottom w:val="nil"/>
              <w:right w:val="nil"/>
            </w:tcBorders>
            <w:shd w:val="clear" w:color="auto" w:fill="auto"/>
            <w:noWrap/>
            <w:vAlign w:val="bottom"/>
            <w:hideMark/>
          </w:tcPr>
          <w:p w14:paraId="0CF5CFE0"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78.4</w:t>
            </w:r>
          </w:p>
        </w:tc>
      </w:tr>
      <w:tr w:rsidR="00DB5CCD" w:rsidRPr="000935FE" w14:paraId="08C61750" w14:textId="77777777" w:rsidTr="00DB5CCD">
        <w:trPr>
          <w:trHeight w:val="320"/>
        </w:trPr>
        <w:tc>
          <w:tcPr>
            <w:tcW w:w="2941" w:type="dxa"/>
            <w:tcBorders>
              <w:top w:val="nil"/>
              <w:left w:val="nil"/>
              <w:bottom w:val="nil"/>
              <w:right w:val="nil"/>
            </w:tcBorders>
            <w:shd w:val="clear" w:color="auto" w:fill="auto"/>
            <w:noWrap/>
            <w:vAlign w:val="bottom"/>
            <w:hideMark/>
          </w:tcPr>
          <w:p w14:paraId="70DE1841"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Mixed White/Black Caribbean</w:t>
            </w:r>
          </w:p>
        </w:tc>
        <w:tc>
          <w:tcPr>
            <w:tcW w:w="1407" w:type="dxa"/>
            <w:tcBorders>
              <w:top w:val="nil"/>
              <w:left w:val="nil"/>
              <w:bottom w:val="nil"/>
              <w:right w:val="nil"/>
            </w:tcBorders>
            <w:shd w:val="clear" w:color="auto" w:fill="auto"/>
            <w:noWrap/>
            <w:vAlign w:val="bottom"/>
            <w:hideMark/>
          </w:tcPr>
          <w:p w14:paraId="13555B5E"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75.4</w:t>
            </w:r>
          </w:p>
        </w:tc>
        <w:tc>
          <w:tcPr>
            <w:tcW w:w="1407" w:type="dxa"/>
            <w:tcBorders>
              <w:top w:val="nil"/>
              <w:left w:val="nil"/>
              <w:bottom w:val="nil"/>
              <w:right w:val="nil"/>
            </w:tcBorders>
            <w:shd w:val="clear" w:color="auto" w:fill="auto"/>
            <w:noWrap/>
            <w:vAlign w:val="bottom"/>
            <w:hideMark/>
          </w:tcPr>
          <w:p w14:paraId="4C9EF266"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78.8</w:t>
            </w:r>
          </w:p>
        </w:tc>
      </w:tr>
      <w:tr w:rsidR="00DB5CCD" w:rsidRPr="000935FE" w14:paraId="19A9E8F3" w14:textId="77777777" w:rsidTr="00DB5CCD">
        <w:trPr>
          <w:trHeight w:val="320"/>
        </w:trPr>
        <w:tc>
          <w:tcPr>
            <w:tcW w:w="2941" w:type="dxa"/>
            <w:tcBorders>
              <w:top w:val="nil"/>
              <w:left w:val="nil"/>
              <w:bottom w:val="nil"/>
              <w:right w:val="nil"/>
            </w:tcBorders>
            <w:shd w:val="clear" w:color="auto" w:fill="auto"/>
            <w:noWrap/>
            <w:vAlign w:val="bottom"/>
            <w:hideMark/>
          </w:tcPr>
          <w:p w14:paraId="32790CE3"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Mixed other</w:t>
            </w:r>
          </w:p>
        </w:tc>
        <w:tc>
          <w:tcPr>
            <w:tcW w:w="1407" w:type="dxa"/>
            <w:tcBorders>
              <w:top w:val="nil"/>
              <w:left w:val="nil"/>
              <w:bottom w:val="nil"/>
              <w:right w:val="nil"/>
            </w:tcBorders>
            <w:shd w:val="clear" w:color="auto" w:fill="auto"/>
            <w:noWrap/>
            <w:vAlign w:val="bottom"/>
            <w:hideMark/>
          </w:tcPr>
          <w:p w14:paraId="68F03C7A"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81.3</w:t>
            </w:r>
          </w:p>
        </w:tc>
        <w:tc>
          <w:tcPr>
            <w:tcW w:w="1407" w:type="dxa"/>
            <w:tcBorders>
              <w:top w:val="nil"/>
              <w:left w:val="nil"/>
              <w:bottom w:val="nil"/>
              <w:right w:val="nil"/>
            </w:tcBorders>
            <w:shd w:val="clear" w:color="auto" w:fill="auto"/>
            <w:noWrap/>
            <w:vAlign w:val="bottom"/>
            <w:hideMark/>
          </w:tcPr>
          <w:p w14:paraId="634CF041"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75.3</w:t>
            </w:r>
          </w:p>
        </w:tc>
      </w:tr>
      <w:tr w:rsidR="00DB5CCD" w:rsidRPr="000935FE" w14:paraId="22D1FF29" w14:textId="77777777" w:rsidTr="00DB5CCD">
        <w:trPr>
          <w:trHeight w:val="320"/>
        </w:trPr>
        <w:tc>
          <w:tcPr>
            <w:tcW w:w="2941" w:type="dxa"/>
            <w:tcBorders>
              <w:top w:val="nil"/>
              <w:left w:val="nil"/>
              <w:bottom w:val="nil"/>
              <w:right w:val="nil"/>
            </w:tcBorders>
            <w:shd w:val="clear" w:color="auto" w:fill="auto"/>
            <w:noWrap/>
            <w:vAlign w:val="bottom"/>
            <w:hideMark/>
          </w:tcPr>
          <w:p w14:paraId="3D6C7E72"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White British</w:t>
            </w:r>
          </w:p>
        </w:tc>
        <w:tc>
          <w:tcPr>
            <w:tcW w:w="1407" w:type="dxa"/>
            <w:tcBorders>
              <w:top w:val="nil"/>
              <w:left w:val="nil"/>
              <w:bottom w:val="nil"/>
              <w:right w:val="nil"/>
            </w:tcBorders>
            <w:shd w:val="clear" w:color="auto" w:fill="auto"/>
            <w:noWrap/>
            <w:vAlign w:val="bottom"/>
            <w:hideMark/>
          </w:tcPr>
          <w:p w14:paraId="063BB1A9"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78.2</w:t>
            </w:r>
          </w:p>
        </w:tc>
        <w:tc>
          <w:tcPr>
            <w:tcW w:w="1407" w:type="dxa"/>
            <w:tcBorders>
              <w:top w:val="nil"/>
              <w:left w:val="nil"/>
              <w:bottom w:val="nil"/>
              <w:right w:val="nil"/>
            </w:tcBorders>
            <w:shd w:val="clear" w:color="auto" w:fill="auto"/>
            <w:noWrap/>
            <w:vAlign w:val="bottom"/>
            <w:hideMark/>
          </w:tcPr>
          <w:p w14:paraId="3B1B567E"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78.6</w:t>
            </w:r>
          </w:p>
        </w:tc>
      </w:tr>
      <w:tr w:rsidR="00DB5CCD" w:rsidRPr="000935FE" w14:paraId="2DD0640D" w14:textId="77777777" w:rsidTr="00DB5CCD">
        <w:trPr>
          <w:trHeight w:val="320"/>
        </w:trPr>
        <w:tc>
          <w:tcPr>
            <w:tcW w:w="2941" w:type="dxa"/>
            <w:tcBorders>
              <w:top w:val="nil"/>
              <w:left w:val="nil"/>
              <w:bottom w:val="nil"/>
              <w:right w:val="nil"/>
            </w:tcBorders>
            <w:shd w:val="clear" w:color="auto" w:fill="auto"/>
            <w:noWrap/>
            <w:vAlign w:val="bottom"/>
            <w:hideMark/>
          </w:tcPr>
          <w:p w14:paraId="6D368422"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White Irish</w:t>
            </w:r>
          </w:p>
        </w:tc>
        <w:tc>
          <w:tcPr>
            <w:tcW w:w="1407" w:type="dxa"/>
            <w:tcBorders>
              <w:top w:val="nil"/>
              <w:left w:val="nil"/>
              <w:bottom w:val="nil"/>
              <w:right w:val="nil"/>
            </w:tcBorders>
            <w:shd w:val="clear" w:color="auto" w:fill="auto"/>
            <w:noWrap/>
            <w:vAlign w:val="bottom"/>
            <w:hideMark/>
          </w:tcPr>
          <w:p w14:paraId="5F780E0D"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82.5</w:t>
            </w:r>
          </w:p>
        </w:tc>
        <w:tc>
          <w:tcPr>
            <w:tcW w:w="1407" w:type="dxa"/>
            <w:tcBorders>
              <w:top w:val="nil"/>
              <w:left w:val="nil"/>
              <w:bottom w:val="nil"/>
              <w:right w:val="nil"/>
            </w:tcBorders>
            <w:shd w:val="clear" w:color="auto" w:fill="auto"/>
            <w:noWrap/>
            <w:vAlign w:val="bottom"/>
            <w:hideMark/>
          </w:tcPr>
          <w:p w14:paraId="1BBFF2C0"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81.4</w:t>
            </w:r>
          </w:p>
        </w:tc>
      </w:tr>
      <w:tr w:rsidR="00DB5CCD" w:rsidRPr="000935FE" w14:paraId="1C8AE81C" w14:textId="77777777" w:rsidTr="00DB5CCD">
        <w:trPr>
          <w:trHeight w:val="320"/>
        </w:trPr>
        <w:tc>
          <w:tcPr>
            <w:tcW w:w="2941" w:type="dxa"/>
            <w:tcBorders>
              <w:top w:val="nil"/>
              <w:left w:val="nil"/>
              <w:bottom w:val="nil"/>
              <w:right w:val="nil"/>
            </w:tcBorders>
            <w:shd w:val="clear" w:color="auto" w:fill="auto"/>
            <w:noWrap/>
            <w:vAlign w:val="bottom"/>
            <w:hideMark/>
          </w:tcPr>
          <w:p w14:paraId="2E9B1852"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White Gypsy/Traveller</w:t>
            </w:r>
          </w:p>
        </w:tc>
        <w:tc>
          <w:tcPr>
            <w:tcW w:w="1407" w:type="dxa"/>
            <w:tcBorders>
              <w:top w:val="nil"/>
              <w:left w:val="nil"/>
              <w:bottom w:val="nil"/>
              <w:right w:val="nil"/>
            </w:tcBorders>
            <w:shd w:val="clear" w:color="auto" w:fill="auto"/>
            <w:noWrap/>
            <w:vAlign w:val="bottom"/>
            <w:hideMark/>
          </w:tcPr>
          <w:p w14:paraId="0F00D437"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81.4</w:t>
            </w:r>
          </w:p>
        </w:tc>
        <w:tc>
          <w:tcPr>
            <w:tcW w:w="1407" w:type="dxa"/>
            <w:tcBorders>
              <w:top w:val="nil"/>
              <w:left w:val="nil"/>
              <w:bottom w:val="nil"/>
              <w:right w:val="nil"/>
            </w:tcBorders>
            <w:shd w:val="clear" w:color="auto" w:fill="auto"/>
            <w:noWrap/>
            <w:vAlign w:val="bottom"/>
            <w:hideMark/>
          </w:tcPr>
          <w:p w14:paraId="2DD9EDF7" w14:textId="77777777" w:rsidR="00DB5CCD" w:rsidRPr="000935FE" w:rsidRDefault="00DB5CCD" w:rsidP="00DB5CCD">
            <w:pPr>
              <w:jc w:val="right"/>
              <w:rPr>
                <w:rFonts w:ascii="Verdana" w:hAnsi="Verdana"/>
                <w:color w:val="000000"/>
                <w:sz w:val="20"/>
                <w:szCs w:val="20"/>
              </w:rPr>
            </w:pPr>
            <w:r w:rsidRPr="000935FE">
              <w:rPr>
                <w:rFonts w:ascii="Verdana" w:hAnsi="Verdana"/>
                <w:color w:val="000000"/>
                <w:sz w:val="20"/>
                <w:szCs w:val="20"/>
              </w:rPr>
              <w:t>!</w:t>
            </w:r>
          </w:p>
        </w:tc>
      </w:tr>
      <w:tr w:rsidR="00DB5CCD" w:rsidRPr="000935FE" w14:paraId="22F9FBAE" w14:textId="77777777" w:rsidTr="00DB5CCD">
        <w:trPr>
          <w:trHeight w:val="320"/>
        </w:trPr>
        <w:tc>
          <w:tcPr>
            <w:tcW w:w="2941" w:type="dxa"/>
            <w:tcBorders>
              <w:top w:val="nil"/>
              <w:left w:val="nil"/>
              <w:bottom w:val="nil"/>
              <w:right w:val="nil"/>
            </w:tcBorders>
            <w:shd w:val="clear" w:color="auto" w:fill="auto"/>
            <w:noWrap/>
            <w:vAlign w:val="bottom"/>
            <w:hideMark/>
          </w:tcPr>
          <w:p w14:paraId="17F749AC"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White other</w:t>
            </w:r>
          </w:p>
        </w:tc>
        <w:tc>
          <w:tcPr>
            <w:tcW w:w="1407" w:type="dxa"/>
            <w:tcBorders>
              <w:top w:val="nil"/>
              <w:left w:val="nil"/>
              <w:bottom w:val="nil"/>
              <w:right w:val="nil"/>
            </w:tcBorders>
            <w:shd w:val="clear" w:color="auto" w:fill="auto"/>
            <w:noWrap/>
            <w:vAlign w:val="bottom"/>
            <w:hideMark/>
          </w:tcPr>
          <w:p w14:paraId="04D21A9D"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78.7</w:t>
            </w:r>
          </w:p>
        </w:tc>
        <w:tc>
          <w:tcPr>
            <w:tcW w:w="1407" w:type="dxa"/>
            <w:tcBorders>
              <w:top w:val="nil"/>
              <w:left w:val="nil"/>
              <w:bottom w:val="nil"/>
              <w:right w:val="nil"/>
            </w:tcBorders>
            <w:shd w:val="clear" w:color="auto" w:fill="auto"/>
            <w:noWrap/>
            <w:vAlign w:val="bottom"/>
            <w:hideMark/>
          </w:tcPr>
          <w:p w14:paraId="0B53A552"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79.5</w:t>
            </w:r>
          </w:p>
        </w:tc>
      </w:tr>
      <w:tr w:rsidR="00DB5CCD" w:rsidRPr="000935FE" w14:paraId="68DBAB00" w14:textId="77777777" w:rsidTr="00DB5CCD">
        <w:trPr>
          <w:trHeight w:val="320"/>
        </w:trPr>
        <w:tc>
          <w:tcPr>
            <w:tcW w:w="2941" w:type="dxa"/>
            <w:tcBorders>
              <w:top w:val="nil"/>
              <w:left w:val="nil"/>
              <w:bottom w:val="nil"/>
              <w:right w:val="nil"/>
            </w:tcBorders>
            <w:shd w:val="clear" w:color="auto" w:fill="auto"/>
            <w:noWrap/>
            <w:vAlign w:val="bottom"/>
            <w:hideMark/>
          </w:tcPr>
          <w:p w14:paraId="1F704237"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Arab</w:t>
            </w:r>
          </w:p>
        </w:tc>
        <w:tc>
          <w:tcPr>
            <w:tcW w:w="1407" w:type="dxa"/>
            <w:tcBorders>
              <w:top w:val="nil"/>
              <w:left w:val="nil"/>
              <w:bottom w:val="nil"/>
              <w:right w:val="nil"/>
            </w:tcBorders>
            <w:shd w:val="clear" w:color="auto" w:fill="auto"/>
            <w:noWrap/>
            <w:vAlign w:val="bottom"/>
            <w:hideMark/>
          </w:tcPr>
          <w:p w14:paraId="30A8E889"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78.5</w:t>
            </w:r>
          </w:p>
        </w:tc>
        <w:tc>
          <w:tcPr>
            <w:tcW w:w="1407" w:type="dxa"/>
            <w:tcBorders>
              <w:top w:val="nil"/>
              <w:left w:val="nil"/>
              <w:bottom w:val="nil"/>
              <w:right w:val="nil"/>
            </w:tcBorders>
            <w:shd w:val="clear" w:color="auto" w:fill="auto"/>
            <w:noWrap/>
            <w:vAlign w:val="bottom"/>
            <w:hideMark/>
          </w:tcPr>
          <w:p w14:paraId="5AED9E38"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80.1</w:t>
            </w:r>
          </w:p>
        </w:tc>
      </w:tr>
      <w:tr w:rsidR="00DB5CCD" w:rsidRPr="000935FE" w14:paraId="7B40D0B8" w14:textId="77777777" w:rsidTr="00DB5CCD">
        <w:trPr>
          <w:trHeight w:val="320"/>
        </w:trPr>
        <w:tc>
          <w:tcPr>
            <w:tcW w:w="2941" w:type="dxa"/>
            <w:tcBorders>
              <w:top w:val="nil"/>
              <w:left w:val="nil"/>
              <w:bottom w:val="nil"/>
              <w:right w:val="nil"/>
            </w:tcBorders>
            <w:shd w:val="clear" w:color="auto" w:fill="auto"/>
            <w:noWrap/>
            <w:vAlign w:val="bottom"/>
            <w:hideMark/>
          </w:tcPr>
          <w:p w14:paraId="4E3C04FA" w14:textId="77777777" w:rsidR="00DB5CCD" w:rsidRPr="000935FE" w:rsidRDefault="00DB5CCD">
            <w:pPr>
              <w:rPr>
                <w:rFonts w:ascii="Verdana" w:hAnsi="Verdana"/>
                <w:color w:val="000000"/>
                <w:sz w:val="20"/>
                <w:szCs w:val="20"/>
              </w:rPr>
            </w:pPr>
            <w:r w:rsidRPr="000935FE">
              <w:rPr>
                <w:rFonts w:ascii="Verdana" w:hAnsi="Verdana"/>
                <w:color w:val="000000"/>
                <w:sz w:val="20"/>
                <w:szCs w:val="20"/>
              </w:rPr>
              <w:t>Any other</w:t>
            </w:r>
          </w:p>
        </w:tc>
        <w:tc>
          <w:tcPr>
            <w:tcW w:w="1407" w:type="dxa"/>
            <w:tcBorders>
              <w:top w:val="nil"/>
              <w:left w:val="nil"/>
              <w:bottom w:val="nil"/>
              <w:right w:val="nil"/>
            </w:tcBorders>
            <w:shd w:val="clear" w:color="auto" w:fill="auto"/>
            <w:noWrap/>
            <w:vAlign w:val="bottom"/>
            <w:hideMark/>
          </w:tcPr>
          <w:p w14:paraId="6F97CCD3"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77.8</w:t>
            </w:r>
          </w:p>
        </w:tc>
        <w:tc>
          <w:tcPr>
            <w:tcW w:w="1407" w:type="dxa"/>
            <w:tcBorders>
              <w:top w:val="nil"/>
              <w:left w:val="nil"/>
              <w:bottom w:val="nil"/>
              <w:right w:val="nil"/>
            </w:tcBorders>
            <w:shd w:val="clear" w:color="auto" w:fill="auto"/>
            <w:noWrap/>
            <w:vAlign w:val="bottom"/>
            <w:hideMark/>
          </w:tcPr>
          <w:p w14:paraId="2D99AAF9" w14:textId="77777777" w:rsidR="00DB5CCD" w:rsidRPr="000935FE" w:rsidRDefault="00DB5CCD">
            <w:pPr>
              <w:jc w:val="right"/>
              <w:rPr>
                <w:rFonts w:ascii="Verdana" w:hAnsi="Verdana"/>
                <w:color w:val="000000"/>
                <w:sz w:val="20"/>
                <w:szCs w:val="20"/>
              </w:rPr>
            </w:pPr>
            <w:r w:rsidRPr="000935FE">
              <w:rPr>
                <w:rFonts w:ascii="Verdana" w:hAnsi="Verdana"/>
                <w:color w:val="000000"/>
                <w:sz w:val="20"/>
                <w:szCs w:val="20"/>
              </w:rPr>
              <w:t>83.1</w:t>
            </w:r>
          </w:p>
        </w:tc>
      </w:tr>
    </w:tbl>
    <w:p w14:paraId="03B14CAD" w14:textId="77777777" w:rsidR="00DB5CCD" w:rsidRPr="000935FE" w:rsidRDefault="00DB5CCD">
      <w:pPr>
        <w:rPr>
          <w:rFonts w:ascii="Verdana" w:hAnsi="Verdana"/>
        </w:rPr>
      </w:pPr>
    </w:p>
    <w:p w14:paraId="51BDC440" w14:textId="77777777" w:rsidR="00107E3E" w:rsidRPr="000935FE" w:rsidRDefault="00107E3E">
      <w:pPr>
        <w:rPr>
          <w:rFonts w:ascii="Verdana" w:hAnsi="Verdana"/>
        </w:rPr>
      </w:pPr>
    </w:p>
    <w:p w14:paraId="3E8A94E0" w14:textId="7EF73686" w:rsidR="00002C50" w:rsidRDefault="00002C50">
      <w:pPr>
        <w:rPr>
          <w:rFonts w:ascii="Verdana" w:hAnsi="Verdana"/>
        </w:rPr>
      </w:pPr>
      <w:r w:rsidRPr="000935FE">
        <w:rPr>
          <w:rFonts w:ascii="Verdana" w:hAnsi="Verdana"/>
          <w:b/>
          <w:bCs/>
        </w:rPr>
        <w:t>Diabetes</w:t>
      </w:r>
      <w:r w:rsidRPr="000935FE">
        <w:rPr>
          <w:rFonts w:ascii="Verdana" w:hAnsi="Verdana"/>
        </w:rPr>
        <w:t xml:space="preserve"> prevalence – GP Patient Survey national 2019 results</w:t>
      </w:r>
    </w:p>
    <w:p w14:paraId="6CF3B102" w14:textId="5BDA9415" w:rsidR="004B01C1" w:rsidRDefault="004B01C1">
      <w:pPr>
        <w:rPr>
          <w:rFonts w:ascii="Verdana" w:hAnsi="Verdana"/>
        </w:rPr>
      </w:pPr>
    </w:p>
    <w:p w14:paraId="6B6FDB4B" w14:textId="7B71FFAF" w:rsidR="004B01C1" w:rsidRPr="000935FE" w:rsidRDefault="004B01C1">
      <w:pPr>
        <w:rPr>
          <w:rFonts w:ascii="Verdana" w:hAnsi="Verdana"/>
        </w:rPr>
      </w:pPr>
      <w:r>
        <w:rPr>
          <w:rFonts w:ascii="Verdana" w:hAnsi="Verdana"/>
        </w:rPr>
        <w:t>Prevalence of diabetes (self-reported) ranges from 13% among Black Caribbean groups to 4.2% among Chinese groups.</w:t>
      </w:r>
    </w:p>
    <w:p w14:paraId="6D244F86" w14:textId="77777777" w:rsidR="00002C50" w:rsidRPr="000935FE" w:rsidRDefault="00002C50">
      <w:pPr>
        <w:rPr>
          <w:rFonts w:ascii="Verdana" w:hAnsi="Verdana"/>
        </w:rPr>
      </w:pPr>
    </w:p>
    <w:p w14:paraId="657E3B47" w14:textId="4F81808A" w:rsidR="004C3CE1" w:rsidRPr="0089257B" w:rsidRDefault="00002C50">
      <w:pPr>
        <w:rPr>
          <w:rFonts w:ascii="Verdana" w:hAnsi="Verdana"/>
          <w:sz w:val="22"/>
          <w:szCs w:val="22"/>
        </w:rPr>
      </w:pPr>
      <w:r w:rsidRPr="0089257B">
        <w:rPr>
          <w:rFonts w:ascii="Verdana" w:hAnsi="Verdana"/>
          <w:sz w:val="22"/>
          <w:szCs w:val="22"/>
        </w:rPr>
        <w:t>For Diabetes, compared to English/Welsh/Scottish/Northern Irish/British ethic groups, those in mixed ethnicity groups had a significantly lower prevalence whilst Indian, Pakistani, Bangladeshi, Caribbean, Arab, and any other Black/African/Caribbean background had significantly higher prevalence. Those in Chinese ethnic groups had significantly lower prevalence of Diabetes than those in the English/Welsh/Scottish/Northern Irish/British groups.</w:t>
      </w:r>
    </w:p>
    <w:p w14:paraId="362D0400" w14:textId="77FF53FB" w:rsidR="00002C50" w:rsidRPr="0089257B" w:rsidRDefault="00002C50">
      <w:pPr>
        <w:rPr>
          <w:rFonts w:ascii="Verdana" w:hAnsi="Verdana"/>
          <w:sz w:val="22"/>
          <w:szCs w:val="22"/>
        </w:rPr>
      </w:pPr>
    </w:p>
    <w:p w14:paraId="1945B82D" w14:textId="53A4609D" w:rsidR="00002C50" w:rsidRPr="0089257B" w:rsidRDefault="00002C50">
      <w:pPr>
        <w:rPr>
          <w:rFonts w:ascii="Verdana" w:hAnsi="Verdana"/>
          <w:sz w:val="22"/>
          <w:szCs w:val="22"/>
        </w:rPr>
      </w:pPr>
      <w:r w:rsidRPr="0089257B">
        <w:rPr>
          <w:rFonts w:ascii="Verdana" w:hAnsi="Verdana"/>
          <w:sz w:val="22"/>
          <w:szCs w:val="22"/>
        </w:rPr>
        <w:t xml:space="preserve">Age and sex standardised prevalence rates published by </w:t>
      </w:r>
      <w:proofErr w:type="spellStart"/>
      <w:r w:rsidRPr="0089257B">
        <w:rPr>
          <w:rFonts w:ascii="Verdana" w:hAnsi="Verdana"/>
          <w:sz w:val="22"/>
          <w:szCs w:val="22"/>
        </w:rPr>
        <w:t>Oldroyd</w:t>
      </w:r>
      <w:proofErr w:type="spellEnd"/>
      <w:r w:rsidRPr="0089257B">
        <w:rPr>
          <w:rFonts w:ascii="Verdana" w:hAnsi="Verdana"/>
          <w:sz w:val="22"/>
          <w:szCs w:val="22"/>
        </w:rPr>
        <w:t xml:space="preserve">, Banerjee, and </w:t>
      </w:r>
      <w:proofErr w:type="spellStart"/>
      <w:r w:rsidRPr="0089257B">
        <w:rPr>
          <w:rFonts w:ascii="Verdana" w:hAnsi="Verdana"/>
          <w:sz w:val="22"/>
          <w:szCs w:val="22"/>
        </w:rPr>
        <w:t>Cuickshank</w:t>
      </w:r>
      <w:proofErr w:type="spellEnd"/>
      <w:r w:rsidRPr="0089257B">
        <w:rPr>
          <w:rFonts w:ascii="Verdana" w:hAnsi="Verdana"/>
          <w:sz w:val="22"/>
          <w:szCs w:val="22"/>
        </w:rPr>
        <w:t xml:space="preserve"> (2005) based on 1997 suggest diabetes prevalence is lower in White groups compared to all other ethnic minorities, however the breakdown of ethnic groups is broader in the paper (based on the census 2001) compared to the more recent survey results.</w:t>
      </w:r>
    </w:p>
    <w:p w14:paraId="641B41C5" w14:textId="4886FBED" w:rsidR="00002C50" w:rsidRDefault="00002C50">
      <w:pPr>
        <w:rPr>
          <w:rFonts w:ascii="Verdana" w:hAnsi="Verdana"/>
        </w:rPr>
      </w:pPr>
    </w:p>
    <w:p w14:paraId="7D7B855E" w14:textId="06B851ED" w:rsidR="0089257B" w:rsidRDefault="0089257B">
      <w:pPr>
        <w:rPr>
          <w:rFonts w:ascii="Verdana" w:hAnsi="Verdana"/>
        </w:rPr>
      </w:pPr>
    </w:p>
    <w:p w14:paraId="682B9E6D" w14:textId="77777777" w:rsidR="0089257B" w:rsidRPr="000935FE" w:rsidRDefault="0089257B">
      <w:pPr>
        <w:rPr>
          <w:rFonts w:ascii="Verdana" w:hAnsi="Verdana"/>
        </w:rPr>
      </w:pPr>
    </w:p>
    <w:p w14:paraId="2CC805A4" w14:textId="424BDC7A" w:rsidR="00002C50" w:rsidRPr="000935FE" w:rsidRDefault="00002C50">
      <w:pPr>
        <w:rPr>
          <w:rFonts w:ascii="Verdana" w:hAnsi="Verdana"/>
          <w:b/>
          <w:bCs/>
        </w:rPr>
      </w:pPr>
      <w:r w:rsidRPr="000935FE">
        <w:rPr>
          <w:rFonts w:ascii="Verdana" w:hAnsi="Verdana"/>
          <w:b/>
          <w:bCs/>
        </w:rPr>
        <w:t>Asthma and COPD</w:t>
      </w:r>
    </w:p>
    <w:p w14:paraId="73561400" w14:textId="484A427B" w:rsidR="00FF6F87" w:rsidRPr="000935FE" w:rsidRDefault="00FF6F87">
      <w:pPr>
        <w:rPr>
          <w:rFonts w:ascii="Verdana" w:hAnsi="Verdana"/>
        </w:rPr>
      </w:pPr>
    </w:p>
    <w:p w14:paraId="63E53389" w14:textId="066C68AE" w:rsidR="00FF6F87" w:rsidRPr="0089257B" w:rsidRDefault="00FF6F87">
      <w:pPr>
        <w:rPr>
          <w:rFonts w:ascii="Verdana" w:hAnsi="Verdana"/>
          <w:sz w:val="22"/>
          <w:szCs w:val="22"/>
        </w:rPr>
      </w:pPr>
      <w:r w:rsidRPr="0089257B">
        <w:rPr>
          <w:rFonts w:ascii="Verdana" w:hAnsi="Verdana"/>
          <w:sz w:val="22"/>
          <w:szCs w:val="22"/>
        </w:rPr>
        <w:t>White and mixed white groups self-report the highest prevalence of breathing conditions such as asthma or COPD.</w:t>
      </w:r>
    </w:p>
    <w:p w14:paraId="3265ADC1" w14:textId="77777777" w:rsidR="00002C50" w:rsidRPr="0089257B" w:rsidRDefault="00002C50">
      <w:pPr>
        <w:rPr>
          <w:rFonts w:ascii="Verdana" w:hAnsi="Verdana"/>
          <w:sz w:val="22"/>
          <w:szCs w:val="22"/>
        </w:rPr>
      </w:pPr>
    </w:p>
    <w:p w14:paraId="008CD371" w14:textId="4E7A3B90" w:rsidR="00002C50" w:rsidRPr="0089257B" w:rsidRDefault="00002C50">
      <w:pPr>
        <w:rPr>
          <w:rFonts w:ascii="Verdana" w:hAnsi="Verdana"/>
          <w:sz w:val="22"/>
          <w:szCs w:val="22"/>
        </w:rPr>
      </w:pPr>
      <w:r w:rsidRPr="0089257B">
        <w:rPr>
          <w:rFonts w:ascii="Verdana" w:hAnsi="Verdana"/>
          <w:sz w:val="22"/>
          <w:szCs w:val="22"/>
        </w:rPr>
        <w:t>Gypsy or Irish Traveller ethnic groups reported the highest prevalence of breathing conditions such as asthma or COPD (18.9%) compared to English/Welsh/Scottish/Northern Irish/British groups (10.8%). With the exception of Caribbean and Any other Black/African/Caribbean background groups (which are similar to English/Welsh/Scottish/Northern Ir</w:t>
      </w:r>
      <w:r w:rsidR="00FF6F87" w:rsidRPr="0089257B">
        <w:rPr>
          <w:rFonts w:ascii="Verdana" w:hAnsi="Verdana"/>
          <w:sz w:val="22"/>
          <w:szCs w:val="22"/>
        </w:rPr>
        <w:t>i</w:t>
      </w:r>
      <w:r w:rsidRPr="0089257B">
        <w:rPr>
          <w:rFonts w:ascii="Verdana" w:hAnsi="Verdana"/>
          <w:sz w:val="22"/>
          <w:szCs w:val="22"/>
        </w:rPr>
        <w:t>sh/British groups), all other BAME groups had significantly lower prevalence of b</w:t>
      </w:r>
      <w:r w:rsidR="00FF6F87" w:rsidRPr="0089257B">
        <w:rPr>
          <w:rFonts w:ascii="Verdana" w:hAnsi="Verdana"/>
          <w:sz w:val="22"/>
          <w:szCs w:val="22"/>
        </w:rPr>
        <w:t>r</w:t>
      </w:r>
      <w:r w:rsidRPr="0089257B">
        <w:rPr>
          <w:rFonts w:ascii="Verdana" w:hAnsi="Verdana"/>
          <w:sz w:val="22"/>
          <w:szCs w:val="22"/>
        </w:rPr>
        <w:t>eathing conditions.</w:t>
      </w:r>
    </w:p>
    <w:p w14:paraId="3C6EABC6" w14:textId="7CC09568" w:rsidR="00002C50" w:rsidRPr="000935FE" w:rsidRDefault="00002C50">
      <w:pPr>
        <w:rPr>
          <w:rFonts w:ascii="Verdana" w:hAnsi="Verdana"/>
        </w:rPr>
      </w:pPr>
    </w:p>
    <w:p w14:paraId="0330A5C1" w14:textId="4C1F60F8" w:rsidR="00002C50" w:rsidRPr="000935FE" w:rsidRDefault="00002C50">
      <w:pPr>
        <w:rPr>
          <w:rFonts w:ascii="Verdana" w:hAnsi="Verdana"/>
        </w:rPr>
      </w:pPr>
      <w:r w:rsidRPr="000935FE">
        <w:rPr>
          <w:rFonts w:ascii="Verdana" w:hAnsi="Verdana"/>
          <w:b/>
          <w:bCs/>
        </w:rPr>
        <w:t>Hypertension</w:t>
      </w:r>
    </w:p>
    <w:p w14:paraId="6AD7DAA4" w14:textId="77777777" w:rsidR="00FF6F87" w:rsidRPr="000935FE" w:rsidRDefault="00FF6F87">
      <w:pPr>
        <w:rPr>
          <w:rFonts w:ascii="Verdana" w:hAnsi="Verdana"/>
        </w:rPr>
      </w:pPr>
    </w:p>
    <w:p w14:paraId="677F40E9" w14:textId="74B6E598" w:rsidR="00FF6F87" w:rsidRPr="0089257B" w:rsidRDefault="00FF6F87">
      <w:pPr>
        <w:rPr>
          <w:rFonts w:ascii="Verdana" w:hAnsi="Verdana"/>
          <w:sz w:val="22"/>
          <w:szCs w:val="22"/>
        </w:rPr>
      </w:pPr>
      <w:r w:rsidRPr="0089257B">
        <w:rPr>
          <w:rFonts w:ascii="Verdana" w:hAnsi="Verdana"/>
          <w:sz w:val="22"/>
          <w:szCs w:val="22"/>
        </w:rPr>
        <w:t>Caribbean ethnic groups were the only ethnic groups with a higher prevalence of high blood pressure (hypertension) at 26% compared to English/Welsh/Scottish/Northern Irish/British groups (18.4%), Gypsy or Irish Traveller groups (20.3%) and Irish groups (22.8%).</w:t>
      </w:r>
    </w:p>
    <w:p w14:paraId="2792FD85" w14:textId="4D149030" w:rsidR="00482765" w:rsidRPr="0089257B" w:rsidRDefault="00482765">
      <w:pPr>
        <w:rPr>
          <w:rFonts w:ascii="Verdana" w:hAnsi="Verdana"/>
          <w:sz w:val="22"/>
          <w:szCs w:val="22"/>
        </w:rPr>
      </w:pPr>
    </w:p>
    <w:p w14:paraId="28EC561C" w14:textId="6C69B7AD" w:rsidR="00482765" w:rsidRPr="0089257B" w:rsidRDefault="00482765">
      <w:pPr>
        <w:rPr>
          <w:rFonts w:ascii="Verdana" w:hAnsi="Verdana"/>
          <w:sz w:val="22"/>
          <w:szCs w:val="22"/>
        </w:rPr>
      </w:pPr>
      <w:r w:rsidRPr="0089257B">
        <w:rPr>
          <w:rFonts w:ascii="Verdana" w:hAnsi="Verdana"/>
          <w:sz w:val="22"/>
          <w:szCs w:val="22"/>
        </w:rPr>
        <w:t>Most other ethnic groups had lower reported prevalence of hypertension compared to White ethnic groups, with Chinese ethnic groups reporting the lowest prevalence (8.2%) of the non-mixed ethnic minority groups (any other mixed background groups reported a prevalence of 6.9%).</w:t>
      </w:r>
    </w:p>
    <w:sectPr w:rsidR="00482765" w:rsidRPr="0089257B" w:rsidSect="00DB727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DD574C"/>
    <w:multiLevelType w:val="multilevel"/>
    <w:tmpl w:val="9EB6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C50"/>
    <w:rsid w:val="00002C50"/>
    <w:rsid w:val="00066A8B"/>
    <w:rsid w:val="000935FE"/>
    <w:rsid w:val="00101BB9"/>
    <w:rsid w:val="00107E3E"/>
    <w:rsid w:val="00224AF2"/>
    <w:rsid w:val="00320890"/>
    <w:rsid w:val="00335D4E"/>
    <w:rsid w:val="004303ED"/>
    <w:rsid w:val="004333DC"/>
    <w:rsid w:val="00482765"/>
    <w:rsid w:val="004A6CE2"/>
    <w:rsid w:val="004B01C1"/>
    <w:rsid w:val="004C3CE1"/>
    <w:rsid w:val="004C664D"/>
    <w:rsid w:val="005C4F57"/>
    <w:rsid w:val="006517BA"/>
    <w:rsid w:val="00652FCD"/>
    <w:rsid w:val="0066500B"/>
    <w:rsid w:val="006C2EB7"/>
    <w:rsid w:val="006F2951"/>
    <w:rsid w:val="00733897"/>
    <w:rsid w:val="00774062"/>
    <w:rsid w:val="00774CDF"/>
    <w:rsid w:val="007B1F0C"/>
    <w:rsid w:val="007D6D77"/>
    <w:rsid w:val="008463EC"/>
    <w:rsid w:val="008600AA"/>
    <w:rsid w:val="00875390"/>
    <w:rsid w:val="0089257B"/>
    <w:rsid w:val="008A470D"/>
    <w:rsid w:val="008B2379"/>
    <w:rsid w:val="009228C9"/>
    <w:rsid w:val="00946023"/>
    <w:rsid w:val="00961664"/>
    <w:rsid w:val="009C41F0"/>
    <w:rsid w:val="00A2485C"/>
    <w:rsid w:val="00AA4D03"/>
    <w:rsid w:val="00B0722B"/>
    <w:rsid w:val="00B436FE"/>
    <w:rsid w:val="00BC5160"/>
    <w:rsid w:val="00C21E04"/>
    <w:rsid w:val="00C22581"/>
    <w:rsid w:val="00C57958"/>
    <w:rsid w:val="00DB3D89"/>
    <w:rsid w:val="00DB5CCD"/>
    <w:rsid w:val="00DB7275"/>
    <w:rsid w:val="00DD03AE"/>
    <w:rsid w:val="00E22D33"/>
    <w:rsid w:val="00F24909"/>
    <w:rsid w:val="00F52A9D"/>
    <w:rsid w:val="00F851C2"/>
    <w:rsid w:val="00FB2B9E"/>
    <w:rsid w:val="00FD76C1"/>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9051"/>
  <w15:chartTrackingRefBased/>
  <w15:docId w15:val="{63C8770E-EDE0-5148-865B-6FC22ADF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70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B5C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207494">
      <w:bodyDiv w:val="1"/>
      <w:marLeft w:val="0"/>
      <w:marRight w:val="0"/>
      <w:marTop w:val="0"/>
      <w:marBottom w:val="0"/>
      <w:divBdr>
        <w:top w:val="none" w:sz="0" w:space="0" w:color="auto"/>
        <w:left w:val="none" w:sz="0" w:space="0" w:color="auto"/>
        <w:bottom w:val="none" w:sz="0" w:space="0" w:color="auto"/>
        <w:right w:val="none" w:sz="0" w:space="0" w:color="auto"/>
      </w:divBdr>
    </w:div>
    <w:div w:id="293021338">
      <w:bodyDiv w:val="1"/>
      <w:marLeft w:val="0"/>
      <w:marRight w:val="0"/>
      <w:marTop w:val="0"/>
      <w:marBottom w:val="0"/>
      <w:divBdr>
        <w:top w:val="none" w:sz="0" w:space="0" w:color="auto"/>
        <w:left w:val="none" w:sz="0" w:space="0" w:color="auto"/>
        <w:bottom w:val="none" w:sz="0" w:space="0" w:color="auto"/>
        <w:right w:val="none" w:sz="0" w:space="0" w:color="auto"/>
      </w:divBdr>
    </w:div>
    <w:div w:id="342707365">
      <w:bodyDiv w:val="1"/>
      <w:marLeft w:val="0"/>
      <w:marRight w:val="0"/>
      <w:marTop w:val="0"/>
      <w:marBottom w:val="0"/>
      <w:divBdr>
        <w:top w:val="none" w:sz="0" w:space="0" w:color="auto"/>
        <w:left w:val="none" w:sz="0" w:space="0" w:color="auto"/>
        <w:bottom w:val="none" w:sz="0" w:space="0" w:color="auto"/>
        <w:right w:val="none" w:sz="0" w:space="0" w:color="auto"/>
      </w:divBdr>
    </w:div>
    <w:div w:id="347802197">
      <w:bodyDiv w:val="1"/>
      <w:marLeft w:val="0"/>
      <w:marRight w:val="0"/>
      <w:marTop w:val="0"/>
      <w:marBottom w:val="0"/>
      <w:divBdr>
        <w:top w:val="none" w:sz="0" w:space="0" w:color="auto"/>
        <w:left w:val="none" w:sz="0" w:space="0" w:color="auto"/>
        <w:bottom w:val="none" w:sz="0" w:space="0" w:color="auto"/>
        <w:right w:val="none" w:sz="0" w:space="0" w:color="auto"/>
      </w:divBdr>
    </w:div>
    <w:div w:id="627320077">
      <w:bodyDiv w:val="1"/>
      <w:marLeft w:val="0"/>
      <w:marRight w:val="0"/>
      <w:marTop w:val="0"/>
      <w:marBottom w:val="0"/>
      <w:divBdr>
        <w:top w:val="none" w:sz="0" w:space="0" w:color="auto"/>
        <w:left w:val="none" w:sz="0" w:space="0" w:color="auto"/>
        <w:bottom w:val="none" w:sz="0" w:space="0" w:color="auto"/>
        <w:right w:val="none" w:sz="0" w:space="0" w:color="auto"/>
      </w:divBdr>
    </w:div>
    <w:div w:id="802694685">
      <w:bodyDiv w:val="1"/>
      <w:marLeft w:val="0"/>
      <w:marRight w:val="0"/>
      <w:marTop w:val="0"/>
      <w:marBottom w:val="0"/>
      <w:divBdr>
        <w:top w:val="none" w:sz="0" w:space="0" w:color="auto"/>
        <w:left w:val="none" w:sz="0" w:space="0" w:color="auto"/>
        <w:bottom w:val="none" w:sz="0" w:space="0" w:color="auto"/>
        <w:right w:val="none" w:sz="0" w:space="0" w:color="auto"/>
      </w:divBdr>
    </w:div>
    <w:div w:id="914122034">
      <w:bodyDiv w:val="1"/>
      <w:marLeft w:val="0"/>
      <w:marRight w:val="0"/>
      <w:marTop w:val="0"/>
      <w:marBottom w:val="0"/>
      <w:divBdr>
        <w:top w:val="none" w:sz="0" w:space="0" w:color="auto"/>
        <w:left w:val="none" w:sz="0" w:space="0" w:color="auto"/>
        <w:bottom w:val="none" w:sz="0" w:space="0" w:color="auto"/>
        <w:right w:val="none" w:sz="0" w:space="0" w:color="auto"/>
      </w:divBdr>
    </w:div>
    <w:div w:id="967391766">
      <w:bodyDiv w:val="1"/>
      <w:marLeft w:val="0"/>
      <w:marRight w:val="0"/>
      <w:marTop w:val="0"/>
      <w:marBottom w:val="0"/>
      <w:divBdr>
        <w:top w:val="none" w:sz="0" w:space="0" w:color="auto"/>
        <w:left w:val="none" w:sz="0" w:space="0" w:color="auto"/>
        <w:bottom w:val="none" w:sz="0" w:space="0" w:color="auto"/>
        <w:right w:val="none" w:sz="0" w:space="0" w:color="auto"/>
      </w:divBdr>
    </w:div>
    <w:div w:id="1053192301">
      <w:bodyDiv w:val="1"/>
      <w:marLeft w:val="0"/>
      <w:marRight w:val="0"/>
      <w:marTop w:val="0"/>
      <w:marBottom w:val="0"/>
      <w:divBdr>
        <w:top w:val="none" w:sz="0" w:space="0" w:color="auto"/>
        <w:left w:val="none" w:sz="0" w:space="0" w:color="auto"/>
        <w:bottom w:val="none" w:sz="0" w:space="0" w:color="auto"/>
        <w:right w:val="none" w:sz="0" w:space="0" w:color="auto"/>
      </w:divBdr>
    </w:div>
    <w:div w:id="1071776931">
      <w:bodyDiv w:val="1"/>
      <w:marLeft w:val="0"/>
      <w:marRight w:val="0"/>
      <w:marTop w:val="0"/>
      <w:marBottom w:val="0"/>
      <w:divBdr>
        <w:top w:val="none" w:sz="0" w:space="0" w:color="auto"/>
        <w:left w:val="none" w:sz="0" w:space="0" w:color="auto"/>
        <w:bottom w:val="none" w:sz="0" w:space="0" w:color="auto"/>
        <w:right w:val="none" w:sz="0" w:space="0" w:color="auto"/>
      </w:divBdr>
    </w:div>
    <w:div w:id="1313438789">
      <w:bodyDiv w:val="1"/>
      <w:marLeft w:val="0"/>
      <w:marRight w:val="0"/>
      <w:marTop w:val="0"/>
      <w:marBottom w:val="0"/>
      <w:divBdr>
        <w:top w:val="none" w:sz="0" w:space="0" w:color="auto"/>
        <w:left w:val="none" w:sz="0" w:space="0" w:color="auto"/>
        <w:bottom w:val="none" w:sz="0" w:space="0" w:color="auto"/>
        <w:right w:val="none" w:sz="0" w:space="0" w:color="auto"/>
      </w:divBdr>
    </w:div>
    <w:div w:id="1687436131">
      <w:bodyDiv w:val="1"/>
      <w:marLeft w:val="0"/>
      <w:marRight w:val="0"/>
      <w:marTop w:val="0"/>
      <w:marBottom w:val="0"/>
      <w:divBdr>
        <w:top w:val="none" w:sz="0" w:space="0" w:color="auto"/>
        <w:left w:val="none" w:sz="0" w:space="0" w:color="auto"/>
        <w:bottom w:val="none" w:sz="0" w:space="0" w:color="auto"/>
        <w:right w:val="none" w:sz="0" w:space="0" w:color="auto"/>
      </w:divBdr>
    </w:div>
    <w:div w:id="1705326861">
      <w:bodyDiv w:val="1"/>
      <w:marLeft w:val="0"/>
      <w:marRight w:val="0"/>
      <w:marTop w:val="0"/>
      <w:marBottom w:val="0"/>
      <w:divBdr>
        <w:top w:val="none" w:sz="0" w:space="0" w:color="auto"/>
        <w:left w:val="none" w:sz="0" w:space="0" w:color="auto"/>
        <w:bottom w:val="none" w:sz="0" w:space="0" w:color="auto"/>
        <w:right w:val="none" w:sz="0" w:space="0" w:color="auto"/>
      </w:divBdr>
    </w:div>
    <w:div w:id="1711568554">
      <w:bodyDiv w:val="1"/>
      <w:marLeft w:val="0"/>
      <w:marRight w:val="0"/>
      <w:marTop w:val="0"/>
      <w:marBottom w:val="0"/>
      <w:divBdr>
        <w:top w:val="none" w:sz="0" w:space="0" w:color="auto"/>
        <w:left w:val="none" w:sz="0" w:space="0" w:color="auto"/>
        <w:bottom w:val="none" w:sz="0" w:space="0" w:color="auto"/>
        <w:right w:val="none" w:sz="0" w:space="0" w:color="auto"/>
      </w:divBdr>
    </w:div>
    <w:div w:id="1723403124">
      <w:bodyDiv w:val="1"/>
      <w:marLeft w:val="0"/>
      <w:marRight w:val="0"/>
      <w:marTop w:val="0"/>
      <w:marBottom w:val="0"/>
      <w:divBdr>
        <w:top w:val="none" w:sz="0" w:space="0" w:color="auto"/>
        <w:left w:val="none" w:sz="0" w:space="0" w:color="auto"/>
        <w:bottom w:val="none" w:sz="0" w:space="0" w:color="auto"/>
        <w:right w:val="none" w:sz="0" w:space="0" w:color="auto"/>
      </w:divBdr>
    </w:div>
    <w:div w:id="1723558764">
      <w:bodyDiv w:val="1"/>
      <w:marLeft w:val="0"/>
      <w:marRight w:val="0"/>
      <w:marTop w:val="0"/>
      <w:marBottom w:val="0"/>
      <w:divBdr>
        <w:top w:val="none" w:sz="0" w:space="0" w:color="auto"/>
        <w:left w:val="none" w:sz="0" w:space="0" w:color="auto"/>
        <w:bottom w:val="none" w:sz="0" w:space="0" w:color="auto"/>
        <w:right w:val="none" w:sz="0" w:space="0" w:color="auto"/>
      </w:divBdr>
    </w:div>
    <w:div w:id="1751078034">
      <w:bodyDiv w:val="1"/>
      <w:marLeft w:val="0"/>
      <w:marRight w:val="0"/>
      <w:marTop w:val="0"/>
      <w:marBottom w:val="0"/>
      <w:divBdr>
        <w:top w:val="none" w:sz="0" w:space="0" w:color="auto"/>
        <w:left w:val="none" w:sz="0" w:space="0" w:color="auto"/>
        <w:bottom w:val="none" w:sz="0" w:space="0" w:color="auto"/>
        <w:right w:val="none" w:sz="0" w:space="0" w:color="auto"/>
      </w:divBdr>
    </w:div>
    <w:div w:id="1806778219">
      <w:bodyDiv w:val="1"/>
      <w:marLeft w:val="0"/>
      <w:marRight w:val="0"/>
      <w:marTop w:val="0"/>
      <w:marBottom w:val="0"/>
      <w:divBdr>
        <w:top w:val="none" w:sz="0" w:space="0" w:color="auto"/>
        <w:left w:val="none" w:sz="0" w:space="0" w:color="auto"/>
        <w:bottom w:val="none" w:sz="0" w:space="0" w:color="auto"/>
        <w:right w:val="none" w:sz="0" w:space="0" w:color="auto"/>
      </w:divBdr>
    </w:div>
    <w:div w:id="1863778913">
      <w:bodyDiv w:val="1"/>
      <w:marLeft w:val="0"/>
      <w:marRight w:val="0"/>
      <w:marTop w:val="0"/>
      <w:marBottom w:val="0"/>
      <w:divBdr>
        <w:top w:val="none" w:sz="0" w:space="0" w:color="auto"/>
        <w:left w:val="none" w:sz="0" w:space="0" w:color="auto"/>
        <w:bottom w:val="none" w:sz="0" w:space="0" w:color="auto"/>
        <w:right w:val="none" w:sz="0" w:space="0" w:color="auto"/>
      </w:divBdr>
    </w:div>
    <w:div w:id="1896744872">
      <w:bodyDiv w:val="1"/>
      <w:marLeft w:val="0"/>
      <w:marRight w:val="0"/>
      <w:marTop w:val="0"/>
      <w:marBottom w:val="0"/>
      <w:divBdr>
        <w:top w:val="none" w:sz="0" w:space="0" w:color="auto"/>
        <w:left w:val="none" w:sz="0" w:space="0" w:color="auto"/>
        <w:bottom w:val="none" w:sz="0" w:space="0" w:color="auto"/>
        <w:right w:val="none" w:sz="0" w:space="0" w:color="auto"/>
      </w:divBdr>
    </w:div>
    <w:div w:id="1912696377">
      <w:bodyDiv w:val="1"/>
      <w:marLeft w:val="0"/>
      <w:marRight w:val="0"/>
      <w:marTop w:val="0"/>
      <w:marBottom w:val="0"/>
      <w:divBdr>
        <w:top w:val="none" w:sz="0" w:space="0" w:color="auto"/>
        <w:left w:val="none" w:sz="0" w:space="0" w:color="auto"/>
        <w:bottom w:val="none" w:sz="0" w:space="0" w:color="auto"/>
        <w:right w:val="none" w:sz="0" w:space="0" w:color="auto"/>
      </w:divBdr>
    </w:div>
    <w:div w:id="1935554078">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4">
          <w:marLeft w:val="0"/>
          <w:marRight w:val="0"/>
          <w:marTop w:val="0"/>
          <w:marBottom w:val="0"/>
          <w:divBdr>
            <w:top w:val="none" w:sz="0" w:space="0" w:color="auto"/>
            <w:left w:val="none" w:sz="0" w:space="0" w:color="auto"/>
            <w:bottom w:val="none" w:sz="0" w:space="0" w:color="auto"/>
            <w:right w:val="none" w:sz="0" w:space="0" w:color="auto"/>
          </w:divBdr>
        </w:div>
      </w:divsChild>
    </w:div>
    <w:div w:id="2009478482">
      <w:bodyDiv w:val="1"/>
      <w:marLeft w:val="0"/>
      <w:marRight w:val="0"/>
      <w:marTop w:val="0"/>
      <w:marBottom w:val="0"/>
      <w:divBdr>
        <w:top w:val="none" w:sz="0" w:space="0" w:color="auto"/>
        <w:left w:val="none" w:sz="0" w:space="0" w:color="auto"/>
        <w:bottom w:val="none" w:sz="0" w:space="0" w:color="auto"/>
        <w:right w:val="none" w:sz="0" w:space="0" w:color="auto"/>
      </w:divBdr>
    </w:div>
    <w:div w:id="201051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63642-2EF2-FA49-A19C-276BE2BB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12</Pages>
  <Words>3845</Words>
  <Characters>21917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2020-06-02T06:51:00Z</dcterms:created>
  <dcterms:modified xsi:type="dcterms:W3CDTF">2020-06-03T12:36:00Z</dcterms:modified>
</cp:coreProperties>
</file>