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D3550" w14:textId="2492D391" w:rsidR="00D47BEF" w:rsidRDefault="00D47BEF" w:rsidP="00394074">
      <w:pPr>
        <w:pStyle w:val="Title"/>
      </w:pPr>
      <w:r>
        <w:t xml:space="preserve">Critical Care </w:t>
      </w:r>
      <w:r w:rsidR="00D50737">
        <w:t xml:space="preserve">Beds </w:t>
      </w:r>
      <w:r w:rsidR="00394074">
        <w:t>in Sussex and East Surrey</w:t>
      </w:r>
    </w:p>
    <w:p w14:paraId="5B845544" w14:textId="609A9C7F" w:rsidR="00394074" w:rsidRDefault="00500C99" w:rsidP="00394074">
      <w:pPr>
        <w:pStyle w:val="Subtitle"/>
      </w:pPr>
      <w:r>
        <w:t>An analysis of recent and long-term trends in adult critical care bed capacity</w:t>
      </w:r>
    </w:p>
    <w:p w14:paraId="604C420A" w14:textId="77777777" w:rsidR="00861733" w:rsidRDefault="00394074" w:rsidP="00394074">
      <w:pPr>
        <w:pStyle w:val="Heading5"/>
      </w:pPr>
      <w:r>
        <w:t xml:space="preserve">Author: Rich Tyler, </w:t>
      </w:r>
    </w:p>
    <w:p w14:paraId="3C71D453" w14:textId="7CBFAC91" w:rsidR="00394074" w:rsidRDefault="00394074" w:rsidP="00394074">
      <w:pPr>
        <w:pStyle w:val="Heading5"/>
      </w:pPr>
      <w:r>
        <w:t>Public Health Analyst, West Sussex County Council</w:t>
      </w:r>
    </w:p>
    <w:p w14:paraId="3C0A623E" w14:textId="77777777" w:rsidR="00861733" w:rsidRDefault="00861733" w:rsidP="00394074">
      <w:pPr>
        <w:pStyle w:val="Heading5"/>
      </w:pPr>
    </w:p>
    <w:p w14:paraId="08AA2213" w14:textId="688E7423" w:rsidR="00394074" w:rsidRDefault="00394074" w:rsidP="00394074">
      <w:pPr>
        <w:pStyle w:val="Heading5"/>
      </w:pPr>
      <w:r>
        <w:t>Date: 01/04/2020</w:t>
      </w:r>
    </w:p>
    <w:p w14:paraId="5FC3CE18" w14:textId="77777777" w:rsidR="00EF1735" w:rsidRDefault="00EF1735" w:rsidP="002F31CF">
      <w:pPr>
        <w:pStyle w:val="Heading2"/>
      </w:pPr>
    </w:p>
    <w:p w14:paraId="22F91EF0" w14:textId="77777777" w:rsidR="00D50737" w:rsidRDefault="00D50737">
      <w:pPr>
        <w:spacing w:before="0" w:after="0"/>
        <w:rPr>
          <w:rFonts w:asciiTheme="majorHAnsi" w:eastAsiaTheme="majorEastAsia" w:hAnsiTheme="majorHAnsi" w:cstheme="majorBidi"/>
          <w:color w:val="2F5496" w:themeColor="accent1" w:themeShade="BF"/>
          <w:sz w:val="26"/>
          <w:szCs w:val="26"/>
        </w:rPr>
      </w:pPr>
      <w:r>
        <w:br w:type="page"/>
      </w:r>
    </w:p>
    <w:p w14:paraId="7E340679" w14:textId="3BBA8FDB" w:rsidR="002F31CF" w:rsidRDefault="002F31CF" w:rsidP="002F31CF">
      <w:pPr>
        <w:pStyle w:val="Heading2"/>
      </w:pPr>
      <w:r>
        <w:lastRenderedPageBreak/>
        <w:t>Introduction</w:t>
      </w:r>
      <w:r w:rsidR="008570BB">
        <w:t xml:space="preserve"> and notes</w:t>
      </w:r>
    </w:p>
    <w:p w14:paraId="1EFD9A48" w14:textId="17CC7468" w:rsidR="00CB3885" w:rsidRDefault="002F31CF" w:rsidP="002F31CF">
      <w:r>
        <w:t xml:space="preserve">This </w:t>
      </w:r>
      <w:r w:rsidR="00CB3885">
        <w:t>briefing descri</w:t>
      </w:r>
      <w:r w:rsidR="00A3208C">
        <w:t>bes the number of</w:t>
      </w:r>
      <w:r>
        <w:t xml:space="preserve"> adult critical care (ITU, HDU or other) beds that are funded and available for critical care patients (</w:t>
      </w:r>
      <w:r w:rsidR="00CB3885">
        <w:t xml:space="preserve">adults, </w:t>
      </w:r>
      <w:r>
        <w:t>Levels 2 and 3)</w:t>
      </w:r>
      <w:r w:rsidR="00AE163D">
        <w:t xml:space="preserve"> as part of the NHS England </w:t>
      </w:r>
      <w:proofErr w:type="spellStart"/>
      <w:r w:rsidR="00AE163D">
        <w:t>SitRep</w:t>
      </w:r>
      <w:proofErr w:type="spellEnd"/>
      <w:r w:rsidR="00AE163D">
        <w:t xml:space="preserve"> returns</w:t>
      </w:r>
      <w:r>
        <w:t xml:space="preserve">. </w:t>
      </w:r>
    </w:p>
    <w:p w14:paraId="30E6D98F" w14:textId="77777777" w:rsidR="00CB3885" w:rsidRDefault="00CB3885" w:rsidP="00CB3885">
      <w:r>
        <w:t>The definitions of critical care levels are:</w:t>
      </w:r>
    </w:p>
    <w:p w14:paraId="23351F1D" w14:textId="5EA92124" w:rsidR="00CB3885" w:rsidRPr="00A3208C" w:rsidRDefault="00CB3885" w:rsidP="00CB3885">
      <w:pPr>
        <w:pStyle w:val="ListParagraph"/>
        <w:numPr>
          <w:ilvl w:val="0"/>
          <w:numId w:val="2"/>
        </w:numPr>
        <w:rPr>
          <w:sz w:val="18"/>
          <w:szCs w:val="22"/>
        </w:rPr>
      </w:pPr>
      <w:r w:rsidRPr="00A3208C">
        <w:rPr>
          <w:sz w:val="18"/>
          <w:szCs w:val="22"/>
        </w:rPr>
        <w:t>Level 1 – Patients at risk of their condition deteriorating or those recently relocated from higher levels of care, whose needs can be met on an acute ward with additional advice and support from the critical care team (</w:t>
      </w:r>
      <w:r w:rsidR="00AE163D" w:rsidRPr="00A3208C">
        <w:rPr>
          <w:b/>
          <w:bCs/>
          <w:sz w:val="18"/>
          <w:szCs w:val="22"/>
        </w:rPr>
        <w:t>t</w:t>
      </w:r>
      <w:r w:rsidRPr="00A3208C">
        <w:rPr>
          <w:b/>
          <w:bCs/>
          <w:sz w:val="18"/>
          <w:szCs w:val="22"/>
        </w:rPr>
        <w:t xml:space="preserve">hese patients are NOT included in </w:t>
      </w:r>
      <w:proofErr w:type="spellStart"/>
      <w:r w:rsidRPr="00A3208C">
        <w:rPr>
          <w:b/>
          <w:bCs/>
          <w:sz w:val="18"/>
          <w:szCs w:val="22"/>
        </w:rPr>
        <w:t>SitRep</w:t>
      </w:r>
      <w:proofErr w:type="spellEnd"/>
      <w:r w:rsidRPr="00A3208C">
        <w:rPr>
          <w:b/>
          <w:bCs/>
          <w:sz w:val="18"/>
          <w:szCs w:val="22"/>
        </w:rPr>
        <w:t xml:space="preserve"> returns</w:t>
      </w:r>
      <w:r w:rsidRPr="00A3208C">
        <w:rPr>
          <w:sz w:val="18"/>
          <w:szCs w:val="22"/>
        </w:rPr>
        <w:t>).</w:t>
      </w:r>
    </w:p>
    <w:p w14:paraId="47F75F0C" w14:textId="77777777" w:rsidR="00CB3885" w:rsidRPr="00A3208C" w:rsidRDefault="00CB3885" w:rsidP="00CB3885">
      <w:pPr>
        <w:pStyle w:val="ListParagraph"/>
        <w:numPr>
          <w:ilvl w:val="0"/>
          <w:numId w:val="2"/>
        </w:numPr>
        <w:rPr>
          <w:sz w:val="18"/>
          <w:szCs w:val="22"/>
        </w:rPr>
      </w:pPr>
      <w:r w:rsidRPr="00A3208C">
        <w:rPr>
          <w:sz w:val="18"/>
          <w:szCs w:val="22"/>
        </w:rPr>
        <w:t>Level 2 – Patients requiring more detailed observation or intervention including support for a single failing organ system or post-operative care and those stepping down from higher levels of care. Also known as High Dependency.</w:t>
      </w:r>
    </w:p>
    <w:p w14:paraId="78061C15" w14:textId="77777777" w:rsidR="00CB3885" w:rsidRPr="00A3208C" w:rsidRDefault="00CB3885" w:rsidP="00EF6B3A">
      <w:pPr>
        <w:pStyle w:val="ListParagraph"/>
        <w:numPr>
          <w:ilvl w:val="0"/>
          <w:numId w:val="2"/>
        </w:numPr>
        <w:rPr>
          <w:sz w:val="18"/>
          <w:szCs w:val="22"/>
        </w:rPr>
      </w:pPr>
      <w:r w:rsidRPr="00A3208C">
        <w:rPr>
          <w:sz w:val="18"/>
          <w:szCs w:val="22"/>
        </w:rPr>
        <w:t>Level 3 – Patients requiring advanced respiratory support alone or basic respiratory support together with support of at least two organ systems. This level includes all complex patients requiring support for multi-organ failure. Also known as Intensive Care.</w:t>
      </w:r>
    </w:p>
    <w:p w14:paraId="44B51240" w14:textId="73475531" w:rsidR="00AE163D" w:rsidRDefault="002F31CF" w:rsidP="00EF6B3A">
      <w:r>
        <w:t>This is the</w:t>
      </w:r>
      <w:r w:rsidR="00CB3885">
        <w:t xml:space="preserve"> number of actual beds</w:t>
      </w:r>
      <w:r>
        <w:t xml:space="preserve"> </w:t>
      </w:r>
      <w:r w:rsidR="00A3208C">
        <w:t xml:space="preserve">available and occupied </w:t>
      </w:r>
      <w:r w:rsidR="00CB3885">
        <w:t>rather than</w:t>
      </w:r>
      <w:r>
        <w:t xml:space="preserve"> the planned number of beds </w:t>
      </w:r>
      <w:r w:rsidR="00010B1D">
        <w:t>with</w:t>
      </w:r>
      <w:r>
        <w:t xml:space="preserve"> beds funded but not available due to staff vacancies excluded unless the vacancies have been filled by bank or agency staff. </w:t>
      </w:r>
      <w:r w:rsidR="00CB3885">
        <w:t xml:space="preserve">It </w:t>
      </w:r>
      <w:r w:rsidR="00010B1D">
        <w:t>does</w:t>
      </w:r>
      <w:r w:rsidR="00CB3885">
        <w:t xml:space="preserve"> include b</w:t>
      </w:r>
      <w:r>
        <w:t xml:space="preserve">eds </w:t>
      </w:r>
      <w:r w:rsidR="00CB3885">
        <w:t>which</w:t>
      </w:r>
      <w:r>
        <w:t xml:space="preserve"> are not </w:t>
      </w:r>
      <w:r w:rsidR="00CB3885">
        <w:t>funded but</w:t>
      </w:r>
      <w:r>
        <w:t xml:space="preserve"> are occupied.</w:t>
      </w:r>
      <w:r w:rsidR="00AE163D">
        <w:t xml:space="preserve"> As a snapshot of the occupancy at midnight of the reporting period, it does not account for beds that are occupied and then available for more than one patient over the course of the day. </w:t>
      </w:r>
    </w:p>
    <w:p w14:paraId="06DEE3E2" w14:textId="7C9FF771" w:rsidR="00EF6B3A" w:rsidRDefault="00AE163D" w:rsidP="00D50737">
      <w:r>
        <w:t xml:space="preserve">This briefing describes two datasets. </w:t>
      </w:r>
      <w:r w:rsidR="008570BB">
        <w:t>First, a</w:t>
      </w:r>
      <w:r>
        <w:t xml:space="preserve"> </w:t>
      </w:r>
      <w:r w:rsidR="00CB3885">
        <w:t xml:space="preserve">snapshot at midnight on the last Thursday of </w:t>
      </w:r>
      <w:r>
        <w:t>each</w:t>
      </w:r>
      <w:r w:rsidR="00CB3885">
        <w:t xml:space="preserve"> month provided by NHS England as part of a monthly situation report (monthly sitrep). </w:t>
      </w:r>
      <w:r>
        <w:t>Data in this monthly collection are available from April 2010 to January 2020.</w:t>
      </w:r>
      <w:r w:rsidR="00010B1D">
        <w:t xml:space="preserve"> </w:t>
      </w:r>
      <w:r w:rsidR="008570BB">
        <w:t>Second, d</w:t>
      </w:r>
      <w:r w:rsidR="00EF6B3A">
        <w:t xml:space="preserve">uring the winter period data on bed occupancy are recorded more frequently, with data available for each day usually between December and </w:t>
      </w:r>
      <w:r w:rsidR="008570BB">
        <w:t>March</w:t>
      </w:r>
      <w:r w:rsidR="00EF6B3A">
        <w:t xml:space="preserve">. </w:t>
      </w:r>
    </w:p>
    <w:p w14:paraId="3578AD19" w14:textId="047847C9" w:rsidR="00EF6B3A" w:rsidRDefault="00EF1735" w:rsidP="00EF6B3A">
      <w:r w:rsidRPr="00EF6B3A">
        <w:t xml:space="preserve">It should be noted that </w:t>
      </w:r>
      <w:r w:rsidR="008570BB">
        <w:t xml:space="preserve">the </w:t>
      </w:r>
      <w:r w:rsidRPr="00EF6B3A">
        <w:t xml:space="preserve">national </w:t>
      </w:r>
      <w:r w:rsidR="008570BB">
        <w:t>data vary considerably between t</w:t>
      </w:r>
      <w:r w:rsidRPr="00EF6B3A">
        <w:t>he monthly and daily sitreps and so it is not possible to add values from daily returns to the monthly returns</w:t>
      </w:r>
      <w:r w:rsidR="008570BB">
        <w:t xml:space="preserve"> for all areas</w:t>
      </w:r>
      <w:r w:rsidRPr="00EF6B3A">
        <w:t xml:space="preserve"> (e.g. using the last Thursday in February to supplement the monthly time series) even though the daily series is more recent. </w:t>
      </w:r>
    </w:p>
    <w:p w14:paraId="022FED7C" w14:textId="6DFCD0AA" w:rsidR="00EF1735" w:rsidRPr="00EF6B3A" w:rsidRDefault="00EF1735" w:rsidP="00EF6B3A">
      <w:pPr>
        <w:pStyle w:val="ListParagraph"/>
        <w:numPr>
          <w:ilvl w:val="0"/>
          <w:numId w:val="4"/>
        </w:numPr>
        <w:rPr>
          <w:rFonts w:ascii="Times New Roman" w:eastAsia="Times New Roman" w:hAnsi="Times New Roman" w:cs="Times New Roman"/>
          <w:lang w:eastAsia="en-GB"/>
        </w:rPr>
      </w:pPr>
      <w:r w:rsidRPr="00EF6B3A">
        <w:t xml:space="preserve">The daily </w:t>
      </w:r>
      <w:proofErr w:type="spellStart"/>
      <w:r w:rsidRPr="00EF6B3A">
        <w:t>SitRep</w:t>
      </w:r>
      <w:proofErr w:type="spellEnd"/>
      <w:r w:rsidRPr="00EF6B3A">
        <w:t xml:space="preserve"> returns generally show fewer open beds than the monthly returns (</w:t>
      </w:r>
      <w:r w:rsidRPr="00EF6B3A">
        <w:rPr>
          <w:lang w:eastAsia="en-GB"/>
        </w:rPr>
        <w:t>3</w:t>
      </w:r>
      <w:r w:rsidRPr="00EF6B3A">
        <w:t>,</w:t>
      </w:r>
      <w:r w:rsidRPr="00EF6B3A">
        <w:rPr>
          <w:lang w:eastAsia="en-GB"/>
        </w:rPr>
        <w:t>654</w:t>
      </w:r>
      <w:r w:rsidRPr="00EF6B3A">
        <w:t xml:space="preserve"> open beds as at 30/01/2020 in the daily returns and</w:t>
      </w:r>
      <w:r w:rsidRPr="00EF6B3A">
        <w:rPr>
          <w:rFonts w:ascii="Times New Roman" w:eastAsia="Times New Roman" w:hAnsi="Times New Roman" w:cs="Times New Roman"/>
          <w:lang w:eastAsia="en-GB"/>
        </w:rPr>
        <w:t xml:space="preserve"> </w:t>
      </w:r>
      <w:r w:rsidRPr="00EF6B3A">
        <w:t>4,123 in monthly returns as at 30/01/2020).</w:t>
      </w:r>
      <w:r w:rsidR="00EF6B3A" w:rsidRPr="00EF6B3A">
        <w:t xml:space="preserve"> The England value is an aggregated total of all rows in the dataset.</w:t>
      </w:r>
    </w:p>
    <w:p w14:paraId="1412DD00" w14:textId="35E7A644" w:rsidR="00CB3885" w:rsidRPr="00EF6B3A" w:rsidRDefault="00EF6B3A" w:rsidP="00EF6B3A">
      <w:pPr>
        <w:pStyle w:val="ListParagraph"/>
        <w:numPr>
          <w:ilvl w:val="0"/>
          <w:numId w:val="4"/>
        </w:numPr>
      </w:pPr>
      <w:r w:rsidRPr="00EF6B3A">
        <w:t xml:space="preserve">There were 145 Trusts included in the monthly </w:t>
      </w:r>
      <w:proofErr w:type="spellStart"/>
      <w:r w:rsidRPr="00EF6B3A">
        <w:t>SitRep</w:t>
      </w:r>
      <w:proofErr w:type="spellEnd"/>
      <w:r w:rsidRPr="00EF6B3A">
        <w:t xml:space="preserve"> data for December 2019, whilst the winter daily </w:t>
      </w:r>
      <w:proofErr w:type="spellStart"/>
      <w:r w:rsidRPr="00EF6B3A">
        <w:t>SitRep</w:t>
      </w:r>
      <w:proofErr w:type="spellEnd"/>
      <w:r w:rsidRPr="00EF6B3A">
        <w:t xml:space="preserve"> contains data for just 133 Trusts. This may explain the lower national figures in the winter daily </w:t>
      </w:r>
      <w:proofErr w:type="spellStart"/>
      <w:r w:rsidRPr="00EF6B3A">
        <w:t>SitRep</w:t>
      </w:r>
      <w:proofErr w:type="spellEnd"/>
      <w:r w:rsidRPr="00EF6B3A">
        <w:t xml:space="preserve">. Of note, the Queen Victoria Hospital NHS Foundation Trust does not have a record in the winter daily </w:t>
      </w:r>
      <w:proofErr w:type="spellStart"/>
      <w:r w:rsidRPr="00EF6B3A">
        <w:t>SitRep</w:t>
      </w:r>
      <w:proofErr w:type="spellEnd"/>
      <w:r w:rsidRPr="00EF6B3A">
        <w:t>.</w:t>
      </w:r>
    </w:p>
    <w:p w14:paraId="492AA329" w14:textId="442A1C02" w:rsidR="00DA1E87" w:rsidRDefault="00B431D1">
      <w:pPr>
        <w:spacing w:before="0" w:after="0"/>
      </w:pPr>
      <w:r>
        <w:t xml:space="preserve">Percentages of beds </w:t>
      </w:r>
      <w:r w:rsidR="008570BB">
        <w:t xml:space="preserve">occupied </w:t>
      </w:r>
      <w:r>
        <w:t>are rounded to the nearest single decimal place (e.g. 74.1%) whilst averages and rates are rounded to the nearest whole number to make interpreting the analysis easier (as it is not possible to have half a bed).</w:t>
      </w:r>
    </w:p>
    <w:p w14:paraId="4F1B01DF" w14:textId="77777777" w:rsidR="00DA1E87" w:rsidRDefault="00DA1E87">
      <w:pPr>
        <w:spacing w:before="0" w:after="0"/>
      </w:pPr>
    </w:p>
    <w:p w14:paraId="19C3BE02" w14:textId="5E720816" w:rsidR="00DA1E87" w:rsidRPr="00DA1E87" w:rsidRDefault="00DA1E87">
      <w:pPr>
        <w:spacing w:before="0" w:after="0"/>
        <w:rPr>
          <w:rFonts w:asciiTheme="minorHAnsi" w:hAnsiTheme="minorHAnsi"/>
          <w:sz w:val="24"/>
        </w:rPr>
      </w:pPr>
      <w:r>
        <w:t xml:space="preserve">The following sections explore capacity and occupancy over the last five years. A summary table is provided at the end of the </w:t>
      </w:r>
      <w:r w:rsidR="008570BB">
        <w:t>briefing</w:t>
      </w:r>
      <w:r>
        <w:t xml:space="preserve"> for reference of the key points.</w:t>
      </w:r>
      <w:r w:rsidR="00D50737">
        <w:br w:type="page"/>
      </w:r>
    </w:p>
    <w:p w14:paraId="01CEDF47" w14:textId="4A249BE7" w:rsidR="00CB3885" w:rsidRPr="00394074" w:rsidRDefault="00CB3885" w:rsidP="00CB3885">
      <w:pPr>
        <w:pStyle w:val="Heading2"/>
      </w:pPr>
      <w:r>
        <w:lastRenderedPageBreak/>
        <w:t>Critical care beds available in January 2020</w:t>
      </w:r>
      <w:r w:rsidR="00EF1735">
        <w:t xml:space="preserve"> (Monthly </w:t>
      </w:r>
      <w:proofErr w:type="spellStart"/>
      <w:r w:rsidR="00EF1735">
        <w:t>SitReps</w:t>
      </w:r>
      <w:proofErr w:type="spellEnd"/>
      <w:r w:rsidR="00EF1735">
        <w:t>)</w:t>
      </w:r>
    </w:p>
    <w:p w14:paraId="3413F284" w14:textId="3A3C04F8" w:rsidR="00E46910" w:rsidRDefault="00E46910" w:rsidP="00E46910">
      <w:r w:rsidRPr="00E46910">
        <w:t xml:space="preserve">The latest monthly data for critical care bed occupancy </w:t>
      </w:r>
      <w:r w:rsidR="00DD14F1">
        <w:t>are</w:t>
      </w:r>
      <w:r w:rsidRPr="00E46910">
        <w:t xml:space="preserve"> for January-2020 and this indicates that as at midnight on the 30/01/2020 there were 4,123 open critical care beds (adult beds)</w:t>
      </w:r>
      <w:r w:rsidR="002342B1">
        <w:t xml:space="preserve"> in England</w:t>
      </w:r>
      <w:r w:rsidRPr="00E46910">
        <w:t>. Of these, 3,423 were occupied (83%). In January 2019, the occupancy rate was 85.3% with 3,532 beds out of 4,140 occupied.</w:t>
      </w:r>
    </w:p>
    <w:p w14:paraId="78AC2303" w14:textId="2027B9E4" w:rsidR="00E46910" w:rsidRDefault="00E46910" w:rsidP="00E46910">
      <w:pPr>
        <w:pStyle w:val="ListParagraph"/>
        <w:numPr>
          <w:ilvl w:val="0"/>
          <w:numId w:val="1"/>
        </w:numPr>
      </w:pPr>
      <w:r w:rsidRPr="00E46910">
        <w:t>Across England at midnight on 30/01/2020 there were 700 beds available for new patients.</w:t>
      </w:r>
    </w:p>
    <w:p w14:paraId="2F131481" w14:textId="25342D35" w:rsidR="00E46910" w:rsidRDefault="00E46910" w:rsidP="00E46910">
      <w:r w:rsidRPr="00E46910">
        <w:t>There are 19 NHS organisations providing critical care beds in the South East Commissioning Region. Across the commissioning region, at midnight on 30/01/2020 there were 522 open critical care beds (adult beds) with 423 occupied (81%). This occupancy rate is lower than in England overall in the latest available data.</w:t>
      </w:r>
    </w:p>
    <w:p w14:paraId="5DB70D77" w14:textId="4FA05D01" w:rsidR="00E46910" w:rsidRDefault="00E46910" w:rsidP="00E46910">
      <w:pPr>
        <w:pStyle w:val="ListParagraph"/>
        <w:numPr>
          <w:ilvl w:val="0"/>
          <w:numId w:val="1"/>
        </w:numPr>
      </w:pPr>
      <w:r w:rsidRPr="00E46910">
        <w:t>Across the South East Commissioning Region at midnight on 30/01/2020 there were 99 beds available for new patients.</w:t>
      </w:r>
    </w:p>
    <w:p w14:paraId="561CD138" w14:textId="69714511" w:rsidR="00E46910" w:rsidRDefault="00E46910" w:rsidP="00E46910">
      <w:r w:rsidRPr="00E46910">
        <w:t>More locally, the Sussex and East Surrey Sustainability and Transformation Partnership (STP) comprises five acute hospital trusts which provid</w:t>
      </w:r>
      <w:r w:rsidR="008E585A">
        <w:t>e data on</w:t>
      </w:r>
      <w:r w:rsidRPr="00E46910">
        <w:t xml:space="preserve"> critical care bed</w:t>
      </w:r>
      <w:r w:rsidR="008E585A">
        <w:t>s in the monthly return</w:t>
      </w:r>
      <w:r w:rsidRPr="00E46910">
        <w:t>s (Brighton and Sussex University Hospitals NHS Trust, East Sussex Healthcare NHS Trust, Queen Victoria Hospital NHS Foundation Trust, Surrey and Sussex Healthcare NHS Trust, and Western Sussex Hospitals NHS Foundation Trust). The January 2020 data indicates that across the STP, hospital trusts ha</w:t>
      </w:r>
      <w:r w:rsidR="002342B1">
        <w:t>d</w:t>
      </w:r>
      <w:r w:rsidRPr="00E46910">
        <w:t xml:space="preserve"> 113 open critical care beds (adult beds) with 93 occupied (82.3%). This occupancy rate is marginally lower than in England overall in the latest available data and higher than in the South East Commissioning region.</w:t>
      </w:r>
    </w:p>
    <w:p w14:paraId="1D3D51B9" w14:textId="1924C9B9" w:rsidR="00E46910" w:rsidRDefault="00E46910" w:rsidP="00E46910">
      <w:pPr>
        <w:pStyle w:val="ListParagraph"/>
        <w:numPr>
          <w:ilvl w:val="0"/>
          <w:numId w:val="1"/>
        </w:numPr>
      </w:pPr>
      <w:r w:rsidRPr="00E46910">
        <w:t>Across the Sussex and East Surrey STP at midnight on 30/01/2020 there were 20 beds available for new patients.</w:t>
      </w:r>
    </w:p>
    <w:p w14:paraId="335B86F7" w14:textId="733B297A" w:rsidR="001D76F6" w:rsidRDefault="00EF1B26" w:rsidP="001D76F6">
      <w:pPr>
        <w:pStyle w:val="Heading2"/>
      </w:pPr>
      <w:r>
        <w:t>Capacity and o</w:t>
      </w:r>
      <w:r w:rsidR="001D76F6">
        <w:t>ccupancy over time</w:t>
      </w:r>
      <w:r>
        <w:t>:</w:t>
      </w:r>
      <w:r w:rsidR="001D76F6">
        <w:t xml:space="preserve"> peaks and average occupancy</w:t>
      </w:r>
    </w:p>
    <w:p w14:paraId="306BA4AF" w14:textId="6CE80B22" w:rsidR="00EF1B26" w:rsidRPr="001D76F6" w:rsidRDefault="00EF1B26" w:rsidP="00EF1B26">
      <w:r>
        <w:t xml:space="preserve">Compared with January 2019, the number of open critical care beds fell in England by 17 (less than half a percentage point) from 4,140 to 4,123, whilst the number of open beds in South East Commissioning Region rose by five. </w:t>
      </w:r>
      <w:r>
        <w:t>The number of o</w:t>
      </w:r>
      <w:r>
        <w:t>pen beds</w:t>
      </w:r>
      <w:r>
        <w:t xml:space="preserve"> in the STP trusts was the same in January 2019 and January 2020 (113 open beds). </w:t>
      </w:r>
      <w:r>
        <w:t>In all three areas, occupancy</w:t>
      </w:r>
      <w:r w:rsidR="00F56186">
        <w:t xml:space="preserve"> as a proportion of open beds</w:t>
      </w:r>
      <w:r>
        <w:t xml:space="preserve"> was lower in January 2020 compared with the same period in 2019</w:t>
      </w:r>
      <w:r w:rsidR="001E2C39">
        <w:t>.</w:t>
      </w:r>
    </w:p>
    <w:p w14:paraId="4B383CA1" w14:textId="308EFD3C" w:rsidR="001E2C39" w:rsidRDefault="001B255E" w:rsidP="001D76F6">
      <w:r>
        <w:t xml:space="preserve">In the last five years since </w:t>
      </w:r>
      <w:r w:rsidR="00861733">
        <w:t>January</w:t>
      </w:r>
      <w:r>
        <w:t xml:space="preserve"> 2015, the highest capacity (number of open beds) for critical care in England was 4,157 in February 2019. The peak number of open critical care beds in the commissioning region is more recently in December 2019, with 523 open beds whilst the peak in the </w:t>
      </w:r>
      <w:r w:rsidR="004C65F2">
        <w:t>Sussex and East Surrey STP trusts was July 2015 when 117 critical care beds were open.</w:t>
      </w:r>
    </w:p>
    <w:p w14:paraId="212C1FFF" w14:textId="7352CBDA" w:rsidR="002342B1" w:rsidRDefault="002342B1" w:rsidP="002342B1">
      <w:r w:rsidRPr="00E46910">
        <w:t>A critical care capacity research study conducted in 2018 by The Faculty of Intensive Care Medicine reports that the highest rate recommended for safe and efficient patient care is 85%</w:t>
      </w:r>
      <w:r>
        <w:rPr>
          <w:rStyle w:val="FootnoteReference"/>
        </w:rPr>
        <w:footnoteReference w:id="1"/>
      </w:r>
      <w:r w:rsidRPr="00E46910">
        <w:t>.</w:t>
      </w:r>
      <w:r>
        <w:t xml:space="preserve"> </w:t>
      </w:r>
      <w:r w:rsidRPr="00E46910">
        <w:t>Operating above this capacity means providers can struggle to cope with variation, respond to crises, and this leads to cancelling operations, or needing to transfer very ill patients to other hospitals.</w:t>
      </w:r>
    </w:p>
    <w:p w14:paraId="4A6354E5" w14:textId="5FBCA1D7" w:rsidR="002342B1" w:rsidRDefault="002342B1" w:rsidP="002342B1"/>
    <w:p w14:paraId="6299AE56" w14:textId="77777777" w:rsidR="002342B1" w:rsidRDefault="002342B1" w:rsidP="002342B1"/>
    <w:p w14:paraId="7CBBC311" w14:textId="77777777" w:rsidR="002342B1" w:rsidRDefault="002342B1" w:rsidP="00123EAE">
      <w:r w:rsidRPr="00D47BEF">
        <w:lastRenderedPageBreak/>
        <w:t>In the past 12 months (February 2019 - January 2020), occupancy of critical care beds did not exceed 85% in England overall or in South East Commissioning Region. However, in Sussex and East Surrey STP, the occupancy exceeded the safe level once, in May 2019 when occupancy reached 91.2% (103 out of 113 beds).</w:t>
      </w:r>
      <w:r>
        <w:t xml:space="preserve"> </w:t>
      </w:r>
    </w:p>
    <w:p w14:paraId="584BE94C" w14:textId="3CC21566" w:rsidR="00DA1E87" w:rsidRDefault="00123EAE" w:rsidP="00123EAE">
      <w:r>
        <w:t xml:space="preserve">The figure </w:t>
      </w:r>
      <w:r w:rsidR="002342B1">
        <w:t>below</w:t>
      </w:r>
      <w:r>
        <w:t xml:space="preserve"> shows the national, regional, and Sussex and East Surrey STP occupancy rates between January 2015 and January 2020.</w:t>
      </w:r>
    </w:p>
    <w:p w14:paraId="4F561F69" w14:textId="350E57E2" w:rsidR="00123EAE" w:rsidRDefault="00123EAE" w:rsidP="001D76F6">
      <w:r>
        <w:rPr>
          <w:noProof/>
        </w:rPr>
        <w:drawing>
          <wp:inline distT="0" distB="0" distL="0" distR="0" wp14:anchorId="024E36B2" wp14:editId="5F0725CC">
            <wp:extent cx="6184900" cy="5126990"/>
            <wp:effectExtent l="0" t="0" r="0" b="381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24.png"/>
                    <pic:cNvPicPr/>
                  </pic:nvPicPr>
                  <pic:blipFill>
                    <a:blip r:embed="rId8">
                      <a:extLst>
                        <a:ext uri="{28A0092B-C50C-407E-A947-70E740481C1C}">
                          <a14:useLocalDpi xmlns:a14="http://schemas.microsoft.com/office/drawing/2010/main" val="0"/>
                        </a:ext>
                      </a:extLst>
                    </a:blip>
                    <a:stretch>
                      <a:fillRect/>
                    </a:stretch>
                  </pic:blipFill>
                  <pic:spPr>
                    <a:xfrm>
                      <a:off x="0" y="0"/>
                      <a:ext cx="6184900" cy="5126990"/>
                    </a:xfrm>
                    <a:prstGeom prst="rect">
                      <a:avLst/>
                    </a:prstGeom>
                  </pic:spPr>
                </pic:pic>
              </a:graphicData>
            </a:graphic>
          </wp:inline>
        </w:drawing>
      </w:r>
    </w:p>
    <w:p w14:paraId="2F18061F" w14:textId="3123128B" w:rsidR="001E2C39" w:rsidRDefault="001E2C39" w:rsidP="001D76F6">
      <w:r>
        <w:t xml:space="preserve">Since </w:t>
      </w:r>
      <w:r w:rsidR="00123EAE">
        <w:t>January</w:t>
      </w:r>
      <w:r>
        <w:t xml:space="preserve"> 2015, there have been on average </w:t>
      </w:r>
      <w:r w:rsidR="00123EAE">
        <w:t>726</w:t>
      </w:r>
      <w:r>
        <w:t xml:space="preserve"> available critical care beds nationally, </w:t>
      </w:r>
      <w:r w:rsidR="002342B1">
        <w:t xml:space="preserve">with </w:t>
      </w:r>
      <w:r w:rsidR="00123EAE">
        <w:t>80</w:t>
      </w:r>
      <w:r>
        <w:t xml:space="preserve"> beds in the South East Commissioning region and </w:t>
      </w:r>
      <w:r w:rsidRPr="007D152A">
        <w:t>2</w:t>
      </w:r>
      <w:r w:rsidR="00123EAE">
        <w:t>1</w:t>
      </w:r>
      <w:r>
        <w:t xml:space="preserve"> beds within the STP trusts. In the 12 months leading to January 2020, these averages have increased in England to </w:t>
      </w:r>
      <w:r w:rsidR="007D152A" w:rsidRPr="007D152A">
        <w:t>805</w:t>
      </w:r>
      <w:r>
        <w:t xml:space="preserve"> available beds, and to </w:t>
      </w:r>
      <w:r w:rsidRPr="007D152A">
        <w:t>10</w:t>
      </w:r>
      <w:r w:rsidR="007D152A" w:rsidRPr="007D152A">
        <w:t>2</w:t>
      </w:r>
      <w:r>
        <w:t xml:space="preserve"> in the South East Commissioning region. In the Sussex and East Surrey STP, the average number of beds available for new patients </w:t>
      </w:r>
      <w:r w:rsidR="00123EAE">
        <w:t>increased slightly</w:t>
      </w:r>
      <w:r>
        <w:t xml:space="preserve"> </w:t>
      </w:r>
      <w:r w:rsidR="00123EAE">
        <w:t>to</w:t>
      </w:r>
      <w:r>
        <w:t xml:space="preserve"> 2</w:t>
      </w:r>
      <w:r w:rsidR="007D152A">
        <w:t>2</w:t>
      </w:r>
      <w:r>
        <w:t>.</w:t>
      </w:r>
    </w:p>
    <w:p w14:paraId="35C2BFDE" w14:textId="23BFAD06" w:rsidR="001E2C39" w:rsidRDefault="001E2C39" w:rsidP="001D76F6">
      <w:r>
        <w:t xml:space="preserve">Peak availability over the </w:t>
      </w:r>
      <w:r w:rsidR="00123EAE">
        <w:t>last five years</w:t>
      </w:r>
      <w:r>
        <w:t xml:space="preserve"> was in December 2018 for the STP and England overall (32 beds and 1,003 beds respectively) and December 2019 for the South East Commissioning Region (127 available beds).</w:t>
      </w:r>
    </w:p>
    <w:p w14:paraId="7CBDDD68" w14:textId="77777777" w:rsidR="00D50737" w:rsidRDefault="00D50737">
      <w:pPr>
        <w:spacing w:before="0" w:after="0"/>
        <w:rPr>
          <w:rFonts w:asciiTheme="majorHAnsi" w:eastAsiaTheme="majorEastAsia" w:hAnsiTheme="majorHAnsi" w:cstheme="majorBidi"/>
          <w:color w:val="2F5496" w:themeColor="accent1" w:themeShade="BF"/>
          <w:sz w:val="26"/>
          <w:szCs w:val="26"/>
        </w:rPr>
      </w:pPr>
      <w:r>
        <w:br w:type="page"/>
      </w:r>
    </w:p>
    <w:p w14:paraId="045D64B8" w14:textId="65457AD2" w:rsidR="002342B1" w:rsidRDefault="002342B1" w:rsidP="002342B1">
      <w:pPr>
        <w:pStyle w:val="Heading2"/>
      </w:pPr>
      <w:r>
        <w:lastRenderedPageBreak/>
        <w:t>Sussex and East Surrey STP focus</w:t>
      </w:r>
    </w:p>
    <w:p w14:paraId="23303770" w14:textId="4C8EAD27" w:rsidR="0090769E" w:rsidRDefault="002342B1" w:rsidP="00E46910">
      <w:r>
        <w:t>The</w:t>
      </w:r>
      <w:r w:rsidR="00FC6B07">
        <w:t xml:space="preserve"> number of critical care beds open across the STP’s Trusts since </w:t>
      </w:r>
      <w:r w:rsidR="00123EAE">
        <w:t>January 2015</w:t>
      </w:r>
      <w:r w:rsidR="00FC6B07">
        <w:t xml:space="preserve"> coloured by availability status </w:t>
      </w:r>
      <w:r>
        <w:t xml:space="preserve">is provided below </w:t>
      </w:r>
      <w:r w:rsidR="00FC6B07">
        <w:t>with the yellow bars at the top representing the number of beds that are available to new patients on the last Thursday of each reporting period.</w:t>
      </w:r>
    </w:p>
    <w:p w14:paraId="3B991F20" w14:textId="09A0B4C6" w:rsidR="00134B8C" w:rsidRDefault="00123EAE" w:rsidP="00E46910">
      <w:r>
        <w:rPr>
          <w:noProof/>
        </w:rPr>
        <w:drawing>
          <wp:inline distT="0" distB="0" distL="0" distR="0" wp14:anchorId="7543D10A" wp14:editId="61FBCD42">
            <wp:extent cx="6184900" cy="29591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26.png"/>
                    <pic:cNvPicPr/>
                  </pic:nvPicPr>
                  <pic:blipFill>
                    <a:blip r:embed="rId9">
                      <a:extLst>
                        <a:ext uri="{28A0092B-C50C-407E-A947-70E740481C1C}">
                          <a14:useLocalDpi xmlns:a14="http://schemas.microsoft.com/office/drawing/2010/main" val="0"/>
                        </a:ext>
                      </a:extLst>
                    </a:blip>
                    <a:stretch>
                      <a:fillRect/>
                    </a:stretch>
                  </pic:blipFill>
                  <pic:spPr>
                    <a:xfrm>
                      <a:off x="0" y="0"/>
                      <a:ext cx="6184900" cy="2959100"/>
                    </a:xfrm>
                    <a:prstGeom prst="rect">
                      <a:avLst/>
                    </a:prstGeom>
                  </pic:spPr>
                </pic:pic>
              </a:graphicData>
            </a:graphic>
          </wp:inline>
        </w:drawing>
      </w:r>
    </w:p>
    <w:p w14:paraId="4F338F85" w14:textId="4AE0B704" w:rsidR="00E8790B" w:rsidRDefault="007F228F" w:rsidP="00357190">
      <w:r>
        <w:t xml:space="preserve">There appeared to be some fluctuation </w:t>
      </w:r>
      <w:r w:rsidR="00123EAE">
        <w:t>in 2015</w:t>
      </w:r>
      <w:r w:rsidR="00F524B3">
        <w:t xml:space="preserve"> </w:t>
      </w:r>
      <w:r w:rsidR="00123EAE">
        <w:t>with</w:t>
      </w:r>
      <w:r w:rsidR="00F524B3">
        <w:t xml:space="preserve"> bed capacity, although this becomes fairly stable (around 110</w:t>
      </w:r>
      <w:r w:rsidR="00123EAE">
        <w:t xml:space="preserve"> beds</w:t>
      </w:r>
      <w:r w:rsidR="00F524B3">
        <w:t>) from the beginning of 2016 onwards.</w:t>
      </w:r>
      <w:r w:rsidR="002342B1">
        <w:t xml:space="preserve"> </w:t>
      </w:r>
      <w:r w:rsidR="006D5A78">
        <w:t>There are differences in the capacity and occupancy of critical care beds across t</w:t>
      </w:r>
      <w:r w:rsidR="006D5A78">
        <w:t xml:space="preserve">he five hospital trusts </w:t>
      </w:r>
      <w:r w:rsidR="00DA2945">
        <w:t>in</w:t>
      </w:r>
      <w:r w:rsidR="006D5A78">
        <w:t xml:space="preserve"> the Sussex and East Surrey STP who provide critical care beds</w:t>
      </w:r>
      <w:r w:rsidR="006D5A78">
        <w:t xml:space="preserve">. </w:t>
      </w:r>
    </w:p>
    <w:p w14:paraId="0152B5FD" w14:textId="29F35545" w:rsidR="00E8790B" w:rsidRDefault="006D5A78" w:rsidP="00357190">
      <w:r>
        <w:t xml:space="preserve">The numbers of beds </w:t>
      </w:r>
      <w:r w:rsidR="00A31257">
        <w:t xml:space="preserve">within individual Trusts, particularly if the trust has just one </w:t>
      </w:r>
      <w:r w:rsidR="007F228F">
        <w:t xml:space="preserve">specialist </w:t>
      </w:r>
      <w:r w:rsidR="00A31257">
        <w:t xml:space="preserve">hospital site, </w:t>
      </w:r>
      <w:r>
        <w:t xml:space="preserve">can be </w:t>
      </w:r>
      <w:r w:rsidR="00A31257">
        <w:t>small</w:t>
      </w:r>
      <w:r>
        <w:t xml:space="preserve"> and</w:t>
      </w:r>
      <w:r w:rsidR="00A31257">
        <w:t xml:space="preserve"> slight</w:t>
      </w:r>
      <w:r>
        <w:t xml:space="preserve"> changes in bed occupancy can </w:t>
      </w:r>
      <w:r w:rsidR="00A31257">
        <w:t>have</w:t>
      </w:r>
      <w:r w:rsidR="00DA2945">
        <w:t xml:space="preserve"> a</w:t>
      </w:r>
      <w:r w:rsidR="00A31257">
        <w:t xml:space="preserve"> large impact on rates and percentages.</w:t>
      </w:r>
      <w:r w:rsidR="000549A1">
        <w:t xml:space="preserve"> </w:t>
      </w:r>
      <w:r w:rsidR="007F228F">
        <w:t>The figure</w:t>
      </w:r>
      <w:r w:rsidR="00E8790B">
        <w:t xml:space="preserve"> below</w:t>
      </w:r>
      <w:r w:rsidR="007F228F">
        <w:t xml:space="preserve"> shows the latest capacity and occupancy data for critical care beds in the STP. </w:t>
      </w:r>
    </w:p>
    <w:p w14:paraId="56D0BA84" w14:textId="03808983" w:rsidR="00E8790B" w:rsidRDefault="00FC6B07" w:rsidP="00E8790B">
      <w:r>
        <w:rPr>
          <w:noProof/>
        </w:rPr>
        <w:drawing>
          <wp:inline distT="0" distB="0" distL="0" distR="0" wp14:anchorId="0D32A12B" wp14:editId="50EE2AB9">
            <wp:extent cx="6187765" cy="270159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19.png"/>
                    <pic:cNvPicPr/>
                  </pic:nvPicPr>
                  <pic:blipFill>
                    <a:blip r:embed="rId10">
                      <a:extLst>
                        <a:ext uri="{28A0092B-C50C-407E-A947-70E740481C1C}">
                          <a14:useLocalDpi xmlns:a14="http://schemas.microsoft.com/office/drawing/2010/main" val="0"/>
                        </a:ext>
                      </a:extLst>
                    </a:blip>
                    <a:stretch>
                      <a:fillRect/>
                    </a:stretch>
                  </pic:blipFill>
                  <pic:spPr>
                    <a:xfrm>
                      <a:off x="0" y="0"/>
                      <a:ext cx="6187765" cy="2701595"/>
                    </a:xfrm>
                    <a:prstGeom prst="rect">
                      <a:avLst/>
                    </a:prstGeom>
                  </pic:spPr>
                </pic:pic>
              </a:graphicData>
            </a:graphic>
          </wp:inline>
        </w:drawing>
      </w:r>
      <w:r w:rsidR="002342B1">
        <w:t>B</w:t>
      </w:r>
      <w:r w:rsidR="00E8790B">
        <w:t>righton and Sussex University Hospitals NHS Trust had the most critical care beds (51) open in January 2020. With seven beds available to new patients</w:t>
      </w:r>
      <w:r w:rsidR="002342B1">
        <w:t>.</w:t>
      </w:r>
      <w:r w:rsidR="00E8790B">
        <w:t xml:space="preserve"> </w:t>
      </w:r>
      <w:r w:rsidR="002342B1">
        <w:t>T</w:t>
      </w:r>
      <w:r w:rsidR="00E8790B">
        <w:t xml:space="preserve">he latest occupancy rate for this Trust is 86.3%, which is up from 84.3% in January 2019. </w:t>
      </w:r>
    </w:p>
    <w:p w14:paraId="20904A93" w14:textId="77777777" w:rsidR="00E8790B" w:rsidRDefault="00E8790B" w:rsidP="00E8790B">
      <w:r>
        <w:lastRenderedPageBreak/>
        <w:t>Western Sussex Hospitals NHS Foundation Trust had 22 open beds as at January 2020, with an occupancy rate of 77.3% (17 beds occupied), again up from January 2019 (72.3%, 16 beds occupied).</w:t>
      </w:r>
    </w:p>
    <w:p w14:paraId="50380D01" w14:textId="5396E186" w:rsidR="00BE65D3" w:rsidRDefault="007F228F" w:rsidP="007F228F">
      <w:r>
        <w:t xml:space="preserve">East Sussex Healthcare NHS Trust had 19 open critical care beds </w:t>
      </w:r>
      <w:r w:rsidR="00BE65D3">
        <w:t xml:space="preserve">as at </w:t>
      </w:r>
      <w:r>
        <w:t xml:space="preserve">January 2020, with an occupancy rate of 78.9% (15 beds occupied). In January 2019, the occupancy rate was more than 10% higher at 89.5%, although this was only due to just two extra patients in beds, illustrating the impact of small numbers on these rates. </w:t>
      </w:r>
    </w:p>
    <w:p w14:paraId="616DBD1D" w14:textId="77777777" w:rsidR="00BE65D3" w:rsidRDefault="007F228F" w:rsidP="007F228F">
      <w:r>
        <w:t xml:space="preserve">Surrey and Sussex Healthcare NHS Trust had 16 open critical care beds </w:t>
      </w:r>
      <w:r w:rsidR="00BE65D3">
        <w:t>at midnight on the last Thursday in</w:t>
      </w:r>
      <w:r>
        <w:t xml:space="preserve"> January 2020, with an occupancy rate of 87.5% (14 beds occupied). In the same period in 2019, all beds were occupied.</w:t>
      </w:r>
      <w:r w:rsidR="007D152A">
        <w:t xml:space="preserve"> </w:t>
      </w:r>
    </w:p>
    <w:p w14:paraId="07604265" w14:textId="73E2DE0E" w:rsidR="007F228F" w:rsidRPr="00357190" w:rsidRDefault="007F228F" w:rsidP="007F228F">
      <w:r>
        <w:t>The smallest number of critical care beds open was in Queen Victoria Hospital NHS Foundation Trust. With just five critical care beds open in January 2020, each bed occupied is 20% of the capacity of the Trust.</w:t>
      </w:r>
    </w:p>
    <w:p w14:paraId="500B336B" w14:textId="56537AA7" w:rsidR="00F524B3" w:rsidRDefault="007F228F" w:rsidP="00357190">
      <w:r>
        <w:t xml:space="preserve">For all but Brighton and Sussex University Trust, the capacity (number of open critical care beds) for the STP Trusts has remained stable since </w:t>
      </w:r>
      <w:r w:rsidR="00123EAE">
        <w:t>January</w:t>
      </w:r>
      <w:r>
        <w:t xml:space="preserve"> 2015, with just one or two critical care beds closed and unavailable in some of the reporting periods. Brighton and Sussex University Hospital NHS Trust however has fluctuated from having 48 open critical care beds to 58 </w:t>
      </w:r>
      <w:r w:rsidR="00F524B3">
        <w:t>critical</w:t>
      </w:r>
      <w:r>
        <w:t xml:space="preserve"> care beds.</w:t>
      </w:r>
      <w:r w:rsidR="00F524B3">
        <w:t xml:space="preserve"> </w:t>
      </w:r>
    </w:p>
    <w:p w14:paraId="3F0BCB32" w14:textId="1F7F5614" w:rsidR="007D152A" w:rsidRDefault="00D033B1" w:rsidP="00357190">
      <w:r>
        <w:t xml:space="preserve">In the last 12 months </w:t>
      </w:r>
      <w:r w:rsidR="007D152A">
        <w:t>Brighton and Sussex University Hospitals NHS Trust had an average occupancy rate of 84% and exceeded the 85% capacity value four times (March 2019, May 2019, September 2019 and in January 2020). East Sussex Healthcare NHS Trust had an average occupancy rate of 74</w:t>
      </w:r>
      <w:r w:rsidR="003B0A52">
        <w:t>.1</w:t>
      </w:r>
      <w:r w:rsidR="007D152A">
        <w:t xml:space="preserve">% and exceeded the 85% capacity level once in May 2019. </w:t>
      </w:r>
    </w:p>
    <w:p w14:paraId="5156668E" w14:textId="1DC9C66A" w:rsidR="003A3464" w:rsidRDefault="007D152A" w:rsidP="00357190">
      <w:r>
        <w:t>Queen Victoria Hospital NHS Foundation Trust had on average 50% of their critical care beds occupied and did not exceed the 85% level in the last 12 months</w:t>
      </w:r>
      <w:r w:rsidR="003A3464">
        <w:t>. This Trust has the most fluctuation with occupancy rate as seen on the figure, although this is likely because of the very small number of beds open in the Trust (five).</w:t>
      </w:r>
    </w:p>
    <w:p w14:paraId="07D80421" w14:textId="77777777" w:rsidR="003B0A52" w:rsidRDefault="003A3464" w:rsidP="00357190">
      <w:r>
        <w:t>Surrey and Sussex Healthcare NHS Trust had an average occupancy rate of 9</w:t>
      </w:r>
      <w:r w:rsidR="003B0A52">
        <w:t>0.6</w:t>
      </w:r>
      <w:r>
        <w:t>%</w:t>
      </w:r>
      <w:r w:rsidR="003B0A52">
        <w:t xml:space="preserve"> and exceeded the 85% level in all but one month (December 2019, when occupancy was at 75%). This Trust has consistently operated above the 85% level over the last five years as illustrated in the figure.</w:t>
      </w:r>
    </w:p>
    <w:p w14:paraId="60CD88DA" w14:textId="3E802EDF" w:rsidR="003A3464" w:rsidRDefault="003B0A52" w:rsidP="00357190">
      <w:r>
        <w:t xml:space="preserve">Western Sussex Hospitals NHS Foundation Trust has a </w:t>
      </w:r>
      <w:r w:rsidR="00123EAE">
        <w:t>12-month</w:t>
      </w:r>
      <w:r>
        <w:t xml:space="preserve"> average occupancy of 76.9% and exceeded the 85% occupancy level four times (February, May, July and October 2019).  </w:t>
      </w:r>
      <w:r w:rsidR="003A3464">
        <w:t xml:space="preserve"> </w:t>
      </w:r>
    </w:p>
    <w:p w14:paraId="605AC71B" w14:textId="77777777" w:rsidR="00E8790B" w:rsidRDefault="00E8790B" w:rsidP="00E8790B">
      <w:r>
        <w:t xml:space="preserve">In the last 12 months (February 2019-January 2020) the average number of beds available was </w:t>
      </w:r>
      <w:r w:rsidRPr="007D152A">
        <w:t>eight</w:t>
      </w:r>
      <w:r>
        <w:t xml:space="preserve"> in Brighton and Sussex University Hospitals NHS Trust, </w:t>
      </w:r>
      <w:r w:rsidRPr="007D152A">
        <w:t>five</w:t>
      </w:r>
      <w:r>
        <w:t xml:space="preserve"> in East Sussex Healthcare NHS Trust and Western Sussex Hospitals NHS Foundation Trust, </w:t>
      </w:r>
      <w:r w:rsidRPr="007D152A">
        <w:t>three</w:t>
      </w:r>
      <w:r w:rsidRPr="00D033B1">
        <w:t xml:space="preserve"> in Queen Victoria </w:t>
      </w:r>
      <w:r>
        <w:t xml:space="preserve">Hospital NHS Foundation Trust and </w:t>
      </w:r>
      <w:r w:rsidRPr="007D152A">
        <w:t>two</w:t>
      </w:r>
      <w:r>
        <w:t xml:space="preserve"> in Surrey and Sussex Healthcare NHS Trust. These averages are the same in the last 12 months as they are over the last five years since January 2015.</w:t>
      </w:r>
    </w:p>
    <w:p w14:paraId="21F6CA00" w14:textId="77777777" w:rsidR="00C55D2B" w:rsidRDefault="00C55D2B" w:rsidP="00C55D2B">
      <w:r>
        <w:t>Occupancy over time for the five trusts is displayed on the next page, with dots coloured according to whether the occupancy was above 85% in a particular time period.</w:t>
      </w:r>
    </w:p>
    <w:p w14:paraId="5692FF58" w14:textId="77777777" w:rsidR="00E8790B" w:rsidRDefault="00E8790B" w:rsidP="00357190"/>
    <w:p w14:paraId="5DEC76AF" w14:textId="5FA0B853" w:rsidR="000B17A3" w:rsidRDefault="00D50737" w:rsidP="00E46910">
      <w:pPr>
        <w:pStyle w:val="Heading2"/>
      </w:pPr>
      <w:r>
        <w:rPr>
          <w:noProof/>
        </w:rPr>
        <w:lastRenderedPageBreak/>
        <w:drawing>
          <wp:inline distT="0" distB="0" distL="0" distR="0" wp14:anchorId="33CC25E4" wp14:editId="07B78C5E">
            <wp:extent cx="6175375" cy="886460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27.png"/>
                    <pic:cNvPicPr/>
                  </pic:nvPicPr>
                  <pic:blipFill>
                    <a:blip r:embed="rId11">
                      <a:extLst>
                        <a:ext uri="{28A0092B-C50C-407E-A947-70E740481C1C}">
                          <a14:useLocalDpi xmlns:a14="http://schemas.microsoft.com/office/drawing/2010/main" val="0"/>
                        </a:ext>
                      </a:extLst>
                    </a:blip>
                    <a:stretch>
                      <a:fillRect/>
                    </a:stretch>
                  </pic:blipFill>
                  <pic:spPr>
                    <a:xfrm>
                      <a:off x="0" y="0"/>
                      <a:ext cx="6175375" cy="8864600"/>
                    </a:xfrm>
                    <a:prstGeom prst="rect">
                      <a:avLst/>
                    </a:prstGeom>
                  </pic:spPr>
                </pic:pic>
              </a:graphicData>
            </a:graphic>
          </wp:inline>
        </w:drawing>
      </w:r>
    </w:p>
    <w:p w14:paraId="62F5B070" w14:textId="5F40C0B1" w:rsidR="00E46910" w:rsidRDefault="00E46910" w:rsidP="00E46910">
      <w:pPr>
        <w:pStyle w:val="Heading2"/>
      </w:pPr>
      <w:r>
        <w:lastRenderedPageBreak/>
        <w:t>Beds per capita</w:t>
      </w:r>
    </w:p>
    <w:p w14:paraId="1A973E07" w14:textId="495C3608" w:rsidR="00E8790B" w:rsidRDefault="00F56186" w:rsidP="00F56186">
      <w:r>
        <w:t xml:space="preserve">There will naturally be a higher demand for critical care beds in areas which serve a larger population (and particularly </w:t>
      </w:r>
      <w:r w:rsidR="00AB528B">
        <w:t>populations with certain demographics</w:t>
      </w:r>
      <w:r w:rsidR="00C55D2B">
        <w:t xml:space="preserve"> although this is not explored in this report</w:t>
      </w:r>
      <w:r w:rsidR="00AB528B">
        <w:t>). A crude method to account for differences in populations served is to</w:t>
      </w:r>
      <w:r w:rsidR="00134B8C">
        <w:t xml:space="preserve"> standardise the value and</w:t>
      </w:r>
      <w:r w:rsidR="00AB528B">
        <w:t xml:space="preserve"> look at the number of beds per </w:t>
      </w:r>
      <w:r w:rsidR="00134B8C">
        <w:t xml:space="preserve">capita (per head in the population). </w:t>
      </w:r>
    </w:p>
    <w:p w14:paraId="22840E96" w14:textId="14B73F35" w:rsidR="00F56186" w:rsidRDefault="00134B8C" w:rsidP="00F56186">
      <w:r>
        <w:t xml:space="preserve">A common standardised rate is the number of beds per 100,000 population. </w:t>
      </w:r>
      <w:r w:rsidR="00F56186">
        <w:t xml:space="preserve">For this analysis the </w:t>
      </w:r>
      <w:r>
        <w:t xml:space="preserve">hospital trust </w:t>
      </w:r>
      <w:r w:rsidR="00F56186">
        <w:t xml:space="preserve">catchment population </w:t>
      </w:r>
      <w:r>
        <w:t xml:space="preserve">for 2018 </w:t>
      </w:r>
      <w:r w:rsidR="00F56186">
        <w:t>for emergency admissions has been used</w:t>
      </w:r>
      <w:r>
        <w:rPr>
          <w:rStyle w:val="FootnoteReference"/>
        </w:rPr>
        <w:footnoteReference w:id="2"/>
      </w:r>
      <w:r w:rsidR="00F56186">
        <w:t>.</w:t>
      </w:r>
      <w:r w:rsidR="00B431D1">
        <w:t xml:space="preserve"> </w:t>
      </w:r>
    </w:p>
    <w:p w14:paraId="0ABC59E1" w14:textId="6F9CE818" w:rsidR="00134B8C" w:rsidRDefault="00030153" w:rsidP="00F56186">
      <w:r>
        <w:t>The figure below compares the latest data (January 2020) for the number of critical care beds by occupancy status with beds per 100,000 catchment population.</w:t>
      </w:r>
    </w:p>
    <w:p w14:paraId="77DEE74B" w14:textId="3880B707" w:rsidR="00E46910" w:rsidRDefault="00030153" w:rsidP="00E46910">
      <w:r>
        <w:rPr>
          <w:noProof/>
        </w:rPr>
        <w:drawing>
          <wp:inline distT="0" distB="0" distL="0" distR="0" wp14:anchorId="1DB9BCCE" wp14:editId="75C42ABB">
            <wp:extent cx="6184900" cy="2877185"/>
            <wp:effectExtent l="0" t="0" r="0" b="571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29.png"/>
                    <pic:cNvPicPr/>
                  </pic:nvPicPr>
                  <pic:blipFill>
                    <a:blip r:embed="rId12">
                      <a:extLst>
                        <a:ext uri="{28A0092B-C50C-407E-A947-70E740481C1C}">
                          <a14:useLocalDpi xmlns:a14="http://schemas.microsoft.com/office/drawing/2010/main" val="0"/>
                        </a:ext>
                      </a:extLst>
                    </a:blip>
                    <a:stretch>
                      <a:fillRect/>
                    </a:stretch>
                  </pic:blipFill>
                  <pic:spPr>
                    <a:xfrm>
                      <a:off x="0" y="0"/>
                      <a:ext cx="6184900" cy="2877185"/>
                    </a:xfrm>
                    <a:prstGeom prst="rect">
                      <a:avLst/>
                    </a:prstGeom>
                  </pic:spPr>
                </pic:pic>
              </a:graphicData>
            </a:graphic>
          </wp:inline>
        </w:drawing>
      </w:r>
    </w:p>
    <w:p w14:paraId="6A2C58A7" w14:textId="77777777" w:rsidR="00D62ECC" w:rsidRDefault="00D62ECC" w:rsidP="00D62ECC">
      <w:r>
        <w:t xml:space="preserve">Brighton and Sussex University Hospitals NHS Trust has 10 beds per 100,000 population, whilst the other four Trusts have around four beds per 100,000 population. </w:t>
      </w:r>
    </w:p>
    <w:p w14:paraId="4251FB20" w14:textId="77777777" w:rsidR="00D62ECC" w:rsidRDefault="00D62ECC" w:rsidP="00D62ECC">
      <w:r>
        <w:t>Surrey and Sussex Healthcare NHS Trust have the lowest number of open beds per 100,000 and the lowest number of available critical care beds per 100,000 and as discussed earlier, consistently operates with the highest occupancy rate of the STP trusts.</w:t>
      </w:r>
    </w:p>
    <w:p w14:paraId="3CFA5219" w14:textId="213263EE" w:rsidR="00F96565" w:rsidRDefault="00F96565">
      <w:pPr>
        <w:spacing w:before="0" w:after="0"/>
      </w:pPr>
      <w:r>
        <w:br w:type="page"/>
      </w:r>
    </w:p>
    <w:p w14:paraId="25305BD5" w14:textId="3637A531" w:rsidR="00D62ECC" w:rsidRDefault="00F96565" w:rsidP="00F96565">
      <w:pPr>
        <w:pStyle w:val="Heading2"/>
      </w:pPr>
      <w:r>
        <w:lastRenderedPageBreak/>
        <w:t>Critical care beds daily trends winter 2020</w:t>
      </w:r>
    </w:p>
    <w:p w14:paraId="0FC90C64" w14:textId="56AABCA7" w:rsidR="004206CE" w:rsidRDefault="004206CE" w:rsidP="004206CE">
      <w:r>
        <w:t>As noted in the introduction, a daily S</w:t>
      </w:r>
      <w:proofErr w:type="spellStart"/>
      <w:r>
        <w:t>itRep</w:t>
      </w:r>
      <w:proofErr w:type="spellEnd"/>
      <w:r>
        <w:t xml:space="preserve"> data series is available to explore trends in bed capacity and occupancy in more detail over winter months</w:t>
      </w:r>
      <w:r w:rsidR="00BC77D5">
        <w:rPr>
          <w:rStyle w:val="FootnoteReference"/>
        </w:rPr>
        <w:footnoteReference w:id="3"/>
      </w:r>
      <w:r>
        <w:t>.</w:t>
      </w:r>
    </w:p>
    <w:p w14:paraId="6F143ABB" w14:textId="0947EA14" w:rsidR="00BC77D5" w:rsidRDefault="005146AF" w:rsidP="004206CE">
      <w:r>
        <w:t xml:space="preserve">The figure below shows that over the </w:t>
      </w:r>
      <w:proofErr w:type="gramStart"/>
      <w:r>
        <w:t>three month</w:t>
      </w:r>
      <w:proofErr w:type="gramEnd"/>
      <w:r>
        <w:t xml:space="preserve"> period between December and March, Trusts frequently exceed the 85% occupancy level. Of the 91 days of </w:t>
      </w:r>
      <w:r w:rsidR="00C55D2B">
        <w:t>reporting</w:t>
      </w:r>
      <w:r>
        <w:t>, Surrey and Sussex Healthcare NHS Trust exceeded 85% occupancy on 82 days (90%) and Brighton and Sussex University Hospitals NHS Trust exceeded 85% occupancy on 80 days (87.9%). Western Sussex Hospitals NHS Foundation Trust and East Sussex Healthcare NHS Trust exceeded 85% on 32 (35.2%) and 23 (25.3%) of days respectively.</w:t>
      </w:r>
    </w:p>
    <w:p w14:paraId="66A9BD0A" w14:textId="23D77DC1" w:rsidR="00BC77D5" w:rsidRDefault="00BC77D5" w:rsidP="004206CE">
      <w:r>
        <w:rPr>
          <w:noProof/>
        </w:rPr>
        <w:drawing>
          <wp:inline distT="0" distB="0" distL="0" distR="0" wp14:anchorId="1D002CC8" wp14:editId="0A681999">
            <wp:extent cx="6184900" cy="4736465"/>
            <wp:effectExtent l="0" t="0" r="0" b="635"/>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30.png"/>
                    <pic:cNvPicPr/>
                  </pic:nvPicPr>
                  <pic:blipFill>
                    <a:blip r:embed="rId13">
                      <a:extLst>
                        <a:ext uri="{28A0092B-C50C-407E-A947-70E740481C1C}">
                          <a14:useLocalDpi xmlns:a14="http://schemas.microsoft.com/office/drawing/2010/main" val="0"/>
                        </a:ext>
                      </a:extLst>
                    </a:blip>
                    <a:stretch>
                      <a:fillRect/>
                    </a:stretch>
                  </pic:blipFill>
                  <pic:spPr>
                    <a:xfrm>
                      <a:off x="0" y="0"/>
                      <a:ext cx="6184900" cy="4736465"/>
                    </a:xfrm>
                    <a:prstGeom prst="rect">
                      <a:avLst/>
                    </a:prstGeom>
                  </pic:spPr>
                </pic:pic>
              </a:graphicData>
            </a:graphic>
          </wp:inline>
        </w:drawing>
      </w:r>
    </w:p>
    <w:p w14:paraId="20596BF7" w14:textId="01DD9482" w:rsidR="005A4B93" w:rsidRDefault="005A4B93" w:rsidP="004206CE">
      <w:pPr>
        <w:sectPr w:rsidR="005A4B93" w:rsidSect="00EF1735">
          <w:footerReference w:type="even" r:id="rId14"/>
          <w:footerReference w:type="default" r:id="rId15"/>
          <w:pgSz w:w="11900" w:h="16840"/>
          <w:pgMar w:top="1440" w:right="1080" w:bottom="1440" w:left="1080" w:header="708" w:footer="708" w:gutter="0"/>
          <w:cols w:space="708"/>
          <w:docGrid w:linePitch="360"/>
        </w:sectPr>
      </w:pPr>
    </w:p>
    <w:tbl>
      <w:tblPr>
        <w:tblpPr w:leftFromText="180" w:rightFromText="180" w:vertAnchor="text" w:horzAnchor="margin" w:tblpY="510"/>
        <w:tblW w:w="0" w:type="auto"/>
        <w:tblLayout w:type="fixed"/>
        <w:tblLook w:val="04A0" w:firstRow="1" w:lastRow="0" w:firstColumn="1" w:lastColumn="0" w:noHBand="0" w:noVBand="1"/>
      </w:tblPr>
      <w:tblGrid>
        <w:gridCol w:w="3544"/>
        <w:gridCol w:w="1754"/>
        <w:gridCol w:w="1411"/>
        <w:gridCol w:w="1173"/>
        <w:gridCol w:w="1365"/>
        <w:gridCol w:w="1128"/>
        <w:gridCol w:w="1128"/>
        <w:gridCol w:w="1129"/>
        <w:gridCol w:w="1133"/>
        <w:gridCol w:w="1635"/>
      </w:tblGrid>
      <w:tr w:rsidR="005A4B93" w:rsidRPr="005A4B93" w14:paraId="060DFD54" w14:textId="77777777" w:rsidTr="005A4B93">
        <w:trPr>
          <w:trHeight w:val="1300"/>
        </w:trPr>
        <w:tc>
          <w:tcPr>
            <w:tcW w:w="3544" w:type="dxa"/>
            <w:tcBorders>
              <w:top w:val="single" w:sz="4" w:space="0" w:color="auto"/>
              <w:left w:val="nil"/>
              <w:bottom w:val="single" w:sz="4" w:space="0" w:color="auto"/>
              <w:right w:val="nil"/>
            </w:tcBorders>
            <w:shd w:val="clear" w:color="auto" w:fill="auto"/>
            <w:noWrap/>
            <w:hideMark/>
          </w:tcPr>
          <w:p w14:paraId="02CA24EF" w14:textId="77777777" w:rsidR="005A4B93" w:rsidRPr="005A4B93" w:rsidRDefault="005A4B93" w:rsidP="005A4B93">
            <w:pPr>
              <w:spacing w:before="0" w:after="0"/>
              <w:rPr>
                <w:rFonts w:ascii="Calibri" w:eastAsia="Times New Roman" w:hAnsi="Calibri" w:cs="Times New Roman"/>
                <w:b/>
                <w:bCs/>
                <w:color w:val="000000"/>
                <w:szCs w:val="20"/>
                <w:lang w:eastAsia="en-GB"/>
              </w:rPr>
            </w:pPr>
            <w:r w:rsidRPr="005A4B93">
              <w:rPr>
                <w:rFonts w:ascii="Calibri" w:eastAsia="Times New Roman" w:hAnsi="Calibri" w:cs="Times New Roman"/>
                <w:b/>
                <w:bCs/>
                <w:color w:val="000000"/>
                <w:szCs w:val="20"/>
                <w:lang w:eastAsia="en-GB"/>
              </w:rPr>
              <w:lastRenderedPageBreak/>
              <w:t>Area</w:t>
            </w:r>
          </w:p>
        </w:tc>
        <w:tc>
          <w:tcPr>
            <w:tcW w:w="1754" w:type="dxa"/>
            <w:tcBorders>
              <w:top w:val="single" w:sz="4" w:space="0" w:color="auto"/>
              <w:left w:val="nil"/>
              <w:bottom w:val="single" w:sz="4" w:space="0" w:color="auto"/>
              <w:right w:val="nil"/>
            </w:tcBorders>
            <w:shd w:val="clear" w:color="auto" w:fill="auto"/>
            <w:hideMark/>
          </w:tcPr>
          <w:p w14:paraId="1FF78C8A" w14:textId="77777777" w:rsidR="005A4B93" w:rsidRPr="005A4B93" w:rsidRDefault="005A4B93" w:rsidP="005A4B93">
            <w:pPr>
              <w:spacing w:before="0" w:after="0"/>
              <w:jc w:val="right"/>
              <w:rPr>
                <w:rFonts w:ascii="Calibri" w:eastAsia="Times New Roman" w:hAnsi="Calibri" w:cs="Times New Roman"/>
                <w:b/>
                <w:bCs/>
                <w:color w:val="000000"/>
                <w:szCs w:val="20"/>
                <w:lang w:eastAsia="en-GB"/>
              </w:rPr>
            </w:pPr>
            <w:r w:rsidRPr="005A4B93">
              <w:rPr>
                <w:rFonts w:ascii="Calibri" w:eastAsia="Times New Roman" w:hAnsi="Calibri" w:cs="Times New Roman"/>
                <w:b/>
                <w:bCs/>
                <w:color w:val="000000"/>
                <w:szCs w:val="20"/>
                <w:lang w:eastAsia="en-GB"/>
              </w:rPr>
              <w:t xml:space="preserve">% adult critical care beds occupied </w:t>
            </w:r>
            <w:r w:rsidRPr="005A4B93">
              <w:rPr>
                <w:rFonts w:ascii="Calibri" w:eastAsia="Times New Roman" w:hAnsi="Calibri" w:cs="Times New Roman"/>
                <w:b/>
                <w:bCs/>
                <w:color w:val="000000"/>
                <w:szCs w:val="20"/>
                <w:lang w:eastAsia="en-GB"/>
              </w:rPr>
              <w:br/>
              <w:t>(Jan 2020)</w:t>
            </w:r>
          </w:p>
        </w:tc>
        <w:tc>
          <w:tcPr>
            <w:tcW w:w="1411" w:type="dxa"/>
            <w:tcBorders>
              <w:top w:val="single" w:sz="4" w:space="0" w:color="auto"/>
              <w:left w:val="nil"/>
              <w:bottom w:val="single" w:sz="4" w:space="0" w:color="auto"/>
              <w:right w:val="nil"/>
            </w:tcBorders>
            <w:shd w:val="clear" w:color="auto" w:fill="auto"/>
            <w:hideMark/>
          </w:tcPr>
          <w:p w14:paraId="76D747F3" w14:textId="77777777" w:rsidR="005A4B93" w:rsidRDefault="005A4B93" w:rsidP="005A4B93">
            <w:pPr>
              <w:spacing w:before="0" w:after="0"/>
              <w:jc w:val="right"/>
              <w:rPr>
                <w:rFonts w:ascii="Calibri" w:eastAsia="Times New Roman" w:hAnsi="Calibri" w:cs="Times New Roman"/>
                <w:b/>
                <w:bCs/>
                <w:color w:val="000000"/>
                <w:szCs w:val="20"/>
                <w:lang w:eastAsia="en-GB"/>
              </w:rPr>
            </w:pPr>
            <w:r w:rsidRPr="005A4B93">
              <w:rPr>
                <w:rFonts w:ascii="Calibri" w:eastAsia="Times New Roman" w:hAnsi="Calibri" w:cs="Times New Roman"/>
                <w:b/>
                <w:bCs/>
                <w:color w:val="000000"/>
                <w:szCs w:val="20"/>
                <w:lang w:eastAsia="en-GB"/>
              </w:rPr>
              <w:t xml:space="preserve">Number of critical care beds available for new patients </w:t>
            </w:r>
          </w:p>
          <w:p w14:paraId="3BF02080" w14:textId="77777777" w:rsidR="005A4B93" w:rsidRPr="005A4B93" w:rsidRDefault="005A4B93" w:rsidP="005A4B93">
            <w:pPr>
              <w:spacing w:before="0" w:after="0"/>
              <w:jc w:val="right"/>
              <w:rPr>
                <w:rFonts w:ascii="Calibri" w:eastAsia="Times New Roman" w:hAnsi="Calibri" w:cs="Times New Roman"/>
                <w:b/>
                <w:bCs/>
                <w:color w:val="000000"/>
                <w:szCs w:val="20"/>
                <w:lang w:eastAsia="en-GB"/>
              </w:rPr>
            </w:pPr>
            <w:r w:rsidRPr="005A4B93">
              <w:rPr>
                <w:rFonts w:ascii="Calibri" w:eastAsia="Times New Roman" w:hAnsi="Calibri" w:cs="Times New Roman"/>
                <w:b/>
                <w:bCs/>
                <w:color w:val="000000"/>
                <w:szCs w:val="20"/>
                <w:lang w:eastAsia="en-GB"/>
              </w:rPr>
              <w:t>(Jan 2020)</w:t>
            </w:r>
          </w:p>
        </w:tc>
        <w:tc>
          <w:tcPr>
            <w:tcW w:w="1173" w:type="dxa"/>
            <w:tcBorders>
              <w:top w:val="single" w:sz="4" w:space="0" w:color="auto"/>
              <w:left w:val="nil"/>
              <w:bottom w:val="single" w:sz="4" w:space="0" w:color="auto"/>
              <w:right w:val="nil"/>
            </w:tcBorders>
            <w:shd w:val="clear" w:color="auto" w:fill="auto"/>
            <w:hideMark/>
          </w:tcPr>
          <w:p w14:paraId="061BA5A5" w14:textId="77777777" w:rsidR="005A4B93" w:rsidRDefault="005A4B93" w:rsidP="005A4B93">
            <w:pPr>
              <w:spacing w:before="0" w:after="0"/>
              <w:jc w:val="right"/>
              <w:rPr>
                <w:rFonts w:ascii="Calibri" w:eastAsia="Times New Roman" w:hAnsi="Calibri" w:cs="Times New Roman"/>
                <w:b/>
                <w:bCs/>
                <w:color w:val="000000"/>
                <w:szCs w:val="20"/>
                <w:lang w:eastAsia="en-GB"/>
              </w:rPr>
            </w:pPr>
            <w:r w:rsidRPr="005A4B93">
              <w:rPr>
                <w:rFonts w:ascii="Calibri" w:eastAsia="Times New Roman" w:hAnsi="Calibri" w:cs="Times New Roman"/>
                <w:b/>
                <w:bCs/>
                <w:color w:val="000000"/>
                <w:szCs w:val="20"/>
                <w:lang w:eastAsia="en-GB"/>
              </w:rPr>
              <w:t>Number of critical care beds open</w:t>
            </w:r>
          </w:p>
          <w:p w14:paraId="6DAE67EE" w14:textId="77777777" w:rsidR="005A4B93" w:rsidRPr="005A4B93" w:rsidRDefault="005A4B93" w:rsidP="005A4B93">
            <w:pPr>
              <w:spacing w:before="0" w:after="0"/>
              <w:jc w:val="center"/>
              <w:rPr>
                <w:rFonts w:ascii="Calibri" w:eastAsia="Times New Roman" w:hAnsi="Calibri" w:cs="Times New Roman"/>
                <w:b/>
                <w:bCs/>
                <w:color w:val="000000"/>
                <w:szCs w:val="20"/>
                <w:lang w:eastAsia="en-GB"/>
              </w:rPr>
            </w:pPr>
            <w:r w:rsidRPr="005A4B93">
              <w:rPr>
                <w:rFonts w:ascii="Calibri" w:eastAsia="Times New Roman" w:hAnsi="Calibri" w:cs="Times New Roman"/>
                <w:b/>
                <w:bCs/>
                <w:color w:val="000000"/>
                <w:szCs w:val="20"/>
                <w:lang w:eastAsia="en-GB"/>
              </w:rPr>
              <w:t xml:space="preserve">(Jan </w:t>
            </w:r>
            <w:r>
              <w:rPr>
                <w:rFonts w:ascii="Calibri" w:eastAsia="Times New Roman" w:hAnsi="Calibri" w:cs="Times New Roman"/>
                <w:b/>
                <w:bCs/>
                <w:color w:val="000000"/>
                <w:szCs w:val="20"/>
                <w:lang w:eastAsia="en-GB"/>
              </w:rPr>
              <w:t>2</w:t>
            </w:r>
            <w:r w:rsidRPr="005A4B93">
              <w:rPr>
                <w:rFonts w:ascii="Calibri" w:eastAsia="Times New Roman" w:hAnsi="Calibri" w:cs="Times New Roman"/>
                <w:b/>
                <w:bCs/>
                <w:color w:val="000000"/>
                <w:szCs w:val="20"/>
                <w:lang w:eastAsia="en-GB"/>
              </w:rPr>
              <w:t>020)</w:t>
            </w:r>
          </w:p>
        </w:tc>
        <w:tc>
          <w:tcPr>
            <w:tcW w:w="1365" w:type="dxa"/>
            <w:tcBorders>
              <w:top w:val="single" w:sz="4" w:space="0" w:color="auto"/>
              <w:left w:val="nil"/>
              <w:bottom w:val="single" w:sz="4" w:space="0" w:color="auto"/>
              <w:right w:val="nil"/>
            </w:tcBorders>
            <w:shd w:val="clear" w:color="auto" w:fill="auto"/>
            <w:hideMark/>
          </w:tcPr>
          <w:p w14:paraId="56D6101E" w14:textId="77777777" w:rsidR="005A4B93" w:rsidRPr="005A4B93" w:rsidRDefault="005A4B93" w:rsidP="005A4B93">
            <w:pPr>
              <w:spacing w:before="0" w:after="0"/>
              <w:jc w:val="right"/>
              <w:rPr>
                <w:rFonts w:ascii="Calibri" w:eastAsia="Times New Roman" w:hAnsi="Calibri" w:cs="Times New Roman"/>
                <w:b/>
                <w:bCs/>
                <w:color w:val="000000"/>
                <w:szCs w:val="20"/>
                <w:lang w:eastAsia="en-GB"/>
              </w:rPr>
            </w:pPr>
            <w:r w:rsidRPr="005A4B93">
              <w:rPr>
                <w:rFonts w:ascii="Calibri" w:eastAsia="Times New Roman" w:hAnsi="Calibri" w:cs="Times New Roman"/>
                <w:b/>
                <w:bCs/>
                <w:color w:val="000000"/>
                <w:szCs w:val="20"/>
                <w:lang w:eastAsia="en-GB"/>
              </w:rPr>
              <w:t>Number of critical care beds open per 100,000 population (Jan 2020)</w:t>
            </w:r>
          </w:p>
        </w:tc>
        <w:tc>
          <w:tcPr>
            <w:tcW w:w="1128" w:type="dxa"/>
            <w:tcBorders>
              <w:top w:val="single" w:sz="4" w:space="0" w:color="auto"/>
              <w:left w:val="nil"/>
              <w:bottom w:val="single" w:sz="4" w:space="0" w:color="auto"/>
              <w:right w:val="nil"/>
            </w:tcBorders>
            <w:shd w:val="clear" w:color="auto" w:fill="auto"/>
            <w:hideMark/>
          </w:tcPr>
          <w:p w14:paraId="6D353612" w14:textId="77777777" w:rsidR="005A4B93" w:rsidRPr="005A4B93" w:rsidRDefault="005A4B93" w:rsidP="005A4B93">
            <w:pPr>
              <w:spacing w:before="0" w:after="0"/>
              <w:jc w:val="right"/>
              <w:rPr>
                <w:rFonts w:ascii="Calibri" w:eastAsia="Times New Roman" w:hAnsi="Calibri" w:cs="Times New Roman"/>
                <w:b/>
                <w:bCs/>
                <w:color w:val="000000"/>
                <w:szCs w:val="20"/>
                <w:lang w:eastAsia="en-GB"/>
              </w:rPr>
            </w:pPr>
            <w:r w:rsidRPr="005A4B93">
              <w:rPr>
                <w:rFonts w:ascii="Calibri" w:eastAsia="Times New Roman" w:hAnsi="Calibri" w:cs="Times New Roman"/>
                <w:b/>
                <w:bCs/>
                <w:color w:val="000000"/>
                <w:szCs w:val="20"/>
                <w:lang w:eastAsia="en-GB"/>
              </w:rPr>
              <w:t>Average number of available beds (12 months)</w:t>
            </w:r>
          </w:p>
        </w:tc>
        <w:tc>
          <w:tcPr>
            <w:tcW w:w="1128" w:type="dxa"/>
            <w:tcBorders>
              <w:top w:val="single" w:sz="4" w:space="0" w:color="auto"/>
              <w:left w:val="nil"/>
              <w:bottom w:val="single" w:sz="4" w:space="0" w:color="auto"/>
              <w:right w:val="nil"/>
            </w:tcBorders>
            <w:shd w:val="clear" w:color="auto" w:fill="auto"/>
            <w:hideMark/>
          </w:tcPr>
          <w:p w14:paraId="2D685550" w14:textId="77777777" w:rsidR="005A4B93" w:rsidRPr="005A4B93" w:rsidRDefault="005A4B93" w:rsidP="005A4B93">
            <w:pPr>
              <w:spacing w:before="0" w:after="0"/>
              <w:jc w:val="right"/>
              <w:rPr>
                <w:rFonts w:ascii="Calibri" w:eastAsia="Times New Roman" w:hAnsi="Calibri" w:cs="Times New Roman"/>
                <w:b/>
                <w:bCs/>
                <w:color w:val="000000"/>
                <w:szCs w:val="20"/>
                <w:lang w:eastAsia="en-GB"/>
              </w:rPr>
            </w:pPr>
            <w:r w:rsidRPr="005A4B93">
              <w:rPr>
                <w:rFonts w:ascii="Calibri" w:eastAsia="Times New Roman" w:hAnsi="Calibri" w:cs="Times New Roman"/>
                <w:b/>
                <w:bCs/>
                <w:color w:val="000000"/>
                <w:szCs w:val="20"/>
                <w:lang w:eastAsia="en-GB"/>
              </w:rPr>
              <w:t>Average % occupied beds (12 months)</w:t>
            </w:r>
          </w:p>
        </w:tc>
        <w:tc>
          <w:tcPr>
            <w:tcW w:w="1129" w:type="dxa"/>
            <w:tcBorders>
              <w:top w:val="single" w:sz="4" w:space="0" w:color="auto"/>
              <w:left w:val="nil"/>
              <w:bottom w:val="single" w:sz="4" w:space="0" w:color="auto"/>
              <w:right w:val="nil"/>
            </w:tcBorders>
            <w:shd w:val="clear" w:color="auto" w:fill="auto"/>
            <w:hideMark/>
          </w:tcPr>
          <w:p w14:paraId="169DB2CF" w14:textId="77777777" w:rsidR="005A4B93" w:rsidRPr="005A4B93" w:rsidRDefault="005A4B93" w:rsidP="005A4B93">
            <w:pPr>
              <w:spacing w:before="0" w:after="0"/>
              <w:jc w:val="right"/>
              <w:rPr>
                <w:rFonts w:ascii="Calibri" w:eastAsia="Times New Roman" w:hAnsi="Calibri" w:cs="Times New Roman"/>
                <w:b/>
                <w:bCs/>
                <w:color w:val="000000"/>
                <w:szCs w:val="20"/>
                <w:lang w:eastAsia="en-GB"/>
              </w:rPr>
            </w:pPr>
            <w:r w:rsidRPr="005A4B93">
              <w:rPr>
                <w:rFonts w:ascii="Calibri" w:eastAsia="Times New Roman" w:hAnsi="Calibri" w:cs="Times New Roman"/>
                <w:b/>
                <w:bCs/>
                <w:color w:val="000000"/>
                <w:szCs w:val="20"/>
                <w:lang w:eastAsia="en-GB"/>
              </w:rPr>
              <w:t>Average % occupied beds (five years)</w:t>
            </w:r>
          </w:p>
        </w:tc>
        <w:tc>
          <w:tcPr>
            <w:tcW w:w="1133" w:type="dxa"/>
            <w:tcBorders>
              <w:top w:val="single" w:sz="4" w:space="0" w:color="auto"/>
              <w:left w:val="nil"/>
              <w:bottom w:val="single" w:sz="4" w:space="0" w:color="auto"/>
              <w:right w:val="nil"/>
            </w:tcBorders>
            <w:shd w:val="clear" w:color="auto" w:fill="auto"/>
            <w:hideMark/>
          </w:tcPr>
          <w:p w14:paraId="3AE17362" w14:textId="77777777" w:rsidR="005A4B93" w:rsidRPr="005A4B93" w:rsidRDefault="005A4B93" w:rsidP="005A4B93">
            <w:pPr>
              <w:spacing w:before="0" w:after="0"/>
              <w:jc w:val="right"/>
              <w:rPr>
                <w:rFonts w:ascii="Calibri" w:eastAsia="Times New Roman" w:hAnsi="Calibri" w:cs="Times New Roman"/>
                <w:b/>
                <w:bCs/>
                <w:color w:val="000000"/>
                <w:szCs w:val="20"/>
                <w:lang w:eastAsia="en-GB"/>
              </w:rPr>
            </w:pPr>
            <w:r w:rsidRPr="005A4B93">
              <w:rPr>
                <w:rFonts w:ascii="Calibri" w:eastAsia="Times New Roman" w:hAnsi="Calibri" w:cs="Times New Roman"/>
                <w:b/>
                <w:bCs/>
                <w:color w:val="000000"/>
                <w:szCs w:val="20"/>
                <w:lang w:eastAsia="en-GB"/>
              </w:rPr>
              <w:t>Average % occupied beds (Winter 2019)</w:t>
            </w:r>
          </w:p>
        </w:tc>
        <w:tc>
          <w:tcPr>
            <w:tcW w:w="1635" w:type="dxa"/>
            <w:tcBorders>
              <w:top w:val="single" w:sz="4" w:space="0" w:color="auto"/>
              <w:left w:val="nil"/>
              <w:bottom w:val="single" w:sz="4" w:space="0" w:color="auto"/>
              <w:right w:val="nil"/>
            </w:tcBorders>
            <w:shd w:val="clear" w:color="auto" w:fill="auto"/>
            <w:hideMark/>
          </w:tcPr>
          <w:p w14:paraId="76145BAD" w14:textId="77777777" w:rsidR="005A4B93" w:rsidRPr="005A4B93" w:rsidRDefault="005A4B93" w:rsidP="005A4B93">
            <w:pPr>
              <w:spacing w:before="0" w:after="0"/>
              <w:jc w:val="right"/>
              <w:rPr>
                <w:rFonts w:ascii="Calibri" w:eastAsia="Times New Roman" w:hAnsi="Calibri" w:cs="Times New Roman"/>
                <w:b/>
                <w:bCs/>
                <w:color w:val="000000"/>
                <w:szCs w:val="20"/>
                <w:lang w:eastAsia="en-GB"/>
              </w:rPr>
            </w:pPr>
            <w:r w:rsidRPr="005A4B93">
              <w:rPr>
                <w:rFonts w:ascii="Calibri" w:eastAsia="Times New Roman" w:hAnsi="Calibri" w:cs="Times New Roman"/>
                <w:b/>
                <w:bCs/>
                <w:color w:val="000000"/>
                <w:szCs w:val="20"/>
                <w:lang w:eastAsia="en-GB"/>
              </w:rPr>
              <w:t>Number of days above 85% occupancy (out of 91</w:t>
            </w:r>
            <w:r>
              <w:rPr>
                <w:rFonts w:ascii="Calibri" w:eastAsia="Times New Roman" w:hAnsi="Calibri" w:cs="Times New Roman"/>
                <w:b/>
                <w:bCs/>
                <w:color w:val="000000"/>
                <w:szCs w:val="20"/>
                <w:lang w:eastAsia="en-GB"/>
              </w:rPr>
              <w:t xml:space="preserve"> days</w:t>
            </w:r>
            <w:r w:rsidRPr="005A4B93">
              <w:rPr>
                <w:rFonts w:ascii="Calibri" w:eastAsia="Times New Roman" w:hAnsi="Calibri" w:cs="Times New Roman"/>
                <w:b/>
                <w:bCs/>
                <w:color w:val="000000"/>
                <w:szCs w:val="20"/>
                <w:lang w:eastAsia="en-GB"/>
              </w:rPr>
              <w:t>) in Winter 2019</w:t>
            </w:r>
          </w:p>
        </w:tc>
      </w:tr>
      <w:tr w:rsidR="005A4B93" w:rsidRPr="005A4B93" w14:paraId="23350EA0" w14:textId="77777777" w:rsidTr="005A4B93">
        <w:trPr>
          <w:trHeight w:val="320"/>
        </w:trPr>
        <w:tc>
          <w:tcPr>
            <w:tcW w:w="3544" w:type="dxa"/>
            <w:tcBorders>
              <w:top w:val="nil"/>
              <w:left w:val="nil"/>
              <w:bottom w:val="nil"/>
              <w:right w:val="nil"/>
            </w:tcBorders>
            <w:shd w:val="clear" w:color="auto" w:fill="auto"/>
            <w:noWrap/>
            <w:vAlign w:val="bottom"/>
            <w:hideMark/>
          </w:tcPr>
          <w:p w14:paraId="61BC2E32" w14:textId="77777777" w:rsidR="005A4B93" w:rsidRPr="005A4B93" w:rsidRDefault="005A4B93" w:rsidP="005A4B93">
            <w:pPr>
              <w:spacing w:before="0" w:after="0"/>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Brighton and Sussex University Hospitals NHS Trust</w:t>
            </w:r>
          </w:p>
        </w:tc>
        <w:tc>
          <w:tcPr>
            <w:tcW w:w="1754" w:type="dxa"/>
            <w:tcBorders>
              <w:top w:val="nil"/>
              <w:left w:val="nil"/>
              <w:bottom w:val="nil"/>
              <w:right w:val="nil"/>
            </w:tcBorders>
            <w:shd w:val="clear" w:color="auto" w:fill="auto"/>
            <w:noWrap/>
            <w:hideMark/>
          </w:tcPr>
          <w:p w14:paraId="0B45143A"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86.3%</w:t>
            </w:r>
          </w:p>
        </w:tc>
        <w:tc>
          <w:tcPr>
            <w:tcW w:w="1411" w:type="dxa"/>
            <w:tcBorders>
              <w:top w:val="nil"/>
              <w:left w:val="nil"/>
              <w:bottom w:val="nil"/>
              <w:right w:val="nil"/>
            </w:tcBorders>
            <w:shd w:val="clear" w:color="auto" w:fill="auto"/>
            <w:noWrap/>
            <w:hideMark/>
          </w:tcPr>
          <w:p w14:paraId="7425A34C"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7</w:t>
            </w:r>
          </w:p>
        </w:tc>
        <w:tc>
          <w:tcPr>
            <w:tcW w:w="1173" w:type="dxa"/>
            <w:tcBorders>
              <w:top w:val="nil"/>
              <w:left w:val="nil"/>
              <w:bottom w:val="nil"/>
              <w:right w:val="nil"/>
            </w:tcBorders>
            <w:shd w:val="clear" w:color="auto" w:fill="auto"/>
            <w:noWrap/>
            <w:hideMark/>
          </w:tcPr>
          <w:p w14:paraId="62F69D95"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51</w:t>
            </w:r>
          </w:p>
        </w:tc>
        <w:tc>
          <w:tcPr>
            <w:tcW w:w="1365" w:type="dxa"/>
            <w:tcBorders>
              <w:top w:val="nil"/>
              <w:left w:val="nil"/>
              <w:bottom w:val="nil"/>
              <w:right w:val="nil"/>
            </w:tcBorders>
            <w:shd w:val="clear" w:color="auto" w:fill="auto"/>
            <w:noWrap/>
            <w:hideMark/>
          </w:tcPr>
          <w:p w14:paraId="2A084A73"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10</w:t>
            </w:r>
          </w:p>
        </w:tc>
        <w:tc>
          <w:tcPr>
            <w:tcW w:w="1128" w:type="dxa"/>
            <w:tcBorders>
              <w:top w:val="nil"/>
              <w:left w:val="nil"/>
              <w:bottom w:val="nil"/>
              <w:right w:val="nil"/>
            </w:tcBorders>
            <w:shd w:val="clear" w:color="auto" w:fill="auto"/>
            <w:noWrap/>
            <w:hideMark/>
          </w:tcPr>
          <w:p w14:paraId="1B1CF825"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w:t>
            </w:r>
          </w:p>
        </w:tc>
        <w:tc>
          <w:tcPr>
            <w:tcW w:w="1128" w:type="dxa"/>
            <w:tcBorders>
              <w:top w:val="nil"/>
              <w:left w:val="nil"/>
              <w:bottom w:val="nil"/>
              <w:right w:val="nil"/>
            </w:tcBorders>
            <w:shd w:val="clear" w:color="auto" w:fill="auto"/>
            <w:noWrap/>
            <w:hideMark/>
          </w:tcPr>
          <w:p w14:paraId="4168592A"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84%</w:t>
            </w:r>
          </w:p>
        </w:tc>
        <w:tc>
          <w:tcPr>
            <w:tcW w:w="1129" w:type="dxa"/>
            <w:tcBorders>
              <w:top w:val="nil"/>
              <w:left w:val="nil"/>
              <w:bottom w:val="nil"/>
              <w:right w:val="nil"/>
            </w:tcBorders>
            <w:shd w:val="clear" w:color="auto" w:fill="auto"/>
            <w:noWrap/>
            <w:hideMark/>
          </w:tcPr>
          <w:p w14:paraId="5B318329"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84.5%</w:t>
            </w:r>
          </w:p>
        </w:tc>
        <w:tc>
          <w:tcPr>
            <w:tcW w:w="1133" w:type="dxa"/>
            <w:tcBorders>
              <w:top w:val="nil"/>
              <w:left w:val="nil"/>
              <w:bottom w:val="nil"/>
              <w:right w:val="nil"/>
            </w:tcBorders>
            <w:shd w:val="clear" w:color="auto" w:fill="auto"/>
            <w:noWrap/>
            <w:hideMark/>
          </w:tcPr>
          <w:p w14:paraId="1581B31C"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89.7%</w:t>
            </w:r>
          </w:p>
        </w:tc>
        <w:tc>
          <w:tcPr>
            <w:tcW w:w="1635" w:type="dxa"/>
            <w:tcBorders>
              <w:top w:val="nil"/>
              <w:left w:val="nil"/>
              <w:bottom w:val="nil"/>
              <w:right w:val="nil"/>
            </w:tcBorders>
            <w:shd w:val="clear" w:color="auto" w:fill="auto"/>
            <w:noWrap/>
            <w:hideMark/>
          </w:tcPr>
          <w:p w14:paraId="2BC0EC46"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80</w:t>
            </w:r>
          </w:p>
        </w:tc>
      </w:tr>
      <w:tr w:rsidR="005A4B93" w:rsidRPr="005A4B93" w14:paraId="2249F110" w14:textId="77777777" w:rsidTr="005A4B93">
        <w:trPr>
          <w:trHeight w:val="320"/>
        </w:trPr>
        <w:tc>
          <w:tcPr>
            <w:tcW w:w="3544" w:type="dxa"/>
            <w:tcBorders>
              <w:top w:val="nil"/>
              <w:left w:val="nil"/>
              <w:bottom w:val="nil"/>
              <w:right w:val="nil"/>
            </w:tcBorders>
            <w:shd w:val="clear" w:color="auto" w:fill="auto"/>
            <w:noWrap/>
            <w:vAlign w:val="bottom"/>
            <w:hideMark/>
          </w:tcPr>
          <w:p w14:paraId="457ED7C2" w14:textId="77777777" w:rsidR="005A4B93" w:rsidRPr="005A4B93" w:rsidRDefault="005A4B93" w:rsidP="005A4B93">
            <w:pPr>
              <w:spacing w:before="0" w:after="0"/>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East Sussex Healthcare NHS Trust</w:t>
            </w:r>
          </w:p>
        </w:tc>
        <w:tc>
          <w:tcPr>
            <w:tcW w:w="1754" w:type="dxa"/>
            <w:tcBorders>
              <w:top w:val="nil"/>
              <w:left w:val="nil"/>
              <w:bottom w:val="nil"/>
              <w:right w:val="nil"/>
            </w:tcBorders>
            <w:shd w:val="clear" w:color="auto" w:fill="auto"/>
            <w:noWrap/>
            <w:hideMark/>
          </w:tcPr>
          <w:p w14:paraId="2E27F9D4"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78.9%</w:t>
            </w:r>
          </w:p>
        </w:tc>
        <w:tc>
          <w:tcPr>
            <w:tcW w:w="1411" w:type="dxa"/>
            <w:tcBorders>
              <w:top w:val="nil"/>
              <w:left w:val="nil"/>
              <w:bottom w:val="nil"/>
              <w:right w:val="nil"/>
            </w:tcBorders>
            <w:shd w:val="clear" w:color="auto" w:fill="auto"/>
            <w:noWrap/>
            <w:hideMark/>
          </w:tcPr>
          <w:p w14:paraId="4EA81760"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4</w:t>
            </w:r>
          </w:p>
        </w:tc>
        <w:tc>
          <w:tcPr>
            <w:tcW w:w="1173" w:type="dxa"/>
            <w:tcBorders>
              <w:top w:val="nil"/>
              <w:left w:val="nil"/>
              <w:bottom w:val="nil"/>
              <w:right w:val="nil"/>
            </w:tcBorders>
            <w:shd w:val="clear" w:color="auto" w:fill="auto"/>
            <w:noWrap/>
            <w:hideMark/>
          </w:tcPr>
          <w:p w14:paraId="2195A428"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19</w:t>
            </w:r>
          </w:p>
        </w:tc>
        <w:tc>
          <w:tcPr>
            <w:tcW w:w="1365" w:type="dxa"/>
            <w:tcBorders>
              <w:top w:val="nil"/>
              <w:left w:val="nil"/>
              <w:bottom w:val="nil"/>
              <w:right w:val="nil"/>
            </w:tcBorders>
            <w:shd w:val="clear" w:color="auto" w:fill="auto"/>
            <w:noWrap/>
            <w:hideMark/>
          </w:tcPr>
          <w:p w14:paraId="04C743B0"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5</w:t>
            </w:r>
          </w:p>
        </w:tc>
        <w:tc>
          <w:tcPr>
            <w:tcW w:w="1128" w:type="dxa"/>
            <w:tcBorders>
              <w:top w:val="nil"/>
              <w:left w:val="nil"/>
              <w:bottom w:val="nil"/>
              <w:right w:val="nil"/>
            </w:tcBorders>
            <w:shd w:val="clear" w:color="auto" w:fill="auto"/>
            <w:noWrap/>
            <w:hideMark/>
          </w:tcPr>
          <w:p w14:paraId="6B7C7068"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5</w:t>
            </w:r>
          </w:p>
        </w:tc>
        <w:tc>
          <w:tcPr>
            <w:tcW w:w="1128" w:type="dxa"/>
            <w:tcBorders>
              <w:top w:val="nil"/>
              <w:left w:val="nil"/>
              <w:bottom w:val="nil"/>
              <w:right w:val="nil"/>
            </w:tcBorders>
            <w:shd w:val="clear" w:color="auto" w:fill="auto"/>
            <w:noWrap/>
            <w:hideMark/>
          </w:tcPr>
          <w:p w14:paraId="1FF12BD6"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74.1%</w:t>
            </w:r>
          </w:p>
        </w:tc>
        <w:tc>
          <w:tcPr>
            <w:tcW w:w="1129" w:type="dxa"/>
            <w:tcBorders>
              <w:top w:val="nil"/>
              <w:left w:val="nil"/>
              <w:bottom w:val="nil"/>
              <w:right w:val="nil"/>
            </w:tcBorders>
            <w:shd w:val="clear" w:color="auto" w:fill="auto"/>
            <w:noWrap/>
            <w:hideMark/>
          </w:tcPr>
          <w:p w14:paraId="022B7382"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70.8%</w:t>
            </w:r>
          </w:p>
        </w:tc>
        <w:tc>
          <w:tcPr>
            <w:tcW w:w="1133" w:type="dxa"/>
            <w:tcBorders>
              <w:top w:val="nil"/>
              <w:left w:val="nil"/>
              <w:bottom w:val="nil"/>
              <w:right w:val="nil"/>
            </w:tcBorders>
            <w:shd w:val="clear" w:color="auto" w:fill="auto"/>
            <w:noWrap/>
            <w:hideMark/>
          </w:tcPr>
          <w:p w14:paraId="57FAEFA2"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77.7%</w:t>
            </w:r>
          </w:p>
        </w:tc>
        <w:tc>
          <w:tcPr>
            <w:tcW w:w="1635" w:type="dxa"/>
            <w:tcBorders>
              <w:top w:val="nil"/>
              <w:left w:val="nil"/>
              <w:bottom w:val="nil"/>
              <w:right w:val="nil"/>
            </w:tcBorders>
            <w:shd w:val="clear" w:color="auto" w:fill="auto"/>
            <w:noWrap/>
            <w:hideMark/>
          </w:tcPr>
          <w:p w14:paraId="50C7F68A"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23</w:t>
            </w:r>
          </w:p>
        </w:tc>
      </w:tr>
      <w:tr w:rsidR="005A4B93" w:rsidRPr="005A4B93" w14:paraId="1587215E" w14:textId="77777777" w:rsidTr="005A4B93">
        <w:trPr>
          <w:trHeight w:val="320"/>
        </w:trPr>
        <w:tc>
          <w:tcPr>
            <w:tcW w:w="3544" w:type="dxa"/>
            <w:tcBorders>
              <w:top w:val="nil"/>
              <w:left w:val="nil"/>
              <w:bottom w:val="nil"/>
              <w:right w:val="nil"/>
            </w:tcBorders>
            <w:shd w:val="clear" w:color="auto" w:fill="auto"/>
            <w:noWrap/>
            <w:vAlign w:val="bottom"/>
            <w:hideMark/>
          </w:tcPr>
          <w:p w14:paraId="09B1BFFE" w14:textId="77777777" w:rsidR="005A4B93" w:rsidRPr="005A4B93" w:rsidRDefault="005A4B93" w:rsidP="005A4B93">
            <w:pPr>
              <w:spacing w:before="0" w:after="0"/>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Queen Victoria Hospital NHS Foundation Trust</w:t>
            </w:r>
          </w:p>
        </w:tc>
        <w:tc>
          <w:tcPr>
            <w:tcW w:w="1754" w:type="dxa"/>
            <w:tcBorders>
              <w:top w:val="nil"/>
              <w:left w:val="nil"/>
              <w:bottom w:val="nil"/>
              <w:right w:val="nil"/>
            </w:tcBorders>
            <w:shd w:val="clear" w:color="auto" w:fill="auto"/>
            <w:noWrap/>
            <w:hideMark/>
          </w:tcPr>
          <w:p w14:paraId="031F2A33"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60%</w:t>
            </w:r>
          </w:p>
        </w:tc>
        <w:tc>
          <w:tcPr>
            <w:tcW w:w="1411" w:type="dxa"/>
            <w:tcBorders>
              <w:top w:val="nil"/>
              <w:left w:val="nil"/>
              <w:bottom w:val="nil"/>
              <w:right w:val="nil"/>
            </w:tcBorders>
            <w:shd w:val="clear" w:color="auto" w:fill="auto"/>
            <w:noWrap/>
            <w:hideMark/>
          </w:tcPr>
          <w:p w14:paraId="5DA29F79"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2</w:t>
            </w:r>
          </w:p>
        </w:tc>
        <w:tc>
          <w:tcPr>
            <w:tcW w:w="1173" w:type="dxa"/>
            <w:tcBorders>
              <w:top w:val="nil"/>
              <w:left w:val="nil"/>
              <w:bottom w:val="nil"/>
              <w:right w:val="nil"/>
            </w:tcBorders>
            <w:shd w:val="clear" w:color="auto" w:fill="auto"/>
            <w:noWrap/>
            <w:hideMark/>
          </w:tcPr>
          <w:p w14:paraId="42CCC099"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5</w:t>
            </w:r>
          </w:p>
        </w:tc>
        <w:tc>
          <w:tcPr>
            <w:tcW w:w="1365" w:type="dxa"/>
            <w:tcBorders>
              <w:top w:val="nil"/>
              <w:left w:val="nil"/>
              <w:bottom w:val="nil"/>
              <w:right w:val="nil"/>
            </w:tcBorders>
            <w:shd w:val="clear" w:color="auto" w:fill="auto"/>
            <w:noWrap/>
            <w:hideMark/>
          </w:tcPr>
          <w:p w14:paraId="44057DAE"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4</w:t>
            </w:r>
          </w:p>
        </w:tc>
        <w:tc>
          <w:tcPr>
            <w:tcW w:w="1128" w:type="dxa"/>
            <w:tcBorders>
              <w:top w:val="nil"/>
              <w:left w:val="nil"/>
              <w:bottom w:val="nil"/>
              <w:right w:val="nil"/>
            </w:tcBorders>
            <w:shd w:val="clear" w:color="auto" w:fill="auto"/>
            <w:noWrap/>
            <w:hideMark/>
          </w:tcPr>
          <w:p w14:paraId="21B35CB9"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2</w:t>
            </w:r>
          </w:p>
        </w:tc>
        <w:tc>
          <w:tcPr>
            <w:tcW w:w="1128" w:type="dxa"/>
            <w:tcBorders>
              <w:top w:val="nil"/>
              <w:left w:val="nil"/>
              <w:bottom w:val="nil"/>
              <w:right w:val="nil"/>
            </w:tcBorders>
            <w:shd w:val="clear" w:color="auto" w:fill="auto"/>
            <w:noWrap/>
            <w:hideMark/>
          </w:tcPr>
          <w:p w14:paraId="78F8D6E2"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50%</w:t>
            </w:r>
          </w:p>
        </w:tc>
        <w:tc>
          <w:tcPr>
            <w:tcW w:w="1129" w:type="dxa"/>
            <w:tcBorders>
              <w:top w:val="nil"/>
              <w:left w:val="nil"/>
              <w:bottom w:val="nil"/>
              <w:right w:val="nil"/>
            </w:tcBorders>
            <w:shd w:val="clear" w:color="auto" w:fill="auto"/>
            <w:noWrap/>
            <w:hideMark/>
          </w:tcPr>
          <w:p w14:paraId="7D588659"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55%</w:t>
            </w:r>
          </w:p>
        </w:tc>
        <w:tc>
          <w:tcPr>
            <w:tcW w:w="1133" w:type="dxa"/>
            <w:tcBorders>
              <w:top w:val="nil"/>
              <w:left w:val="nil"/>
              <w:bottom w:val="nil"/>
              <w:right w:val="nil"/>
            </w:tcBorders>
            <w:shd w:val="clear" w:color="auto" w:fill="auto"/>
            <w:noWrap/>
            <w:hideMark/>
          </w:tcPr>
          <w:p w14:paraId="4826F40D"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w:t>
            </w:r>
          </w:p>
        </w:tc>
        <w:tc>
          <w:tcPr>
            <w:tcW w:w="1635" w:type="dxa"/>
            <w:tcBorders>
              <w:top w:val="nil"/>
              <w:left w:val="nil"/>
              <w:bottom w:val="nil"/>
              <w:right w:val="nil"/>
            </w:tcBorders>
            <w:shd w:val="clear" w:color="auto" w:fill="auto"/>
            <w:noWrap/>
            <w:hideMark/>
          </w:tcPr>
          <w:p w14:paraId="196D69F8"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w:t>
            </w:r>
          </w:p>
        </w:tc>
      </w:tr>
      <w:tr w:rsidR="005A4B93" w:rsidRPr="005A4B93" w14:paraId="0372D070" w14:textId="77777777" w:rsidTr="005A4B93">
        <w:trPr>
          <w:trHeight w:val="320"/>
        </w:trPr>
        <w:tc>
          <w:tcPr>
            <w:tcW w:w="3544" w:type="dxa"/>
            <w:tcBorders>
              <w:top w:val="nil"/>
              <w:left w:val="nil"/>
              <w:bottom w:val="nil"/>
              <w:right w:val="nil"/>
            </w:tcBorders>
            <w:shd w:val="clear" w:color="auto" w:fill="auto"/>
            <w:noWrap/>
            <w:vAlign w:val="bottom"/>
            <w:hideMark/>
          </w:tcPr>
          <w:p w14:paraId="7C17D78E" w14:textId="77777777" w:rsidR="005A4B93" w:rsidRPr="005A4B93" w:rsidRDefault="005A4B93" w:rsidP="005A4B93">
            <w:pPr>
              <w:spacing w:before="0" w:after="0"/>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Surrey and Sussex Healthcare NHS Trust</w:t>
            </w:r>
          </w:p>
        </w:tc>
        <w:tc>
          <w:tcPr>
            <w:tcW w:w="1754" w:type="dxa"/>
            <w:tcBorders>
              <w:top w:val="nil"/>
              <w:left w:val="nil"/>
              <w:bottom w:val="nil"/>
              <w:right w:val="nil"/>
            </w:tcBorders>
            <w:shd w:val="clear" w:color="auto" w:fill="auto"/>
            <w:noWrap/>
            <w:hideMark/>
          </w:tcPr>
          <w:p w14:paraId="39B55C92"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87.5%</w:t>
            </w:r>
          </w:p>
        </w:tc>
        <w:tc>
          <w:tcPr>
            <w:tcW w:w="1411" w:type="dxa"/>
            <w:tcBorders>
              <w:top w:val="nil"/>
              <w:left w:val="nil"/>
              <w:bottom w:val="nil"/>
              <w:right w:val="nil"/>
            </w:tcBorders>
            <w:shd w:val="clear" w:color="auto" w:fill="auto"/>
            <w:noWrap/>
            <w:hideMark/>
          </w:tcPr>
          <w:p w14:paraId="7DAD1BC9"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2</w:t>
            </w:r>
          </w:p>
        </w:tc>
        <w:tc>
          <w:tcPr>
            <w:tcW w:w="1173" w:type="dxa"/>
            <w:tcBorders>
              <w:top w:val="nil"/>
              <w:left w:val="nil"/>
              <w:bottom w:val="nil"/>
              <w:right w:val="nil"/>
            </w:tcBorders>
            <w:shd w:val="clear" w:color="auto" w:fill="auto"/>
            <w:noWrap/>
            <w:hideMark/>
          </w:tcPr>
          <w:p w14:paraId="750FEA8C"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16</w:t>
            </w:r>
          </w:p>
        </w:tc>
        <w:tc>
          <w:tcPr>
            <w:tcW w:w="1365" w:type="dxa"/>
            <w:tcBorders>
              <w:top w:val="nil"/>
              <w:left w:val="nil"/>
              <w:bottom w:val="nil"/>
              <w:right w:val="nil"/>
            </w:tcBorders>
            <w:shd w:val="clear" w:color="auto" w:fill="auto"/>
            <w:noWrap/>
            <w:hideMark/>
          </w:tcPr>
          <w:p w14:paraId="7EA5F8DD"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4</w:t>
            </w:r>
          </w:p>
        </w:tc>
        <w:tc>
          <w:tcPr>
            <w:tcW w:w="1128" w:type="dxa"/>
            <w:tcBorders>
              <w:top w:val="nil"/>
              <w:left w:val="nil"/>
              <w:bottom w:val="nil"/>
              <w:right w:val="nil"/>
            </w:tcBorders>
            <w:shd w:val="clear" w:color="auto" w:fill="auto"/>
            <w:noWrap/>
            <w:hideMark/>
          </w:tcPr>
          <w:p w14:paraId="404927CD"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2</w:t>
            </w:r>
          </w:p>
        </w:tc>
        <w:tc>
          <w:tcPr>
            <w:tcW w:w="1128" w:type="dxa"/>
            <w:tcBorders>
              <w:top w:val="nil"/>
              <w:left w:val="nil"/>
              <w:bottom w:val="nil"/>
              <w:right w:val="nil"/>
            </w:tcBorders>
            <w:shd w:val="clear" w:color="auto" w:fill="auto"/>
            <w:noWrap/>
            <w:hideMark/>
          </w:tcPr>
          <w:p w14:paraId="5188C481"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90.6%</w:t>
            </w:r>
          </w:p>
        </w:tc>
        <w:tc>
          <w:tcPr>
            <w:tcW w:w="1129" w:type="dxa"/>
            <w:tcBorders>
              <w:top w:val="nil"/>
              <w:left w:val="nil"/>
              <w:bottom w:val="nil"/>
              <w:right w:val="nil"/>
            </w:tcBorders>
            <w:shd w:val="clear" w:color="auto" w:fill="auto"/>
            <w:noWrap/>
            <w:hideMark/>
          </w:tcPr>
          <w:p w14:paraId="06E76B53"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94.5%</w:t>
            </w:r>
          </w:p>
        </w:tc>
        <w:tc>
          <w:tcPr>
            <w:tcW w:w="1133" w:type="dxa"/>
            <w:tcBorders>
              <w:top w:val="nil"/>
              <w:left w:val="nil"/>
              <w:bottom w:val="nil"/>
              <w:right w:val="nil"/>
            </w:tcBorders>
            <w:shd w:val="clear" w:color="auto" w:fill="auto"/>
            <w:noWrap/>
            <w:hideMark/>
          </w:tcPr>
          <w:p w14:paraId="770CF630"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92.7%</w:t>
            </w:r>
          </w:p>
        </w:tc>
        <w:tc>
          <w:tcPr>
            <w:tcW w:w="1635" w:type="dxa"/>
            <w:tcBorders>
              <w:top w:val="nil"/>
              <w:left w:val="nil"/>
              <w:bottom w:val="nil"/>
              <w:right w:val="nil"/>
            </w:tcBorders>
            <w:shd w:val="clear" w:color="auto" w:fill="auto"/>
            <w:noWrap/>
            <w:hideMark/>
          </w:tcPr>
          <w:p w14:paraId="474D81A1"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82</w:t>
            </w:r>
          </w:p>
        </w:tc>
      </w:tr>
      <w:tr w:rsidR="005A4B93" w:rsidRPr="005A4B93" w14:paraId="2861B54E" w14:textId="77777777" w:rsidTr="005A4B93">
        <w:trPr>
          <w:trHeight w:val="320"/>
        </w:trPr>
        <w:tc>
          <w:tcPr>
            <w:tcW w:w="3544" w:type="dxa"/>
            <w:tcBorders>
              <w:top w:val="nil"/>
              <w:left w:val="nil"/>
              <w:bottom w:val="single" w:sz="4" w:space="0" w:color="auto"/>
              <w:right w:val="nil"/>
            </w:tcBorders>
            <w:shd w:val="clear" w:color="auto" w:fill="auto"/>
            <w:noWrap/>
            <w:vAlign w:val="bottom"/>
            <w:hideMark/>
          </w:tcPr>
          <w:p w14:paraId="66B30F15" w14:textId="77777777" w:rsidR="005A4B93" w:rsidRPr="005A4B93" w:rsidRDefault="005A4B93" w:rsidP="005A4B93">
            <w:pPr>
              <w:spacing w:before="0" w:after="0"/>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Western Sussex Hospitals NHS Foundation Trust</w:t>
            </w:r>
          </w:p>
        </w:tc>
        <w:tc>
          <w:tcPr>
            <w:tcW w:w="1754" w:type="dxa"/>
            <w:tcBorders>
              <w:top w:val="nil"/>
              <w:left w:val="nil"/>
              <w:bottom w:val="single" w:sz="4" w:space="0" w:color="auto"/>
              <w:right w:val="nil"/>
            </w:tcBorders>
            <w:shd w:val="clear" w:color="auto" w:fill="auto"/>
            <w:noWrap/>
            <w:hideMark/>
          </w:tcPr>
          <w:p w14:paraId="7E5693E2"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77.3%</w:t>
            </w:r>
          </w:p>
        </w:tc>
        <w:tc>
          <w:tcPr>
            <w:tcW w:w="1411" w:type="dxa"/>
            <w:tcBorders>
              <w:top w:val="nil"/>
              <w:left w:val="nil"/>
              <w:bottom w:val="single" w:sz="4" w:space="0" w:color="auto"/>
              <w:right w:val="nil"/>
            </w:tcBorders>
            <w:shd w:val="clear" w:color="auto" w:fill="auto"/>
            <w:noWrap/>
            <w:hideMark/>
          </w:tcPr>
          <w:p w14:paraId="5A743D96"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5</w:t>
            </w:r>
          </w:p>
        </w:tc>
        <w:tc>
          <w:tcPr>
            <w:tcW w:w="1173" w:type="dxa"/>
            <w:tcBorders>
              <w:top w:val="nil"/>
              <w:left w:val="nil"/>
              <w:bottom w:val="single" w:sz="4" w:space="0" w:color="auto"/>
              <w:right w:val="nil"/>
            </w:tcBorders>
            <w:shd w:val="clear" w:color="auto" w:fill="auto"/>
            <w:noWrap/>
            <w:hideMark/>
          </w:tcPr>
          <w:p w14:paraId="386B8054"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22</w:t>
            </w:r>
          </w:p>
        </w:tc>
        <w:tc>
          <w:tcPr>
            <w:tcW w:w="1365" w:type="dxa"/>
            <w:tcBorders>
              <w:top w:val="nil"/>
              <w:left w:val="nil"/>
              <w:bottom w:val="single" w:sz="4" w:space="0" w:color="auto"/>
              <w:right w:val="nil"/>
            </w:tcBorders>
            <w:shd w:val="clear" w:color="auto" w:fill="auto"/>
            <w:noWrap/>
            <w:hideMark/>
          </w:tcPr>
          <w:p w14:paraId="0F26F262"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5</w:t>
            </w:r>
          </w:p>
        </w:tc>
        <w:tc>
          <w:tcPr>
            <w:tcW w:w="1128" w:type="dxa"/>
            <w:tcBorders>
              <w:top w:val="nil"/>
              <w:left w:val="nil"/>
              <w:bottom w:val="single" w:sz="4" w:space="0" w:color="auto"/>
              <w:right w:val="nil"/>
            </w:tcBorders>
            <w:shd w:val="clear" w:color="auto" w:fill="auto"/>
            <w:noWrap/>
            <w:hideMark/>
          </w:tcPr>
          <w:p w14:paraId="642D413D"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5</w:t>
            </w:r>
          </w:p>
        </w:tc>
        <w:tc>
          <w:tcPr>
            <w:tcW w:w="1128" w:type="dxa"/>
            <w:tcBorders>
              <w:top w:val="nil"/>
              <w:left w:val="nil"/>
              <w:bottom w:val="single" w:sz="4" w:space="0" w:color="auto"/>
              <w:right w:val="nil"/>
            </w:tcBorders>
            <w:shd w:val="clear" w:color="auto" w:fill="auto"/>
            <w:noWrap/>
            <w:hideMark/>
          </w:tcPr>
          <w:p w14:paraId="372C9E5F"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76.9%</w:t>
            </w:r>
          </w:p>
        </w:tc>
        <w:tc>
          <w:tcPr>
            <w:tcW w:w="1129" w:type="dxa"/>
            <w:tcBorders>
              <w:top w:val="nil"/>
              <w:left w:val="nil"/>
              <w:bottom w:val="single" w:sz="4" w:space="0" w:color="auto"/>
              <w:right w:val="nil"/>
            </w:tcBorders>
            <w:shd w:val="clear" w:color="auto" w:fill="auto"/>
            <w:noWrap/>
            <w:hideMark/>
          </w:tcPr>
          <w:p w14:paraId="45C47ADA"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79.1%</w:t>
            </w:r>
          </w:p>
        </w:tc>
        <w:tc>
          <w:tcPr>
            <w:tcW w:w="1133" w:type="dxa"/>
            <w:tcBorders>
              <w:top w:val="nil"/>
              <w:left w:val="nil"/>
              <w:bottom w:val="single" w:sz="4" w:space="0" w:color="auto"/>
              <w:right w:val="nil"/>
            </w:tcBorders>
            <w:shd w:val="clear" w:color="auto" w:fill="auto"/>
            <w:noWrap/>
            <w:hideMark/>
          </w:tcPr>
          <w:p w14:paraId="1DA9DCF5"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78.5%</w:t>
            </w:r>
          </w:p>
        </w:tc>
        <w:tc>
          <w:tcPr>
            <w:tcW w:w="1635" w:type="dxa"/>
            <w:tcBorders>
              <w:top w:val="nil"/>
              <w:left w:val="nil"/>
              <w:bottom w:val="single" w:sz="4" w:space="0" w:color="auto"/>
              <w:right w:val="nil"/>
            </w:tcBorders>
            <w:shd w:val="clear" w:color="auto" w:fill="auto"/>
            <w:noWrap/>
            <w:hideMark/>
          </w:tcPr>
          <w:p w14:paraId="188E5BBA"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32</w:t>
            </w:r>
          </w:p>
        </w:tc>
      </w:tr>
      <w:tr w:rsidR="005A4B93" w:rsidRPr="005A4B93" w14:paraId="7453F28B" w14:textId="77777777" w:rsidTr="005A4B93">
        <w:trPr>
          <w:trHeight w:val="320"/>
        </w:trPr>
        <w:tc>
          <w:tcPr>
            <w:tcW w:w="3544" w:type="dxa"/>
            <w:tcBorders>
              <w:top w:val="nil"/>
              <w:left w:val="nil"/>
              <w:bottom w:val="nil"/>
              <w:right w:val="nil"/>
            </w:tcBorders>
            <w:shd w:val="clear" w:color="auto" w:fill="auto"/>
            <w:noWrap/>
            <w:vAlign w:val="bottom"/>
            <w:hideMark/>
          </w:tcPr>
          <w:p w14:paraId="477536CB"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p>
        </w:tc>
        <w:tc>
          <w:tcPr>
            <w:tcW w:w="1754" w:type="dxa"/>
            <w:tcBorders>
              <w:top w:val="nil"/>
              <w:left w:val="nil"/>
              <w:bottom w:val="nil"/>
              <w:right w:val="nil"/>
            </w:tcBorders>
            <w:shd w:val="clear" w:color="auto" w:fill="auto"/>
            <w:noWrap/>
            <w:hideMark/>
          </w:tcPr>
          <w:p w14:paraId="76C3F231" w14:textId="77777777" w:rsidR="005A4B93" w:rsidRPr="005A4B93" w:rsidRDefault="005A4B93" w:rsidP="005A4B93">
            <w:pPr>
              <w:spacing w:before="0" w:after="0"/>
              <w:rPr>
                <w:rFonts w:ascii="Times New Roman" w:eastAsia="Times New Roman" w:hAnsi="Times New Roman" w:cs="Times New Roman"/>
                <w:szCs w:val="20"/>
                <w:lang w:eastAsia="en-GB"/>
              </w:rPr>
            </w:pPr>
          </w:p>
        </w:tc>
        <w:tc>
          <w:tcPr>
            <w:tcW w:w="1411" w:type="dxa"/>
            <w:tcBorders>
              <w:top w:val="nil"/>
              <w:left w:val="nil"/>
              <w:bottom w:val="nil"/>
              <w:right w:val="nil"/>
            </w:tcBorders>
            <w:shd w:val="clear" w:color="auto" w:fill="auto"/>
            <w:noWrap/>
            <w:hideMark/>
          </w:tcPr>
          <w:p w14:paraId="562F49F2" w14:textId="77777777" w:rsidR="005A4B93" w:rsidRPr="005A4B93" w:rsidRDefault="005A4B93" w:rsidP="005A4B93">
            <w:pPr>
              <w:spacing w:before="0" w:after="0"/>
              <w:jc w:val="right"/>
              <w:rPr>
                <w:rFonts w:ascii="Times New Roman" w:eastAsia="Times New Roman" w:hAnsi="Times New Roman" w:cs="Times New Roman"/>
                <w:szCs w:val="20"/>
                <w:lang w:eastAsia="en-GB"/>
              </w:rPr>
            </w:pPr>
          </w:p>
        </w:tc>
        <w:tc>
          <w:tcPr>
            <w:tcW w:w="1173" w:type="dxa"/>
            <w:tcBorders>
              <w:top w:val="nil"/>
              <w:left w:val="nil"/>
              <w:bottom w:val="nil"/>
              <w:right w:val="nil"/>
            </w:tcBorders>
            <w:shd w:val="clear" w:color="auto" w:fill="auto"/>
            <w:noWrap/>
            <w:hideMark/>
          </w:tcPr>
          <w:p w14:paraId="6F34A466" w14:textId="77777777" w:rsidR="005A4B93" w:rsidRPr="005A4B93" w:rsidRDefault="005A4B93" w:rsidP="005A4B93">
            <w:pPr>
              <w:spacing w:before="0" w:after="0"/>
              <w:jc w:val="right"/>
              <w:rPr>
                <w:rFonts w:ascii="Times New Roman" w:eastAsia="Times New Roman" w:hAnsi="Times New Roman" w:cs="Times New Roman"/>
                <w:szCs w:val="20"/>
                <w:lang w:eastAsia="en-GB"/>
              </w:rPr>
            </w:pPr>
          </w:p>
        </w:tc>
        <w:tc>
          <w:tcPr>
            <w:tcW w:w="1365" w:type="dxa"/>
            <w:tcBorders>
              <w:top w:val="nil"/>
              <w:left w:val="nil"/>
              <w:bottom w:val="nil"/>
              <w:right w:val="nil"/>
            </w:tcBorders>
            <w:shd w:val="clear" w:color="auto" w:fill="auto"/>
            <w:noWrap/>
            <w:hideMark/>
          </w:tcPr>
          <w:p w14:paraId="5193D4F0" w14:textId="77777777" w:rsidR="005A4B93" w:rsidRPr="005A4B93" w:rsidRDefault="005A4B93" w:rsidP="005A4B93">
            <w:pPr>
              <w:spacing w:before="0" w:after="0"/>
              <w:jc w:val="right"/>
              <w:rPr>
                <w:rFonts w:ascii="Times New Roman" w:eastAsia="Times New Roman" w:hAnsi="Times New Roman" w:cs="Times New Roman"/>
                <w:szCs w:val="20"/>
                <w:lang w:eastAsia="en-GB"/>
              </w:rPr>
            </w:pPr>
          </w:p>
        </w:tc>
        <w:tc>
          <w:tcPr>
            <w:tcW w:w="1128" w:type="dxa"/>
            <w:tcBorders>
              <w:top w:val="nil"/>
              <w:left w:val="nil"/>
              <w:bottom w:val="nil"/>
              <w:right w:val="nil"/>
            </w:tcBorders>
            <w:shd w:val="clear" w:color="auto" w:fill="auto"/>
            <w:noWrap/>
            <w:hideMark/>
          </w:tcPr>
          <w:p w14:paraId="2F5CED01" w14:textId="77777777" w:rsidR="005A4B93" w:rsidRPr="005A4B93" w:rsidRDefault="005A4B93" w:rsidP="005A4B93">
            <w:pPr>
              <w:spacing w:before="0" w:after="0"/>
              <w:jc w:val="right"/>
              <w:rPr>
                <w:rFonts w:ascii="Times New Roman" w:eastAsia="Times New Roman" w:hAnsi="Times New Roman" w:cs="Times New Roman"/>
                <w:szCs w:val="20"/>
                <w:lang w:eastAsia="en-GB"/>
              </w:rPr>
            </w:pPr>
          </w:p>
        </w:tc>
        <w:tc>
          <w:tcPr>
            <w:tcW w:w="1128" w:type="dxa"/>
            <w:tcBorders>
              <w:top w:val="nil"/>
              <w:left w:val="nil"/>
              <w:bottom w:val="nil"/>
              <w:right w:val="nil"/>
            </w:tcBorders>
            <w:shd w:val="clear" w:color="auto" w:fill="auto"/>
            <w:noWrap/>
            <w:hideMark/>
          </w:tcPr>
          <w:p w14:paraId="1AFD15D5" w14:textId="77777777" w:rsidR="005A4B93" w:rsidRPr="005A4B93" w:rsidRDefault="005A4B93" w:rsidP="005A4B93">
            <w:pPr>
              <w:spacing w:before="0" w:after="0"/>
              <w:jc w:val="right"/>
              <w:rPr>
                <w:rFonts w:ascii="Times New Roman" w:eastAsia="Times New Roman" w:hAnsi="Times New Roman" w:cs="Times New Roman"/>
                <w:szCs w:val="20"/>
                <w:lang w:eastAsia="en-GB"/>
              </w:rPr>
            </w:pPr>
          </w:p>
        </w:tc>
        <w:tc>
          <w:tcPr>
            <w:tcW w:w="1129" w:type="dxa"/>
            <w:tcBorders>
              <w:top w:val="nil"/>
              <w:left w:val="nil"/>
              <w:bottom w:val="nil"/>
              <w:right w:val="nil"/>
            </w:tcBorders>
            <w:shd w:val="clear" w:color="auto" w:fill="auto"/>
            <w:noWrap/>
            <w:hideMark/>
          </w:tcPr>
          <w:p w14:paraId="7A3B5761" w14:textId="77777777" w:rsidR="005A4B93" w:rsidRPr="005A4B93" w:rsidRDefault="005A4B93" w:rsidP="005A4B93">
            <w:pPr>
              <w:spacing w:before="0" w:after="0"/>
              <w:jc w:val="right"/>
              <w:rPr>
                <w:rFonts w:ascii="Times New Roman" w:eastAsia="Times New Roman" w:hAnsi="Times New Roman" w:cs="Times New Roman"/>
                <w:szCs w:val="20"/>
                <w:lang w:eastAsia="en-GB"/>
              </w:rPr>
            </w:pPr>
          </w:p>
        </w:tc>
        <w:tc>
          <w:tcPr>
            <w:tcW w:w="1133" w:type="dxa"/>
            <w:tcBorders>
              <w:top w:val="nil"/>
              <w:left w:val="nil"/>
              <w:bottom w:val="nil"/>
              <w:right w:val="nil"/>
            </w:tcBorders>
            <w:shd w:val="clear" w:color="auto" w:fill="auto"/>
            <w:noWrap/>
            <w:hideMark/>
          </w:tcPr>
          <w:p w14:paraId="51941D9F" w14:textId="77777777" w:rsidR="005A4B93" w:rsidRPr="005A4B93" w:rsidRDefault="005A4B93" w:rsidP="005A4B93">
            <w:pPr>
              <w:spacing w:before="0" w:after="0"/>
              <w:jc w:val="right"/>
              <w:rPr>
                <w:rFonts w:ascii="Times New Roman" w:eastAsia="Times New Roman" w:hAnsi="Times New Roman" w:cs="Times New Roman"/>
                <w:szCs w:val="20"/>
                <w:lang w:eastAsia="en-GB"/>
              </w:rPr>
            </w:pPr>
          </w:p>
        </w:tc>
        <w:tc>
          <w:tcPr>
            <w:tcW w:w="1635" w:type="dxa"/>
            <w:tcBorders>
              <w:top w:val="nil"/>
              <w:left w:val="nil"/>
              <w:bottom w:val="nil"/>
              <w:right w:val="nil"/>
            </w:tcBorders>
            <w:shd w:val="clear" w:color="auto" w:fill="auto"/>
            <w:noWrap/>
            <w:hideMark/>
          </w:tcPr>
          <w:p w14:paraId="3A41407E" w14:textId="77777777" w:rsidR="005A4B93" w:rsidRPr="005A4B93" w:rsidRDefault="005A4B93" w:rsidP="005A4B93">
            <w:pPr>
              <w:spacing w:before="0" w:after="0"/>
              <w:jc w:val="right"/>
              <w:rPr>
                <w:rFonts w:ascii="Times New Roman" w:eastAsia="Times New Roman" w:hAnsi="Times New Roman" w:cs="Times New Roman"/>
                <w:szCs w:val="20"/>
                <w:lang w:eastAsia="en-GB"/>
              </w:rPr>
            </w:pPr>
          </w:p>
        </w:tc>
      </w:tr>
      <w:tr w:rsidR="005A4B93" w:rsidRPr="005A4B93" w14:paraId="0BDD2522" w14:textId="77777777" w:rsidTr="005A4B93">
        <w:trPr>
          <w:trHeight w:val="320"/>
        </w:trPr>
        <w:tc>
          <w:tcPr>
            <w:tcW w:w="3544" w:type="dxa"/>
            <w:tcBorders>
              <w:top w:val="single" w:sz="4" w:space="0" w:color="auto"/>
              <w:left w:val="nil"/>
              <w:bottom w:val="nil"/>
              <w:right w:val="nil"/>
            </w:tcBorders>
            <w:shd w:val="clear" w:color="auto" w:fill="auto"/>
            <w:noWrap/>
            <w:vAlign w:val="bottom"/>
            <w:hideMark/>
          </w:tcPr>
          <w:p w14:paraId="538CB75B" w14:textId="77777777" w:rsidR="005A4B93" w:rsidRPr="005A4B93" w:rsidRDefault="005A4B93" w:rsidP="005A4B93">
            <w:pPr>
              <w:spacing w:before="0" w:after="0"/>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Sussex and East Surrey STP acute trusts</w:t>
            </w:r>
          </w:p>
        </w:tc>
        <w:tc>
          <w:tcPr>
            <w:tcW w:w="1754" w:type="dxa"/>
            <w:tcBorders>
              <w:top w:val="single" w:sz="4" w:space="0" w:color="auto"/>
              <w:left w:val="nil"/>
              <w:bottom w:val="nil"/>
              <w:right w:val="nil"/>
            </w:tcBorders>
            <w:shd w:val="clear" w:color="auto" w:fill="auto"/>
            <w:noWrap/>
            <w:hideMark/>
          </w:tcPr>
          <w:p w14:paraId="5862F772"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82.3%</w:t>
            </w:r>
          </w:p>
        </w:tc>
        <w:tc>
          <w:tcPr>
            <w:tcW w:w="1411" w:type="dxa"/>
            <w:tcBorders>
              <w:top w:val="single" w:sz="4" w:space="0" w:color="auto"/>
              <w:left w:val="nil"/>
              <w:bottom w:val="nil"/>
              <w:right w:val="nil"/>
            </w:tcBorders>
            <w:shd w:val="clear" w:color="auto" w:fill="auto"/>
            <w:noWrap/>
            <w:hideMark/>
          </w:tcPr>
          <w:p w14:paraId="67BBC500"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20</w:t>
            </w:r>
          </w:p>
        </w:tc>
        <w:tc>
          <w:tcPr>
            <w:tcW w:w="1173" w:type="dxa"/>
            <w:tcBorders>
              <w:top w:val="single" w:sz="4" w:space="0" w:color="auto"/>
              <w:left w:val="nil"/>
              <w:bottom w:val="nil"/>
              <w:right w:val="nil"/>
            </w:tcBorders>
            <w:shd w:val="clear" w:color="auto" w:fill="auto"/>
            <w:noWrap/>
            <w:hideMark/>
          </w:tcPr>
          <w:p w14:paraId="2981831E"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113</w:t>
            </w:r>
          </w:p>
        </w:tc>
        <w:tc>
          <w:tcPr>
            <w:tcW w:w="1365" w:type="dxa"/>
            <w:tcBorders>
              <w:top w:val="single" w:sz="4" w:space="0" w:color="auto"/>
              <w:left w:val="nil"/>
              <w:bottom w:val="nil"/>
              <w:right w:val="nil"/>
            </w:tcBorders>
            <w:shd w:val="clear" w:color="auto" w:fill="auto"/>
            <w:noWrap/>
            <w:hideMark/>
          </w:tcPr>
          <w:p w14:paraId="688FE1E0"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w:t>
            </w:r>
          </w:p>
        </w:tc>
        <w:tc>
          <w:tcPr>
            <w:tcW w:w="1128" w:type="dxa"/>
            <w:tcBorders>
              <w:top w:val="single" w:sz="4" w:space="0" w:color="auto"/>
              <w:left w:val="nil"/>
              <w:bottom w:val="nil"/>
              <w:right w:val="nil"/>
            </w:tcBorders>
            <w:shd w:val="clear" w:color="auto" w:fill="auto"/>
            <w:noWrap/>
            <w:hideMark/>
          </w:tcPr>
          <w:p w14:paraId="72D92F41"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22</w:t>
            </w:r>
          </w:p>
        </w:tc>
        <w:tc>
          <w:tcPr>
            <w:tcW w:w="1128" w:type="dxa"/>
            <w:tcBorders>
              <w:top w:val="single" w:sz="4" w:space="0" w:color="auto"/>
              <w:left w:val="nil"/>
              <w:bottom w:val="nil"/>
              <w:right w:val="nil"/>
            </w:tcBorders>
            <w:shd w:val="clear" w:color="auto" w:fill="auto"/>
            <w:noWrap/>
            <w:hideMark/>
          </w:tcPr>
          <w:p w14:paraId="10F6CB80"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80.4%</w:t>
            </w:r>
          </w:p>
        </w:tc>
        <w:tc>
          <w:tcPr>
            <w:tcW w:w="1129" w:type="dxa"/>
            <w:tcBorders>
              <w:top w:val="single" w:sz="4" w:space="0" w:color="auto"/>
              <w:left w:val="nil"/>
              <w:bottom w:val="nil"/>
              <w:right w:val="nil"/>
            </w:tcBorders>
            <w:shd w:val="clear" w:color="auto" w:fill="auto"/>
            <w:noWrap/>
            <w:hideMark/>
          </w:tcPr>
          <w:p w14:paraId="66E99CC7"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81.4%</w:t>
            </w:r>
          </w:p>
        </w:tc>
        <w:tc>
          <w:tcPr>
            <w:tcW w:w="1133" w:type="dxa"/>
            <w:tcBorders>
              <w:top w:val="single" w:sz="4" w:space="0" w:color="auto"/>
              <w:left w:val="nil"/>
              <w:bottom w:val="nil"/>
              <w:right w:val="nil"/>
            </w:tcBorders>
            <w:shd w:val="clear" w:color="auto" w:fill="auto"/>
            <w:noWrap/>
            <w:hideMark/>
          </w:tcPr>
          <w:p w14:paraId="2B306FBC"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w:t>
            </w:r>
          </w:p>
        </w:tc>
        <w:tc>
          <w:tcPr>
            <w:tcW w:w="1635" w:type="dxa"/>
            <w:tcBorders>
              <w:top w:val="single" w:sz="4" w:space="0" w:color="auto"/>
              <w:left w:val="nil"/>
              <w:bottom w:val="nil"/>
              <w:right w:val="nil"/>
            </w:tcBorders>
            <w:shd w:val="clear" w:color="auto" w:fill="auto"/>
            <w:noWrap/>
            <w:hideMark/>
          </w:tcPr>
          <w:p w14:paraId="7C3B5948"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w:t>
            </w:r>
          </w:p>
        </w:tc>
      </w:tr>
      <w:tr w:rsidR="005A4B93" w:rsidRPr="005A4B93" w14:paraId="7AD167FB" w14:textId="77777777" w:rsidTr="005A4B93">
        <w:trPr>
          <w:trHeight w:val="320"/>
        </w:trPr>
        <w:tc>
          <w:tcPr>
            <w:tcW w:w="3544" w:type="dxa"/>
            <w:tcBorders>
              <w:top w:val="nil"/>
              <w:left w:val="nil"/>
              <w:bottom w:val="nil"/>
              <w:right w:val="nil"/>
            </w:tcBorders>
            <w:shd w:val="clear" w:color="auto" w:fill="auto"/>
            <w:noWrap/>
            <w:vAlign w:val="bottom"/>
            <w:hideMark/>
          </w:tcPr>
          <w:p w14:paraId="3DE63423" w14:textId="77777777" w:rsidR="005A4B93" w:rsidRPr="005A4B93" w:rsidRDefault="005A4B93" w:rsidP="005A4B93">
            <w:pPr>
              <w:spacing w:before="0" w:after="0"/>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South East Commissioning Region</w:t>
            </w:r>
          </w:p>
        </w:tc>
        <w:tc>
          <w:tcPr>
            <w:tcW w:w="1754" w:type="dxa"/>
            <w:tcBorders>
              <w:top w:val="nil"/>
              <w:left w:val="nil"/>
              <w:bottom w:val="nil"/>
              <w:right w:val="nil"/>
            </w:tcBorders>
            <w:shd w:val="clear" w:color="auto" w:fill="auto"/>
            <w:noWrap/>
            <w:hideMark/>
          </w:tcPr>
          <w:p w14:paraId="436AF1B0"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81%</w:t>
            </w:r>
          </w:p>
        </w:tc>
        <w:tc>
          <w:tcPr>
            <w:tcW w:w="1411" w:type="dxa"/>
            <w:tcBorders>
              <w:top w:val="nil"/>
              <w:left w:val="nil"/>
              <w:bottom w:val="nil"/>
              <w:right w:val="nil"/>
            </w:tcBorders>
            <w:shd w:val="clear" w:color="auto" w:fill="auto"/>
            <w:noWrap/>
            <w:hideMark/>
          </w:tcPr>
          <w:p w14:paraId="78C6D802"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99</w:t>
            </w:r>
          </w:p>
        </w:tc>
        <w:tc>
          <w:tcPr>
            <w:tcW w:w="1173" w:type="dxa"/>
            <w:tcBorders>
              <w:top w:val="nil"/>
              <w:left w:val="nil"/>
              <w:bottom w:val="nil"/>
              <w:right w:val="nil"/>
            </w:tcBorders>
            <w:shd w:val="clear" w:color="auto" w:fill="auto"/>
            <w:noWrap/>
            <w:hideMark/>
          </w:tcPr>
          <w:p w14:paraId="7F59B437"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522</w:t>
            </w:r>
          </w:p>
        </w:tc>
        <w:tc>
          <w:tcPr>
            <w:tcW w:w="1365" w:type="dxa"/>
            <w:tcBorders>
              <w:top w:val="nil"/>
              <w:left w:val="nil"/>
              <w:bottom w:val="nil"/>
              <w:right w:val="nil"/>
            </w:tcBorders>
            <w:shd w:val="clear" w:color="auto" w:fill="auto"/>
            <w:noWrap/>
            <w:hideMark/>
          </w:tcPr>
          <w:p w14:paraId="2F63ACF9"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w:t>
            </w:r>
          </w:p>
        </w:tc>
        <w:tc>
          <w:tcPr>
            <w:tcW w:w="1128" w:type="dxa"/>
            <w:tcBorders>
              <w:top w:val="nil"/>
              <w:left w:val="nil"/>
              <w:bottom w:val="nil"/>
              <w:right w:val="nil"/>
            </w:tcBorders>
            <w:shd w:val="clear" w:color="auto" w:fill="auto"/>
            <w:noWrap/>
            <w:hideMark/>
          </w:tcPr>
          <w:p w14:paraId="1DEFA433"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102</w:t>
            </w:r>
          </w:p>
        </w:tc>
        <w:tc>
          <w:tcPr>
            <w:tcW w:w="1128" w:type="dxa"/>
            <w:tcBorders>
              <w:top w:val="nil"/>
              <w:left w:val="nil"/>
              <w:bottom w:val="nil"/>
              <w:right w:val="nil"/>
            </w:tcBorders>
            <w:shd w:val="clear" w:color="auto" w:fill="auto"/>
            <w:noWrap/>
            <w:hideMark/>
          </w:tcPr>
          <w:p w14:paraId="0D7B06E8"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80.3%</w:t>
            </w:r>
          </w:p>
        </w:tc>
        <w:tc>
          <w:tcPr>
            <w:tcW w:w="1129" w:type="dxa"/>
            <w:tcBorders>
              <w:top w:val="nil"/>
              <w:left w:val="nil"/>
              <w:bottom w:val="nil"/>
              <w:right w:val="nil"/>
            </w:tcBorders>
            <w:shd w:val="clear" w:color="auto" w:fill="auto"/>
            <w:noWrap/>
            <w:hideMark/>
          </w:tcPr>
          <w:p w14:paraId="43C4A59B"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84.1%</w:t>
            </w:r>
          </w:p>
        </w:tc>
        <w:tc>
          <w:tcPr>
            <w:tcW w:w="1133" w:type="dxa"/>
            <w:tcBorders>
              <w:top w:val="nil"/>
              <w:left w:val="nil"/>
              <w:bottom w:val="nil"/>
              <w:right w:val="nil"/>
            </w:tcBorders>
            <w:shd w:val="clear" w:color="auto" w:fill="auto"/>
            <w:noWrap/>
            <w:hideMark/>
          </w:tcPr>
          <w:p w14:paraId="6A121568"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w:t>
            </w:r>
          </w:p>
        </w:tc>
        <w:tc>
          <w:tcPr>
            <w:tcW w:w="1635" w:type="dxa"/>
            <w:tcBorders>
              <w:top w:val="nil"/>
              <w:left w:val="nil"/>
              <w:bottom w:val="nil"/>
              <w:right w:val="nil"/>
            </w:tcBorders>
            <w:shd w:val="clear" w:color="auto" w:fill="auto"/>
            <w:noWrap/>
            <w:hideMark/>
          </w:tcPr>
          <w:p w14:paraId="52CC1869"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w:t>
            </w:r>
          </w:p>
        </w:tc>
      </w:tr>
      <w:tr w:rsidR="005A4B93" w:rsidRPr="005A4B93" w14:paraId="590CD257" w14:textId="77777777" w:rsidTr="005A4B93">
        <w:trPr>
          <w:trHeight w:val="320"/>
        </w:trPr>
        <w:tc>
          <w:tcPr>
            <w:tcW w:w="3544" w:type="dxa"/>
            <w:tcBorders>
              <w:top w:val="nil"/>
              <w:left w:val="nil"/>
              <w:bottom w:val="single" w:sz="4" w:space="0" w:color="auto"/>
              <w:right w:val="nil"/>
            </w:tcBorders>
            <w:shd w:val="clear" w:color="auto" w:fill="auto"/>
            <w:noWrap/>
            <w:vAlign w:val="bottom"/>
            <w:hideMark/>
          </w:tcPr>
          <w:p w14:paraId="4E8F0158" w14:textId="77777777" w:rsidR="005A4B93" w:rsidRPr="005A4B93" w:rsidRDefault="005A4B93" w:rsidP="005A4B93">
            <w:pPr>
              <w:spacing w:before="0" w:after="0"/>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England</w:t>
            </w:r>
          </w:p>
        </w:tc>
        <w:tc>
          <w:tcPr>
            <w:tcW w:w="1754" w:type="dxa"/>
            <w:tcBorders>
              <w:top w:val="nil"/>
              <w:left w:val="nil"/>
              <w:bottom w:val="single" w:sz="4" w:space="0" w:color="auto"/>
              <w:right w:val="nil"/>
            </w:tcBorders>
            <w:shd w:val="clear" w:color="auto" w:fill="auto"/>
            <w:noWrap/>
            <w:hideMark/>
          </w:tcPr>
          <w:p w14:paraId="5F335BDE"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83%</w:t>
            </w:r>
          </w:p>
        </w:tc>
        <w:tc>
          <w:tcPr>
            <w:tcW w:w="1411" w:type="dxa"/>
            <w:tcBorders>
              <w:top w:val="nil"/>
              <w:left w:val="nil"/>
              <w:bottom w:val="single" w:sz="4" w:space="0" w:color="auto"/>
              <w:right w:val="nil"/>
            </w:tcBorders>
            <w:shd w:val="clear" w:color="auto" w:fill="auto"/>
            <w:noWrap/>
            <w:hideMark/>
          </w:tcPr>
          <w:p w14:paraId="505837C1"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700</w:t>
            </w:r>
          </w:p>
        </w:tc>
        <w:tc>
          <w:tcPr>
            <w:tcW w:w="1173" w:type="dxa"/>
            <w:tcBorders>
              <w:top w:val="nil"/>
              <w:left w:val="nil"/>
              <w:bottom w:val="single" w:sz="4" w:space="0" w:color="auto"/>
              <w:right w:val="nil"/>
            </w:tcBorders>
            <w:shd w:val="clear" w:color="auto" w:fill="auto"/>
            <w:noWrap/>
            <w:hideMark/>
          </w:tcPr>
          <w:p w14:paraId="635FB45D"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4123</w:t>
            </w:r>
          </w:p>
        </w:tc>
        <w:tc>
          <w:tcPr>
            <w:tcW w:w="1365" w:type="dxa"/>
            <w:tcBorders>
              <w:top w:val="nil"/>
              <w:left w:val="nil"/>
              <w:bottom w:val="single" w:sz="4" w:space="0" w:color="auto"/>
              <w:right w:val="nil"/>
            </w:tcBorders>
            <w:shd w:val="clear" w:color="auto" w:fill="auto"/>
            <w:noWrap/>
            <w:hideMark/>
          </w:tcPr>
          <w:p w14:paraId="69973809"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w:t>
            </w:r>
          </w:p>
        </w:tc>
        <w:tc>
          <w:tcPr>
            <w:tcW w:w="1128" w:type="dxa"/>
            <w:tcBorders>
              <w:top w:val="nil"/>
              <w:left w:val="nil"/>
              <w:bottom w:val="single" w:sz="4" w:space="0" w:color="auto"/>
              <w:right w:val="nil"/>
            </w:tcBorders>
            <w:shd w:val="clear" w:color="auto" w:fill="auto"/>
            <w:noWrap/>
            <w:hideMark/>
          </w:tcPr>
          <w:p w14:paraId="694DB2D1"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805</w:t>
            </w:r>
          </w:p>
        </w:tc>
        <w:tc>
          <w:tcPr>
            <w:tcW w:w="1128" w:type="dxa"/>
            <w:tcBorders>
              <w:top w:val="nil"/>
              <w:left w:val="nil"/>
              <w:bottom w:val="single" w:sz="4" w:space="0" w:color="auto"/>
              <w:right w:val="nil"/>
            </w:tcBorders>
            <w:shd w:val="clear" w:color="auto" w:fill="auto"/>
            <w:noWrap/>
            <w:hideMark/>
          </w:tcPr>
          <w:p w14:paraId="64D1FE4D"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80.4%</w:t>
            </w:r>
          </w:p>
        </w:tc>
        <w:tc>
          <w:tcPr>
            <w:tcW w:w="1129" w:type="dxa"/>
            <w:tcBorders>
              <w:top w:val="nil"/>
              <w:left w:val="nil"/>
              <w:bottom w:val="single" w:sz="4" w:space="0" w:color="auto"/>
              <w:right w:val="nil"/>
            </w:tcBorders>
            <w:shd w:val="clear" w:color="auto" w:fill="auto"/>
            <w:noWrap/>
            <w:hideMark/>
          </w:tcPr>
          <w:p w14:paraId="6715ABE8"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82.1%</w:t>
            </w:r>
          </w:p>
        </w:tc>
        <w:tc>
          <w:tcPr>
            <w:tcW w:w="1133" w:type="dxa"/>
            <w:tcBorders>
              <w:top w:val="nil"/>
              <w:left w:val="nil"/>
              <w:bottom w:val="single" w:sz="4" w:space="0" w:color="auto"/>
              <w:right w:val="nil"/>
            </w:tcBorders>
            <w:shd w:val="clear" w:color="auto" w:fill="auto"/>
            <w:noWrap/>
            <w:hideMark/>
          </w:tcPr>
          <w:p w14:paraId="4570DE9D"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w:t>
            </w:r>
          </w:p>
        </w:tc>
        <w:tc>
          <w:tcPr>
            <w:tcW w:w="1635" w:type="dxa"/>
            <w:tcBorders>
              <w:top w:val="nil"/>
              <w:left w:val="nil"/>
              <w:bottom w:val="single" w:sz="4" w:space="0" w:color="auto"/>
              <w:right w:val="nil"/>
            </w:tcBorders>
            <w:shd w:val="clear" w:color="auto" w:fill="auto"/>
            <w:noWrap/>
            <w:hideMark/>
          </w:tcPr>
          <w:p w14:paraId="16190621" w14:textId="77777777" w:rsidR="005A4B93" w:rsidRPr="005A4B93" w:rsidRDefault="005A4B93" w:rsidP="005A4B93">
            <w:pPr>
              <w:spacing w:before="0" w:after="0"/>
              <w:jc w:val="right"/>
              <w:rPr>
                <w:rFonts w:ascii="Calibri" w:eastAsia="Times New Roman" w:hAnsi="Calibri" w:cs="Times New Roman"/>
                <w:color w:val="000000"/>
                <w:szCs w:val="20"/>
                <w:lang w:eastAsia="en-GB"/>
              </w:rPr>
            </w:pPr>
            <w:r w:rsidRPr="005A4B93">
              <w:rPr>
                <w:rFonts w:ascii="Calibri" w:eastAsia="Times New Roman" w:hAnsi="Calibri" w:cs="Times New Roman"/>
                <w:color w:val="000000"/>
                <w:szCs w:val="20"/>
                <w:lang w:eastAsia="en-GB"/>
              </w:rPr>
              <w:t>-</w:t>
            </w:r>
          </w:p>
        </w:tc>
      </w:tr>
    </w:tbl>
    <w:p w14:paraId="363471B4" w14:textId="1E61806C" w:rsidR="005A4B93" w:rsidRPr="005A4B93" w:rsidRDefault="005A4B93" w:rsidP="004206CE">
      <w:pPr>
        <w:rPr>
          <w:b/>
          <w:bCs/>
          <w:sz w:val="22"/>
          <w:szCs w:val="22"/>
        </w:rPr>
      </w:pPr>
      <w:r w:rsidRPr="005A4B93">
        <w:rPr>
          <w:b/>
          <w:bCs/>
          <w:sz w:val="22"/>
          <w:szCs w:val="22"/>
        </w:rPr>
        <w:t>Summary of critical care bed (adults) occupancy and capacity; Sussex and East Surrey STP acute trusts; January 2020</w:t>
      </w:r>
    </w:p>
    <w:p w14:paraId="2FA0ABEA" w14:textId="72E9738E" w:rsidR="005A4B93" w:rsidRPr="005A4B93" w:rsidRDefault="005A4B93" w:rsidP="004206CE">
      <w:pPr>
        <w:rPr>
          <w:sz w:val="16"/>
          <w:szCs w:val="16"/>
        </w:rPr>
      </w:pPr>
      <w:r w:rsidRPr="005A4B93">
        <w:rPr>
          <w:sz w:val="16"/>
          <w:szCs w:val="16"/>
        </w:rPr>
        <w:t>Notes: data are recorded as a snapshot of the bed occupancy at midnight on the last Thursday in January 2020 (30/01/2020). Daily snapshots for Winter 2019 are taken every day at midnight between 02/12/2019 and 01/03/2020.</w:t>
      </w:r>
    </w:p>
    <w:p w14:paraId="451D2C94" w14:textId="7F38D07F" w:rsidR="005A4B93" w:rsidRDefault="005A4B93" w:rsidP="004206CE">
      <w:pPr>
        <w:rPr>
          <w:szCs w:val="20"/>
        </w:rPr>
      </w:pPr>
      <w:r w:rsidRPr="005A4B93">
        <w:rPr>
          <w:sz w:val="16"/>
          <w:szCs w:val="16"/>
        </w:rPr>
        <w:t xml:space="preserve">Winter </w:t>
      </w:r>
      <w:proofErr w:type="spellStart"/>
      <w:r w:rsidRPr="005A4B93">
        <w:rPr>
          <w:sz w:val="16"/>
          <w:szCs w:val="16"/>
        </w:rPr>
        <w:t>SitRep</w:t>
      </w:r>
      <w:proofErr w:type="spellEnd"/>
      <w:r w:rsidRPr="005A4B93">
        <w:rPr>
          <w:sz w:val="16"/>
          <w:szCs w:val="16"/>
        </w:rPr>
        <w:t xml:space="preserve"> data are not available for some Trusts, including Queen Victoria Hospital NHS Foundation Trust, and as such it is not possible to report aggregated totals for the Sussex and East Surrey STP, commissioning regions or England due to missing data</w:t>
      </w:r>
      <w:r>
        <w:rPr>
          <w:szCs w:val="20"/>
        </w:rPr>
        <w:t>.</w:t>
      </w:r>
    </w:p>
    <w:p w14:paraId="41A39D22" w14:textId="7CE6472E" w:rsidR="005A4B93" w:rsidRDefault="005A4B93" w:rsidP="004206CE">
      <w:pPr>
        <w:rPr>
          <w:szCs w:val="20"/>
        </w:rPr>
      </w:pPr>
    </w:p>
    <w:p w14:paraId="2945AC2B" w14:textId="182EEF5D" w:rsidR="00500C99" w:rsidRDefault="00500C99" w:rsidP="004206CE">
      <w:pPr>
        <w:rPr>
          <w:szCs w:val="20"/>
        </w:rPr>
      </w:pPr>
      <w:r>
        <w:rPr>
          <w:szCs w:val="20"/>
        </w:rPr>
        <w:t xml:space="preserve">Data are available from NHS England for monthly </w:t>
      </w:r>
      <w:proofErr w:type="spellStart"/>
      <w:r>
        <w:rPr>
          <w:szCs w:val="20"/>
        </w:rPr>
        <w:t>SitRep</w:t>
      </w:r>
      <w:proofErr w:type="spellEnd"/>
      <w:r>
        <w:rPr>
          <w:szCs w:val="20"/>
        </w:rPr>
        <w:t xml:space="preserve"> returns here: </w:t>
      </w:r>
      <w:hyperlink r:id="rId16" w:history="1">
        <w:r w:rsidRPr="00B46065">
          <w:rPr>
            <w:rStyle w:val="Hyperlink"/>
            <w:szCs w:val="20"/>
          </w:rPr>
          <w:t>https://www.england.nhs.uk/statistics/statistical-work-areas/critical-care-capacity/</w:t>
        </w:r>
      </w:hyperlink>
      <w:r>
        <w:rPr>
          <w:szCs w:val="20"/>
        </w:rPr>
        <w:t xml:space="preserve"> and for daily </w:t>
      </w:r>
      <w:proofErr w:type="spellStart"/>
      <w:r>
        <w:rPr>
          <w:szCs w:val="20"/>
        </w:rPr>
        <w:t>SitRep</w:t>
      </w:r>
      <w:proofErr w:type="spellEnd"/>
      <w:r>
        <w:rPr>
          <w:szCs w:val="20"/>
        </w:rPr>
        <w:t xml:space="preserve"> returns here: </w:t>
      </w:r>
      <w:hyperlink r:id="rId17" w:history="1">
        <w:r w:rsidRPr="00B46065">
          <w:rPr>
            <w:rStyle w:val="Hyperlink"/>
            <w:szCs w:val="20"/>
          </w:rPr>
          <w:t>https://www.england.nhs.uk/statistics/statistical-work-areas/winter-daily-sitreps/</w:t>
        </w:r>
      </w:hyperlink>
    </w:p>
    <w:p w14:paraId="3A83B7C5" w14:textId="77777777" w:rsidR="00500C99" w:rsidRDefault="00500C99" w:rsidP="004206CE">
      <w:pPr>
        <w:rPr>
          <w:szCs w:val="20"/>
        </w:rPr>
      </w:pPr>
    </w:p>
    <w:p w14:paraId="59CF86FD" w14:textId="77777777" w:rsidR="00500C99" w:rsidRDefault="00500C99" w:rsidP="004206CE">
      <w:pPr>
        <w:rPr>
          <w:szCs w:val="20"/>
        </w:rPr>
      </w:pPr>
    </w:p>
    <w:p w14:paraId="5D094BFC" w14:textId="77777777" w:rsidR="00500C99" w:rsidRPr="005A4B93" w:rsidRDefault="00500C99" w:rsidP="004206CE">
      <w:pPr>
        <w:rPr>
          <w:szCs w:val="20"/>
        </w:rPr>
      </w:pPr>
    </w:p>
    <w:sectPr w:rsidR="00500C99" w:rsidRPr="005A4B93" w:rsidSect="005A4B93">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2504D" w14:textId="77777777" w:rsidR="00152726" w:rsidRDefault="00152726" w:rsidP="00E46910">
      <w:pPr>
        <w:spacing w:before="0" w:after="0"/>
      </w:pPr>
      <w:r>
        <w:separator/>
      </w:r>
    </w:p>
  </w:endnote>
  <w:endnote w:type="continuationSeparator" w:id="0">
    <w:p w14:paraId="31B96A0E" w14:textId="77777777" w:rsidR="00152726" w:rsidRDefault="00152726" w:rsidP="00E469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8951795"/>
      <w:docPartObj>
        <w:docPartGallery w:val="Page Numbers (Bottom of Page)"/>
        <w:docPartUnique/>
      </w:docPartObj>
    </w:sdtPr>
    <w:sdtContent>
      <w:p w14:paraId="11C78E14" w14:textId="00828A8D" w:rsidR="00500C99" w:rsidRDefault="00500C99" w:rsidP="00B460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D6D977" w14:textId="77777777" w:rsidR="00500C99" w:rsidRDefault="00500C99" w:rsidP="00500C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16"/>
        <w:szCs w:val="21"/>
      </w:rPr>
      <w:id w:val="614324171"/>
      <w:docPartObj>
        <w:docPartGallery w:val="Page Numbers (Bottom of Page)"/>
        <w:docPartUnique/>
      </w:docPartObj>
    </w:sdtPr>
    <w:sdtContent>
      <w:p w14:paraId="4189351A" w14:textId="602C42FD" w:rsidR="00500C99" w:rsidRPr="00500C99" w:rsidRDefault="00500C99" w:rsidP="00500C99">
        <w:pPr>
          <w:pStyle w:val="Footer"/>
          <w:framePr w:h="754" w:hRule="exact" w:wrap="none" w:vAnchor="text" w:hAnchor="margin" w:xAlign="right" w:y="42"/>
          <w:rPr>
            <w:rStyle w:val="PageNumber"/>
            <w:sz w:val="16"/>
            <w:szCs w:val="21"/>
          </w:rPr>
        </w:pPr>
        <w:r w:rsidRPr="00500C99">
          <w:rPr>
            <w:rStyle w:val="PageNumber"/>
            <w:sz w:val="16"/>
            <w:szCs w:val="21"/>
          </w:rPr>
          <w:fldChar w:fldCharType="begin"/>
        </w:r>
        <w:r w:rsidRPr="00500C99">
          <w:rPr>
            <w:rStyle w:val="PageNumber"/>
            <w:sz w:val="16"/>
            <w:szCs w:val="21"/>
          </w:rPr>
          <w:instrText xml:space="preserve"> PAGE </w:instrText>
        </w:r>
        <w:r w:rsidRPr="00500C99">
          <w:rPr>
            <w:rStyle w:val="PageNumber"/>
            <w:sz w:val="16"/>
            <w:szCs w:val="21"/>
          </w:rPr>
          <w:fldChar w:fldCharType="separate"/>
        </w:r>
        <w:r w:rsidRPr="00500C99">
          <w:rPr>
            <w:rStyle w:val="PageNumber"/>
            <w:noProof/>
            <w:sz w:val="16"/>
            <w:szCs w:val="21"/>
          </w:rPr>
          <w:t>11</w:t>
        </w:r>
        <w:r w:rsidRPr="00500C99">
          <w:rPr>
            <w:rStyle w:val="PageNumber"/>
            <w:sz w:val="16"/>
            <w:szCs w:val="21"/>
          </w:rPr>
          <w:fldChar w:fldCharType="end"/>
        </w:r>
      </w:p>
    </w:sdtContent>
  </w:sdt>
  <w:p w14:paraId="6E95FDE6" w14:textId="77777777" w:rsidR="00500C99" w:rsidRDefault="00500C99" w:rsidP="00500C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4F0AE" w14:textId="77777777" w:rsidR="00152726" w:rsidRDefault="00152726" w:rsidP="00E46910">
      <w:pPr>
        <w:spacing w:before="0" w:after="0"/>
      </w:pPr>
      <w:r>
        <w:separator/>
      </w:r>
    </w:p>
  </w:footnote>
  <w:footnote w:type="continuationSeparator" w:id="0">
    <w:p w14:paraId="5642A353" w14:textId="77777777" w:rsidR="00152726" w:rsidRDefault="00152726" w:rsidP="00E46910">
      <w:pPr>
        <w:spacing w:before="0" w:after="0"/>
      </w:pPr>
      <w:r>
        <w:continuationSeparator/>
      </w:r>
    </w:p>
  </w:footnote>
  <w:footnote w:id="1">
    <w:p w14:paraId="4DA7E29E" w14:textId="77777777" w:rsidR="002342B1" w:rsidRDefault="002342B1" w:rsidP="002342B1">
      <w:pPr>
        <w:pStyle w:val="FootnoteText"/>
      </w:pPr>
      <w:r>
        <w:rPr>
          <w:rStyle w:val="FootnoteReference"/>
        </w:rPr>
        <w:footnoteRef/>
      </w:r>
      <w:r>
        <w:t xml:space="preserve"> </w:t>
      </w:r>
      <w:r w:rsidRPr="00E46910">
        <w:t xml:space="preserve"> </w:t>
      </w:r>
      <w:hyperlink r:id="rId1" w:history="1">
        <w:r w:rsidRPr="007C39D3">
          <w:rPr>
            <w:rStyle w:val="Hyperlink"/>
          </w:rPr>
          <w:t>https://www.ficm.ac.uk/sites/default/files/ficm_critical_capacity_-_a_short_research_survey_on_critical_care_bed_capacity.pdf</w:t>
        </w:r>
      </w:hyperlink>
    </w:p>
  </w:footnote>
  <w:footnote w:id="2">
    <w:p w14:paraId="6460E23B" w14:textId="5C352E2D" w:rsidR="00134B8C" w:rsidRDefault="00134B8C">
      <w:pPr>
        <w:pStyle w:val="FootnoteText"/>
      </w:pPr>
      <w:r>
        <w:rPr>
          <w:rStyle w:val="FootnoteReference"/>
        </w:rPr>
        <w:footnoteRef/>
      </w:r>
      <w:r>
        <w:t xml:space="preserve"> </w:t>
      </w:r>
      <w:r w:rsidRPr="00F56186">
        <w:t xml:space="preserve">Hospital provider trusts do not have geographically defined boundaries for their </w:t>
      </w:r>
      <w:r w:rsidRPr="00F56186">
        <w:t>population,</w:t>
      </w:r>
      <w:r w:rsidRPr="00F56186">
        <w:t xml:space="preserve"> nor do they have complete lists of registered patients. However, modelled estimates of the catchment populations for hospital provider trusts in England are provided by Public Health England (PHE). These experimental statistics estimates the number of people who are using each hospital trust or have the potential to do so. Individual acute trusts sometimes use varying methods to define the population they serve, such as patient flow, CCG derived or travel time-based estimates. PHE publish</w:t>
      </w:r>
      <w:r>
        <w:t>ed</w:t>
      </w:r>
      <w:r w:rsidRPr="00F56186">
        <w:t xml:space="preserve"> modelled estimates use the patient flow method</w:t>
      </w:r>
      <w:r>
        <w:t xml:space="preserve"> and the latest available catchment population is for 2018.</w:t>
      </w:r>
      <w:r w:rsidR="00B431D1">
        <w:t xml:space="preserve"> It should be noted that some patients who are not emergency patients (elective admissions) may also require critical care beds as a result of planned surgeries.</w:t>
      </w:r>
    </w:p>
  </w:footnote>
  <w:footnote w:id="3">
    <w:p w14:paraId="5AED5D42" w14:textId="1C6D77CF" w:rsidR="00BC77D5" w:rsidRDefault="00BC77D5" w:rsidP="00BC77D5">
      <w:r>
        <w:rPr>
          <w:rStyle w:val="FootnoteReference"/>
        </w:rPr>
        <w:footnoteRef/>
      </w:r>
      <w:r>
        <w:t xml:space="preserve"> </w:t>
      </w:r>
      <w:r>
        <w:t>This data set does not include all Trusts in England and notably, Queen Victoria Hospital NHS Foundation Trust in the Sussex and East Surrey STP are absent from these daily returns. The national, regional, and STP values therefore only include aggregated values from some Trusts and as such are not included for comparison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2B01"/>
    <w:multiLevelType w:val="hybridMultilevel"/>
    <w:tmpl w:val="25C41E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392717"/>
    <w:multiLevelType w:val="hybridMultilevel"/>
    <w:tmpl w:val="622CBF4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B95548A"/>
    <w:multiLevelType w:val="hybridMultilevel"/>
    <w:tmpl w:val="F45895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BB8058F"/>
    <w:multiLevelType w:val="hybridMultilevel"/>
    <w:tmpl w:val="032E5F7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10"/>
    <w:rsid w:val="00005985"/>
    <w:rsid w:val="00010B1D"/>
    <w:rsid w:val="000139CF"/>
    <w:rsid w:val="00030153"/>
    <w:rsid w:val="000549A1"/>
    <w:rsid w:val="00066A8B"/>
    <w:rsid w:val="000B17A3"/>
    <w:rsid w:val="00123EAE"/>
    <w:rsid w:val="00134B8C"/>
    <w:rsid w:val="00141085"/>
    <w:rsid w:val="00152726"/>
    <w:rsid w:val="00183D2B"/>
    <w:rsid w:val="001B255E"/>
    <w:rsid w:val="001D76F6"/>
    <w:rsid w:val="001E2C39"/>
    <w:rsid w:val="00227BFC"/>
    <w:rsid w:val="00230774"/>
    <w:rsid w:val="002342B1"/>
    <w:rsid w:val="00261B51"/>
    <w:rsid w:val="00266110"/>
    <w:rsid w:val="0027200E"/>
    <w:rsid w:val="002D5E25"/>
    <w:rsid w:val="002F31CF"/>
    <w:rsid w:val="00357190"/>
    <w:rsid w:val="00366C82"/>
    <w:rsid w:val="00384E14"/>
    <w:rsid w:val="00394074"/>
    <w:rsid w:val="003A3464"/>
    <w:rsid w:val="003B0A52"/>
    <w:rsid w:val="004206CE"/>
    <w:rsid w:val="004C65F2"/>
    <w:rsid w:val="00500C99"/>
    <w:rsid w:val="005146AF"/>
    <w:rsid w:val="00570C00"/>
    <w:rsid w:val="005A4B93"/>
    <w:rsid w:val="00627D6D"/>
    <w:rsid w:val="006B4A18"/>
    <w:rsid w:val="006C2EB7"/>
    <w:rsid w:val="006D5A78"/>
    <w:rsid w:val="006E0976"/>
    <w:rsid w:val="00770995"/>
    <w:rsid w:val="007C6D5A"/>
    <w:rsid w:val="007D152A"/>
    <w:rsid w:val="007D4EB8"/>
    <w:rsid w:val="007F228F"/>
    <w:rsid w:val="008052FE"/>
    <w:rsid w:val="00846D30"/>
    <w:rsid w:val="008570BB"/>
    <w:rsid w:val="00857288"/>
    <w:rsid w:val="00861733"/>
    <w:rsid w:val="008E585A"/>
    <w:rsid w:val="0090769E"/>
    <w:rsid w:val="009228C9"/>
    <w:rsid w:val="009B0A91"/>
    <w:rsid w:val="00A31257"/>
    <w:rsid w:val="00A3208C"/>
    <w:rsid w:val="00AB528B"/>
    <w:rsid w:val="00AC26AD"/>
    <w:rsid w:val="00AE163D"/>
    <w:rsid w:val="00B431D1"/>
    <w:rsid w:val="00BC77D5"/>
    <w:rsid w:val="00BE65D3"/>
    <w:rsid w:val="00C0453F"/>
    <w:rsid w:val="00C13FD9"/>
    <w:rsid w:val="00C55D2B"/>
    <w:rsid w:val="00C94BC2"/>
    <w:rsid w:val="00CB3885"/>
    <w:rsid w:val="00CC55F6"/>
    <w:rsid w:val="00D033B1"/>
    <w:rsid w:val="00D133CD"/>
    <w:rsid w:val="00D47BEF"/>
    <w:rsid w:val="00D50737"/>
    <w:rsid w:val="00D62ECC"/>
    <w:rsid w:val="00D82C20"/>
    <w:rsid w:val="00DA1E87"/>
    <w:rsid w:val="00DA2945"/>
    <w:rsid w:val="00DD14F1"/>
    <w:rsid w:val="00DF6D23"/>
    <w:rsid w:val="00E46910"/>
    <w:rsid w:val="00E7496E"/>
    <w:rsid w:val="00E8790B"/>
    <w:rsid w:val="00EF1735"/>
    <w:rsid w:val="00EF1B26"/>
    <w:rsid w:val="00EF6B3A"/>
    <w:rsid w:val="00F01EDA"/>
    <w:rsid w:val="00F23B05"/>
    <w:rsid w:val="00F524B3"/>
    <w:rsid w:val="00F56186"/>
    <w:rsid w:val="00F567DD"/>
    <w:rsid w:val="00F96565"/>
    <w:rsid w:val="00FC077B"/>
    <w:rsid w:val="00FC6B07"/>
    <w:rsid w:val="00FF6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ED3D"/>
  <w15:chartTrackingRefBased/>
  <w15:docId w15:val="{4038E75D-6F28-6745-9FF4-54BA4163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B93"/>
    <w:pPr>
      <w:spacing w:before="240" w:after="240"/>
    </w:pPr>
    <w:rPr>
      <w:rFonts w:ascii="Verdana" w:hAnsi="Verdana"/>
      <w:sz w:val="20"/>
    </w:rPr>
  </w:style>
  <w:style w:type="paragraph" w:styleId="Heading1">
    <w:name w:val="heading 1"/>
    <w:basedOn w:val="Normal"/>
    <w:next w:val="Normal"/>
    <w:link w:val="Heading1Char"/>
    <w:uiPriority w:val="9"/>
    <w:qFormat/>
    <w:rsid w:val="00D47BEF"/>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07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40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40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910"/>
    <w:rPr>
      <w:color w:val="0563C1" w:themeColor="hyperlink"/>
      <w:u w:val="single"/>
    </w:rPr>
  </w:style>
  <w:style w:type="character" w:styleId="UnresolvedMention">
    <w:name w:val="Unresolved Mention"/>
    <w:basedOn w:val="DefaultParagraphFont"/>
    <w:uiPriority w:val="99"/>
    <w:semiHidden/>
    <w:unhideWhenUsed/>
    <w:rsid w:val="00E46910"/>
    <w:rPr>
      <w:color w:val="605E5C"/>
      <w:shd w:val="clear" w:color="auto" w:fill="E1DFDD"/>
    </w:rPr>
  </w:style>
  <w:style w:type="paragraph" w:styleId="ListParagraph">
    <w:name w:val="List Paragraph"/>
    <w:basedOn w:val="Normal"/>
    <w:uiPriority w:val="34"/>
    <w:qFormat/>
    <w:rsid w:val="00E46910"/>
    <w:pPr>
      <w:ind w:left="720"/>
      <w:contextualSpacing/>
    </w:pPr>
  </w:style>
  <w:style w:type="character" w:customStyle="1" w:styleId="Heading2Char">
    <w:name w:val="Heading 2 Char"/>
    <w:basedOn w:val="DefaultParagraphFont"/>
    <w:link w:val="Heading2"/>
    <w:uiPriority w:val="9"/>
    <w:rsid w:val="00E4691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46910"/>
    <w:pPr>
      <w:spacing w:before="0" w:after="0"/>
    </w:pPr>
    <w:rPr>
      <w:szCs w:val="20"/>
    </w:rPr>
  </w:style>
  <w:style w:type="character" w:customStyle="1" w:styleId="FootnoteTextChar">
    <w:name w:val="Footnote Text Char"/>
    <w:basedOn w:val="DefaultParagraphFont"/>
    <w:link w:val="FootnoteText"/>
    <w:uiPriority w:val="99"/>
    <w:semiHidden/>
    <w:rsid w:val="00E46910"/>
    <w:rPr>
      <w:sz w:val="20"/>
      <w:szCs w:val="20"/>
    </w:rPr>
  </w:style>
  <w:style w:type="character" w:styleId="FootnoteReference">
    <w:name w:val="footnote reference"/>
    <w:basedOn w:val="DefaultParagraphFont"/>
    <w:uiPriority w:val="99"/>
    <w:semiHidden/>
    <w:unhideWhenUsed/>
    <w:rsid w:val="00E46910"/>
    <w:rPr>
      <w:vertAlign w:val="superscript"/>
    </w:rPr>
  </w:style>
  <w:style w:type="character" w:customStyle="1" w:styleId="Heading1Char">
    <w:name w:val="Heading 1 Char"/>
    <w:basedOn w:val="DefaultParagraphFont"/>
    <w:link w:val="Heading1"/>
    <w:uiPriority w:val="9"/>
    <w:rsid w:val="00D47B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4074"/>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39407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9407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3940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07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940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94074"/>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500C99"/>
    <w:pPr>
      <w:tabs>
        <w:tab w:val="center" w:pos="4680"/>
        <w:tab w:val="right" w:pos="9360"/>
      </w:tabs>
      <w:spacing w:before="0" w:after="0"/>
    </w:pPr>
  </w:style>
  <w:style w:type="character" w:customStyle="1" w:styleId="HeaderChar">
    <w:name w:val="Header Char"/>
    <w:basedOn w:val="DefaultParagraphFont"/>
    <w:link w:val="Header"/>
    <w:uiPriority w:val="99"/>
    <w:rsid w:val="00500C99"/>
    <w:rPr>
      <w:rFonts w:ascii="Verdana" w:hAnsi="Verdana"/>
      <w:sz w:val="20"/>
    </w:rPr>
  </w:style>
  <w:style w:type="paragraph" w:styleId="Footer">
    <w:name w:val="footer"/>
    <w:basedOn w:val="Normal"/>
    <w:link w:val="FooterChar"/>
    <w:uiPriority w:val="99"/>
    <w:unhideWhenUsed/>
    <w:rsid w:val="00500C99"/>
    <w:pPr>
      <w:tabs>
        <w:tab w:val="center" w:pos="4680"/>
        <w:tab w:val="right" w:pos="9360"/>
      </w:tabs>
      <w:spacing w:before="0" w:after="0"/>
    </w:pPr>
  </w:style>
  <w:style w:type="character" w:customStyle="1" w:styleId="FooterChar">
    <w:name w:val="Footer Char"/>
    <w:basedOn w:val="DefaultParagraphFont"/>
    <w:link w:val="Footer"/>
    <w:uiPriority w:val="99"/>
    <w:rsid w:val="00500C99"/>
    <w:rPr>
      <w:rFonts w:ascii="Verdana" w:hAnsi="Verdana"/>
      <w:sz w:val="20"/>
    </w:rPr>
  </w:style>
  <w:style w:type="character" w:styleId="PageNumber">
    <w:name w:val="page number"/>
    <w:basedOn w:val="DefaultParagraphFont"/>
    <w:uiPriority w:val="99"/>
    <w:semiHidden/>
    <w:unhideWhenUsed/>
    <w:rsid w:val="00500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655305">
      <w:bodyDiv w:val="1"/>
      <w:marLeft w:val="0"/>
      <w:marRight w:val="0"/>
      <w:marTop w:val="0"/>
      <w:marBottom w:val="0"/>
      <w:divBdr>
        <w:top w:val="none" w:sz="0" w:space="0" w:color="auto"/>
        <w:left w:val="none" w:sz="0" w:space="0" w:color="auto"/>
        <w:bottom w:val="none" w:sz="0" w:space="0" w:color="auto"/>
        <w:right w:val="none" w:sz="0" w:space="0" w:color="auto"/>
      </w:divBdr>
    </w:div>
    <w:div w:id="637226341">
      <w:bodyDiv w:val="1"/>
      <w:marLeft w:val="0"/>
      <w:marRight w:val="0"/>
      <w:marTop w:val="0"/>
      <w:marBottom w:val="0"/>
      <w:divBdr>
        <w:top w:val="none" w:sz="0" w:space="0" w:color="auto"/>
        <w:left w:val="none" w:sz="0" w:space="0" w:color="auto"/>
        <w:bottom w:val="none" w:sz="0" w:space="0" w:color="auto"/>
        <w:right w:val="none" w:sz="0" w:space="0" w:color="auto"/>
      </w:divBdr>
    </w:div>
    <w:div w:id="8122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ngland.nhs.uk/statistics/statistical-work-areas/winter-daily-sitreps/" TargetMode="External"/><Relationship Id="rId2" Type="http://schemas.openxmlformats.org/officeDocument/2006/relationships/numbering" Target="numbering.xml"/><Relationship Id="rId16" Type="http://schemas.openxmlformats.org/officeDocument/2006/relationships/hyperlink" Target="https://www.england.nhs.uk/statistics/statistical-work-areas/critical-care-capac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icm.ac.uk/sites/default/files/ficm_critical_capacity_-_a_short_research_survey_on_critical_care_bed_capac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BE390-712F-184C-B0F8-A9B55A2BE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2020-04-07T17:54:00Z</dcterms:created>
  <dcterms:modified xsi:type="dcterms:W3CDTF">2020-04-07T17:58:00Z</dcterms:modified>
</cp:coreProperties>
</file>