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60C7" w14:textId="77777777" w:rsidR="00992683" w:rsidRDefault="00BD4A4D" w:rsidP="00992683">
      <w:pPr>
        <w:pStyle w:val="Heading1"/>
      </w:pPr>
      <w:r w:rsidRPr="00BD4A4D">
        <w:t>Broken Object-Level Authorization</w:t>
      </w:r>
      <w:r>
        <w:t xml:space="preserve"> </w:t>
      </w:r>
      <w:r w:rsidRPr="00BD4A4D">
        <w:t>BOLA / IDOR</w:t>
      </w:r>
    </w:p>
    <w:p w14:paraId="064201FC" w14:textId="183ED0F8" w:rsidR="00BD4A4D" w:rsidRPr="00BD4A4D" w:rsidRDefault="00BD4A4D" w:rsidP="00BD4A4D">
      <w:r w:rsidRPr="00BD4A4D">
        <w:t>Attackers access other users' data by modifying object IDs.</w:t>
      </w:r>
      <w:r w:rsidR="00526E14">
        <w:br/>
      </w:r>
      <w:r w:rsidR="00526E14" w:rsidRPr="00526E14">
        <w:t>when an application exposes references to internal objects (such as files, database records, or IDs) without enforcing proper access control checks. Attackers manipulate these references to access data or actions not meant for them.</w:t>
      </w:r>
    </w:p>
    <w:p w14:paraId="70D95D87" w14:textId="77777777" w:rsidR="00526E14" w:rsidRDefault="00BD4A4D" w:rsidP="00526E14">
      <w:pPr>
        <w:pStyle w:val="Heading2"/>
      </w:pPr>
      <w:r w:rsidRPr="00BD4A4D">
        <w:t>Example:</w:t>
      </w:r>
    </w:p>
    <w:p w14:paraId="731C0E5C" w14:textId="77777777" w:rsidR="00526E14" w:rsidRDefault="00526E14" w:rsidP="00BD4A4D">
      <w:r w:rsidRPr="00526E14">
        <w:rPr>
          <w:b/>
          <w:bCs/>
        </w:rPr>
        <w:t>Horizontal Access (IDOR)</w:t>
      </w:r>
      <w:r w:rsidRPr="00526E14">
        <w:t>:</w:t>
      </w:r>
      <w:r>
        <w:t xml:space="preserve"> </w:t>
      </w:r>
      <w:r w:rsidRPr="00526E14">
        <w:t>GET /invoices/98567</w:t>
      </w:r>
      <w:r w:rsidR="00BD4A4D" w:rsidRPr="00BD4A4D">
        <w:br/>
      </w:r>
      <w:r w:rsidRPr="00526E14">
        <w:t>If User A changes the ID to /invoices/98568 and accesses another user’s invoice, that’s IDOR.</w:t>
      </w:r>
      <w:r w:rsidRPr="00526E14">
        <w:t xml:space="preserve"> </w:t>
      </w:r>
      <w:r>
        <w:br/>
      </w:r>
      <w:r>
        <w:br/>
      </w:r>
      <w:r w:rsidRPr="00526E14">
        <w:rPr>
          <w:b/>
          <w:bCs/>
        </w:rPr>
        <w:t>Accessing Other Users’ PII</w:t>
      </w:r>
      <w:r w:rsidRPr="00526E14">
        <w:t>:</w:t>
      </w:r>
      <w:r w:rsidRPr="00526E14">
        <w:t xml:space="preserve"> </w:t>
      </w:r>
      <w:r w:rsidRPr="00526E14">
        <w:t>GET /user/profile/12345</w:t>
      </w:r>
      <w:r>
        <w:br/>
      </w:r>
      <w:r w:rsidRPr="00526E14">
        <w:t>Change 12345 to 12346 to view/edit another profile.</w:t>
      </w:r>
      <w:r>
        <w:br/>
      </w:r>
      <w:r>
        <w:br/>
      </w:r>
      <w:r w:rsidRPr="00526E14">
        <w:t>API Token Tampering</w:t>
      </w:r>
      <w:r>
        <w:t xml:space="preserve">: </w:t>
      </w:r>
      <w:r w:rsidRPr="00526E14">
        <w:t>GET /</w:t>
      </w:r>
      <w:proofErr w:type="spellStart"/>
      <w:r w:rsidRPr="00526E14">
        <w:t>api</w:t>
      </w:r>
      <w:proofErr w:type="spellEnd"/>
      <w:r w:rsidRPr="00526E14">
        <w:t>/v1/files/</w:t>
      </w:r>
      <w:proofErr w:type="spellStart"/>
      <w:r w:rsidRPr="00526E14">
        <w:t>download?fileId</w:t>
      </w:r>
      <w:proofErr w:type="spellEnd"/>
      <w:r w:rsidRPr="00526E14">
        <w:t>=abcd1234</w:t>
      </w:r>
      <w:r>
        <w:br/>
      </w:r>
      <w:r w:rsidRPr="00526E14">
        <w:t xml:space="preserve">Change </w:t>
      </w:r>
      <w:proofErr w:type="spellStart"/>
      <w:r w:rsidRPr="00526E14">
        <w:t>fileId</w:t>
      </w:r>
      <w:proofErr w:type="spellEnd"/>
      <w:r w:rsidRPr="00526E14">
        <w:t xml:space="preserve"> to guess or brute-force file IDs.</w:t>
      </w:r>
      <w:r>
        <w:br/>
      </w:r>
      <w:r>
        <w:br/>
      </w:r>
      <w:r w:rsidRPr="00526E14">
        <w:rPr>
          <w:b/>
          <w:bCs/>
        </w:rPr>
        <w:t>Mobile App or SPA</w:t>
      </w:r>
      <w:r w:rsidRPr="00526E14">
        <w:t>:</w:t>
      </w:r>
      <w:r>
        <w:t xml:space="preserve"> </w:t>
      </w:r>
      <w:r w:rsidRPr="00526E14">
        <w:t>Attacker manipulates JSON response or API request and directly accesses protected objects (especially common in RESTful APIs).</w:t>
      </w:r>
    </w:p>
    <w:p w14:paraId="6B2BDC8E" w14:textId="41A39C78" w:rsidR="00526E14" w:rsidRDefault="00BD4A4D" w:rsidP="00526E14">
      <w:pPr>
        <w:pStyle w:val="Heading2"/>
      </w:pPr>
      <w:r w:rsidRPr="00BD4A4D">
        <w:t>Mitigation:</w:t>
      </w:r>
    </w:p>
    <w:p w14:paraId="5F8285FE" w14:textId="58F5DCFE" w:rsidR="00BD4A4D" w:rsidRPr="00BD4A4D" w:rsidRDefault="00BD4A4D" w:rsidP="00BD4A4D">
      <w:r w:rsidRPr="00BD4A4D">
        <w:t xml:space="preserve"> Enforce access control on server side based on user context.</w:t>
      </w:r>
    </w:p>
    <w:p w14:paraId="047B3417" w14:textId="6A259AB3" w:rsidR="00BD4A4D" w:rsidRDefault="00526E14" w:rsidP="00526E14">
      <w:pPr>
        <w:pStyle w:val="Heading2"/>
      </w:pPr>
      <w:r w:rsidRPr="00526E14">
        <w:t>Impact</w:t>
      </w:r>
    </w:p>
    <w:p w14:paraId="10F36E37" w14:textId="77777777" w:rsidR="00526E14" w:rsidRDefault="00526E14" w:rsidP="00526E14">
      <w:pPr>
        <w:pStyle w:val="NoSpacing"/>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6048"/>
      </w:tblGrid>
      <w:tr w:rsidR="00526E14" w:rsidRPr="00526E14" w14:paraId="4BB2C57D" w14:textId="77777777" w:rsidTr="00526E14">
        <w:trPr>
          <w:tblHeader/>
          <w:tblCellSpacing w:w="15" w:type="dxa"/>
        </w:trPr>
        <w:tc>
          <w:tcPr>
            <w:tcW w:w="0" w:type="auto"/>
            <w:vAlign w:val="center"/>
            <w:hideMark/>
          </w:tcPr>
          <w:p w14:paraId="1B8E82CE" w14:textId="77777777" w:rsidR="00526E14" w:rsidRPr="00526E14" w:rsidRDefault="00526E14" w:rsidP="00526E14">
            <w:pPr>
              <w:pStyle w:val="NoSpacing"/>
              <w:rPr>
                <w:b/>
                <w:bCs/>
              </w:rPr>
            </w:pPr>
            <w:r w:rsidRPr="00526E14">
              <w:rPr>
                <w:b/>
                <w:bCs/>
              </w:rPr>
              <w:t>Type</w:t>
            </w:r>
          </w:p>
        </w:tc>
        <w:tc>
          <w:tcPr>
            <w:tcW w:w="0" w:type="auto"/>
            <w:vAlign w:val="center"/>
            <w:hideMark/>
          </w:tcPr>
          <w:p w14:paraId="453CE1E4" w14:textId="77777777" w:rsidR="00526E14" w:rsidRPr="00526E14" w:rsidRDefault="00526E14" w:rsidP="00526E14">
            <w:pPr>
              <w:pStyle w:val="NoSpacing"/>
              <w:rPr>
                <w:b/>
                <w:bCs/>
              </w:rPr>
            </w:pPr>
            <w:r w:rsidRPr="00526E14">
              <w:rPr>
                <w:b/>
                <w:bCs/>
              </w:rPr>
              <w:t>Description</w:t>
            </w:r>
          </w:p>
        </w:tc>
      </w:tr>
      <w:tr w:rsidR="00526E14" w:rsidRPr="00526E14" w14:paraId="441D9648" w14:textId="77777777" w:rsidTr="00526E14">
        <w:trPr>
          <w:tblCellSpacing w:w="15" w:type="dxa"/>
        </w:trPr>
        <w:tc>
          <w:tcPr>
            <w:tcW w:w="0" w:type="auto"/>
            <w:vAlign w:val="center"/>
            <w:hideMark/>
          </w:tcPr>
          <w:p w14:paraId="244F2833" w14:textId="6CE077CF" w:rsidR="00526E14" w:rsidRPr="00526E14" w:rsidRDefault="00526E14" w:rsidP="00526E14">
            <w:pPr>
              <w:pStyle w:val="NoSpacing"/>
            </w:pPr>
            <w:r w:rsidRPr="00526E14">
              <w:rPr>
                <w:b/>
                <w:bCs/>
              </w:rPr>
              <w:t>Data Breach</w:t>
            </w:r>
          </w:p>
        </w:tc>
        <w:tc>
          <w:tcPr>
            <w:tcW w:w="0" w:type="auto"/>
            <w:vAlign w:val="center"/>
            <w:hideMark/>
          </w:tcPr>
          <w:p w14:paraId="0BC5F390" w14:textId="77777777" w:rsidR="00526E14" w:rsidRPr="00526E14" w:rsidRDefault="00526E14" w:rsidP="00526E14">
            <w:pPr>
              <w:pStyle w:val="NoSpacing"/>
            </w:pPr>
            <w:r w:rsidRPr="00526E14">
              <w:t>Exposure of sensitive data (PII, health records, payments).</w:t>
            </w:r>
          </w:p>
        </w:tc>
      </w:tr>
      <w:tr w:rsidR="00526E14" w:rsidRPr="00526E14" w14:paraId="349C29D3" w14:textId="77777777" w:rsidTr="00526E14">
        <w:trPr>
          <w:tblCellSpacing w:w="15" w:type="dxa"/>
        </w:trPr>
        <w:tc>
          <w:tcPr>
            <w:tcW w:w="0" w:type="auto"/>
            <w:vAlign w:val="center"/>
            <w:hideMark/>
          </w:tcPr>
          <w:p w14:paraId="3E1B201F" w14:textId="0088DA3D" w:rsidR="00526E14" w:rsidRPr="00526E14" w:rsidRDefault="00526E14" w:rsidP="00526E14">
            <w:pPr>
              <w:pStyle w:val="NoSpacing"/>
            </w:pPr>
            <w:r w:rsidRPr="00526E14">
              <w:rPr>
                <w:b/>
                <w:bCs/>
              </w:rPr>
              <w:t>Business Risk</w:t>
            </w:r>
          </w:p>
        </w:tc>
        <w:tc>
          <w:tcPr>
            <w:tcW w:w="0" w:type="auto"/>
            <w:vAlign w:val="center"/>
            <w:hideMark/>
          </w:tcPr>
          <w:p w14:paraId="31AC288B" w14:textId="77777777" w:rsidR="00526E14" w:rsidRPr="00526E14" w:rsidRDefault="00526E14" w:rsidP="00526E14">
            <w:pPr>
              <w:pStyle w:val="NoSpacing"/>
            </w:pPr>
            <w:r w:rsidRPr="00526E14">
              <w:t>Compliance violations (GDPR, HIPAA, PCI-DSS).</w:t>
            </w:r>
          </w:p>
        </w:tc>
      </w:tr>
      <w:tr w:rsidR="00526E14" w:rsidRPr="00526E14" w14:paraId="11C7296C" w14:textId="77777777" w:rsidTr="00526E14">
        <w:trPr>
          <w:tblCellSpacing w:w="15" w:type="dxa"/>
        </w:trPr>
        <w:tc>
          <w:tcPr>
            <w:tcW w:w="0" w:type="auto"/>
            <w:vAlign w:val="center"/>
            <w:hideMark/>
          </w:tcPr>
          <w:p w14:paraId="65FD4882" w14:textId="4C18703B" w:rsidR="00526E14" w:rsidRPr="00526E14" w:rsidRDefault="00526E14" w:rsidP="00526E14">
            <w:pPr>
              <w:pStyle w:val="NoSpacing"/>
            </w:pPr>
            <w:r w:rsidRPr="00526E14">
              <w:rPr>
                <w:b/>
                <w:bCs/>
              </w:rPr>
              <w:t>Privilege Escalation</w:t>
            </w:r>
          </w:p>
        </w:tc>
        <w:tc>
          <w:tcPr>
            <w:tcW w:w="0" w:type="auto"/>
            <w:vAlign w:val="center"/>
            <w:hideMark/>
          </w:tcPr>
          <w:p w14:paraId="40D3A0A8" w14:textId="77777777" w:rsidR="00526E14" w:rsidRPr="00526E14" w:rsidRDefault="00526E14" w:rsidP="00526E14">
            <w:pPr>
              <w:pStyle w:val="NoSpacing"/>
            </w:pPr>
            <w:r w:rsidRPr="00526E14">
              <w:t>Gaining access to other users' assets.</w:t>
            </w:r>
          </w:p>
        </w:tc>
      </w:tr>
      <w:tr w:rsidR="00526E14" w:rsidRPr="00526E14" w14:paraId="335EDCDA" w14:textId="77777777" w:rsidTr="00526E14">
        <w:trPr>
          <w:tblCellSpacing w:w="15" w:type="dxa"/>
        </w:trPr>
        <w:tc>
          <w:tcPr>
            <w:tcW w:w="0" w:type="auto"/>
            <w:vAlign w:val="center"/>
            <w:hideMark/>
          </w:tcPr>
          <w:p w14:paraId="208CC64A" w14:textId="03E39ECB" w:rsidR="00526E14" w:rsidRPr="00526E14" w:rsidRDefault="00526E14" w:rsidP="00526E14">
            <w:pPr>
              <w:pStyle w:val="NoSpacing"/>
            </w:pPr>
            <w:r w:rsidRPr="00526E14">
              <w:rPr>
                <w:b/>
                <w:bCs/>
              </w:rPr>
              <w:t>Reputation Damage</w:t>
            </w:r>
          </w:p>
        </w:tc>
        <w:tc>
          <w:tcPr>
            <w:tcW w:w="0" w:type="auto"/>
            <w:vAlign w:val="center"/>
            <w:hideMark/>
          </w:tcPr>
          <w:p w14:paraId="539FC53F" w14:textId="77777777" w:rsidR="00526E14" w:rsidRPr="00526E14" w:rsidRDefault="00526E14" w:rsidP="00526E14">
            <w:pPr>
              <w:pStyle w:val="NoSpacing"/>
            </w:pPr>
            <w:r w:rsidRPr="00526E14">
              <w:t>Public breaches from IDOR/BOLA are common.</w:t>
            </w:r>
          </w:p>
        </w:tc>
      </w:tr>
    </w:tbl>
    <w:p w14:paraId="46258049" w14:textId="71747EE7" w:rsidR="00526E14" w:rsidRDefault="00526E14" w:rsidP="00526E14">
      <w:pPr>
        <w:pStyle w:val="Heading1"/>
      </w:pPr>
      <w:r w:rsidRPr="00526E14">
        <w:t>Types of BOLA / IDOR</w:t>
      </w:r>
    </w:p>
    <w:p w14:paraId="1D2BF40C" w14:textId="77777777" w:rsidR="00526E14" w:rsidRPr="00526E14" w:rsidRDefault="00526E14" w:rsidP="00526E14">
      <w:pPr>
        <w:pStyle w:val="Heading2"/>
      </w:pPr>
      <w:r w:rsidRPr="00526E14">
        <w:t>Horizontal Privilege Escalation (Classic IDOR)</w:t>
      </w:r>
    </w:p>
    <w:p w14:paraId="3A3E331F" w14:textId="77777777" w:rsidR="00526E14" w:rsidRPr="00526E14" w:rsidRDefault="00526E14" w:rsidP="00526E14">
      <w:pPr>
        <w:numPr>
          <w:ilvl w:val="0"/>
          <w:numId w:val="1"/>
        </w:numPr>
      </w:pPr>
      <w:r w:rsidRPr="00526E14">
        <w:rPr>
          <w:b/>
          <w:bCs/>
        </w:rPr>
        <w:t>Definition</w:t>
      </w:r>
      <w:r w:rsidRPr="00526E14">
        <w:t>: Access peer-level resources using object identifiers.</w:t>
      </w:r>
    </w:p>
    <w:p w14:paraId="7F3C0007" w14:textId="77777777" w:rsidR="00526E14" w:rsidRPr="00526E14" w:rsidRDefault="00526E14" w:rsidP="00526E14">
      <w:pPr>
        <w:numPr>
          <w:ilvl w:val="0"/>
          <w:numId w:val="1"/>
        </w:numPr>
      </w:pPr>
      <w:r w:rsidRPr="00526E14">
        <w:rPr>
          <w:b/>
          <w:bCs/>
        </w:rPr>
        <w:lastRenderedPageBreak/>
        <w:t>Example</w:t>
      </w:r>
      <w:r w:rsidRPr="00526E14">
        <w:t>: /user/</w:t>
      </w:r>
      <w:proofErr w:type="spellStart"/>
      <w:r w:rsidRPr="00526E14">
        <w:t>record?id</w:t>
      </w:r>
      <w:proofErr w:type="spellEnd"/>
      <w:r w:rsidRPr="00526E14">
        <w:t>=122 → change to another user's ID.</w:t>
      </w:r>
    </w:p>
    <w:p w14:paraId="3BDA0F98" w14:textId="77777777" w:rsidR="00526E14" w:rsidRPr="00526E14" w:rsidRDefault="00526E14" w:rsidP="00526E14">
      <w:pPr>
        <w:numPr>
          <w:ilvl w:val="0"/>
          <w:numId w:val="1"/>
        </w:numPr>
      </w:pPr>
      <w:r w:rsidRPr="00526E14">
        <w:rPr>
          <w:b/>
          <w:bCs/>
        </w:rPr>
        <w:t>Mitigation</w:t>
      </w:r>
      <w:r w:rsidRPr="00526E14">
        <w:t>: Validate ownership on server-side per session/user context.</w:t>
      </w:r>
    </w:p>
    <w:p w14:paraId="6B69298D" w14:textId="77777777" w:rsidR="00526E14" w:rsidRPr="00526E14" w:rsidRDefault="00526E14" w:rsidP="00526E14">
      <w:pPr>
        <w:pStyle w:val="Heading2"/>
      </w:pPr>
      <w:r w:rsidRPr="00526E14">
        <w:t>2. Vertical Privilege Escalation (Elevated Object Access)</w:t>
      </w:r>
    </w:p>
    <w:p w14:paraId="3C6C04ED" w14:textId="77777777" w:rsidR="00526E14" w:rsidRPr="00526E14" w:rsidRDefault="00526E14" w:rsidP="00526E14">
      <w:pPr>
        <w:numPr>
          <w:ilvl w:val="0"/>
          <w:numId w:val="2"/>
        </w:numPr>
      </w:pPr>
      <w:r w:rsidRPr="00526E14">
        <w:rPr>
          <w:b/>
          <w:bCs/>
        </w:rPr>
        <w:t>Definition</w:t>
      </w:r>
      <w:r w:rsidRPr="00526E14">
        <w:t>: Non-admin accessing admin-owned resources.</w:t>
      </w:r>
    </w:p>
    <w:p w14:paraId="1705D7EF" w14:textId="77777777" w:rsidR="00526E14" w:rsidRPr="00526E14" w:rsidRDefault="00526E14" w:rsidP="00526E14">
      <w:pPr>
        <w:numPr>
          <w:ilvl w:val="0"/>
          <w:numId w:val="2"/>
        </w:numPr>
      </w:pPr>
      <w:r w:rsidRPr="00526E14">
        <w:rPr>
          <w:b/>
          <w:bCs/>
        </w:rPr>
        <w:t>Example</w:t>
      </w:r>
      <w:r w:rsidRPr="00526E14">
        <w:t>: /admin/settings/102</w:t>
      </w:r>
    </w:p>
    <w:p w14:paraId="5639AB83" w14:textId="77777777" w:rsidR="00526E14" w:rsidRPr="00526E14" w:rsidRDefault="00526E14" w:rsidP="00526E14">
      <w:pPr>
        <w:numPr>
          <w:ilvl w:val="0"/>
          <w:numId w:val="2"/>
        </w:numPr>
      </w:pPr>
      <w:r w:rsidRPr="00526E14">
        <w:rPr>
          <w:b/>
          <w:bCs/>
        </w:rPr>
        <w:t>Mitigation</w:t>
      </w:r>
      <w:r w:rsidRPr="00526E14">
        <w:t>: Role-based access check before object access.</w:t>
      </w:r>
    </w:p>
    <w:p w14:paraId="25F6E583" w14:textId="77777777" w:rsidR="00526E14" w:rsidRPr="00526E14" w:rsidRDefault="00526E14" w:rsidP="00526E14">
      <w:pPr>
        <w:pStyle w:val="Heading2"/>
      </w:pPr>
      <w:r w:rsidRPr="00526E14">
        <w:t>3. Mass Assignment (Object Injection)</w:t>
      </w:r>
    </w:p>
    <w:p w14:paraId="0BCF9129" w14:textId="77777777" w:rsidR="00526E14" w:rsidRDefault="00526E14" w:rsidP="00526E14">
      <w:pPr>
        <w:numPr>
          <w:ilvl w:val="0"/>
          <w:numId w:val="3"/>
        </w:numPr>
      </w:pPr>
      <w:r w:rsidRPr="00526E14">
        <w:rPr>
          <w:b/>
          <w:bCs/>
        </w:rPr>
        <w:t>Definition</w:t>
      </w:r>
      <w:r w:rsidRPr="00526E14">
        <w:t>: Modifying multiple object properties via API that should not be allowed.</w:t>
      </w:r>
    </w:p>
    <w:p w14:paraId="52F67645" w14:textId="3A4CF940" w:rsidR="00526E14" w:rsidRDefault="00526E14" w:rsidP="00526E14">
      <w:pPr>
        <w:numPr>
          <w:ilvl w:val="0"/>
          <w:numId w:val="3"/>
        </w:numPr>
      </w:pPr>
      <w:proofErr w:type="gramStart"/>
      <w:r w:rsidRPr="00526E14">
        <w:rPr>
          <w:b/>
          <w:bCs/>
        </w:rPr>
        <w:t>Example</w:t>
      </w:r>
      <w:r w:rsidRPr="00526E14">
        <w:t>:</w:t>
      </w:r>
      <w:r>
        <w:t xml:space="preserve"> </w:t>
      </w:r>
      <w:r w:rsidRPr="00526E14">
        <w:t>{</w:t>
      </w:r>
      <w:proofErr w:type="gramEnd"/>
      <w:r w:rsidRPr="00526E14">
        <w:t>"</w:t>
      </w:r>
      <w:proofErr w:type="spellStart"/>
      <w:r w:rsidRPr="00526E14">
        <w:t>userId</w:t>
      </w:r>
      <w:proofErr w:type="spellEnd"/>
      <w:r w:rsidRPr="00526E14">
        <w:t>": 101, "role": "</w:t>
      </w:r>
      <w:proofErr w:type="gramStart"/>
      <w:r w:rsidRPr="00526E14">
        <w:t>admin"}</w:t>
      </w:r>
      <w:proofErr w:type="gramEnd"/>
    </w:p>
    <w:p w14:paraId="282AD310" w14:textId="4D3AAB8B" w:rsidR="00526E14" w:rsidRDefault="00526E14" w:rsidP="00526E14">
      <w:pPr>
        <w:numPr>
          <w:ilvl w:val="0"/>
          <w:numId w:val="3"/>
        </w:numPr>
      </w:pPr>
      <w:r w:rsidRPr="00526E14">
        <w:rPr>
          <w:b/>
          <w:bCs/>
        </w:rPr>
        <w:t>Mitigation</w:t>
      </w:r>
      <w:r w:rsidRPr="00526E14">
        <w:t>: Use allow-lists to define updatable properties.</w:t>
      </w:r>
    </w:p>
    <w:p w14:paraId="2CEFF6D7" w14:textId="77777777" w:rsidR="00526E14" w:rsidRPr="00526E14" w:rsidRDefault="00526E14" w:rsidP="00526E14">
      <w:pPr>
        <w:pStyle w:val="Heading2"/>
      </w:pPr>
      <w:r w:rsidRPr="00526E14">
        <w:t>4. Reference Prediction</w:t>
      </w:r>
    </w:p>
    <w:p w14:paraId="0CDD563F" w14:textId="77777777" w:rsidR="00526E14" w:rsidRPr="00526E14" w:rsidRDefault="00526E14" w:rsidP="00526E14">
      <w:pPr>
        <w:numPr>
          <w:ilvl w:val="0"/>
          <w:numId w:val="4"/>
        </w:numPr>
      </w:pPr>
      <w:r w:rsidRPr="00526E14">
        <w:rPr>
          <w:b/>
          <w:bCs/>
        </w:rPr>
        <w:t>Definition</w:t>
      </w:r>
      <w:r w:rsidRPr="00526E14">
        <w:t>: Guessing predictable object IDs (e.g., incremental IDs).</w:t>
      </w:r>
    </w:p>
    <w:p w14:paraId="224274F2" w14:textId="77777777" w:rsidR="00526E14" w:rsidRPr="00526E14" w:rsidRDefault="00526E14" w:rsidP="00526E14">
      <w:pPr>
        <w:numPr>
          <w:ilvl w:val="0"/>
          <w:numId w:val="4"/>
        </w:numPr>
      </w:pPr>
      <w:r w:rsidRPr="00526E14">
        <w:rPr>
          <w:b/>
          <w:bCs/>
        </w:rPr>
        <w:t>Mitigation</w:t>
      </w:r>
      <w:r w:rsidRPr="00526E14">
        <w:t>: Use UUIDs or unpredictable tokens for references.</w:t>
      </w:r>
    </w:p>
    <w:p w14:paraId="68A0F9E8" w14:textId="4A35980F" w:rsidR="00526E14" w:rsidRDefault="00526E14" w:rsidP="00526E14">
      <w:pPr>
        <w:pStyle w:val="Heading1"/>
      </w:pPr>
      <w:r w:rsidRPr="00526E14">
        <w:t>Testing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687"/>
        <w:gridCol w:w="4129"/>
      </w:tblGrid>
      <w:tr w:rsidR="00526E14" w:rsidRPr="00526E14" w14:paraId="5EC3E4B0" w14:textId="77777777" w:rsidTr="00526E14">
        <w:trPr>
          <w:tblHeader/>
          <w:tblCellSpacing w:w="15" w:type="dxa"/>
        </w:trPr>
        <w:tc>
          <w:tcPr>
            <w:tcW w:w="0" w:type="auto"/>
            <w:vAlign w:val="center"/>
            <w:hideMark/>
          </w:tcPr>
          <w:p w14:paraId="5DCCD745" w14:textId="77777777" w:rsidR="00526E14" w:rsidRPr="00526E14" w:rsidRDefault="00526E14" w:rsidP="00526E14">
            <w:pPr>
              <w:pStyle w:val="NoSpacing"/>
            </w:pPr>
            <w:r w:rsidRPr="00526E14">
              <w:t>Method</w:t>
            </w:r>
          </w:p>
        </w:tc>
        <w:tc>
          <w:tcPr>
            <w:tcW w:w="0" w:type="auto"/>
            <w:vAlign w:val="center"/>
            <w:hideMark/>
          </w:tcPr>
          <w:p w14:paraId="166B550D" w14:textId="77777777" w:rsidR="00526E14" w:rsidRPr="00526E14" w:rsidRDefault="00526E14" w:rsidP="00526E14">
            <w:pPr>
              <w:pStyle w:val="NoSpacing"/>
            </w:pPr>
            <w:r w:rsidRPr="00526E14">
              <w:t>Tool</w:t>
            </w:r>
          </w:p>
        </w:tc>
        <w:tc>
          <w:tcPr>
            <w:tcW w:w="0" w:type="auto"/>
            <w:vAlign w:val="center"/>
            <w:hideMark/>
          </w:tcPr>
          <w:p w14:paraId="2EAA852D" w14:textId="77777777" w:rsidR="00526E14" w:rsidRPr="00526E14" w:rsidRDefault="00526E14" w:rsidP="00526E14">
            <w:pPr>
              <w:pStyle w:val="NoSpacing"/>
            </w:pPr>
            <w:r w:rsidRPr="00526E14">
              <w:t>Description</w:t>
            </w:r>
          </w:p>
        </w:tc>
      </w:tr>
      <w:tr w:rsidR="00526E14" w:rsidRPr="00526E14" w14:paraId="016584C0" w14:textId="77777777" w:rsidTr="00526E14">
        <w:trPr>
          <w:tblCellSpacing w:w="15" w:type="dxa"/>
        </w:trPr>
        <w:tc>
          <w:tcPr>
            <w:tcW w:w="0" w:type="auto"/>
            <w:vAlign w:val="center"/>
            <w:hideMark/>
          </w:tcPr>
          <w:p w14:paraId="1C292FDF" w14:textId="5DF9359E" w:rsidR="00526E14" w:rsidRPr="00526E14" w:rsidRDefault="00526E14" w:rsidP="00526E14">
            <w:pPr>
              <w:pStyle w:val="NoSpacing"/>
            </w:pPr>
            <w:r w:rsidRPr="00526E14">
              <w:t>Manual ID Change</w:t>
            </w:r>
          </w:p>
        </w:tc>
        <w:tc>
          <w:tcPr>
            <w:tcW w:w="0" w:type="auto"/>
            <w:vAlign w:val="center"/>
            <w:hideMark/>
          </w:tcPr>
          <w:p w14:paraId="731E421E" w14:textId="77777777" w:rsidR="00526E14" w:rsidRPr="00526E14" w:rsidRDefault="00526E14" w:rsidP="00526E14">
            <w:pPr>
              <w:pStyle w:val="NoSpacing"/>
            </w:pPr>
            <w:r w:rsidRPr="00526E14">
              <w:t>Burp Suite Repeater</w:t>
            </w:r>
          </w:p>
        </w:tc>
        <w:tc>
          <w:tcPr>
            <w:tcW w:w="0" w:type="auto"/>
            <w:vAlign w:val="center"/>
            <w:hideMark/>
          </w:tcPr>
          <w:p w14:paraId="6ADB7D5F" w14:textId="77777777" w:rsidR="00526E14" w:rsidRPr="00526E14" w:rsidRDefault="00526E14" w:rsidP="00526E14">
            <w:pPr>
              <w:pStyle w:val="NoSpacing"/>
            </w:pPr>
            <w:r w:rsidRPr="00526E14">
              <w:t>Change object ID and observe response</w:t>
            </w:r>
          </w:p>
        </w:tc>
      </w:tr>
      <w:tr w:rsidR="00526E14" w:rsidRPr="00526E14" w14:paraId="04F09C19" w14:textId="77777777" w:rsidTr="00526E14">
        <w:trPr>
          <w:tblCellSpacing w:w="15" w:type="dxa"/>
        </w:trPr>
        <w:tc>
          <w:tcPr>
            <w:tcW w:w="0" w:type="auto"/>
            <w:vAlign w:val="center"/>
            <w:hideMark/>
          </w:tcPr>
          <w:p w14:paraId="2EA26822" w14:textId="37E7E784" w:rsidR="00526E14" w:rsidRPr="00526E14" w:rsidRDefault="00526E14" w:rsidP="00526E14">
            <w:pPr>
              <w:pStyle w:val="NoSpacing"/>
            </w:pPr>
            <w:proofErr w:type="spellStart"/>
            <w:r w:rsidRPr="00526E14">
              <w:t>AuthMatrix</w:t>
            </w:r>
            <w:proofErr w:type="spellEnd"/>
            <w:r w:rsidRPr="00526E14">
              <w:t xml:space="preserve"> (Burp Plugin)</w:t>
            </w:r>
          </w:p>
        </w:tc>
        <w:tc>
          <w:tcPr>
            <w:tcW w:w="0" w:type="auto"/>
            <w:vAlign w:val="center"/>
            <w:hideMark/>
          </w:tcPr>
          <w:p w14:paraId="2781A48A" w14:textId="77777777" w:rsidR="00526E14" w:rsidRPr="00526E14" w:rsidRDefault="00526E14" w:rsidP="00526E14">
            <w:pPr>
              <w:pStyle w:val="NoSpacing"/>
            </w:pPr>
            <w:r w:rsidRPr="00526E14">
              <w:t>Role/object matrix testing</w:t>
            </w:r>
          </w:p>
        </w:tc>
        <w:tc>
          <w:tcPr>
            <w:tcW w:w="0" w:type="auto"/>
            <w:vAlign w:val="center"/>
            <w:hideMark/>
          </w:tcPr>
          <w:p w14:paraId="33920C5A" w14:textId="77777777" w:rsidR="00526E14" w:rsidRPr="00526E14" w:rsidRDefault="00526E14" w:rsidP="00526E14">
            <w:pPr>
              <w:pStyle w:val="NoSpacing"/>
            </w:pPr>
            <w:r w:rsidRPr="00526E14">
              <w:t>Automate role-object relationships</w:t>
            </w:r>
          </w:p>
        </w:tc>
      </w:tr>
      <w:tr w:rsidR="00526E14" w:rsidRPr="00526E14" w14:paraId="2D1F3892" w14:textId="77777777" w:rsidTr="00526E14">
        <w:trPr>
          <w:tblCellSpacing w:w="15" w:type="dxa"/>
        </w:trPr>
        <w:tc>
          <w:tcPr>
            <w:tcW w:w="0" w:type="auto"/>
            <w:vAlign w:val="center"/>
            <w:hideMark/>
          </w:tcPr>
          <w:p w14:paraId="1DA11A2D" w14:textId="40CD61F4" w:rsidR="00526E14" w:rsidRPr="00526E14" w:rsidRDefault="00526E14" w:rsidP="00526E14">
            <w:pPr>
              <w:pStyle w:val="NoSpacing"/>
            </w:pPr>
            <w:r w:rsidRPr="00526E14">
              <w:t>Postman</w:t>
            </w:r>
          </w:p>
        </w:tc>
        <w:tc>
          <w:tcPr>
            <w:tcW w:w="0" w:type="auto"/>
            <w:vAlign w:val="center"/>
            <w:hideMark/>
          </w:tcPr>
          <w:p w14:paraId="4875FD30" w14:textId="77777777" w:rsidR="00526E14" w:rsidRPr="00526E14" w:rsidRDefault="00526E14" w:rsidP="00526E14">
            <w:pPr>
              <w:pStyle w:val="NoSpacing"/>
            </w:pPr>
            <w:r w:rsidRPr="00526E14">
              <w:t>API token testing</w:t>
            </w:r>
          </w:p>
        </w:tc>
        <w:tc>
          <w:tcPr>
            <w:tcW w:w="0" w:type="auto"/>
            <w:vAlign w:val="center"/>
            <w:hideMark/>
          </w:tcPr>
          <w:p w14:paraId="717EEB8B" w14:textId="77777777" w:rsidR="00526E14" w:rsidRPr="00526E14" w:rsidRDefault="00526E14" w:rsidP="00526E14">
            <w:pPr>
              <w:pStyle w:val="NoSpacing"/>
            </w:pPr>
            <w:r w:rsidRPr="00526E14">
              <w:t>Try different object IDs via API calls</w:t>
            </w:r>
          </w:p>
        </w:tc>
      </w:tr>
      <w:tr w:rsidR="00526E14" w:rsidRPr="00526E14" w14:paraId="4B5137D2" w14:textId="77777777" w:rsidTr="00526E14">
        <w:trPr>
          <w:tblCellSpacing w:w="15" w:type="dxa"/>
        </w:trPr>
        <w:tc>
          <w:tcPr>
            <w:tcW w:w="0" w:type="auto"/>
            <w:vAlign w:val="center"/>
            <w:hideMark/>
          </w:tcPr>
          <w:p w14:paraId="21CA034C" w14:textId="331FE62F" w:rsidR="00526E14" w:rsidRPr="00526E14" w:rsidRDefault="00526E14" w:rsidP="00526E14">
            <w:pPr>
              <w:pStyle w:val="NoSpacing"/>
            </w:pPr>
            <w:r w:rsidRPr="00526E14">
              <w:t>Automated Scanning</w:t>
            </w:r>
          </w:p>
        </w:tc>
        <w:tc>
          <w:tcPr>
            <w:tcW w:w="0" w:type="auto"/>
            <w:vAlign w:val="center"/>
            <w:hideMark/>
          </w:tcPr>
          <w:p w14:paraId="5DED2E4F" w14:textId="77777777" w:rsidR="00526E14" w:rsidRPr="00526E14" w:rsidRDefault="00526E14" w:rsidP="00526E14">
            <w:pPr>
              <w:pStyle w:val="NoSpacing"/>
            </w:pPr>
            <w:r w:rsidRPr="00526E14">
              <w:t>OWASP ZAP</w:t>
            </w:r>
          </w:p>
        </w:tc>
        <w:tc>
          <w:tcPr>
            <w:tcW w:w="0" w:type="auto"/>
            <w:vAlign w:val="center"/>
            <w:hideMark/>
          </w:tcPr>
          <w:p w14:paraId="6F167346" w14:textId="77777777" w:rsidR="00526E14" w:rsidRPr="00526E14" w:rsidRDefault="00526E14" w:rsidP="00526E14">
            <w:pPr>
              <w:pStyle w:val="NoSpacing"/>
            </w:pPr>
            <w:r w:rsidRPr="00526E14">
              <w:t>Detect basic IDOR patterns (limited)</w:t>
            </w:r>
          </w:p>
        </w:tc>
      </w:tr>
    </w:tbl>
    <w:p w14:paraId="2E55211D" w14:textId="190E82CF" w:rsidR="00526E14" w:rsidRDefault="00526E14" w:rsidP="00526E14">
      <w:pPr>
        <w:pStyle w:val="Heading1"/>
      </w:pPr>
      <w:r w:rsidRPr="00526E14">
        <w:t>Mitigation Strategies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0"/>
        <w:gridCol w:w="6020"/>
      </w:tblGrid>
      <w:tr w:rsidR="00526E14" w:rsidRPr="00526E14" w14:paraId="53ACEEEC" w14:textId="77777777" w:rsidTr="00526E14">
        <w:trPr>
          <w:tblHeader/>
          <w:tblCellSpacing w:w="15" w:type="dxa"/>
        </w:trPr>
        <w:tc>
          <w:tcPr>
            <w:tcW w:w="0" w:type="auto"/>
            <w:vAlign w:val="center"/>
            <w:hideMark/>
          </w:tcPr>
          <w:p w14:paraId="60FC7D34" w14:textId="77777777" w:rsidR="00526E14" w:rsidRPr="00526E14" w:rsidRDefault="00526E14" w:rsidP="00526E14">
            <w:pPr>
              <w:pStyle w:val="NoSpacing"/>
            </w:pPr>
            <w:r w:rsidRPr="00526E14">
              <w:t>Area</w:t>
            </w:r>
          </w:p>
        </w:tc>
        <w:tc>
          <w:tcPr>
            <w:tcW w:w="0" w:type="auto"/>
            <w:vAlign w:val="center"/>
            <w:hideMark/>
          </w:tcPr>
          <w:p w14:paraId="515C0EB4" w14:textId="77777777" w:rsidR="00526E14" w:rsidRPr="00526E14" w:rsidRDefault="00526E14" w:rsidP="00526E14">
            <w:pPr>
              <w:pStyle w:val="NoSpacing"/>
            </w:pPr>
            <w:r w:rsidRPr="00526E14">
              <w:t>Control</w:t>
            </w:r>
          </w:p>
        </w:tc>
      </w:tr>
      <w:tr w:rsidR="00526E14" w:rsidRPr="00526E14" w14:paraId="090CB12B" w14:textId="77777777" w:rsidTr="00526E14">
        <w:trPr>
          <w:tblCellSpacing w:w="15" w:type="dxa"/>
        </w:trPr>
        <w:tc>
          <w:tcPr>
            <w:tcW w:w="0" w:type="auto"/>
            <w:vAlign w:val="center"/>
            <w:hideMark/>
          </w:tcPr>
          <w:p w14:paraId="2C56C447" w14:textId="6AA91364" w:rsidR="00526E14" w:rsidRPr="00526E14" w:rsidRDefault="00526E14" w:rsidP="00526E14">
            <w:pPr>
              <w:pStyle w:val="NoSpacing"/>
            </w:pPr>
            <w:r w:rsidRPr="00526E14">
              <w:t>Enforce Object Ownership Checks</w:t>
            </w:r>
          </w:p>
        </w:tc>
        <w:tc>
          <w:tcPr>
            <w:tcW w:w="0" w:type="auto"/>
            <w:vAlign w:val="center"/>
            <w:hideMark/>
          </w:tcPr>
          <w:p w14:paraId="17B4AAE4" w14:textId="77777777" w:rsidR="00526E14" w:rsidRPr="00526E14" w:rsidRDefault="00526E14" w:rsidP="00526E14">
            <w:pPr>
              <w:pStyle w:val="NoSpacing"/>
            </w:pPr>
            <w:r w:rsidRPr="00526E14">
              <w:t>Every object access should validate user session and ownership.</w:t>
            </w:r>
          </w:p>
        </w:tc>
      </w:tr>
      <w:tr w:rsidR="00526E14" w:rsidRPr="00526E14" w14:paraId="0F05CAC0" w14:textId="77777777" w:rsidTr="00526E14">
        <w:trPr>
          <w:tblCellSpacing w:w="15" w:type="dxa"/>
        </w:trPr>
        <w:tc>
          <w:tcPr>
            <w:tcW w:w="0" w:type="auto"/>
            <w:vAlign w:val="center"/>
            <w:hideMark/>
          </w:tcPr>
          <w:p w14:paraId="46F564E9" w14:textId="583EA3D0" w:rsidR="00526E14" w:rsidRPr="00526E14" w:rsidRDefault="00526E14" w:rsidP="00526E14">
            <w:pPr>
              <w:pStyle w:val="NoSpacing"/>
            </w:pPr>
            <w:r w:rsidRPr="00526E14">
              <w:t>Use Indirect Object References</w:t>
            </w:r>
          </w:p>
        </w:tc>
        <w:tc>
          <w:tcPr>
            <w:tcW w:w="0" w:type="auto"/>
            <w:vAlign w:val="center"/>
            <w:hideMark/>
          </w:tcPr>
          <w:p w14:paraId="4F2D1184" w14:textId="77777777" w:rsidR="00526E14" w:rsidRPr="00526E14" w:rsidRDefault="00526E14" w:rsidP="00526E14">
            <w:pPr>
              <w:pStyle w:val="NoSpacing"/>
            </w:pPr>
            <w:r w:rsidRPr="00526E14">
              <w:t>Don’t expose database IDs directly; use UUID or hash.</w:t>
            </w:r>
          </w:p>
        </w:tc>
      </w:tr>
      <w:tr w:rsidR="00526E14" w:rsidRPr="00526E14" w14:paraId="6E10F2B0" w14:textId="77777777" w:rsidTr="00526E14">
        <w:trPr>
          <w:tblCellSpacing w:w="15" w:type="dxa"/>
        </w:trPr>
        <w:tc>
          <w:tcPr>
            <w:tcW w:w="0" w:type="auto"/>
            <w:vAlign w:val="center"/>
            <w:hideMark/>
          </w:tcPr>
          <w:p w14:paraId="6C3FDA66" w14:textId="297974C7" w:rsidR="00526E14" w:rsidRPr="00526E14" w:rsidRDefault="00526E14" w:rsidP="00526E14">
            <w:pPr>
              <w:pStyle w:val="NoSpacing"/>
            </w:pPr>
            <w:r w:rsidRPr="00526E14">
              <w:t>Avoid Mass Assignment</w:t>
            </w:r>
          </w:p>
        </w:tc>
        <w:tc>
          <w:tcPr>
            <w:tcW w:w="0" w:type="auto"/>
            <w:vAlign w:val="center"/>
            <w:hideMark/>
          </w:tcPr>
          <w:p w14:paraId="68AA732A" w14:textId="77777777" w:rsidR="00526E14" w:rsidRPr="00526E14" w:rsidRDefault="00526E14" w:rsidP="00526E14">
            <w:pPr>
              <w:pStyle w:val="NoSpacing"/>
            </w:pPr>
            <w:r w:rsidRPr="00526E14">
              <w:t>Explicitly define which fields are editable.</w:t>
            </w:r>
          </w:p>
        </w:tc>
      </w:tr>
      <w:tr w:rsidR="00526E14" w:rsidRPr="00526E14" w14:paraId="1BD1B1AD" w14:textId="77777777" w:rsidTr="00526E14">
        <w:trPr>
          <w:tblCellSpacing w:w="15" w:type="dxa"/>
        </w:trPr>
        <w:tc>
          <w:tcPr>
            <w:tcW w:w="0" w:type="auto"/>
            <w:vAlign w:val="center"/>
            <w:hideMark/>
          </w:tcPr>
          <w:p w14:paraId="1B3B4160" w14:textId="14EF877A" w:rsidR="00526E14" w:rsidRPr="00526E14" w:rsidRDefault="00526E14" w:rsidP="00526E14">
            <w:pPr>
              <w:pStyle w:val="NoSpacing"/>
            </w:pPr>
            <w:r w:rsidRPr="00526E14">
              <w:lastRenderedPageBreak/>
              <w:t>Authorization Middleware</w:t>
            </w:r>
          </w:p>
        </w:tc>
        <w:tc>
          <w:tcPr>
            <w:tcW w:w="0" w:type="auto"/>
            <w:vAlign w:val="center"/>
            <w:hideMark/>
          </w:tcPr>
          <w:p w14:paraId="4B47C808" w14:textId="77777777" w:rsidR="00526E14" w:rsidRPr="00526E14" w:rsidRDefault="00526E14" w:rsidP="00526E14">
            <w:pPr>
              <w:pStyle w:val="NoSpacing"/>
            </w:pPr>
            <w:r w:rsidRPr="00526E14">
              <w:t>Centralize role/resource checks in backend logic.</w:t>
            </w:r>
          </w:p>
        </w:tc>
      </w:tr>
      <w:tr w:rsidR="00526E14" w:rsidRPr="00526E14" w14:paraId="1CAF2305" w14:textId="77777777" w:rsidTr="00526E14">
        <w:trPr>
          <w:tblCellSpacing w:w="15" w:type="dxa"/>
        </w:trPr>
        <w:tc>
          <w:tcPr>
            <w:tcW w:w="0" w:type="auto"/>
            <w:vAlign w:val="center"/>
            <w:hideMark/>
          </w:tcPr>
          <w:p w14:paraId="5699FA5C" w14:textId="0F56472E" w:rsidR="00526E14" w:rsidRPr="00526E14" w:rsidRDefault="00526E14" w:rsidP="00526E14">
            <w:pPr>
              <w:pStyle w:val="NoSpacing"/>
            </w:pPr>
            <w:r w:rsidRPr="00526E14">
              <w:t>Rate Limiting + Logging</w:t>
            </w:r>
          </w:p>
        </w:tc>
        <w:tc>
          <w:tcPr>
            <w:tcW w:w="0" w:type="auto"/>
            <w:vAlign w:val="center"/>
            <w:hideMark/>
          </w:tcPr>
          <w:p w14:paraId="6C268452" w14:textId="77777777" w:rsidR="00526E14" w:rsidRPr="00526E14" w:rsidRDefault="00526E14" w:rsidP="00526E14">
            <w:pPr>
              <w:pStyle w:val="NoSpacing"/>
            </w:pPr>
            <w:r w:rsidRPr="00526E14">
              <w:t>Detect mass ID brute-force attempts.</w:t>
            </w:r>
          </w:p>
        </w:tc>
      </w:tr>
    </w:tbl>
    <w:p w14:paraId="752531F6" w14:textId="77777777" w:rsidR="00526E14" w:rsidRPr="00526E14" w:rsidRDefault="00526E14" w:rsidP="00526E14"/>
    <w:p w14:paraId="75AAAC0D" w14:textId="69E7A37B" w:rsidR="00526E14" w:rsidRDefault="00526E14" w:rsidP="00526E14">
      <w:pPr>
        <w:pStyle w:val="Heading1"/>
      </w:pPr>
      <w:r w:rsidRPr="00526E14">
        <w:t>Tools for Detection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0"/>
        <w:gridCol w:w="3928"/>
      </w:tblGrid>
      <w:tr w:rsidR="00526E14" w:rsidRPr="00526E14" w14:paraId="415329F8" w14:textId="77777777" w:rsidTr="00526E14">
        <w:trPr>
          <w:tblHeader/>
          <w:tblCellSpacing w:w="15" w:type="dxa"/>
        </w:trPr>
        <w:tc>
          <w:tcPr>
            <w:tcW w:w="0" w:type="auto"/>
            <w:vAlign w:val="center"/>
            <w:hideMark/>
          </w:tcPr>
          <w:p w14:paraId="60D359F3" w14:textId="77777777" w:rsidR="00526E14" w:rsidRPr="00526E14" w:rsidRDefault="00526E14" w:rsidP="00526E14">
            <w:pPr>
              <w:pStyle w:val="NoSpacing"/>
            </w:pPr>
            <w:r w:rsidRPr="00526E14">
              <w:t>Tool</w:t>
            </w:r>
          </w:p>
        </w:tc>
        <w:tc>
          <w:tcPr>
            <w:tcW w:w="0" w:type="auto"/>
            <w:vAlign w:val="center"/>
            <w:hideMark/>
          </w:tcPr>
          <w:p w14:paraId="272E9692" w14:textId="77777777" w:rsidR="00526E14" w:rsidRPr="00526E14" w:rsidRDefault="00526E14" w:rsidP="00526E14">
            <w:pPr>
              <w:pStyle w:val="NoSpacing"/>
            </w:pPr>
            <w:r w:rsidRPr="00526E14">
              <w:t>Use</w:t>
            </w:r>
          </w:p>
        </w:tc>
      </w:tr>
      <w:tr w:rsidR="00526E14" w:rsidRPr="00526E14" w14:paraId="7E5DC7A4" w14:textId="77777777" w:rsidTr="00526E14">
        <w:trPr>
          <w:tblCellSpacing w:w="15" w:type="dxa"/>
        </w:trPr>
        <w:tc>
          <w:tcPr>
            <w:tcW w:w="0" w:type="auto"/>
            <w:vAlign w:val="center"/>
            <w:hideMark/>
          </w:tcPr>
          <w:p w14:paraId="2E7DDB26" w14:textId="0FBB106B" w:rsidR="00526E14" w:rsidRPr="00526E14" w:rsidRDefault="00526E14" w:rsidP="00526E14">
            <w:pPr>
              <w:pStyle w:val="NoSpacing"/>
            </w:pPr>
            <w:r w:rsidRPr="00526E14">
              <w:t>Burp Suite</w:t>
            </w:r>
          </w:p>
        </w:tc>
        <w:tc>
          <w:tcPr>
            <w:tcW w:w="0" w:type="auto"/>
            <w:vAlign w:val="center"/>
            <w:hideMark/>
          </w:tcPr>
          <w:p w14:paraId="2D4D024B" w14:textId="77777777" w:rsidR="00526E14" w:rsidRPr="00526E14" w:rsidRDefault="00526E14" w:rsidP="00526E14">
            <w:pPr>
              <w:pStyle w:val="NoSpacing"/>
            </w:pPr>
            <w:r w:rsidRPr="00526E14">
              <w:t>Modify IDs manually</w:t>
            </w:r>
          </w:p>
        </w:tc>
      </w:tr>
      <w:tr w:rsidR="00526E14" w:rsidRPr="00526E14" w14:paraId="56EE078E" w14:textId="77777777" w:rsidTr="00526E14">
        <w:trPr>
          <w:tblCellSpacing w:w="15" w:type="dxa"/>
        </w:trPr>
        <w:tc>
          <w:tcPr>
            <w:tcW w:w="0" w:type="auto"/>
            <w:vAlign w:val="center"/>
            <w:hideMark/>
          </w:tcPr>
          <w:p w14:paraId="6EC0DAF5" w14:textId="1BE2F25D" w:rsidR="00526E14" w:rsidRPr="00526E14" w:rsidRDefault="00526E14" w:rsidP="00526E14">
            <w:pPr>
              <w:pStyle w:val="NoSpacing"/>
            </w:pPr>
            <w:r w:rsidRPr="00526E14">
              <w:t>Postman</w:t>
            </w:r>
          </w:p>
        </w:tc>
        <w:tc>
          <w:tcPr>
            <w:tcW w:w="0" w:type="auto"/>
            <w:vAlign w:val="center"/>
            <w:hideMark/>
          </w:tcPr>
          <w:p w14:paraId="779CD6EC" w14:textId="77777777" w:rsidR="00526E14" w:rsidRPr="00526E14" w:rsidRDefault="00526E14" w:rsidP="00526E14">
            <w:pPr>
              <w:pStyle w:val="NoSpacing"/>
            </w:pPr>
            <w:r w:rsidRPr="00526E14">
              <w:t>API object access</w:t>
            </w:r>
          </w:p>
        </w:tc>
      </w:tr>
      <w:tr w:rsidR="00526E14" w:rsidRPr="00526E14" w14:paraId="42A87A07" w14:textId="77777777" w:rsidTr="00526E14">
        <w:trPr>
          <w:tblCellSpacing w:w="15" w:type="dxa"/>
        </w:trPr>
        <w:tc>
          <w:tcPr>
            <w:tcW w:w="0" w:type="auto"/>
            <w:vAlign w:val="center"/>
            <w:hideMark/>
          </w:tcPr>
          <w:p w14:paraId="04A4BB1D" w14:textId="674EBAD4" w:rsidR="00526E14" w:rsidRPr="00526E14" w:rsidRDefault="00526E14" w:rsidP="00526E14">
            <w:pPr>
              <w:pStyle w:val="NoSpacing"/>
            </w:pPr>
            <w:proofErr w:type="spellStart"/>
            <w:r w:rsidRPr="00526E14">
              <w:t>AuthMatrix</w:t>
            </w:r>
            <w:proofErr w:type="spellEnd"/>
          </w:p>
        </w:tc>
        <w:tc>
          <w:tcPr>
            <w:tcW w:w="0" w:type="auto"/>
            <w:vAlign w:val="center"/>
            <w:hideMark/>
          </w:tcPr>
          <w:p w14:paraId="3EAB09EC" w14:textId="77777777" w:rsidR="00526E14" w:rsidRPr="00526E14" w:rsidRDefault="00526E14" w:rsidP="00526E14">
            <w:pPr>
              <w:pStyle w:val="NoSpacing"/>
            </w:pPr>
            <w:r w:rsidRPr="00526E14">
              <w:t>Role-object mapping automation</w:t>
            </w:r>
          </w:p>
        </w:tc>
      </w:tr>
      <w:tr w:rsidR="00526E14" w:rsidRPr="00526E14" w14:paraId="65D0DB93" w14:textId="77777777" w:rsidTr="00526E14">
        <w:trPr>
          <w:tblCellSpacing w:w="15" w:type="dxa"/>
        </w:trPr>
        <w:tc>
          <w:tcPr>
            <w:tcW w:w="0" w:type="auto"/>
            <w:vAlign w:val="center"/>
            <w:hideMark/>
          </w:tcPr>
          <w:p w14:paraId="545E2978" w14:textId="20B61CA8" w:rsidR="00526E14" w:rsidRPr="00526E14" w:rsidRDefault="00526E14" w:rsidP="00526E14">
            <w:pPr>
              <w:pStyle w:val="NoSpacing"/>
            </w:pPr>
            <w:r w:rsidRPr="00526E14">
              <w:t>OWASP ZAP</w:t>
            </w:r>
          </w:p>
        </w:tc>
        <w:tc>
          <w:tcPr>
            <w:tcW w:w="0" w:type="auto"/>
            <w:vAlign w:val="center"/>
            <w:hideMark/>
          </w:tcPr>
          <w:p w14:paraId="3B69D303" w14:textId="77777777" w:rsidR="00526E14" w:rsidRPr="00526E14" w:rsidRDefault="00526E14" w:rsidP="00526E14">
            <w:pPr>
              <w:pStyle w:val="NoSpacing"/>
            </w:pPr>
            <w:r w:rsidRPr="00526E14">
              <w:t>Scan parameter-based object access</w:t>
            </w:r>
          </w:p>
        </w:tc>
      </w:tr>
      <w:tr w:rsidR="00526E14" w:rsidRPr="00526E14" w14:paraId="171C1D5A" w14:textId="77777777" w:rsidTr="00526E14">
        <w:trPr>
          <w:tblCellSpacing w:w="15" w:type="dxa"/>
        </w:trPr>
        <w:tc>
          <w:tcPr>
            <w:tcW w:w="0" w:type="auto"/>
            <w:vAlign w:val="center"/>
            <w:hideMark/>
          </w:tcPr>
          <w:p w14:paraId="18848D2B" w14:textId="20907D72" w:rsidR="00526E14" w:rsidRPr="00526E14" w:rsidRDefault="00526E14" w:rsidP="00526E14">
            <w:pPr>
              <w:pStyle w:val="NoSpacing"/>
            </w:pPr>
            <w:r w:rsidRPr="00526E14">
              <w:t>Fiddler / Charles Proxy</w:t>
            </w:r>
          </w:p>
        </w:tc>
        <w:tc>
          <w:tcPr>
            <w:tcW w:w="0" w:type="auto"/>
            <w:vAlign w:val="center"/>
            <w:hideMark/>
          </w:tcPr>
          <w:p w14:paraId="30285A47" w14:textId="77777777" w:rsidR="00526E14" w:rsidRPr="00526E14" w:rsidRDefault="00526E14" w:rsidP="00526E14">
            <w:pPr>
              <w:pStyle w:val="NoSpacing"/>
            </w:pPr>
            <w:r w:rsidRPr="00526E14">
              <w:t>Great for mobile/desktop app APIs</w:t>
            </w:r>
          </w:p>
        </w:tc>
      </w:tr>
    </w:tbl>
    <w:p w14:paraId="716FA10A" w14:textId="77777777" w:rsidR="00526E14" w:rsidRDefault="00526E14" w:rsidP="00526E14">
      <w:pPr>
        <w:pStyle w:val="NoSpacing"/>
      </w:pPr>
    </w:p>
    <w:p w14:paraId="66904E44" w14:textId="57F2B09D" w:rsidR="00526E14" w:rsidRDefault="00526E14" w:rsidP="00526E14">
      <w:pPr>
        <w:pStyle w:val="Heading1"/>
      </w:pPr>
      <w:r>
        <w:t>Points</w:t>
      </w:r>
    </w:p>
    <w:p w14:paraId="66527C5B" w14:textId="77777777" w:rsidR="00526E14" w:rsidRDefault="00526E14" w:rsidP="00526E14">
      <w:pPr>
        <w:pStyle w:val="NoSpacing"/>
      </w:pPr>
    </w:p>
    <w:p w14:paraId="121B07C2" w14:textId="2CC62F21" w:rsidR="00526E14" w:rsidRPr="00526E14" w:rsidRDefault="00526E14" w:rsidP="00526E14">
      <w:pPr>
        <w:pStyle w:val="NoSpacing"/>
      </w:pPr>
      <w:r w:rsidRPr="00526E14">
        <w:t xml:space="preserve">“BOLA is the </w:t>
      </w:r>
      <w:r w:rsidRPr="00526E14">
        <w:rPr>
          <w:b/>
          <w:bCs/>
        </w:rPr>
        <w:t>#1 risk in OWASP API Top 10</w:t>
      </w:r>
      <w:r w:rsidRPr="00526E14">
        <w:t xml:space="preserve"> because APIs expose object references by design.”</w:t>
      </w:r>
    </w:p>
    <w:p w14:paraId="320558BF" w14:textId="1C08143A" w:rsidR="00526E14" w:rsidRPr="00526E14" w:rsidRDefault="00526E14" w:rsidP="00526E14">
      <w:pPr>
        <w:pStyle w:val="NoSpacing"/>
      </w:pPr>
      <w:r w:rsidRPr="00526E14">
        <w:t xml:space="preserve"> “Most IDOR flaws pass through automated scanners — </w:t>
      </w:r>
      <w:r w:rsidRPr="00526E14">
        <w:rPr>
          <w:b/>
          <w:bCs/>
        </w:rPr>
        <w:t>manual testing is essential</w:t>
      </w:r>
      <w:r w:rsidRPr="00526E14">
        <w:t>.”</w:t>
      </w:r>
    </w:p>
    <w:p w14:paraId="122A64DE" w14:textId="4BDF429E" w:rsidR="00526E14" w:rsidRPr="00526E14" w:rsidRDefault="00526E14" w:rsidP="00526E14">
      <w:pPr>
        <w:pStyle w:val="NoSpacing"/>
      </w:pPr>
      <w:r w:rsidRPr="00526E14">
        <w:t>“We encourage UUIDs and server-side ACL checks in our secure coding standards.”</w:t>
      </w:r>
    </w:p>
    <w:p w14:paraId="7F6C4514" w14:textId="0F77118D" w:rsidR="00526E14" w:rsidRDefault="00526E14" w:rsidP="00526E14">
      <w:pPr>
        <w:pStyle w:val="NoSpacing"/>
      </w:pPr>
      <w:r w:rsidRPr="00526E14">
        <w:t xml:space="preserve"> “</w:t>
      </w:r>
      <w:r>
        <w:t>Use</w:t>
      </w:r>
      <w:r w:rsidRPr="00526E14">
        <w:t xml:space="preserve"> </w:t>
      </w:r>
      <w:proofErr w:type="spellStart"/>
      <w:r w:rsidRPr="00526E14">
        <w:t>AuthMatrix</w:t>
      </w:r>
      <w:proofErr w:type="spellEnd"/>
      <w:r w:rsidRPr="00526E14">
        <w:t xml:space="preserve"> in Burp Suite to test role-object access patterns systematically.”</w:t>
      </w:r>
    </w:p>
    <w:p w14:paraId="27F33A24" w14:textId="77777777" w:rsidR="00526E14" w:rsidRPr="00526E14" w:rsidRDefault="00526E14" w:rsidP="00526E14">
      <w:pPr>
        <w:pStyle w:val="NoSpacing"/>
      </w:pPr>
    </w:p>
    <w:p w14:paraId="26AD4161" w14:textId="6385FA03" w:rsidR="00526E14" w:rsidRDefault="00526E14" w:rsidP="00526E14">
      <w:pPr>
        <w:pStyle w:val="Heading1"/>
      </w:pPr>
      <w:r w:rsidRPr="00526E14">
        <w:t>Notable Breaches (IDOR)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1"/>
        <w:gridCol w:w="593"/>
        <w:gridCol w:w="4582"/>
      </w:tblGrid>
      <w:tr w:rsidR="00526E14" w:rsidRPr="00526E14" w14:paraId="36A02A2E" w14:textId="77777777" w:rsidTr="00526E14">
        <w:trPr>
          <w:tblHeader/>
          <w:tblCellSpacing w:w="15" w:type="dxa"/>
        </w:trPr>
        <w:tc>
          <w:tcPr>
            <w:tcW w:w="0" w:type="auto"/>
            <w:vAlign w:val="center"/>
            <w:hideMark/>
          </w:tcPr>
          <w:p w14:paraId="49DF8049" w14:textId="77777777" w:rsidR="00526E14" w:rsidRPr="00526E14" w:rsidRDefault="00526E14" w:rsidP="00526E14">
            <w:pPr>
              <w:pStyle w:val="NoSpacing"/>
            </w:pPr>
            <w:r w:rsidRPr="00526E14">
              <w:t>Company</w:t>
            </w:r>
          </w:p>
        </w:tc>
        <w:tc>
          <w:tcPr>
            <w:tcW w:w="0" w:type="auto"/>
            <w:vAlign w:val="center"/>
            <w:hideMark/>
          </w:tcPr>
          <w:p w14:paraId="1E495B72" w14:textId="77777777" w:rsidR="00526E14" w:rsidRPr="00526E14" w:rsidRDefault="00526E14" w:rsidP="00526E14">
            <w:pPr>
              <w:pStyle w:val="NoSpacing"/>
            </w:pPr>
            <w:r w:rsidRPr="00526E14">
              <w:t>Year</w:t>
            </w:r>
          </w:p>
        </w:tc>
        <w:tc>
          <w:tcPr>
            <w:tcW w:w="0" w:type="auto"/>
            <w:vAlign w:val="center"/>
            <w:hideMark/>
          </w:tcPr>
          <w:p w14:paraId="7F45DF9B" w14:textId="77777777" w:rsidR="00526E14" w:rsidRPr="00526E14" w:rsidRDefault="00526E14" w:rsidP="00526E14">
            <w:pPr>
              <w:pStyle w:val="NoSpacing"/>
            </w:pPr>
            <w:r w:rsidRPr="00526E14">
              <w:t>Description</w:t>
            </w:r>
          </w:p>
        </w:tc>
      </w:tr>
      <w:tr w:rsidR="00526E14" w:rsidRPr="00526E14" w14:paraId="40F97EA6" w14:textId="77777777" w:rsidTr="00526E14">
        <w:trPr>
          <w:tblCellSpacing w:w="15" w:type="dxa"/>
        </w:trPr>
        <w:tc>
          <w:tcPr>
            <w:tcW w:w="0" w:type="auto"/>
            <w:vAlign w:val="center"/>
            <w:hideMark/>
          </w:tcPr>
          <w:p w14:paraId="397EFDB4" w14:textId="77777777" w:rsidR="00526E14" w:rsidRPr="00526E14" w:rsidRDefault="00526E14" w:rsidP="00526E14">
            <w:pPr>
              <w:pStyle w:val="NoSpacing"/>
            </w:pPr>
            <w:r w:rsidRPr="00526E14">
              <w:t>Facebook</w:t>
            </w:r>
          </w:p>
        </w:tc>
        <w:tc>
          <w:tcPr>
            <w:tcW w:w="0" w:type="auto"/>
            <w:vAlign w:val="center"/>
            <w:hideMark/>
          </w:tcPr>
          <w:p w14:paraId="57D7B7CF" w14:textId="77777777" w:rsidR="00526E14" w:rsidRPr="00526E14" w:rsidRDefault="00526E14" w:rsidP="00526E14">
            <w:pPr>
              <w:pStyle w:val="NoSpacing"/>
            </w:pPr>
            <w:r w:rsidRPr="00526E14">
              <w:t>2015</w:t>
            </w:r>
          </w:p>
        </w:tc>
        <w:tc>
          <w:tcPr>
            <w:tcW w:w="0" w:type="auto"/>
            <w:vAlign w:val="center"/>
            <w:hideMark/>
          </w:tcPr>
          <w:p w14:paraId="09B35CBD" w14:textId="77777777" w:rsidR="00526E14" w:rsidRPr="00526E14" w:rsidRDefault="00526E14" w:rsidP="00526E14">
            <w:pPr>
              <w:pStyle w:val="NoSpacing"/>
            </w:pPr>
            <w:r w:rsidRPr="00526E14">
              <w:t>Deleted any album via predictable object ID</w:t>
            </w:r>
          </w:p>
        </w:tc>
      </w:tr>
      <w:tr w:rsidR="00526E14" w:rsidRPr="00526E14" w14:paraId="79B310E4" w14:textId="77777777" w:rsidTr="00526E14">
        <w:trPr>
          <w:tblCellSpacing w:w="15" w:type="dxa"/>
        </w:trPr>
        <w:tc>
          <w:tcPr>
            <w:tcW w:w="0" w:type="auto"/>
            <w:vAlign w:val="center"/>
            <w:hideMark/>
          </w:tcPr>
          <w:p w14:paraId="3E7C84CA" w14:textId="77777777" w:rsidR="00526E14" w:rsidRPr="00526E14" w:rsidRDefault="00526E14" w:rsidP="00526E14">
            <w:pPr>
              <w:pStyle w:val="NoSpacing"/>
            </w:pPr>
            <w:r w:rsidRPr="00526E14">
              <w:t>Instagram</w:t>
            </w:r>
          </w:p>
        </w:tc>
        <w:tc>
          <w:tcPr>
            <w:tcW w:w="0" w:type="auto"/>
            <w:vAlign w:val="center"/>
            <w:hideMark/>
          </w:tcPr>
          <w:p w14:paraId="49FF1518" w14:textId="77777777" w:rsidR="00526E14" w:rsidRPr="00526E14" w:rsidRDefault="00526E14" w:rsidP="00526E14">
            <w:pPr>
              <w:pStyle w:val="NoSpacing"/>
            </w:pPr>
            <w:r w:rsidRPr="00526E14">
              <w:t>2019</w:t>
            </w:r>
          </w:p>
        </w:tc>
        <w:tc>
          <w:tcPr>
            <w:tcW w:w="0" w:type="auto"/>
            <w:vAlign w:val="center"/>
            <w:hideMark/>
          </w:tcPr>
          <w:p w14:paraId="59D92025" w14:textId="77777777" w:rsidR="00526E14" w:rsidRPr="00526E14" w:rsidRDefault="00526E14" w:rsidP="00526E14">
            <w:pPr>
              <w:pStyle w:val="NoSpacing"/>
            </w:pPr>
            <w:r w:rsidRPr="00526E14">
              <w:t>Viewed private stories by modifying URL</w:t>
            </w:r>
          </w:p>
        </w:tc>
      </w:tr>
      <w:tr w:rsidR="00526E14" w:rsidRPr="00526E14" w14:paraId="01446691" w14:textId="77777777" w:rsidTr="00526E14">
        <w:trPr>
          <w:tblCellSpacing w:w="15" w:type="dxa"/>
        </w:trPr>
        <w:tc>
          <w:tcPr>
            <w:tcW w:w="0" w:type="auto"/>
            <w:vAlign w:val="center"/>
            <w:hideMark/>
          </w:tcPr>
          <w:p w14:paraId="659BF8C8" w14:textId="77777777" w:rsidR="00526E14" w:rsidRPr="00526E14" w:rsidRDefault="00526E14" w:rsidP="00526E14">
            <w:pPr>
              <w:pStyle w:val="NoSpacing"/>
            </w:pPr>
            <w:r w:rsidRPr="00526E14">
              <w:t>T-Mobile</w:t>
            </w:r>
          </w:p>
        </w:tc>
        <w:tc>
          <w:tcPr>
            <w:tcW w:w="0" w:type="auto"/>
            <w:vAlign w:val="center"/>
            <w:hideMark/>
          </w:tcPr>
          <w:p w14:paraId="2BA3F789" w14:textId="77777777" w:rsidR="00526E14" w:rsidRPr="00526E14" w:rsidRDefault="00526E14" w:rsidP="00526E14">
            <w:pPr>
              <w:pStyle w:val="NoSpacing"/>
            </w:pPr>
            <w:r w:rsidRPr="00526E14">
              <w:t>2020</w:t>
            </w:r>
          </w:p>
        </w:tc>
        <w:tc>
          <w:tcPr>
            <w:tcW w:w="0" w:type="auto"/>
            <w:vAlign w:val="center"/>
            <w:hideMark/>
          </w:tcPr>
          <w:p w14:paraId="4C5C054E" w14:textId="77777777" w:rsidR="00526E14" w:rsidRPr="00526E14" w:rsidRDefault="00526E14" w:rsidP="00526E14">
            <w:pPr>
              <w:pStyle w:val="NoSpacing"/>
            </w:pPr>
            <w:r w:rsidRPr="00526E14">
              <w:t>Exposed user data via BOLA flaw in API</w:t>
            </w:r>
          </w:p>
        </w:tc>
      </w:tr>
    </w:tbl>
    <w:p w14:paraId="4A36FFC4" w14:textId="77777777" w:rsidR="00526E14" w:rsidRPr="00526E14" w:rsidRDefault="00526E14" w:rsidP="00526E14"/>
    <w:sectPr w:rsidR="00526E14" w:rsidRPr="0052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F5EF1"/>
    <w:multiLevelType w:val="multilevel"/>
    <w:tmpl w:val="419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E77D5"/>
    <w:multiLevelType w:val="multilevel"/>
    <w:tmpl w:val="1114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515DD"/>
    <w:multiLevelType w:val="multilevel"/>
    <w:tmpl w:val="06A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A7122"/>
    <w:multiLevelType w:val="multilevel"/>
    <w:tmpl w:val="F6A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217550">
    <w:abstractNumId w:val="3"/>
  </w:num>
  <w:num w:numId="2" w16cid:durableId="363873841">
    <w:abstractNumId w:val="0"/>
  </w:num>
  <w:num w:numId="3" w16cid:durableId="1120488695">
    <w:abstractNumId w:val="1"/>
  </w:num>
  <w:num w:numId="4" w16cid:durableId="1443307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4D"/>
    <w:rsid w:val="003C3B0F"/>
    <w:rsid w:val="00526E14"/>
    <w:rsid w:val="00992683"/>
    <w:rsid w:val="00AB769B"/>
    <w:rsid w:val="00BD4A4D"/>
    <w:rsid w:val="00F1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ADE6"/>
  <w15:chartTrackingRefBased/>
  <w15:docId w15:val="{A27766F2-D2FA-4C81-9497-B21F6A7A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4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4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A4D"/>
    <w:rPr>
      <w:rFonts w:eastAsiaTheme="majorEastAsia" w:cstheme="majorBidi"/>
      <w:color w:val="272727" w:themeColor="text1" w:themeTint="D8"/>
    </w:rPr>
  </w:style>
  <w:style w:type="paragraph" w:styleId="Title">
    <w:name w:val="Title"/>
    <w:basedOn w:val="Normal"/>
    <w:next w:val="Normal"/>
    <w:link w:val="TitleChar"/>
    <w:uiPriority w:val="10"/>
    <w:qFormat/>
    <w:rsid w:val="00BD4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A4D"/>
    <w:pPr>
      <w:spacing w:before="160"/>
      <w:jc w:val="center"/>
    </w:pPr>
    <w:rPr>
      <w:i/>
      <w:iCs/>
      <w:color w:val="404040" w:themeColor="text1" w:themeTint="BF"/>
    </w:rPr>
  </w:style>
  <w:style w:type="character" w:customStyle="1" w:styleId="QuoteChar">
    <w:name w:val="Quote Char"/>
    <w:basedOn w:val="DefaultParagraphFont"/>
    <w:link w:val="Quote"/>
    <w:uiPriority w:val="29"/>
    <w:rsid w:val="00BD4A4D"/>
    <w:rPr>
      <w:i/>
      <w:iCs/>
      <w:color w:val="404040" w:themeColor="text1" w:themeTint="BF"/>
    </w:rPr>
  </w:style>
  <w:style w:type="paragraph" w:styleId="ListParagraph">
    <w:name w:val="List Paragraph"/>
    <w:basedOn w:val="Normal"/>
    <w:uiPriority w:val="34"/>
    <w:qFormat/>
    <w:rsid w:val="00BD4A4D"/>
    <w:pPr>
      <w:ind w:left="720"/>
      <w:contextualSpacing/>
    </w:pPr>
  </w:style>
  <w:style w:type="character" w:styleId="IntenseEmphasis">
    <w:name w:val="Intense Emphasis"/>
    <w:basedOn w:val="DefaultParagraphFont"/>
    <w:uiPriority w:val="21"/>
    <w:qFormat/>
    <w:rsid w:val="00BD4A4D"/>
    <w:rPr>
      <w:i/>
      <w:iCs/>
      <w:color w:val="0F4761" w:themeColor="accent1" w:themeShade="BF"/>
    </w:rPr>
  </w:style>
  <w:style w:type="paragraph" w:styleId="IntenseQuote">
    <w:name w:val="Intense Quote"/>
    <w:basedOn w:val="Normal"/>
    <w:next w:val="Normal"/>
    <w:link w:val="IntenseQuoteChar"/>
    <w:uiPriority w:val="30"/>
    <w:qFormat/>
    <w:rsid w:val="00BD4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A4D"/>
    <w:rPr>
      <w:i/>
      <w:iCs/>
      <w:color w:val="0F4761" w:themeColor="accent1" w:themeShade="BF"/>
    </w:rPr>
  </w:style>
  <w:style w:type="character" w:styleId="IntenseReference">
    <w:name w:val="Intense Reference"/>
    <w:basedOn w:val="DefaultParagraphFont"/>
    <w:uiPriority w:val="32"/>
    <w:qFormat/>
    <w:rsid w:val="00BD4A4D"/>
    <w:rPr>
      <w:b/>
      <w:bCs/>
      <w:smallCaps/>
      <w:color w:val="0F4761" w:themeColor="accent1" w:themeShade="BF"/>
      <w:spacing w:val="5"/>
    </w:rPr>
  </w:style>
  <w:style w:type="paragraph" w:styleId="NormalWeb">
    <w:name w:val="Normal (Web)"/>
    <w:basedOn w:val="Normal"/>
    <w:uiPriority w:val="99"/>
    <w:semiHidden/>
    <w:unhideWhenUsed/>
    <w:rsid w:val="00BD4A4D"/>
    <w:rPr>
      <w:rFonts w:ascii="Times New Roman" w:hAnsi="Times New Roman" w:cs="Times New Roman"/>
    </w:rPr>
  </w:style>
  <w:style w:type="paragraph" w:styleId="NoSpacing">
    <w:name w:val="No Spacing"/>
    <w:uiPriority w:val="1"/>
    <w:qFormat/>
    <w:rsid w:val="00526E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1940">
      <w:bodyDiv w:val="1"/>
      <w:marLeft w:val="0"/>
      <w:marRight w:val="0"/>
      <w:marTop w:val="0"/>
      <w:marBottom w:val="0"/>
      <w:divBdr>
        <w:top w:val="none" w:sz="0" w:space="0" w:color="auto"/>
        <w:left w:val="none" w:sz="0" w:space="0" w:color="auto"/>
        <w:bottom w:val="none" w:sz="0" w:space="0" w:color="auto"/>
        <w:right w:val="none" w:sz="0" w:space="0" w:color="auto"/>
      </w:divBdr>
    </w:div>
    <w:div w:id="207648037">
      <w:bodyDiv w:val="1"/>
      <w:marLeft w:val="0"/>
      <w:marRight w:val="0"/>
      <w:marTop w:val="0"/>
      <w:marBottom w:val="0"/>
      <w:divBdr>
        <w:top w:val="none" w:sz="0" w:space="0" w:color="auto"/>
        <w:left w:val="none" w:sz="0" w:space="0" w:color="auto"/>
        <w:bottom w:val="none" w:sz="0" w:space="0" w:color="auto"/>
        <w:right w:val="none" w:sz="0" w:space="0" w:color="auto"/>
      </w:divBdr>
    </w:div>
    <w:div w:id="283467281">
      <w:bodyDiv w:val="1"/>
      <w:marLeft w:val="0"/>
      <w:marRight w:val="0"/>
      <w:marTop w:val="0"/>
      <w:marBottom w:val="0"/>
      <w:divBdr>
        <w:top w:val="none" w:sz="0" w:space="0" w:color="auto"/>
        <w:left w:val="none" w:sz="0" w:space="0" w:color="auto"/>
        <w:bottom w:val="none" w:sz="0" w:space="0" w:color="auto"/>
        <w:right w:val="none" w:sz="0" w:space="0" w:color="auto"/>
      </w:divBdr>
    </w:div>
    <w:div w:id="439029774">
      <w:bodyDiv w:val="1"/>
      <w:marLeft w:val="0"/>
      <w:marRight w:val="0"/>
      <w:marTop w:val="0"/>
      <w:marBottom w:val="0"/>
      <w:divBdr>
        <w:top w:val="none" w:sz="0" w:space="0" w:color="auto"/>
        <w:left w:val="none" w:sz="0" w:space="0" w:color="auto"/>
        <w:bottom w:val="none" w:sz="0" w:space="0" w:color="auto"/>
        <w:right w:val="none" w:sz="0" w:space="0" w:color="auto"/>
      </w:divBdr>
    </w:div>
    <w:div w:id="491070405">
      <w:bodyDiv w:val="1"/>
      <w:marLeft w:val="0"/>
      <w:marRight w:val="0"/>
      <w:marTop w:val="0"/>
      <w:marBottom w:val="0"/>
      <w:divBdr>
        <w:top w:val="none" w:sz="0" w:space="0" w:color="auto"/>
        <w:left w:val="none" w:sz="0" w:space="0" w:color="auto"/>
        <w:bottom w:val="none" w:sz="0" w:space="0" w:color="auto"/>
        <w:right w:val="none" w:sz="0" w:space="0" w:color="auto"/>
      </w:divBdr>
    </w:div>
    <w:div w:id="495341637">
      <w:bodyDiv w:val="1"/>
      <w:marLeft w:val="0"/>
      <w:marRight w:val="0"/>
      <w:marTop w:val="0"/>
      <w:marBottom w:val="0"/>
      <w:divBdr>
        <w:top w:val="none" w:sz="0" w:space="0" w:color="auto"/>
        <w:left w:val="none" w:sz="0" w:space="0" w:color="auto"/>
        <w:bottom w:val="none" w:sz="0" w:space="0" w:color="auto"/>
        <w:right w:val="none" w:sz="0" w:space="0" w:color="auto"/>
      </w:divBdr>
    </w:div>
    <w:div w:id="612051722">
      <w:bodyDiv w:val="1"/>
      <w:marLeft w:val="0"/>
      <w:marRight w:val="0"/>
      <w:marTop w:val="0"/>
      <w:marBottom w:val="0"/>
      <w:divBdr>
        <w:top w:val="none" w:sz="0" w:space="0" w:color="auto"/>
        <w:left w:val="none" w:sz="0" w:space="0" w:color="auto"/>
        <w:bottom w:val="none" w:sz="0" w:space="0" w:color="auto"/>
        <w:right w:val="none" w:sz="0" w:space="0" w:color="auto"/>
      </w:divBdr>
    </w:div>
    <w:div w:id="654533195">
      <w:bodyDiv w:val="1"/>
      <w:marLeft w:val="0"/>
      <w:marRight w:val="0"/>
      <w:marTop w:val="0"/>
      <w:marBottom w:val="0"/>
      <w:divBdr>
        <w:top w:val="none" w:sz="0" w:space="0" w:color="auto"/>
        <w:left w:val="none" w:sz="0" w:space="0" w:color="auto"/>
        <w:bottom w:val="none" w:sz="0" w:space="0" w:color="auto"/>
        <w:right w:val="none" w:sz="0" w:space="0" w:color="auto"/>
      </w:divBdr>
    </w:div>
    <w:div w:id="1021861424">
      <w:bodyDiv w:val="1"/>
      <w:marLeft w:val="0"/>
      <w:marRight w:val="0"/>
      <w:marTop w:val="0"/>
      <w:marBottom w:val="0"/>
      <w:divBdr>
        <w:top w:val="none" w:sz="0" w:space="0" w:color="auto"/>
        <w:left w:val="none" w:sz="0" w:space="0" w:color="auto"/>
        <w:bottom w:val="none" w:sz="0" w:space="0" w:color="auto"/>
        <w:right w:val="none" w:sz="0" w:space="0" w:color="auto"/>
      </w:divBdr>
    </w:div>
    <w:div w:id="1063719888">
      <w:bodyDiv w:val="1"/>
      <w:marLeft w:val="0"/>
      <w:marRight w:val="0"/>
      <w:marTop w:val="0"/>
      <w:marBottom w:val="0"/>
      <w:divBdr>
        <w:top w:val="none" w:sz="0" w:space="0" w:color="auto"/>
        <w:left w:val="none" w:sz="0" w:space="0" w:color="auto"/>
        <w:bottom w:val="none" w:sz="0" w:space="0" w:color="auto"/>
        <w:right w:val="none" w:sz="0" w:space="0" w:color="auto"/>
      </w:divBdr>
    </w:div>
    <w:div w:id="1135373555">
      <w:bodyDiv w:val="1"/>
      <w:marLeft w:val="0"/>
      <w:marRight w:val="0"/>
      <w:marTop w:val="0"/>
      <w:marBottom w:val="0"/>
      <w:divBdr>
        <w:top w:val="none" w:sz="0" w:space="0" w:color="auto"/>
        <w:left w:val="none" w:sz="0" w:space="0" w:color="auto"/>
        <w:bottom w:val="none" w:sz="0" w:space="0" w:color="auto"/>
        <w:right w:val="none" w:sz="0" w:space="0" w:color="auto"/>
      </w:divBdr>
    </w:div>
    <w:div w:id="1404450581">
      <w:bodyDiv w:val="1"/>
      <w:marLeft w:val="0"/>
      <w:marRight w:val="0"/>
      <w:marTop w:val="0"/>
      <w:marBottom w:val="0"/>
      <w:divBdr>
        <w:top w:val="none" w:sz="0" w:space="0" w:color="auto"/>
        <w:left w:val="none" w:sz="0" w:space="0" w:color="auto"/>
        <w:bottom w:val="none" w:sz="0" w:space="0" w:color="auto"/>
        <w:right w:val="none" w:sz="0" w:space="0" w:color="auto"/>
      </w:divBdr>
    </w:div>
    <w:div w:id="1451896332">
      <w:bodyDiv w:val="1"/>
      <w:marLeft w:val="0"/>
      <w:marRight w:val="0"/>
      <w:marTop w:val="0"/>
      <w:marBottom w:val="0"/>
      <w:divBdr>
        <w:top w:val="none" w:sz="0" w:space="0" w:color="auto"/>
        <w:left w:val="none" w:sz="0" w:space="0" w:color="auto"/>
        <w:bottom w:val="none" w:sz="0" w:space="0" w:color="auto"/>
        <w:right w:val="none" w:sz="0" w:space="0" w:color="auto"/>
      </w:divBdr>
    </w:div>
    <w:div w:id="1477532198">
      <w:bodyDiv w:val="1"/>
      <w:marLeft w:val="0"/>
      <w:marRight w:val="0"/>
      <w:marTop w:val="0"/>
      <w:marBottom w:val="0"/>
      <w:divBdr>
        <w:top w:val="none" w:sz="0" w:space="0" w:color="auto"/>
        <w:left w:val="none" w:sz="0" w:space="0" w:color="auto"/>
        <w:bottom w:val="none" w:sz="0" w:space="0" w:color="auto"/>
        <w:right w:val="none" w:sz="0" w:space="0" w:color="auto"/>
      </w:divBdr>
    </w:div>
    <w:div w:id="1840148701">
      <w:bodyDiv w:val="1"/>
      <w:marLeft w:val="0"/>
      <w:marRight w:val="0"/>
      <w:marTop w:val="0"/>
      <w:marBottom w:val="0"/>
      <w:divBdr>
        <w:top w:val="none" w:sz="0" w:space="0" w:color="auto"/>
        <w:left w:val="none" w:sz="0" w:space="0" w:color="auto"/>
        <w:bottom w:val="none" w:sz="0" w:space="0" w:color="auto"/>
        <w:right w:val="none" w:sz="0" w:space="0" w:color="auto"/>
      </w:divBdr>
    </w:div>
    <w:div w:id="1953248938">
      <w:bodyDiv w:val="1"/>
      <w:marLeft w:val="0"/>
      <w:marRight w:val="0"/>
      <w:marTop w:val="0"/>
      <w:marBottom w:val="0"/>
      <w:divBdr>
        <w:top w:val="none" w:sz="0" w:space="0" w:color="auto"/>
        <w:left w:val="none" w:sz="0" w:space="0" w:color="auto"/>
        <w:bottom w:val="none" w:sz="0" w:space="0" w:color="auto"/>
        <w:right w:val="none" w:sz="0" w:space="0" w:color="auto"/>
      </w:divBdr>
    </w:div>
    <w:div w:id="2050033952">
      <w:bodyDiv w:val="1"/>
      <w:marLeft w:val="0"/>
      <w:marRight w:val="0"/>
      <w:marTop w:val="0"/>
      <w:marBottom w:val="0"/>
      <w:divBdr>
        <w:top w:val="none" w:sz="0" w:space="0" w:color="auto"/>
        <w:left w:val="none" w:sz="0" w:space="0" w:color="auto"/>
        <w:bottom w:val="none" w:sz="0" w:space="0" w:color="auto"/>
        <w:right w:val="none" w:sz="0" w:space="0" w:color="auto"/>
      </w:divBdr>
    </w:div>
    <w:div w:id="205765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Rawat</dc:creator>
  <cp:keywords/>
  <dc:description/>
  <cp:lastModifiedBy>Abhinav Rawat</cp:lastModifiedBy>
  <cp:revision>2</cp:revision>
  <dcterms:created xsi:type="dcterms:W3CDTF">2025-07-08T15:44:00Z</dcterms:created>
  <dcterms:modified xsi:type="dcterms:W3CDTF">2025-07-08T17:31:00Z</dcterms:modified>
</cp:coreProperties>
</file>