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yperlink"/>
          </w:rPr>
          <w:t xml:space="preserve">the free online bookdown reference guide</w:t>
        </w:r>
      </w:hyperlink>
      <w:r>
        <w:t xml:space="preserve">.</w:t>
      </w:r>
    </w:p>
    <w:p>
      <w:pPr>
        <w:pStyle w:val="Heading1"/>
      </w:pPr>
      <w:bookmarkStart w:id="22" w:name="rmd-basics"/>
      <w:r>
        <w:t xml:space="preserve">R Markdown Basics</w:t>
      </w:r>
      <w:bookmarkEnd w:id="22"/>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lists"/>
      <w:r>
        <w:t xml:space="preserve">Lists</w:t>
      </w:r>
      <w:bookmarkEnd w:id="24"/>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r>
        <w:t xml:space="preserve">Line breaks</w:t>
      </w:r>
      <w:bookmarkEnd w:id="25"/>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r>
        <w:t xml:space="preserve">R chunks</w:t>
      </w:r>
      <w:bookmarkEnd w:id="26"/>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Heading2"/>
      </w:pPr>
      <w:bookmarkStart w:id="27" w:name="inline-code"/>
      <w:r>
        <w:t xml:space="preserve">Inline code</w:t>
      </w:r>
      <w:bookmarkEnd w:id="27"/>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8" w:name="including-plots"/>
      <w:r>
        <w:t xml:space="preserve">Including plots</w:t>
      </w:r>
      <w:bookmarkEnd w:id="28"/>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r>
        <w:t xml:space="preserve">Loading and exploring data</w:t>
      </w:r>
      <w:bookmarkEnd w:id="31"/>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KeywordTok"/>
        </w:rPr>
        <w:t xml:space="preserve">length</w:t>
      </w:r>
      <w:r>
        <w:rPr>
          <w:rStyle w:val="NormalTok"/>
        </w:rPr>
        <w:t xml:space="preserve">(new.pkg))</w:t>
      </w:r>
      <w:r>
        <w:br/>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mmentTok"/>
        </w:rPr>
        <w:t xml:space="preserve"># Load packages (thesisdown will load all of the packages as well)</w:t>
      </w:r>
      <w:r>
        <w:br/>
      </w:r>
      <w:r>
        <w:rPr>
          <w:rStyle w:val="KeywordTok"/>
        </w:rPr>
        <w:t xml:space="preserve">library</w:t>
      </w:r>
      <w:r>
        <w:rPr>
          <w:rStyle w:val="NormalTok"/>
        </w:rPr>
        <w:t xml:space="preserve">(thesisdown)</w:t>
      </w:r>
    </w:p>
    <w:p>
      <w:pPr>
        <w:pStyle w:val="FirstParagraph"/>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(carrier_name, arr_delay)</w:t>
      </w:r>
      <w:r>
        <w:br/>
      </w:r>
      <w:r>
        <w:rPr>
          <w:rStyle w:val="NormalTok"/>
        </w:rPr>
        <w:t xml:space="preserve">max_delays &lt;-</w:t>
      </w:r>
      <w:r>
        <w:rPr>
          <w:rStyle w:val="StringTok"/>
        </w:rPr>
        <w:t xml:space="preserve"> </w:t>
      </w:r>
      <w:r>
        <w:rPr>
          <w:rStyle w:val="NormalTok"/>
        </w:rPr>
        <w:t xml:space="preserve">flights2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(carrier_name)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(arr_delay </w:t>
      </w:r>
      <w:r>
        <w:rPr>
          <w:rStyle w:val="OperatorTok"/>
        </w:rPr>
        <w:t xml:space="preserve">==</w:t>
      </w:r>
      <w:r>
        <w:rPr>
          <w:rStyle w:val="StringTok"/>
        </w:rPr>
        <w:t xml:space="preserve"> </w:t>
      </w:r>
      <w:r>
        <w:rPr>
          <w:rStyle w:val="DecValTok"/>
        </w:rPr>
        <w:t xml:space="preserve">1539</w:t>
      </w:r>
      <w:r>
        <w:rPr>
          <w:rStyle w:val="NormalTok"/>
        </w:rPr>
        <w:t xml:space="preserve">, </w:t>
      </w:r>
      <w:r>
        <w:br/>
      </w:r>
      <w:r>
        <w:rPr>
          <w:rStyle w:val="NormalTok"/>
        </w:rPr>
        <w:t xml:space="preserve">                  carrier_name </w:t>
      </w:r>
      <w:r>
        <w:rPr>
          <w:rStyle w:val="OperatorTok"/>
        </w:rPr>
        <w:t xml:space="preserve">==</w:t>
      </w:r>
      <w:r>
        <w:rPr>
          <w:rStyle w:val="StringTok"/>
        </w:rPr>
        <w:t xml:space="preserve"> "American Airlines Inc."</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(month, day, carrier, dest_name, hour, </w:t>
      </w:r>
      <w:r>
        <w:br/>
      </w:r>
      <w:r>
        <w:rPr>
          <w:rStyle w:val="NormalTok"/>
        </w:rPr>
        <w:t xml:space="preserve">            minute, carrier_name, arr_delay))</w:t>
      </w:r>
    </w:p>
    <w:p>
      <w:pPr>
        <w:pStyle w:val="SourceCode"/>
      </w:pPr>
      <w:r>
        <w:rPr>
          <w:rStyle w:val="VerbatimChar"/>
        </w:rPr>
        <w:t xml:space="preserve">  dep_time dep_delay arr_time tailnum flight dest air_time distance</w:t>
      </w:r>
      <w:r>
        <w:br/>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3</w:t>
      </w:r>
      <w:r>
        <w:rPr>
          <w:rStyle w:val="NormalTok"/>
        </w:rPr>
        <w:t xml:space="preserve">, day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dep_time, </w:t>
      </w:r>
      <w:r>
        <w:rPr>
          <w:rStyle w:val="DataTypeTok"/>
        </w:rPr>
        <w:t xml:space="preserve">y =</w:t>
      </w:r>
      <w:r>
        <w:rPr>
          <w:rStyle w:val="NormalTok"/>
        </w:rPr>
        <w:t xml:space="preserve"> arr_delay))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r>
        <w:t xml:space="preserve">Additional resources</w:t>
      </w:r>
      <w:bookmarkEnd w:id="34"/>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math-sci"/>
      <w:r>
        <w:t xml:space="preserve">Mathematics and Science</w:t>
      </w:r>
      <w:bookmarkEnd w:id="39"/>
    </w:p>
    <w:p>
      <w:pPr>
        <w:pStyle w:val="Heading2"/>
      </w:pPr>
      <w:bookmarkStart w:id="40" w:name="math"/>
      <w:r>
        <w:t xml:space="preserve">Math</w:t>
      </w:r>
      <w:bookmarkEnd w:id="40"/>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BodyText"/>
      </w:pPr>
      <w:r>
        <w:t xml:space="preserve">$$\sum_{j=1}^n (\delta\theta_j)^2 \leq {{\beta_i^2}\over{\delta_i^2 + \rho_i^2}}
\left[ 2\rho_i^2 + {\delta_i^2\beta_i^2\over{\delta_i^2 + \rho_i^2}} \right] \equiv \omega_i^2
$$</w:t>
      </w:r>
    </w:p>
    <w:p>
      <w:pPr>
        <w:pStyle w:val="FirstParagraph"/>
      </w:pPr>
      <w:r>
        <w:t xml:space="preserve">From Informational Dynamics, we have the following (Dave Braden):</w:t>
      </w:r>
    </w:p>
    <w:p>
      <w:pPr>
        <w:pStyle w:val="BodyText"/>
      </w:pPr>
      <w:r>
        <w:t xml:space="preserve">After</w:t>
      </w:r>
      <w:r>
        <w:t xml:space="preserve"> </w:t>
      </w:r>
      <w:r>
        <w:rPr>
          <w:i/>
        </w:rPr>
        <w:t xml:space="preserve">n</w:t>
      </w:r>
      <w:r>
        <w:t xml:space="preserve"> </w:t>
      </w:r>
      <w:r>
        <w:t xml:space="preserve">such encounters the posterior density for</w:t>
      </w:r>
      <w:r>
        <w:t xml:space="preserve"> </w:t>
      </w:r>
      <m:oMath>
        <m:r>
          <m:t>θ</m:t>
        </m:r>
      </m:oMath>
      <w:r>
        <w:t xml:space="preserve"> </w:t>
      </w:r>
      <w:r>
        <w:t xml:space="preserve">is</w:t>
      </w:r>
    </w:p>
    <w:p>
      <w:pPr>
        <w:pStyle w:val="BodyText"/>
      </w:pPr>
      <w:r>
        <w:t xml:space="preserve">$$
\pi(\theta|X_1&lt; y_1,\dots,X_n&lt;y_n) \varpropto \pi(\theta) \prod_{i=1}^n\int_{-\infty}^{y_i}
   \exp\left(-{(x-\theta)^2\over{2\sigma^2}}\right)\ dx
$$</w:t>
      </w:r>
    </w:p>
    <w:p>
      <w:pPr>
        <w:pStyle w:val="FirstParagraph"/>
      </w:pPr>
      <w:r>
        <w:t xml:space="preserve">Another equation:</w:t>
      </w:r>
    </w:p>
    <w:p>
      <w:pPr>
        <w:pStyle w:val="BodyText"/>
      </w:pPr>
      <w:r>
        <w:t xml:space="preserve">$$\det\left|\,\begin{matrix}%
c_0&amp;c_1\hfill&amp;c_2\hfill&amp;\ldots&amp;c_n\hfill\cr
c_1&amp;c_2\hfill&amp;c_3\hfill&amp;\ldots&amp;c_{n+1}\hfill\cr
c_2&amp;c_3\hfill&amp;c_4\hfill&amp;\ldots&amp;c_{n+2}\hfill\cr
\,\vdots\hfill&amp;\,\vdots\hfill&amp;
  \,\vdots\hfill&amp;&amp;\,\vdots\hfill\cr
c_n&amp;c_{n+1}\hfill&amp;c_{n+2}\hfill&amp;\ldots&amp;c_{2n}\hfill\cr
\end{matrix}\right|&gt;0$$</w:t>
      </w:r>
    </w:p>
    <w:p>
      <w:pPr>
        <w:pStyle w:val="FirstParagraph"/>
      </w:pPr>
      <w:r>
        <w:t xml:space="preserve">Lapidus and Pindar, Numerical Solution of Partial Differential Equations in Science and</w:t>
      </w:r>
      <w:r>
        <w:t xml:space="preserve"> </w:t>
      </w:r>
      <w:r>
        <w:t xml:space="preserve">Engineering. Page 54</w:t>
      </w:r>
    </w:p>
    <w:p>
      <w:pPr>
        <w:pStyle w:val="BodyText"/>
      </w:pPr>
      <w:r>
        <w:t xml:space="preserve">$$
\int_t\left\{\sum_{j=1}^3 T_j \left({d\phi_j\over dt}+k\phi_j\right)-kT_e\right\}w_i(t)\ dt=0,
   \qquad\quad i=1,2,3.
$$</w:t>
      </w:r>
    </w:p>
    <w:p>
      <w:pPr>
        <w:pStyle w:val="FirstParagraph"/>
      </w:pPr>
      <w:r>
        <w:t xml:space="preserve">L&amp;P Galerkin method weighting functions. Page 55</w:t>
      </w:r>
    </w:p>
    <w:p>
      <w:pPr>
        <w:pStyle w:val="BodyText"/>
      </w:pPr>
      <w:r>
        <w:t xml:space="preserve">$$
\sum_{j=1}^3 T_j\int_0^1\left\{{d\phi_j\over dt} + k\phi_j\right\} \phi_i\ dt
   = \int_{0}^1k\,T_e\phi_idt, \qquad i=1,2,3 $$</w:t>
      </w:r>
    </w:p>
    <w:p>
      <w:pPr>
        <w:pStyle w:val="FirstParagraph"/>
      </w:pPr>
      <w:r>
        <w:t xml:space="preserve">Another L&amp;P (p145)</w:t>
      </w:r>
    </w:p>
    <w:p>
      <w:pPr>
        <w:pStyle w:val="BodyText"/>
      </w:pPr>
      <m:oMathPara>
        <m:oMathParaPr>
          <m:jc m:val="center"/>
        </m:oMathParaPr>
        <m:oMath>
          <m:nary>
            <m:naryPr>
              <m:chr m:val="∫"/>
              <m:limLoc m:val="subSup"/>
              <m:subHide m:val="0"/>
              <m:supHide m:val="0"/>
            </m:naryPr>
            <m:sub>
              <m:r>
                <m:t>−</m:t>
              </m:r>
              <m:r>
                <m:t>1</m:t>
              </m:r>
            </m:sub>
            <m:sup>
              <m:r>
                <m:t>1</m:t>
              </m:r>
            </m:sup>
            <m:e>
              <m:r>
                <m:t>​</m:t>
              </m:r>
            </m:e>
          </m:nary>
          <m:nary>
            <m:naryPr>
              <m:chr m:val="∫"/>
              <m:limLoc m:val="subSup"/>
              <m:subHide m:val="0"/>
              <m:supHide m:val="0"/>
            </m:naryPr>
            <m:sub>
              <m:r>
                <m:t>−</m:t>
              </m:r>
              <m:r>
                <m:t>1</m:t>
              </m:r>
            </m:sub>
            <m:sup>
              <m:r>
                <m:t>1</m:t>
              </m:r>
            </m:sup>
            <m:e>
              <m:r>
                <m:t>​</m:t>
              </m:r>
            </m:e>
          </m:nary>
          <m:nary>
            <m:naryPr>
              <m:chr m:val="∫"/>
              <m:limLoc m:val="subSup"/>
              <m:subHide m:val="0"/>
              <m:supHide m:val="0"/>
            </m:naryPr>
            <m:sub>
              <m:r>
                <m:t>−</m:t>
              </m:r>
              <m:r>
                <m:t>1</m:t>
              </m:r>
            </m:sub>
            <m:sup>
              <m:r>
                <m:t>1</m:t>
              </m:r>
            </m:sup>
            <m:e>
              <m:r>
                <m:t>f</m:t>
              </m:r>
            </m:e>
          </m:nary>
          <m:r>
            <m:t>(</m:t>
          </m:r>
          <m:r>
            <m:t>ξ</m:t>
          </m:r>
          <m:r>
            <m:t>,</m:t>
          </m:r>
          <m:r>
            <m:t>η</m:t>
          </m:r>
          <m:r>
            <m:t>,</m:t>
          </m:r>
          <m:r>
            <m:t>ζ</m:t>
          </m:r>
          <m:r>
            <m:t>)</m:t>
          </m:r>
          <m:r>
            <m:t>=</m:t>
          </m:r>
          <m:nary>
            <m:naryPr>
              <m:chr m:val="∑"/>
              <m:limLoc m:val="undOvr"/>
              <m:subHide m:val="0"/>
              <m:supHide m:val="0"/>
            </m:naryPr>
            <m:sub>
              <m:r>
                <m:t>k</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i</m:t>
                      </m:r>
                      <m:r>
                        <m:t>=</m:t>
                      </m:r>
                      <m:r>
                        <m:t>1</m:t>
                      </m:r>
                    </m:sub>
                    <m:sup>
                      <m:r>
                        <m:t>n</m:t>
                      </m:r>
                    </m:sup>
                    <m:e>
                      <m:sSub>
                        <m:e>
                          <m:r>
                            <m:t>w</m:t>
                          </m:r>
                        </m:e>
                        <m:sub>
                          <m:r>
                            <m:t>i</m:t>
                          </m:r>
                        </m:sub>
                      </m:sSub>
                    </m:e>
                  </m:nary>
                </m:e>
              </m:nary>
            </m:e>
          </m:nary>
          <m:sSub>
            <m:e>
              <m:r>
                <m:t>w</m:t>
              </m:r>
            </m:e>
            <m:sub>
              <m:r>
                <m:t>j</m:t>
              </m:r>
            </m:sub>
          </m:sSub>
          <m:sSub>
            <m:e>
              <m:r>
                <m:t>w</m:t>
              </m:r>
            </m:e>
            <m:sub>
              <m:r>
                <m:t>k</m:t>
              </m:r>
            </m:sub>
          </m:sSub>
          <m:r>
            <m:t>f</m:t>
          </m:r>
          <m:r>
            <m:t>(</m:t>
          </m:r>
          <m:r>
            <m:t>ξ</m:t>
          </m:r>
          <m:r>
            <m:t>,</m:t>
          </m:r>
          <m:r>
            <m:t>η</m:t>
          </m:r>
          <m:r>
            <m:t>,</m:t>
          </m:r>
          <m:r>
            <m:t>ζ</m:t>
          </m:r>
          <m:r>
            <m:t>)</m:t>
          </m:r>
          <m:r>
            <m:t>.</m:t>
          </m:r>
        </m:oMath>
      </m:oMathPara>
    </w:p>
    <w:p>
      <w:pPr>
        <w:pStyle w:val="FirstParagraph"/>
      </w:pPr>
      <w:r>
        <w:t xml:space="preserve">Another L&amp;P (p126)</w:t>
      </w:r>
    </w:p>
    <w:p>
      <w:pPr>
        <w:pStyle w:val="BodyText"/>
      </w:pPr>
      <m:oMathPara>
        <m:oMathParaPr>
          <m:jc m:val="center"/>
        </m:oMathParaPr>
        <m:oMath>
          <m:nary>
            <m:naryPr>
              <m:chr m:val="∫"/>
              <m:limLoc m:val="subSup"/>
              <m:subHide m:val="0"/>
              <m:supHide m:val="1"/>
            </m:naryPr>
            <m:sub>
              <m:sSub>
                <m:e>
                  <m:r>
                    <m:t>A</m:t>
                  </m:r>
                </m:e>
                <m:sub>
                  <m:r>
                    <m:t>e</m:t>
                  </m:r>
                </m:sub>
              </m:sSub>
            </m:sub>
            <m:sup>
              <m:r>
                <m:t>​</m:t>
              </m:r>
            </m:sup>
            <m:e>
              <m:r>
                <m:t>(</m:t>
              </m:r>
            </m:e>
          </m:nary>
          <m:r>
            <m:t> </m:t>
          </m:r>
          <m:r>
            <m:t>⋅</m:t>
          </m:r>
          <m:r>
            <m:t> </m:t>
          </m:r>
          <m:r>
            <m:t>)</m:t>
          </m:r>
          <m:r>
            <m:t>d</m:t>
          </m:r>
          <m:r>
            <m:t>x</m:t>
          </m:r>
          <m:r>
            <m:t>d</m:t>
          </m:r>
          <m:r>
            <m:t>y</m:t>
          </m:r>
          <m:r>
            <m:t>=</m:t>
          </m:r>
          <m:nary>
            <m:naryPr>
              <m:chr m:val="∫"/>
              <m:limLoc m:val="subSup"/>
              <m:subHide m:val="0"/>
              <m:supHide m:val="0"/>
            </m:naryPr>
            <m:sub>
              <m:r>
                <m:t>−</m:t>
              </m:r>
              <m:r>
                <m:t>1</m:t>
              </m:r>
            </m:sub>
            <m:sup>
              <m:r>
                <m:t>1</m:t>
              </m:r>
            </m:sup>
            <m:e>
              <m:r>
                <m:t>​</m:t>
              </m:r>
            </m:e>
          </m:nary>
          <m:nary>
            <m:naryPr>
              <m:chr m:val="∫"/>
              <m:limLoc m:val="subSup"/>
              <m:subHide m:val="0"/>
              <m:supHide m:val="0"/>
            </m:naryPr>
            <m:sub>
              <m:r>
                <m:t>−</m:t>
              </m:r>
              <m:r>
                <m:t>1</m:t>
              </m:r>
            </m:sub>
            <m:sup>
              <m:r>
                <m:t>1</m:t>
              </m:r>
            </m:sup>
            <m:e>
              <m:r>
                <m:t>(</m:t>
              </m:r>
            </m:e>
          </m:nary>
          <m:r>
            <m:t> </m:t>
          </m:r>
          <m:r>
            <m:t>⋅</m:t>
          </m:r>
          <m:r>
            <m:t> </m:t>
          </m:r>
          <m:r>
            <m:t>)</m:t>
          </m:r>
          <m:r>
            <m:rPr>
              <m:nor/>
              <m:sty m:val="p"/>
            </m:rPr>
            <m:t>det</m:t>
          </m:r>
          <m:r>
            <m:t>[</m:t>
          </m:r>
          <m:r>
            <m:t>J</m:t>
          </m:r>
          <m:r>
            <m:t>]</m:t>
          </m:r>
          <m:r>
            <m:t>d</m:t>
          </m:r>
          <m:r>
            <m:t>ξ</m:t>
          </m:r>
          <m:r>
            <m:t>d</m:t>
          </m:r>
          <m:r>
            <m:t>η</m:t>
          </m:r>
          <m:r>
            <m:t>.</m:t>
          </m:r>
        </m:oMath>
      </m:oMathPara>
    </w:p>
    <w:p>
      <w:pPr>
        <w:pStyle w:val="Heading2"/>
      </w:pPr>
      <w:bookmarkStart w:id="41" w:name="chemistry-101-symbols"/>
      <w:r>
        <w:t xml:space="preserve">Chemistry 101: Symbols</w:t>
      </w:r>
      <w:bookmarkEnd w:id="41"/>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2" w:name="typesetting-reactions"/>
      <w:r>
        <w:t xml:space="preserve">Typesetting reactions</w:t>
      </w:r>
      <w:bookmarkEnd w:id="42"/>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43" w:name="other-examples-of-reactions"/>
      <w:r>
        <w:t xml:space="preserve">Other examples of reactions</w:t>
      </w:r>
      <w:bookmarkEnd w:id="43"/>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r>
        <w:t xml:space="preserve">Physics</w:t>
      </w:r>
      <w:bookmarkEnd w:id="44"/>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r>
        <w:t xml:space="preserve">Biology</w:t>
      </w:r>
      <w:bookmarkEnd w:id="47"/>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ref-labels"/>
      <w:r>
        <w:t xml:space="preserve">Tables, Graphics, References, and Labels</w:t>
      </w:r>
      <w:bookmarkEnd w:id="50"/>
    </w:p>
    <w:p>
      <w:pPr>
        <w:pStyle w:val="Heading2"/>
      </w:pPr>
      <w:bookmarkStart w:id="51" w:name="tables"/>
      <w:r>
        <w:t xml:space="preserve">Tables</w:t>
      </w:r>
      <w:bookmarkEnd w:id="51"/>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
        <w:tblW w:type="pct" w:w="5000.0"/>
        <w:tblLook w:firstRow="1"/>
        <w:tblCaption w:val="Table 2: Correlation of Inheritance Factors for Parents and Child"/>
      </w:tblPr>
      <w:tblGrid>
        <w:gridCol w:w="2480"/>
        <w:gridCol w:w="4007"/>
        <w:gridCol w:w="1431"/>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Heading2"/>
      </w:pPr>
      <w:bookmarkStart w:id="53" w:name="figures"/>
      <w:r>
        <w:t xml:space="preserve">Figures</w:t>
      </w:r>
      <w:bookmarkEnd w:id="53"/>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1: Reed logo" title=""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8" w:name="footnotes-and-endnotes"/>
      <w:r>
        <w:t xml:space="preserve">Footnotes and Endnotes</w:t>
      </w:r>
      <w:bookmarkEnd w:id="58"/>
    </w:p>
    <w:p>
      <w:pPr>
        <w:pStyle w:val="FirstParagraph"/>
      </w:pPr>
      <w:r>
        <w:t xml:space="preserve">You might want to footnote something.</w:t>
      </w:r>
      <w:r>
        <w:rPr>
          <w:rStyle w:val="FootnoteReference"/>
        </w:rPr>
        <w:footnoteReference w:id="5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0">
        <w:r>
          <w:rPr>
            <w:rStyle w:val="Hyperlink"/>
          </w:rPr>
          <w:t xml:space="preserve">data@reed.edu</w:t>
        </w:r>
      </w:hyperlink>
      <w:r>
        <w:t xml:space="preserve">.</w:t>
      </w:r>
    </w:p>
    <w:p>
      <w:pPr>
        <w:pStyle w:val="Heading2"/>
      </w:pPr>
      <w:bookmarkStart w:id="61" w:name="bibliographies"/>
      <w:r>
        <w:t xml:space="preserve">Bibliographies</w:t>
      </w:r>
      <w:bookmarkEnd w:id="61"/>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2">
        <w:r>
          <w:rPr>
            <w:rStyle w:val="Hyperlink"/>
          </w:rPr>
          <w:t xml:space="preserve">http://libguides.reed.edu/citation/zotero</w:t>
        </w:r>
      </w:hyperlink>
      <w:r>
        <w:t xml:space="preserve">. In addition, a tutorial is available from Middlebury College at</w:t>
      </w:r>
      <w:r>
        <w:t xml:space="preserve"> </w:t>
      </w:r>
      <w:hyperlink r:id="rId6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rPr>
          <w:rStyle w:val="VerbatimChar"/>
        </w:rPr>
        <w:t xml:space="preserve">@key</w:t>
      </w:r>
      <w:r>
        <w:t xml:space="preserve"> </w:t>
      </w:r>
      <w:r>
        <w:t xml:space="preserve">is</w:t>
      </w:r>
      <w:r>
        <w:t xml:space="preserve"> </w:t>
      </w:r>
      <w:r>
        <w:t xml:space="preserve">(</w:t>
      </w:r>
      <w:r>
        <w:rPr>
          <w:b/>
        </w:rPr>
        <w:t xml:space="preserve">???</w:t>
      </w:r>
      <w:r>
        <w:t xml:space="preserve">)</w:t>
      </w:r>
      <w:r>
        <w:t xml:space="preserve"> </w:t>
      </w:r>
      <w:r>
        <w:t xml:space="preserve">and</w:t>
      </w:r>
      <w:r>
        <w:t xml:space="preserve"> </w:t>
      </w:r>
      <w:r>
        <w:rPr>
          <w:rStyle w:val="VerbatimChar"/>
        </w:rPr>
        <w:t xml:space="preserve">[@key]</w:t>
      </w:r>
      <w:r>
        <w:t xml:space="preserve"> </w:t>
      </w:r>
      <w:r>
        <w:t xml:space="preserve">is</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5">
        <w:r>
          <w:rPr>
            <w:rStyle w:val="Hyperlink"/>
          </w:rPr>
          <w:t xml:space="preserve">http://web.reed.edu/cis/help/latex/index.html</w:t>
        </w:r>
      </w:hyperlink>
      <w:r>
        <w:t xml:space="preserve">)</w:t>
      </w:r>
      <w:r>
        <w:rPr>
          <w:rStyle w:val="FootnoteReference"/>
        </w:rPr>
        <w:footnoteReference w:id="6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1"/>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p>
      <w:pPr>
        <w:pStyle w:val="Heading2"/>
      </w:pPr>
      <w:bookmarkStart w:id="72" w:name="anything-else"/>
      <w:r>
        <w:t xml:space="preserve">Anything else?</w:t>
      </w:r>
      <w:bookmarkEnd w:id="72"/>
    </w:p>
    <w:p>
      <w:pPr>
        <w:pStyle w:val="FirstParagraph"/>
      </w:pPr>
      <w:r>
        <w:t xml:space="preserve">If you’d like to see examples of other things in this template, please contact the Data @ Reed team (email</w:t>
      </w:r>
      <w:r>
        <w:t xml:space="preserve"> </w:t>
      </w:r>
      <w:hyperlink r:id="rId6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3" w:name="conclusion"/>
      <w:r>
        <w:t xml:space="preserve">Conclusion</w:t>
      </w:r>
      <w:bookmarkEnd w:id="73"/>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4" w:name="appendix-appendix"/>
      <w:r>
        <w:t xml:space="preserve">(APPENDIX) Appendix</w:t>
      </w:r>
      <w:bookmarkEnd w:id="74"/>
    </w:p>
    <w:p>
      <w:pPr>
        <w:pStyle w:val="Heading1"/>
      </w:pPr>
      <w:bookmarkStart w:id="75" w:name="the-first-appendix"/>
      <w:r>
        <w:t xml:space="preserve">The First Appendix</w:t>
      </w:r>
      <w:bookmarkEnd w:id="75"/>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r>
      <w:r>
        <w:rPr>
          <w:rStyle w:val="NormalTok"/>
        </w:rPr>
        <w:t xml:space="preserve">  </w:t>
      </w:r>
      <w:r>
        <w:rPr>
          <w:rStyle w:val="KeywordTok"/>
        </w:rPr>
        <w:t xml:space="preserve">library</w:t>
      </w:r>
      <w:r>
        <w:rPr>
          <w:rStyle w:val="NormalTok"/>
        </w:rPr>
        <w:t xml:space="preserve">(devtools)</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w:t>
      </w:r>
      <w:r>
        <w:br/>
      </w:r>
      <w:r>
        <w:rPr>
          <w:rStyle w:val="KeywordTok"/>
        </w:rPr>
        <w:t xml:space="preserve">library</w:t>
      </w:r>
      <w:r>
        <w:rPr>
          <w:rStyle w:val="NormalTok"/>
        </w:rPr>
        <w:t xml:space="preserve">(thesisdown)</w:t>
      </w:r>
      <w:r>
        <w:br/>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r>
        <w:t xml:space="preserve">The Second Appendix, for Fun</w:t>
      </w:r>
      <w:bookmarkEnd w:id="76"/>
    </w:p>
    <w:p>
      <w:pPr>
        <w:pStyle w:val="Heading1"/>
      </w:pPr>
      <w:bookmarkStart w:id="77" w:name="references"/>
      <w:r>
        <w:t xml:space="preserve">References</w:t>
      </w:r>
      <w:bookmarkEnd w:id="77"/>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FootnoteText"/>
      </w:pPr>
      <w:r>
        <w:rPr>
          <w:rStyle w:val="FootnoteReference"/>
        </w:rPr>
        <w:footnoteRef/>
      </w:r>
      <w:r>
        <w:t xml:space="preserve"> </w:t>
      </w:r>
      <w:r>
        <w:t xml:space="preserve">footnote text</w:t>
      </w:r>
    </w:p>
  </w:footnote>
  <w:footnote w:id="66">
    <w:p>
      <w:pPr>
        <w:pStyle w:val="FootnoteText"/>
      </w:pPr>
      <w:r>
        <w:rPr>
          <w:rStyle w:val="FootnoteReference"/>
        </w:rPr>
        <w:footnoteRef/>
      </w:r>
      <w:r>
        <w:t xml:space="preserve"> </w:t>
      </w:r>
      <w:r>
        <w:t xml:space="preserve">(</w:t>
      </w:r>
      <w:r>
        <w:rPr>
          <w:b/>
        </w:rPr>
        <w:t xml:space="preserve">???</w:t>
      </w:r>
      <w:r>
        <w:t xml:space="preserve">)</w:t>
      </w:r>
    </w:p>
  </w:footnote>
  <w:footnote w:id="71">
    <w:p>
      <w:pPr>
        <w:pStyle w:val="FootnoteText"/>
      </w:pPr>
      <w:r>
        <w:rPr>
          <w:rStyle w:val="FootnoteReference"/>
        </w:rPr>
        <w:footnoteRef/>
      </w:r>
      <w:r>
        <w:t xml:space="preserve"> </w:t>
      </w:r>
      <w:r>
        <w:t xml:space="preserve">(</w:t>
      </w:r>
      <w:r>
        <w:rPr>
          <w:b/>
        </w:rPr>
        <w:t xml:space="preserve">???</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21" Target="https://bookdown.org/yihui/bookdown/"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21" Target="https://bookdown.org/yihui/bookdown/"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2019-07-09T08:40:42Z</dcterms:created>
  <dcterms:modified xsi:type="dcterms:W3CDTF">2019-07-09T08:40:42Z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cite">
    <vt:lpwstr>@angel2000, @angel2001, @angel2002a</vt:lpwstr>
  </property>
</Properties>
</file>