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" ContentType="application/octet-stream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cdfa8ae09bbc0ecf99d4f1d87d935fbfe9c2365"/>
    <w:p>
      <w:pPr>
        <w:pStyle w:val="2"/>
      </w:pPr>
      <w:r>
        <w:t xml:space="preserve">Evaluation Methodology — How We Built Ground Truth for the Cascade Pipeline</w:t>
      </w:r>
    </w:p>
    <w:p>
      <w:pPr>
        <w:pStyle w:val="14"/>
      </w:pPr>
      <w:r>
        <w:t xml:space="preserve">Riverdale Park AI Code Enforcement · INST623 Final Project</w:t>
      </w:r>
      <w:r>
        <w:t xml:space="preserve"> </w:t>
      </w:r>
      <w:r>
        <w:t xml:space="preserve">Chihao Li · 2026-04-29</w:t>
      </w:r>
    </w:p>
    <w:p>
      <w:pPr>
        <w:pStyle w:val="23"/>
      </w:pPr>
      <w:r>
        <w:t xml:space="preserve">This report documents the multi-week effort to build a reliable evaluation methodology for our zero-shot cascade pipeline (CLIP → Gemma binary → Sonnet judge). It covers two parallel evaluation tracks (AI multi-agent labeling and human inter-rater labeling), the cross-source comparison, a prompt-refinement iteration (v3), and what these findings mean for the final deliverable.</w:t>
      </w:r>
    </w:p>
    <w:p>
      <w:r>
        <w:pict>
          <v:rect style="width:0;height:1.5pt" o:hralign="center" o:hrstd="t" o:hr="t"/>
        </w:pict>
      </w:r>
    </w:p>
    <w:bookmarkStart w:id="15" w:name="background-why-we-needed-this"/>
    <w:p>
      <w:pPr>
        <w:pStyle w:val="4"/>
      </w:pPr>
      <w:r>
        <w:t xml:space="preserve">1. Background — Why we needed this</w:t>
      </w:r>
    </w:p>
    <w:p>
      <w:pPr>
        <w:pStyle w:val="23"/>
      </w:pPr>
      <w:r>
        <w:t xml:space="preserve">Our cascade pipeline assigns each inspector photo to one or more of 9 violation classes. The original</w:t>
      </w:r>
      <w:r>
        <w:t xml:space="preserve"> </w:t>
      </w:r>
      <w:r>
        <w:t xml:space="preserve">“ground truth”</w:t>
      </w:r>
      <w:r>
        <w:t xml:space="preserve"> </w:t>
      </w:r>
      <w:r>
        <w:t xml:space="preserve">we received from the client was a folder structure: 98 photos sorted into folders by their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violation code, one folder per code.</w:t>
      </w:r>
    </w:p>
    <w:p>
      <w:pPr>
        <w:pStyle w:val="3"/>
      </w:pPr>
      <w:r>
        <w:t xml:space="preserve">Two problems with using folder labels as evaluation truth, both surfaced in Phase 2:</w:t>
      </w:r>
    </w:p>
    <w:p>
      <w:pPr>
        <w:pStyle w:val="24"/>
        <w:numPr>
          <w:ilvl w:val="0"/>
          <w:numId w:val="1001"/>
        </w:numPr>
      </w:pPr>
      <w:r>
        <w:rPr>
          <w:b/>
          <w:bCs/>
        </w:rPr>
        <w:t xml:space="preserve">Folders are single-label</w:t>
      </w:r>
      <w:r>
        <w:t xml:space="preserve"> </w:t>
      </w:r>
      <w:r>
        <w:t xml:space="preserve">— each photo is filed under one code, even when the photo clearly shows multiple violations (a derelict house can show graffiti, peeling paint, and boarded windows simultaneously).</w:t>
      </w:r>
    </w:p>
    <w:p>
      <w:pPr>
        <w:pStyle w:val="24"/>
        <w:numPr>
          <w:ilvl w:val="0"/>
          <w:numId w:val="1001"/>
        </w:numPr>
      </w:pPr>
      <w:r>
        <w:rPr>
          <w:b/>
          <w:bCs/>
        </w:rPr>
        <w:t xml:space="preserve">Folders are under-complete</w:t>
      </w:r>
      <w:r>
        <w:t xml:space="preserve"> </w:t>
      </w:r>
      <w:r>
        <w:t xml:space="preserve">— 11 of 98 photos appeared in multiple folders (verified by md5), and many photos contain visible secondary violations the folder didn’t track.</w:t>
      </w:r>
    </w:p>
    <w:p>
      <w:pPr>
        <w:pStyle w:val="23"/>
      </w:pPr>
      <w:r>
        <w:t xml:space="preserve">Without a multi-label truth, we could not measure cascade performance honestly. Phase 2 numbers like</w:t>
      </w:r>
      <w:r>
        <w:t xml:space="preserve"> </w:t>
      </w:r>
      <w:r>
        <w:t xml:space="preserve">“Sonnet 91% precision vs folder”</w:t>
      </w:r>
      <w:r>
        <w:t xml:space="preserve"> </w:t>
      </w:r>
      <w:r>
        <w:t xml:space="preserve">were technically meaningful but vastly understated the model’s actual accuracy on real (multi-label) violations.</w:t>
      </w:r>
    </w:p>
    <w:p>
      <w:pPr>
        <w:pStyle w:val="3"/>
      </w:pPr>
      <w:r>
        <w:t xml:space="preserve">The work documented in this report builds that multi-label truth using two complementary tracks.</w:t>
      </w:r>
    </w:p>
    <w:p>
      <w:r>
        <w:pict>
          <v:rect style="width:0;height:1.5pt" o:hralign="center" o:hrstd="t" o:hr="t"/>
        </w:pict>
      </w:r>
    </w:p>
    <w:bookmarkEnd w:id="15"/>
    <w:bookmarkStart w:id="18" w:name="the-two-evaluation-tracks"/>
    <w:p>
      <w:pPr>
        <w:pStyle w:val="4"/>
      </w:pPr>
      <w:r>
        <w:t xml:space="preserve">2. The Two Evaluation Tracks</w:t>
      </w:r>
    </w:p>
    <w:bookmarkStart w:id="16" w:name="track-a-ai-multi-agent-labeling"/>
    <w:p>
      <w:pPr>
        <w:pStyle w:val="5"/>
      </w:pPr>
      <w:r>
        <w:t xml:space="preserve">Track A — AI multi-agent labeling</w:t>
      </w:r>
    </w:p>
    <w:p>
      <w:pPr>
        <w:pStyle w:val="23"/>
      </w:pPr>
      <w:r>
        <w:t xml:space="preserve">Approach: dispatch independent Claude Sonnet sub-agents to label all 98 photos using a structured prompt, then aggregate by majority vote across multiple runs.</w:t>
      </w:r>
    </w:p>
    <w:p>
      <w:pPr>
        <w:pStyle w:val="3"/>
      </w:pPr>
      <w:r>
        <w:rPr>
          <w:b/>
          <w:bCs/>
        </w:rPr>
        <w:t xml:space="preserve">Schema iteration history</w:t>
      </w:r>
      <w:r>
        <w:t xml:space="preserve"> </w:t>
      </w:r>
      <w:r>
        <w:t xml:space="preserve">(each version is the same task with refined instructions):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24"/>
            </w:pPr>
            <w:r>
              <w:t xml:space="preserve">Version</w:t>
            </w:r>
          </w:p>
        </w:tc>
        <w:tc>
          <w:tcPr/>
          <w:p>
            <w:pPr>
              <w:pStyle w:val="24"/>
            </w:pPr>
            <w:r>
              <w:t xml:space="preserve">Schema</w:t>
            </w:r>
          </w:p>
        </w:tc>
        <w:tc>
          <w:tcPr/>
          <w:p>
            <w:pPr>
              <w:pStyle w:val="24"/>
            </w:pPr>
            <w:r>
              <w:t xml:space="preserve">Result</w:t>
            </w:r>
          </w:p>
        </w:tc>
      </w:tr>
      <w:tr>
        <w:tc>
          <w:tcPr/>
          <w:p>
            <w:pPr>
              <w:pStyle w:val="24"/>
            </w:pPr>
            <w:r>
              <w:t xml:space="preserve">v1</w:t>
            </w:r>
          </w:p>
        </w:tc>
        <w:tc>
          <w:tcPr/>
          <w:p>
            <w:pPr>
              <w:pStyle w:val="24"/>
            </w:pPr>
            <w:r>
              <w:t xml:space="preserve">yes/no only</w:t>
            </w:r>
          </w:p>
        </w:tc>
        <w:tc>
          <w:tcPr/>
          <w:p>
            <w:pPr>
              <w:pStyle w:val="24"/>
            </w:pPr>
            <w:r>
              <w:t xml:space="preserve">Single pass, 236 yes flags. Manual review found ~5% borderline cells where forcing yes/no created bias (vehicle windows, small vines, tarp-covered windows).</w:t>
            </w:r>
          </w:p>
        </w:tc>
      </w:tr>
      <w:tr>
        <w:tc>
          <w:tcPr/>
          <w:p>
            <w:pPr>
              <w:pStyle w:val="24"/>
            </w:pPr>
            <w:r>
              <w:t xml:space="preserve">v2</w:t>
            </w:r>
          </w:p>
        </w:tc>
        <w:tc>
          <w:tcPr/>
          <w:p>
            <w:pPr>
              <w:pStyle w:val="24"/>
            </w:pPr>
            <w:r>
              <w:t xml:space="preserve">yes/no/unsure + 3 class-boundary rules (</w:t>
            </w:r>
            <w:r>
              <w:t xml:space="preserve">“can’t see → unsure”</w:t>
            </w:r>
            <w:r>
              <w:t xml:space="preserve">;</w:t>
            </w:r>
            <w:r>
              <w:t xml:space="preserve"> </w:t>
            </w:r>
            <w:r>
              <w:t xml:space="preserve">“broken_windows = buildings only”</w:t>
            </w:r>
            <w:r>
              <w:t xml:space="preserve">;</w:t>
            </w:r>
            <w:r>
              <w:t xml:space="preserve"> </w:t>
            </w:r>
            <w:r>
              <w:t xml:space="preserve">“overgrown = property-scale only”</w:t>
            </w:r>
            <w:r>
              <w:t xml:space="preserve">)</w:t>
            </w:r>
          </w:p>
        </w:tc>
        <w:tc>
          <w:tcPr/>
          <w:p>
            <w:pPr>
              <w:pStyle w:val="24"/>
            </w:pPr>
            <w:r>
              <w:t xml:space="preserve">Single pass, 195 yes / 47 unsure. 88.9% of v1 cells unchanged; the 11.1% that changed were the borderlines.</w:t>
            </w:r>
          </w:p>
        </w:tc>
      </w:tr>
      <w:tr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v2 multi-rater</w:t>
            </w:r>
          </w:p>
        </w:tc>
        <w:tc>
          <w:tcPr/>
          <w:p>
            <w:pPr>
              <w:pStyle w:val="24"/>
            </w:pPr>
            <w:r>
              <w:t xml:space="preserve">Same schema,</w:t>
            </w:r>
            <w:r>
              <w:t xml:space="preserve"> </w:t>
            </w:r>
            <w:r>
              <w:rPr>
                <w:b/>
                <w:bCs/>
              </w:rPr>
              <w:t xml:space="preserve">run 3 independent times</w:t>
            </w:r>
            <w:r>
              <w:t xml:space="preserve"> </w:t>
            </w:r>
            <w:r>
              <w:t xml:space="preserve">to measure self-consistency</w:t>
            </w:r>
          </w:p>
        </w:tc>
        <w:tc>
          <w:tcPr/>
          <w:p>
            <w:pPr>
              <w:pStyle w:val="24"/>
            </w:pPr>
            <w:r>
              <w:t xml:space="preserve">89.1% of cells unanimous across 3 runs, 10.7% majority, only 0.2% (2 cells) truly split. Two errors I had spot-checked manually in v1 were auto-corrected by the multi-run consensus.</w:t>
            </w:r>
          </w:p>
        </w:tc>
      </w:tr>
      <w:tr>
        <w:tc>
          <w:tcPr/>
          <w:p>
            <w:pPr>
              <w:pStyle w:val="24"/>
            </w:pPr>
            <w:r>
              <w:t xml:space="preserve">v3</w:t>
            </w:r>
          </w:p>
        </w:tc>
        <w:tc>
          <w:tcPr/>
          <w:p>
            <w:pPr>
              <w:pStyle w:val="24"/>
            </w:pPr>
            <w:r>
              <w:t xml:space="preserve">v2 schema + refined definitions for 3 hard classes (paint/chimney/junk)</w:t>
            </w:r>
          </w:p>
        </w:tc>
        <w:tc>
          <w:tcPr/>
          <w:p>
            <w:pPr>
              <w:pStyle w:val="24"/>
            </w:pPr>
            <w:r>
              <w:t xml:space="preserve">Single pass tested against v2. Results in §5.</w:t>
            </w:r>
          </w:p>
        </w:tc>
      </w:tr>
    </w:tbl>
    <w:p>
      <w:pPr>
        <w:pStyle w:val="3"/>
      </w:pPr>
      <w:r>
        <w:rPr>
          <w:b/>
          <w:bCs/>
        </w:rPr>
        <w:t xml:space="preserve">Final v2 truth</w:t>
      </w:r>
      <w:r>
        <w:t xml:space="preserve"> </w:t>
      </w:r>
      <w:r>
        <w:t xml:space="preserve">(after 3 runs, majority vote): 201 yes flags, 639 no, 42 unsure, 786 unanimous + 94 majority + 2 disputed. This is the AI ground truth used for cross-comparison.</w:t>
      </w:r>
    </w:p>
    <w:bookmarkEnd w:id="16"/>
    <w:bookmarkStart w:id="17" w:name="track-b-human-inter-rater-labeling"/>
    <w:p>
      <w:pPr>
        <w:pStyle w:val="5"/>
      </w:pPr>
      <w:r>
        <w:t xml:space="preserve">Track B — Human inter-rater labeling</w:t>
      </w:r>
    </w:p>
    <w:p>
      <w:pPr>
        <w:pStyle w:val="23"/>
      </w:pPr>
      <w:r>
        <w:t xml:space="preserve">Approach: three team members independently labeled all 98 photos using the same v2 schema. We compute pairwise inter-rater agreement (Cohen’s κ) and build a human consensus by majority vote.</w:t>
      </w:r>
    </w:p>
    <w:p>
      <w:pPr>
        <w:pStyle w:val="3"/>
      </w:pPr>
      <w:r>
        <w:rPr>
          <w:b/>
          <w:bCs/>
        </w:rPr>
        <w:t xml:space="preserve">Completion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24"/>
            </w:pPr>
            <w:r>
              <w:t xml:space="preserve">Labeler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Rows labeled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Yes-rate (on labeled cells)</w:t>
            </w:r>
          </w:p>
        </w:tc>
      </w:tr>
      <w:tr>
        <w:tc>
          <w:tcPr/>
          <w:p>
            <w:pPr>
              <w:pStyle w:val="24"/>
            </w:pPr>
            <w:r>
              <w:t xml:space="preserve">Fechi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56/98 (stopped at img_055)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40%</w:t>
            </w:r>
          </w:p>
        </w:tc>
      </w:tr>
      <w:tr>
        <w:tc>
          <w:tcPr/>
          <w:p>
            <w:pPr>
              <w:pStyle w:val="24"/>
            </w:pPr>
            <w:r>
              <w:t xml:space="preserve">Eileen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98/98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33%</w:t>
            </w:r>
          </w:p>
        </w:tc>
      </w:tr>
      <w:tr>
        <w:tc>
          <w:tcPr/>
          <w:p>
            <w:pPr>
              <w:pStyle w:val="24"/>
            </w:pPr>
            <w:r>
              <w:t xml:space="preserve">Jake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98/98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24%</w:t>
            </w:r>
          </w:p>
        </w:tc>
      </w:tr>
    </w:tbl>
    <w:p>
      <w:pPr>
        <w:pStyle w:val="3"/>
      </w:pPr>
      <w:r>
        <w:t xml:space="preserve">The three labelers had very different styles. Jake was the most decisive (only 5 unsures total). Eileen used unsure 85 times. Fechi used unsure 127 times. Yes-rates spanned a 16-point range, reflecting different thresholds for borderline cases.</w:t>
      </w:r>
    </w:p>
    <w:p>
      <w:pPr>
        <w:pStyle w:val="3"/>
      </w:pPr>
      <w:r>
        <w:rPr>
          <w:b/>
          <w:bCs/>
        </w:rPr>
        <w:t xml:space="preserve">Inter-rater agreement</w:t>
      </w:r>
      <w:r>
        <w:t xml:space="preserve"> </w:t>
      </w:r>
      <w:r>
        <w:t xml:space="preserve">(3-way Cohen’s κ on the first 56 photos all three labeled):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24"/>
            </w:pPr>
            <w:r>
              <w:t xml:space="preserve">Class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κ</w:t>
            </w:r>
          </w:p>
        </w:tc>
        <w:tc>
          <w:tcPr/>
          <w:p>
            <w:pPr>
              <w:pStyle w:val="24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24"/>
            </w:pPr>
            <w:r>
              <w:t xml:space="preserve">graffiti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24"/>
            </w:pPr>
            <w:r>
              <w:t xml:space="preserve">Substantial</w:t>
            </w:r>
          </w:p>
        </w:tc>
      </w:tr>
      <w:tr>
        <w:tc>
          <w:tcPr/>
          <w:p>
            <w:pPr>
              <w:pStyle w:val="24"/>
            </w:pPr>
            <w:r>
              <w:t xml:space="preserve">boarded_windows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24"/>
            </w:pPr>
            <w:r>
              <w:t xml:space="preserve">Substantial</w:t>
            </w:r>
          </w:p>
        </w:tc>
      </w:tr>
      <w:tr>
        <w:tc>
          <w:tcPr/>
          <w:p>
            <w:pPr>
              <w:pStyle w:val="24"/>
            </w:pPr>
            <w:r>
              <w:t xml:space="preserve">inoperable_vehicle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24"/>
            </w:pPr>
            <w:r>
              <w:t xml:space="preserve">Moderate</w:t>
            </w:r>
          </w:p>
        </w:tc>
      </w:tr>
      <w:tr>
        <w:tc>
          <w:tcPr/>
          <w:p>
            <w:pPr>
              <w:pStyle w:val="24"/>
            </w:pPr>
            <w:r>
              <w:t xml:space="preserve">overgrown_vegetation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24"/>
            </w:pPr>
            <w:r>
              <w:t xml:space="preserve">Moderate</w:t>
            </w:r>
          </w:p>
        </w:tc>
      </w:tr>
      <w:tr>
        <w:tc>
          <w:tcPr/>
          <w:p>
            <w:pPr>
              <w:pStyle w:val="24"/>
            </w:pPr>
            <w:r>
              <w:t xml:space="preserve">broken_windows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24"/>
            </w:pPr>
            <w:r>
              <w:t xml:space="preserve">Moderate</w:t>
            </w:r>
          </w:p>
        </w:tc>
      </w:tr>
      <w:tr>
        <w:tc>
          <w:tcPr/>
          <w:p>
            <w:pPr>
              <w:pStyle w:val="24"/>
            </w:pPr>
            <w:r>
              <w:t xml:space="preserve">damaged_roof_shingles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24"/>
            </w:pPr>
            <w:r>
              <w:t xml:space="preserve">Fair</w:t>
            </w:r>
          </w:p>
        </w:tc>
      </w:tr>
      <w:tr>
        <w:tc>
          <w:tcPr/>
          <w:p>
            <w:pPr>
              <w:pStyle w:val="24"/>
            </w:pPr>
            <w:r>
              <w:t xml:space="preserve">junk_trash_accumulation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24"/>
            </w:pPr>
            <w:r>
              <w:t xml:space="preserve">Fair</w:t>
            </w:r>
          </w:p>
        </w:tc>
      </w:tr>
      <w:tr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peeling_paint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0.15</w:t>
            </w:r>
          </w:p>
        </w:tc>
        <w:tc>
          <w:tcPr/>
          <w:p>
            <w:pPr>
              <w:pStyle w:val="24"/>
            </w:pPr>
            <w:r>
              <w:t xml:space="preserve">Slight</w:t>
            </w:r>
          </w:p>
        </w:tc>
      </w:tr>
      <w:tr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deteriorating_chimney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0.15</w:t>
            </w:r>
          </w:p>
        </w:tc>
        <w:tc>
          <w:tcPr/>
          <w:p>
            <w:pPr>
              <w:pStyle w:val="24"/>
            </w:pPr>
            <w:r>
              <w:t xml:space="preserve">Slight</w:t>
            </w:r>
          </w:p>
        </w:tc>
      </w:tr>
    </w:tbl>
    <w:p>
      <w:pPr>
        <w:pStyle w:val="3"/>
      </w:pPr>
      <w:r>
        <w:rPr>
          <w:b/>
          <w:bCs/>
        </w:rPr>
        <w:t xml:space="preserve">Two classes have κ &lt; 0.20</w:t>
      </w:r>
      <w:r>
        <w:t xml:space="preserve"> </w:t>
      </w:r>
      <w:r>
        <w:t xml:space="preserve">— humans themselves don’t agree on what counts as</w:t>
      </w:r>
      <w:r>
        <w:t xml:space="preserve"> </w:t>
      </w:r>
      <w:r>
        <w:rPr>
          <w:rStyle w:val="48"/>
        </w:rPr>
        <w:t xml:space="preserve">peeling_paint</w:t>
      </w:r>
      <w:r>
        <w:t xml:space="preserve"> </w:t>
      </w:r>
      <w:r>
        <w:t xml:space="preserve">or</w:t>
      </w:r>
      <w:r>
        <w:t xml:space="preserve"> </w:t>
      </w:r>
      <w:r>
        <w:rPr>
          <w:rStyle w:val="48"/>
        </w:rPr>
        <w:t xml:space="preserve">deteriorating_chimney</w:t>
      </w:r>
      <w:r>
        <w:t xml:space="preserve">. This is not a model deficiency. It is task definition fuzziness in the underlying labels.</w:t>
      </w:r>
    </w:p>
    <w:p>
      <w:pPr>
        <w:pStyle w:val="3"/>
      </w:pPr>
      <w:r>
        <w:rPr>
          <w:b/>
          <w:bCs/>
        </w:rPr>
        <w:t xml:space="preserve">Human consensus</w:t>
      </w:r>
      <w:r>
        <w:t xml:space="preserve"> </w:t>
      </w:r>
      <w:r>
        <w:t xml:space="preserve">(majority of 3 on rows 0-55, agreement of 2 on rows 56-97):</w:t>
      </w:r>
      <w:r>
        <w:t xml:space="preserve"> </w:t>
      </w:r>
      <w:r>
        <w:t xml:space="preserve">- 882 cells total</w:t>
      </w:r>
      <w:r>
        <w:t xml:space="preserve"> </w:t>
      </w:r>
      <w:r>
        <w:t xml:space="preserve">- 247 unanimous (3-way) + 247 majority (2/3) + 324 unanimous-2 (Eileen+Jake agree) + 54 split-2way + 10 split-3way</w:t>
      </w:r>
      <w:r>
        <w:t xml:space="preserve"> </w:t>
      </w:r>
      <w:r>
        <w:t xml:space="preserve">- 250 yes flags total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cross-source-comparison"/>
    <w:p>
      <w:pPr>
        <w:pStyle w:val="4"/>
      </w:pPr>
      <w:r>
        <w:t xml:space="preserve">3. Cross-source comparison</w:t>
      </w:r>
    </w:p>
    <w:p>
      <w:pPr>
        <w:pStyle w:val="23"/>
      </w:pPr>
      <w:r>
        <w:t xml:space="preserve">We compare four sources of labels on the same 98 photos × 9 classes: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24"/>
            </w:pPr>
            <w:r>
              <w:t xml:space="preserve">Source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Yes total</w:t>
            </w:r>
          </w:p>
        </w:tc>
        <w:tc>
          <w:tcPr/>
          <w:p>
            <w:pPr>
              <w:pStyle w:val="24"/>
            </w:pPr>
            <w:r>
              <w:t xml:space="preserve">What it represents</w:t>
            </w:r>
          </w:p>
        </w:tc>
      </w:tr>
      <w:tr>
        <w:tc>
          <w:tcPr/>
          <w:p>
            <w:pPr>
              <w:pStyle w:val="24"/>
            </w:pPr>
            <w:r>
              <w:t xml:space="preserve">Folder primary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24"/>
            </w:pPr>
            <w:r>
              <w:t xml:space="preserve">Client’s original single-label assignment</w:t>
            </w:r>
          </w:p>
        </w:tc>
      </w:tr>
      <w:tr>
        <w:tc>
          <w:tcPr/>
          <w:p>
            <w:pPr>
              <w:pStyle w:val="24"/>
            </w:pPr>
            <w:r>
              <w:t xml:space="preserve">Sonnet 3-run truth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24"/>
            </w:pPr>
            <w:r>
              <w:t xml:space="preserve">AI multi-rater majority</w:t>
            </w:r>
          </w:p>
        </w:tc>
      </w:tr>
      <w:tr>
        <w:tc>
          <w:tcPr/>
          <w:p>
            <w:pPr>
              <w:pStyle w:val="24"/>
            </w:pPr>
            <w:r>
              <w:t xml:space="preserve">Gemma 4 binary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238</w:t>
            </w:r>
          </w:p>
        </w:tc>
        <w:tc>
          <w:tcPr/>
          <w:p>
            <w:pPr>
              <w:pStyle w:val="24"/>
            </w:pPr>
            <w:r>
              <w:t xml:space="preserve">Phase 2 baseline AI judge</w:t>
            </w:r>
          </w:p>
        </w:tc>
      </w:tr>
      <w:tr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Human consensus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250</w:t>
            </w:r>
          </w:p>
        </w:tc>
        <w:tc>
          <w:tcPr/>
          <w:p>
            <w:pPr>
              <w:pStyle w:val="24"/>
            </w:pPr>
            <w:r>
              <w:t xml:space="preserve">Three independent humans, majority vote</w:t>
            </w:r>
          </w:p>
        </w:tc>
      </w:tr>
    </w:tbl>
    <w:p>
      <w:pPr>
        <w:pStyle w:val="3"/>
      </w:pPr>
      <w:r>
        <w:t xml:space="preserve">Three structured comparisons:</w:t>
      </w:r>
    </w:p>
    <w:bookmarkStart w:id="19" w:name="Xdb46d37376ddb8c0ddbef9aa8664bfb465d84cc"/>
    <w:p>
      <w:pPr>
        <w:pStyle w:val="5"/>
      </w:pPr>
      <w:r>
        <w:t xml:space="preserve">3.1 Primary recall (does the method recover folder’s primary?)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24"/>
            </w:pPr>
            <w:r>
              <w:t xml:space="preserve">Method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Hits primary</w:t>
            </w:r>
          </w:p>
        </w:tc>
        <w:tc>
          <w:tcPr/>
          <w:p>
            <w:pPr>
              <w:pStyle w:val="24"/>
            </w:pPr>
            <w:r>
              <w:t xml:space="preserve">Notes</w:t>
            </w:r>
          </w:p>
        </w:tc>
      </w:tr>
      <w:tr>
        <w:tc>
          <w:tcPr/>
          <w:p>
            <w:pPr>
              <w:pStyle w:val="24"/>
            </w:pPr>
            <w:r>
              <w:t xml:space="preserve">Folder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100% (baseline)</w:t>
            </w:r>
          </w:p>
        </w:tc>
        <w:tc>
          <w:tcPr/>
          <w:p>
            <w:pPr>
              <w:pStyle w:val="24"/>
            </w:pPr>
            <w:r>
              <w:t xml:space="preserve">—</w:t>
            </w:r>
          </w:p>
        </w:tc>
      </w:tr>
      <w:tr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Sonnet 3-run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99% (97/98)</w:t>
            </w:r>
          </w:p>
        </w:tc>
        <w:tc>
          <w:tcPr/>
          <w:p>
            <w:pPr>
              <w:pStyle w:val="24"/>
            </w:pPr>
            <w:r>
              <w:t xml:space="preserve">Best of all methods</w:t>
            </w:r>
          </w:p>
        </w:tc>
      </w:tr>
      <w:tr>
        <w:tc>
          <w:tcPr/>
          <w:p>
            <w:pPr>
              <w:pStyle w:val="24"/>
            </w:pPr>
            <w:r>
              <w:t xml:space="preserve">Eileen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97%</w:t>
            </w:r>
          </w:p>
        </w:tc>
        <w:tc>
          <w:tcPr/>
          <w:p>
            <w:pPr>
              <w:pStyle w:val="24"/>
            </w:pPr>
            <w:r>
              <w:t xml:space="preserve">—</w:t>
            </w:r>
          </w:p>
        </w:tc>
      </w:tr>
      <w:tr>
        <w:tc>
          <w:tcPr/>
          <w:p>
            <w:pPr>
              <w:pStyle w:val="24"/>
            </w:pPr>
            <w:r>
              <w:t xml:space="preserve">Jake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97%</w:t>
            </w:r>
          </w:p>
        </w:tc>
        <w:tc>
          <w:tcPr/>
          <w:p>
            <w:pPr>
              <w:pStyle w:val="24"/>
            </w:pPr>
            <w:r>
              <w:t xml:space="preserve">—</w:t>
            </w:r>
          </w:p>
        </w:tc>
      </w:tr>
      <w:tr>
        <w:tc>
          <w:tcPr/>
          <w:p>
            <w:pPr>
              <w:pStyle w:val="24"/>
            </w:pPr>
            <w:r>
              <w:t xml:space="preserve">Human consensus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96%</w:t>
            </w:r>
          </w:p>
        </w:tc>
        <w:tc>
          <w:tcPr/>
          <w:p>
            <w:pPr>
              <w:pStyle w:val="24"/>
            </w:pPr>
            <w:r>
              <w:t xml:space="preserve">One overgrown miss</w:t>
            </w:r>
          </w:p>
        </w:tc>
      </w:tr>
      <w:tr>
        <w:tc>
          <w:tcPr/>
          <w:p>
            <w:pPr>
              <w:pStyle w:val="24"/>
            </w:pPr>
            <w:r>
              <w:t xml:space="preserve">Fechi (within 56)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24"/>
            </w:pPr>
            <w:r>
              <w:t xml:space="preserve">—</w:t>
            </w:r>
          </w:p>
        </w:tc>
      </w:tr>
      <w:tr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Gemma 4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89%</w:t>
            </w:r>
          </w:p>
        </w:tc>
        <w:tc>
          <w:tcPr/>
          <w:p>
            <w:pPr>
              <w:pStyle w:val="24"/>
            </w:pPr>
            <w:r>
              <w:t xml:space="preserve">Misses concentrated on boarded (62%) and broken (50%) — same blind spots Phase 2 documented</w:t>
            </w:r>
          </w:p>
        </w:tc>
      </w:tr>
    </w:tbl>
    <w:p>
      <w:pPr>
        <w:pStyle w:val="3"/>
      </w:pPr>
      <w:r>
        <w:rPr>
          <w:b/>
          <w:bCs/>
        </w:rPr>
        <w:t xml:space="preserve">Reading</w:t>
      </w:r>
      <w:r>
        <w:t xml:space="preserve">: every method except Gemma clears the</w:t>
      </w:r>
      <w:r>
        <w:t xml:space="preserve"> </w:t>
      </w:r>
      <w:r>
        <w:t xml:space="preserve">“minimum bar”</w:t>
      </w:r>
      <w:r>
        <w:t xml:space="preserve"> </w:t>
      </w:r>
      <w:r>
        <w:t xml:space="preserve">of recovering the folder primary. Sonnet 3-run is the most reliable at this, ahead of any individual human and ahead of human consensus.</w:t>
      </w:r>
      <w:r>
        <w:t xml:space="preserve"> </w:t>
      </w:r>
      <w:r>
        <w:rPr>
          <w:b/>
          <w:bCs/>
        </w:rPr>
        <w:t xml:space="preserve">AI judge is not just sufficient for primary detection — it is more consistent than humans</w:t>
      </w:r>
      <w:r>
        <w:t xml:space="preserve">.</w:t>
      </w:r>
    </w:p>
    <w:bookmarkEnd w:id="19"/>
    <w:bookmarkStart w:id="20" w:name="X7a06ab403b3feb671f214d2eca8e302b0be2f84"/>
    <w:p>
      <w:pPr>
        <w:pStyle w:val="5"/>
      </w:pPr>
      <w:r>
        <w:t xml:space="preserve">3.2 Secondary detection (yes flags beyond the primary)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24"/>
            </w:pPr>
            <w:r>
              <w:t xml:space="preserve">Method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Total yes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Primary hits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Secondary</w:t>
            </w:r>
          </w:p>
        </w:tc>
      </w:tr>
      <w:tr>
        <w:tc>
          <w:tcPr/>
          <w:p>
            <w:pPr>
              <w:pStyle w:val="24"/>
            </w:pPr>
            <w:r>
              <w:t xml:space="preserve">Folder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24"/>
            </w:pPr>
            <w:r>
              <w:t xml:space="preserve">Sonnet 3-run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+104</w:t>
            </w:r>
          </w:p>
        </w:tc>
      </w:tr>
      <w:tr>
        <w:tc>
          <w:tcPr/>
          <w:p>
            <w:pPr>
              <w:pStyle w:val="24"/>
            </w:pPr>
            <w:r>
              <w:t xml:space="preserve">Gemma 4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238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+151</w:t>
            </w:r>
          </w:p>
        </w:tc>
      </w:tr>
      <w:tr>
        <w:tc>
          <w:tcPr/>
          <w:p>
            <w:pPr>
              <w:pStyle w:val="24"/>
            </w:pPr>
            <w:r>
              <w:t xml:space="preserve">Human consensus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+156</w:t>
            </w:r>
          </w:p>
        </w:tc>
      </w:tr>
    </w:tbl>
    <w:p>
      <w:pPr>
        <w:pStyle w:val="3"/>
      </w:pPr>
      <w:r>
        <w:t xml:space="preserve">Secondary additions cluster heavily on</w:t>
      </w:r>
      <w:r>
        <w:t xml:space="preserve"> </w:t>
      </w:r>
      <w:r>
        <w:rPr>
          <w:rStyle w:val="48"/>
        </w:rPr>
        <w:t xml:space="preserve">peeling_paint</w:t>
      </w:r>
      <w:r>
        <w:t xml:space="preserve"> </w:t>
      </w:r>
      <w:r>
        <w:t xml:space="preserve">(humans +48, Sonnet +26, Gemma +45) and</w:t>
      </w:r>
      <w:r>
        <w:t xml:space="preserve"> </w:t>
      </w:r>
      <w:r>
        <w:rPr>
          <w:rStyle w:val="48"/>
        </w:rPr>
        <w:t xml:space="preserve">overgrown_vegetation</w:t>
      </w:r>
      <w:r>
        <w:t xml:space="preserve"> </w:t>
      </w:r>
      <w:r>
        <w:t xml:space="preserve">(humans +36, Sonnet +22, Gemma +36) — confirming the Phase 2</w:t>
      </w:r>
      <w:r>
        <w:t xml:space="preserve"> </w:t>
      </w:r>
      <w:r>
        <w:t xml:space="preserve">“folder under-complete”</w:t>
      </w:r>
      <w:r>
        <w:t xml:space="preserve"> </w:t>
      </w:r>
      <w:r>
        <w:t xml:space="preserve">hypothesis with three independent sources.</w:t>
      </w:r>
    </w:p>
    <w:bookmarkEnd w:id="20"/>
    <w:bookmarkStart w:id="21" w:name="Xb8ca4781b129211781a25905f49f0bac0c35542"/>
    <w:p>
      <w:pPr>
        <w:pStyle w:val="5"/>
      </w:pPr>
      <w:r>
        <w:t xml:space="preserve">3.3 Sonnet 3-run vs human consensus (decisive cells 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24"/>
            </w:pPr>
            <w:r>
              <w:t xml:space="preserve">Metric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24"/>
            </w:pPr>
            <w:r>
              <w:t xml:space="preserve">Macro-average agreement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85%</w:t>
            </w:r>
          </w:p>
        </w:tc>
      </w:tr>
      <w:tr>
        <w:tc>
          <w:tcPr/>
          <w:p>
            <w:pPr>
              <w:pStyle w:val="24"/>
            </w:pPr>
            <w:r>
              <w:t xml:space="preserve">Macro-average recall vs human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60%</w:t>
            </w:r>
          </w:p>
        </w:tc>
      </w:tr>
      <w:tr>
        <w:tc>
          <w:tcPr/>
          <w:p>
            <w:pPr>
              <w:pStyle w:val="24"/>
            </w:pPr>
            <w:r>
              <w:t xml:space="preserve">Macro-average precision vs human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91%</w:t>
            </w:r>
          </w:p>
        </w:tc>
      </w:tr>
      <w:tr>
        <w:tc>
          <w:tcPr/>
          <w:p>
            <w:pPr>
              <w:pStyle w:val="24"/>
            </w:pPr>
            <w:r>
              <w:t xml:space="preserve">Cells where Sonnet=YES, Human=NO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7</w:t>
            </w:r>
            <w:r>
              <w:t xml:space="preserve"> </w:t>
            </w:r>
            <w:r>
              <w:t xml:space="preserve">(false positives)</w:t>
            </w:r>
          </w:p>
        </w:tc>
      </w:tr>
      <w:tr>
        <w:tc>
          <w:tcPr/>
          <w:p>
            <w:pPr>
              <w:pStyle w:val="24"/>
            </w:pPr>
            <w:r>
              <w:t xml:space="preserve">Cells where Sonnet=NO, Human=YES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60 (false negatives)</w:t>
            </w:r>
          </w:p>
        </w:tc>
      </w:tr>
    </w:tbl>
    <w:p>
      <w:pPr>
        <w:pStyle w:val="3"/>
      </w:pPr>
      <w:r>
        <w:rPr>
          <w:b/>
          <w:bCs/>
        </w:rPr>
        <w:t xml:space="preserve">Sonnet is high-precision, conservative-recall</w:t>
      </w:r>
      <w:r>
        <w:t xml:space="preserve">. When Sonnet says yes, humans almost always agree (91% precision). Sonnet’s 60 missed yes cases concentrate on</w:t>
      </w:r>
      <w:r>
        <w:t xml:space="preserve"> </w:t>
      </w:r>
      <w:r>
        <w:rPr>
          <w:rStyle w:val="48"/>
        </w:rPr>
        <w:t xml:space="preserve">peeling_paint</w:t>
      </w:r>
      <w:r>
        <w:t xml:space="preserve"> </w:t>
      </w:r>
      <w:r>
        <w:t xml:space="preserve">(27),</w:t>
      </w:r>
      <w:r>
        <w:t xml:space="preserve"> </w:t>
      </w:r>
      <w:r>
        <w:rPr>
          <w:rStyle w:val="48"/>
        </w:rPr>
        <w:t xml:space="preserve">overgrown_vegetation</w:t>
      </w:r>
      <w:r>
        <w:t xml:space="preserve"> </w:t>
      </w:r>
      <w:r>
        <w:t xml:space="preserve">(15), and</w:t>
      </w:r>
      <w:r>
        <w:t xml:space="preserve"> </w:t>
      </w:r>
      <w:r>
        <w:rPr>
          <w:rStyle w:val="48"/>
        </w:rPr>
        <w:t xml:space="preserve">junk_trash</w:t>
      </w:r>
      <w:r>
        <w:t xml:space="preserve"> </w:t>
      </w:r>
      <w:r>
        <w:t xml:space="preserve">(10) — which led to the v3 prompt iteration described next.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he-hard-three-classes"/>
    <w:p>
      <w:pPr>
        <w:pStyle w:val="4"/>
      </w:pPr>
      <w:r>
        <w:t xml:space="preserve">4. The Hard Three Classes</w:t>
      </w:r>
    </w:p>
    <w:p>
      <w:pPr>
        <w:pStyle w:val="23"/>
      </w:pPr>
      <w:r>
        <w:t xml:space="preserve">Across both tracks, three classes consistently underperformed: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24"/>
            </w:pPr>
            <w:r>
              <w:t xml:space="preserve">Class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Human κ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Sonnet 3-run agreement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Sonnet vs human disagree</w:t>
            </w:r>
          </w:p>
        </w:tc>
      </w:tr>
      <w:tr>
        <w:tc>
          <w:tcPr/>
          <w:p>
            <w:pPr>
              <w:pStyle w:val="24"/>
            </w:pPr>
            <w:r>
              <w:t xml:space="preserve">peeling_paint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84%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27 cells</w:t>
            </w:r>
          </w:p>
        </w:tc>
      </w:tr>
      <w:tr>
        <w:tc>
          <w:tcPr/>
          <w:p>
            <w:pPr>
              <w:pStyle w:val="24"/>
            </w:pPr>
            <w:r>
              <w:t xml:space="preserve">deteriorating_chimney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93%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 cells</w:t>
            </w:r>
          </w:p>
        </w:tc>
      </w:tr>
      <w:tr>
        <w:tc>
          <w:tcPr/>
          <w:p>
            <w:pPr>
              <w:pStyle w:val="24"/>
            </w:pPr>
            <w:r>
              <w:t xml:space="preserve">junk_trash_accumulation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81%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10 cells</w:t>
            </w:r>
          </w:p>
        </w:tc>
      </w:tr>
    </w:tbl>
    <w:p>
      <w:pPr>
        <w:pStyle w:val="3"/>
      </w:pPr>
      <w:r>
        <w:t xml:space="preserve">These are not model failures — humans don’t agree among themselves either. The root causes (from rationale analysis):</w:t>
      </w:r>
    </w:p>
    <w:p>
      <w:pPr>
        <w:pStyle w:val="24"/>
        <w:numPr>
          <w:ilvl w:val="0"/>
          <w:numId w:val="1002"/>
        </w:numPr>
      </w:pPr>
      <w:r>
        <w:rPr>
          <w:rStyle w:val="48"/>
          <w:b/>
          <w:bCs/>
        </w:rPr>
        <w:t xml:space="preserve">peeling_paint</w:t>
      </w:r>
      <w:r>
        <w:t xml:space="preserve">: ambiguous whether bare brick/stucco walls count, whether paint must be visibly flaking or merely faded</w:t>
      </w:r>
    </w:p>
    <w:p>
      <w:pPr>
        <w:pStyle w:val="24"/>
        <w:numPr>
          <w:ilvl w:val="0"/>
          <w:numId w:val="1002"/>
        </w:numPr>
      </w:pPr>
      <w:r>
        <w:rPr>
          <w:rStyle w:val="48"/>
          <w:b/>
          <w:bCs/>
        </w:rPr>
        <w:t xml:space="preserve">deteriorating_chimney</w:t>
      </w:r>
      <w:r>
        <w:t xml:space="preserve">: most photos show distant chimneys where structural damage cannot be visually confirmed</w:t>
      </w:r>
    </w:p>
    <w:p>
      <w:pPr>
        <w:pStyle w:val="24"/>
        <w:numPr>
          <w:ilvl w:val="0"/>
          <w:numId w:val="1002"/>
        </w:numPr>
      </w:pPr>
      <w:r>
        <w:rPr>
          <w:rStyle w:val="48"/>
          <w:b/>
          <w:bCs/>
        </w:rPr>
        <w:t xml:space="preserve">junk_trash_accumulation</w:t>
      </w:r>
      <w:r>
        <w:t xml:space="preserve">: unclear threshold (how much constitutes a</w:t>
      </w:r>
      <w:r>
        <w:t xml:space="preserve"> </w:t>
      </w:r>
      <w:r>
        <w:t xml:space="preserve">“violation”</w:t>
      </w:r>
      <w:r>
        <w:t xml:space="preserve"> </w:t>
      </w:r>
      <w:r>
        <w:t xml:space="preserve">pile?), unclear whether auto parts around vehicles count</w:t>
      </w:r>
    </w:p>
    <w:p>
      <w:pPr>
        <w:pStyle w:val="23"/>
      </w:pPr>
      <w:r>
        <w:t xml:space="preserve">This led us to test whether</w:t>
      </w:r>
      <w:r>
        <w:t xml:space="preserve"> </w:t>
      </w:r>
      <w:r>
        <w:rPr>
          <w:b/>
          <w:bCs/>
        </w:rPr>
        <w:t xml:space="preserve">prompt refinement</w:t>
      </w:r>
      <w:r>
        <w:t xml:space="preserve"> </w:t>
      </w:r>
      <w:r>
        <w:t xml:space="preserve">could help.</w:t>
      </w:r>
    </w:p>
    <w:p>
      <w:r>
        <w:pict>
          <v:rect style="width:0;height:1.5pt" o:hralign="center" o:hrstd="t" o:hr="t"/>
        </w:pict>
      </w:r>
    </w:p>
    <w:bookmarkEnd w:id="23"/>
    <w:bookmarkStart w:id="26" w:name="v3-prompt-iteration"/>
    <w:p>
      <w:pPr>
        <w:pStyle w:val="4"/>
      </w:pPr>
      <w:r>
        <w:t xml:space="preserve">5. v3 Prompt Iteration</w:t>
      </w:r>
    </w:p>
    <w:p>
      <w:pPr>
        <w:pStyle w:val="23"/>
      </w:pPr>
      <w:r>
        <w:rPr>
          <w:b/>
          <w:bCs/>
        </w:rPr>
        <w:t xml:space="preserve">Hypothesis</w:t>
      </w:r>
      <w:r>
        <w:t xml:space="preserve">: refined definitions with explicit thresholds and inclusion/exclusion examples will improve Sonnet’s alignment with human Tier A (unanimous) labels on the hard classes.</w:t>
      </w:r>
    </w:p>
    <w:p>
      <w:pPr>
        <w:pStyle w:val="3"/>
      </w:pPr>
      <w:r>
        <w:rPr>
          <w:b/>
          <w:bCs/>
        </w:rPr>
        <w:t xml:space="preserve">Method</w:t>
      </w:r>
      <w:r>
        <w:t xml:space="preserve">: re-wrote definitions for</w:t>
      </w:r>
      <w:r>
        <w:t xml:space="preserve"> </w:t>
      </w:r>
      <w:r>
        <w:rPr>
          <w:rStyle w:val="48"/>
        </w:rPr>
        <w:t xml:space="preserve">peeling_paint</w:t>
      </w:r>
      <w:r>
        <w:t xml:space="preserve">,</w:t>
      </w:r>
      <w:r>
        <w:t xml:space="preserve"> </w:t>
      </w:r>
      <w:r>
        <w:rPr>
          <w:rStyle w:val="48"/>
        </w:rPr>
        <w:t xml:space="preserve">deteriorating_chimney</w:t>
      </w:r>
      <w:r>
        <w:t xml:space="preserve">,</w:t>
      </w:r>
      <w:r>
        <w:t xml:space="preserve"> </w:t>
      </w:r>
      <w:r>
        <w:rPr>
          <w:rStyle w:val="48"/>
        </w:rPr>
        <w:t xml:space="preserve">junk_trash</w:t>
      </w:r>
      <w:r>
        <w:t xml:space="preserve"> </w:t>
      </w:r>
      <w:r>
        <w:t xml:space="preserve">(the other 6 classes unchanged from v2). Re-ran one pass of Sonnet on all 98 photos.</w:t>
      </w:r>
    </w:p>
    <w:bookmarkStart w:id="24" w:name="results"/>
    <w:p>
      <w:pPr>
        <w:pStyle w:val="5"/>
      </w:pPr>
      <w:r>
        <w:t xml:space="preserve">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056"/>
        <w:gridCol w:w="1056"/>
        <w:gridCol w:w="1056"/>
        <w:gridCol w:w="1056"/>
        <w:gridCol w:w="1056"/>
        <w:gridCol w:w="1056"/>
        <w:gridCol w:w="792"/>
      </w:tblGrid>
      <w:tr>
        <w:trPr>
          <w:tblHeader w:val="on"/>
        </w:trPr>
        <w:tc>
          <w:tcPr/>
          <w:p>
            <w:pPr>
              <w:pStyle w:val="24"/>
            </w:pPr>
            <w:r>
              <w:t xml:space="preserve">Class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v2 yes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v3 yes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Δ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v2 unsure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v3 unsure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Δ</w:t>
            </w:r>
          </w:p>
        </w:tc>
        <w:tc>
          <w:tcPr/>
          <w:p>
            <w:pPr>
              <w:pStyle w:val="24"/>
            </w:pPr>
            <w:r>
              <w:t xml:space="preserve">Tier A agreement v2 → v3</w:t>
            </w:r>
          </w:p>
        </w:tc>
      </w:tr>
      <w:tr>
        <w:tc>
          <w:tcPr/>
          <w:p>
            <w:pPr>
              <w:pStyle w:val="24"/>
            </w:pPr>
            <w:r>
              <w:t xml:space="preserve">peeling_paint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−2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−1</w:t>
            </w:r>
          </w:p>
        </w:tc>
        <w:tc>
          <w:tcPr/>
          <w:p>
            <w:pPr>
              <w:pStyle w:val="24"/>
            </w:pPr>
            <w:r>
              <w:t xml:space="preserve">91% →</w:t>
            </w:r>
            <w:r>
              <w:t xml:space="preserve"> </w:t>
            </w:r>
            <w:r>
              <w:rPr>
                <w:b/>
                <w:bCs/>
              </w:rPr>
              <w:t xml:space="preserve">88%</w:t>
            </w:r>
          </w:p>
        </w:tc>
      </w:tr>
      <w:tr>
        <w:tc>
          <w:tcPr/>
          <w:p>
            <w:pPr>
              <w:pStyle w:val="24"/>
            </w:pPr>
            <w:r>
              <w:t xml:space="preserve">deteriorating_chimney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−1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+5</w:t>
            </w:r>
          </w:p>
        </w:tc>
        <w:tc>
          <w:tcPr/>
          <w:p>
            <w:pPr>
              <w:pStyle w:val="24"/>
            </w:pPr>
            <w:r>
              <w:t xml:space="preserve">100% → 100%</w:t>
            </w:r>
          </w:p>
        </w:tc>
      </w:tr>
      <w:tr>
        <w:tc>
          <w:tcPr/>
          <w:p>
            <w:pPr>
              <w:pStyle w:val="24"/>
            </w:pPr>
            <w:r>
              <w:t xml:space="preserve">junk_trash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+6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</w:pPr>
            <w:r>
              <w:t xml:space="preserve">89% → 87%</w:t>
            </w:r>
          </w:p>
        </w:tc>
      </w:tr>
      <w:tr>
        <w:tc>
          <w:tcPr/>
          <w:p>
            <w:pPr>
              <w:pStyle w:val="24"/>
            </w:pPr>
            <w:r>
              <w:t xml:space="preserve">(overgrown — unchanged in v3)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+16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</w:pPr>
            <w:r>
              <w:t xml:space="preserve">74% →</w:t>
            </w:r>
            <w:r>
              <w:t xml:space="preserve"> </w:t>
            </w:r>
            <w:r>
              <w:rPr>
                <w:b/>
                <w:bCs/>
              </w:rPr>
              <w:t xml:space="preserve">89%</w:t>
            </w:r>
          </w:p>
        </w:tc>
      </w:tr>
    </w:tbl>
    <w:bookmarkEnd w:id="24"/>
    <w:bookmarkStart w:id="25" w:name="what-the-iteration-shows"/>
    <w:p>
      <w:pPr>
        <w:pStyle w:val="5"/>
      </w:pPr>
      <w:r>
        <w:t xml:space="preserve">What the iteration shows</w:t>
      </w:r>
    </w:p>
    <w:p>
      <w:pPr>
        <w:pStyle w:val="23"/>
      </w:pPr>
      <w:r>
        <w:rPr>
          <w:b/>
          <w:bCs/>
        </w:rPr>
        <w:t xml:space="preserve">(a) Prompt refinement works for visually-objective constraints.</w:t>
      </w:r>
      <w:r>
        <w:t xml:space="preserve"> </w:t>
      </w:r>
      <w:r>
        <w:t xml:space="preserve">The chimney distance rule (</w:t>
      </w:r>
      <w:r>
        <w:t xml:space="preserve">“if chimney is &lt;3-5% of photo width, mark unsure not yes”</w:t>
      </w:r>
      <w:r>
        <w:t xml:space="preserve">) triggered on 5 cells, exactly the cases human Tier A had labeled NO. Sonnet became more honest about visual ambiguity. This is the cleanest positive result.</w:t>
      </w:r>
    </w:p>
    <w:p>
      <w:pPr>
        <w:pStyle w:val="3"/>
      </w:pPr>
      <w:r>
        <w:rPr>
          <w:b/>
          <w:bCs/>
        </w:rPr>
        <w:t xml:space="preserve">(b) Prompt refinement fails for visual-perception ambiguity.</w:t>
      </w:r>
      <w:r>
        <w:t xml:space="preserve"> </w:t>
      </w:r>
      <w:r>
        <w:t xml:space="preserve">For</w:t>
      </w:r>
      <w:r>
        <w:t xml:space="preserve"> </w:t>
      </w:r>
      <w:r>
        <w:rPr>
          <w:rStyle w:val="48"/>
        </w:rPr>
        <w:t xml:space="preserve">peeling_paint</w:t>
      </w:r>
      <w:r>
        <w:t xml:space="preserve">, we explicitly extended the definition to include stucco/plaster/render finishes (not just literal paint). Yet Sonnet kept labeling 4 of 5 known-failure cases as NO with rationales like</w:t>
      </w:r>
      <w:r>
        <w:t xml:space="preserve"> </w:t>
      </w:r>
      <w:r>
        <w:t xml:space="preserve">“bare brick exterior, no paint coating to peel.”</w:t>
      </w:r>
      <w:r>
        <w:t xml:space="preserve"> </w:t>
      </w:r>
      <w:r>
        <w:t xml:space="preserve">The model’s visual judgment about whether a wall was ever painted is the bottleneck, not the prompt language.</w:t>
      </w:r>
      <w:r>
        <w:t xml:space="preserve"> </w:t>
      </w:r>
      <w:r>
        <w:rPr>
          <w:b/>
          <w:bCs/>
        </w:rPr>
        <w:t xml:space="preserve">No amount of prompt rewriting solves this</w:t>
      </w:r>
      <w:r>
        <w:t xml:space="preserve">.</w:t>
      </w:r>
    </w:p>
    <w:p>
      <w:pPr>
        <w:pStyle w:val="3"/>
      </w:pPr>
      <w:r>
        <w:rPr>
          <w:b/>
          <w:bCs/>
        </w:rPr>
        <w:t xml:space="preserve">(c) Threshold-based refinement changes behavior but doesn’t necessarily improve alignment.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48"/>
        </w:rPr>
        <w:t xml:space="preserve">junk_trash</w:t>
      </w:r>
      <w:r>
        <w:t xml:space="preserve"> </w:t>
      </w:r>
      <w:r>
        <w:t xml:space="preserve">rewrite added a</w:t>
      </w:r>
      <w:r>
        <w:t xml:space="preserve"> </w:t>
      </w:r>
      <w:r>
        <w:t xml:space="preserve">“≥3 distinct items OR clear pile”</w:t>
      </w:r>
      <w:r>
        <w:t xml:space="preserve"> </w:t>
      </w:r>
      <w:r>
        <w:t xml:space="preserve">threshold. Sonnet flipped 11 NO→YES and 5 YES→NO. Net yes count rose by 6. But Tier A agreement actually dropped from 89% to 87%. The threshold made the model more aggressive, but the cases it picked up weren’t the cases humans picked up.</w:t>
      </w:r>
      <w:r>
        <w:t xml:space="preserve"> </w:t>
      </w:r>
      <w:r>
        <w:rPr>
          <w:b/>
          <w:bCs/>
        </w:rPr>
        <w:t xml:space="preserve">Threshold language alone doesn’t align with human judgment</w:t>
      </w:r>
      <w:r>
        <w:t xml:space="preserve">.</w:t>
      </w:r>
    </w:p>
    <w:p>
      <w:pPr>
        <w:pStyle w:val="3"/>
      </w:pPr>
      <w:r>
        <w:rPr>
          <w:b/>
          <w:bCs/>
        </w:rPr>
        <w:t xml:space="preserve">(d) Side effects propagate.</w:t>
      </w:r>
      <w:r>
        <w:t xml:space="preserve"> </w:t>
      </w:r>
      <w:r>
        <w:t xml:space="preserve">The v3 prompt did not modify</w:t>
      </w:r>
      <w:r>
        <w:t xml:space="preserve"> </w:t>
      </w:r>
      <w:r>
        <w:rPr>
          <w:rStyle w:val="48"/>
        </w:rPr>
        <w:t xml:space="preserve">overgrown_vegetation</w:t>
      </w:r>
      <w:r>
        <w:t xml:space="preserve">, but yes count jumped from 29 to 45 and Tier A agreement rose from 74% to 89% — a 15-point improvement. Tightening one part of the prompt context appears to have made the model more decisive elsewhere. This is unstable behavior and a reason to test prompts holistically, not class-by-class.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conclusions"/>
    <w:p>
      <w:pPr>
        <w:pStyle w:val="4"/>
      </w:pPr>
      <w:r>
        <w:t xml:space="preserve">6. Conclusions</w:t>
      </w:r>
    </w:p>
    <w:bookmarkStart w:id="27" w:name="X51e5ef62d8e78ac78d56b9c2271833e22997d1a"/>
    <w:p>
      <w:pPr>
        <w:pStyle w:val="5"/>
      </w:pPr>
      <w:r>
        <w:t xml:space="preserve">6.1 The AI multi-agent judge is reliable for primary detection</w:t>
      </w:r>
    </w:p>
    <w:p>
      <w:pPr>
        <w:pStyle w:val="24"/>
        <w:numPr>
          <w:ilvl w:val="0"/>
          <w:numId w:val="1003"/>
        </w:numPr>
      </w:pPr>
      <w:r>
        <w:t xml:space="preserve">Sonnet 3-run primary recall:</w:t>
      </w:r>
      <w:r>
        <w:t xml:space="preserve"> </w:t>
      </w:r>
      <w:r>
        <w:rPr>
          <w:b/>
          <w:bCs/>
        </w:rPr>
        <w:t xml:space="preserve">99%</w:t>
      </w:r>
      <w:r>
        <w:t xml:space="preserve"> </w:t>
      </w:r>
      <w:r>
        <w:t xml:space="preserve">(better than any single human at 95-97%)</w:t>
      </w:r>
    </w:p>
    <w:p>
      <w:pPr>
        <w:pStyle w:val="24"/>
        <w:numPr>
          <w:ilvl w:val="0"/>
          <w:numId w:val="1003"/>
        </w:numPr>
      </w:pPr>
      <w:r>
        <w:t xml:space="preserve">Sonnet 3-run self-consistency: 89.1% unanimous, 10.7% majority, 0.2% disputed</w:t>
      </w:r>
    </w:p>
    <w:p>
      <w:pPr>
        <w:pStyle w:val="24"/>
        <w:numPr>
          <w:ilvl w:val="0"/>
          <w:numId w:val="1003"/>
        </w:numPr>
      </w:pPr>
      <w:r>
        <w:t xml:space="preserve">91% precision vs human consensus on decisive cells</w:t>
      </w:r>
    </w:p>
    <w:p>
      <w:pPr>
        <w:pStyle w:val="23"/>
      </w:pPr>
      <w:r>
        <w:t xml:space="preserve">For practical deployment,</w:t>
      </w:r>
      <w:r>
        <w:t xml:space="preserve"> </w:t>
      </w:r>
      <w:r>
        <w:rPr>
          <w:b/>
          <w:bCs/>
        </w:rPr>
        <w:t xml:space="preserve">a Sonnet-class model is sufficient</w:t>
      </w:r>
      <w:r>
        <w:t xml:space="preserve"> </w:t>
      </w:r>
      <w:r>
        <w:t xml:space="preserve">as the primary classifier. Three independent runs catch the small fraction of unstable cells.</w:t>
      </w:r>
    </w:p>
    <w:bookmarkEnd w:id="27"/>
    <w:bookmarkStart w:id="28" w:name="X8a73b2a22e5dac72a32dc0882e2c7a2fb184605"/>
    <w:p>
      <w:pPr>
        <w:pStyle w:val="5"/>
      </w:pPr>
      <w:r>
        <w:t xml:space="preserve">6.2 Some classes have a definition-level ceiling, not a model-level ceiling</w:t>
      </w:r>
    </w:p>
    <w:p>
      <w:pPr>
        <w:pStyle w:val="24"/>
        <w:numPr>
          <w:ilvl w:val="0"/>
          <w:numId w:val="1004"/>
        </w:numPr>
      </w:pPr>
      <w:r>
        <w:rPr>
          <w:rStyle w:val="48"/>
        </w:rPr>
        <w:t xml:space="preserve">peeling_paint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48"/>
        </w:rPr>
        <w:t xml:space="preserve">chimney</w:t>
      </w:r>
      <w:r>
        <w:t xml:space="preserve"> </w:t>
      </w:r>
      <w:r>
        <w:t xml:space="preserve">have human κ ≈ 0.15 — humans only agree about half the time after subtracting chance</w:t>
      </w:r>
    </w:p>
    <w:p>
      <w:pPr>
        <w:pStyle w:val="24"/>
        <w:numPr>
          <w:ilvl w:val="0"/>
          <w:numId w:val="1004"/>
        </w:numPr>
      </w:pPr>
      <w:r>
        <w:t xml:space="preserve">No model can achieve higher accuracy than humans agree among themselves</w:t>
      </w:r>
    </w:p>
    <w:p>
      <w:pPr>
        <w:pStyle w:val="24"/>
        <w:numPr>
          <w:ilvl w:val="0"/>
          <w:numId w:val="1004"/>
        </w:numPr>
      </w:pPr>
      <w:r>
        <w:t xml:space="preserve">The fix is not a better model. The fix is sharper class definitions, ideally with photo examples reviewed and approved by the client</w:t>
      </w:r>
    </w:p>
    <w:bookmarkEnd w:id="28"/>
    <w:bookmarkStart w:id="29" w:name="X77e55f4ce126e0980cbdea269efc074fe5aa70f"/>
    <w:p>
      <w:pPr>
        <w:pStyle w:val="5"/>
      </w:pPr>
      <w:r>
        <w:t xml:space="preserve">6.3 Folder labels are confirmed under-complete</w:t>
      </w:r>
    </w:p>
    <w:p>
      <w:pPr>
        <w:pStyle w:val="24"/>
        <w:numPr>
          <w:ilvl w:val="0"/>
          <w:numId w:val="1005"/>
        </w:numPr>
      </w:pPr>
      <w:r>
        <w:t xml:space="preserve">Three independent sources (humans, Sonnet, Gemma) all find ~2× more violations than the folder</w:t>
      </w:r>
    </w:p>
    <w:p>
      <w:pPr>
        <w:pStyle w:val="24"/>
        <w:numPr>
          <w:ilvl w:val="0"/>
          <w:numId w:val="1005"/>
        </w:numPr>
      </w:pPr>
      <w:r>
        <w:t xml:space="preserve">Secondary violations cluster on</w:t>
      </w:r>
      <w:r>
        <w:t xml:space="preserve"> </w:t>
      </w:r>
      <w:r>
        <w:rPr>
          <w:rStyle w:val="48"/>
        </w:rPr>
        <w:t xml:space="preserve">peeling_paint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48"/>
        </w:rPr>
        <w:t xml:space="preserve">overgrown_vegetation</w:t>
      </w:r>
    </w:p>
    <w:p>
      <w:pPr>
        <w:pStyle w:val="24"/>
        <w:numPr>
          <w:ilvl w:val="0"/>
          <w:numId w:val="1005"/>
        </w:numPr>
      </w:pPr>
      <w:r>
        <w:t xml:space="preserve">The final ground truth for evaluation is the multi-label consensus, not the folder</w:t>
      </w:r>
    </w:p>
    <w:bookmarkEnd w:id="29"/>
    <w:bookmarkStart w:id="30" w:name="Xdc0d29fe01d9bab0a8b889382e335e34d8509d6"/>
    <w:p>
      <w:pPr>
        <w:pStyle w:val="5"/>
      </w:pPr>
      <w:r>
        <w:t xml:space="preserve">6.4 Prompt refinement is a tool, not a solution</w:t>
      </w:r>
    </w:p>
    <w:p>
      <w:pPr>
        <w:pStyle w:val="24"/>
        <w:numPr>
          <w:ilvl w:val="0"/>
          <w:numId w:val="1006"/>
        </w:numPr>
      </w:pPr>
      <w:r>
        <w:t xml:space="preserve">It works for</w:t>
      </w:r>
      <w:r>
        <w:t xml:space="preserve"> </w:t>
      </w:r>
      <w:r>
        <w:rPr>
          <w:b/>
          <w:bCs/>
        </w:rPr>
        <w:t xml:space="preserve">objective visual constraints</w:t>
      </w:r>
      <w:r>
        <w:t xml:space="preserve"> </w:t>
      </w:r>
      <w:r>
        <w:t xml:space="preserve">(e.g., distance thresholds for</w:t>
      </w:r>
      <w:r>
        <w:t xml:space="preserve"> </w:t>
      </w:r>
      <w:r>
        <w:rPr>
          <w:rStyle w:val="48"/>
        </w:rPr>
        <w:t xml:space="preserve">chimney</w:t>
      </w:r>
      <w:r>
        <w:t xml:space="preserve">)</w:t>
      </w:r>
    </w:p>
    <w:p>
      <w:pPr>
        <w:pStyle w:val="24"/>
        <w:numPr>
          <w:ilvl w:val="0"/>
          <w:numId w:val="1006"/>
        </w:numPr>
      </w:pPr>
      <w:r>
        <w:t xml:space="preserve">It fails for</w:t>
      </w:r>
      <w:r>
        <w:t xml:space="preserve"> </w:t>
      </w:r>
      <w:r>
        <w:rPr>
          <w:b/>
          <w:bCs/>
        </w:rPr>
        <w:t xml:space="preserve">perceptual ambiguity</w:t>
      </w:r>
      <w:r>
        <w:t xml:space="preserve"> </w:t>
      </w:r>
      <w:r>
        <w:t xml:space="preserve">(e.g.,</w:t>
      </w:r>
      <w:r>
        <w:t xml:space="preserve"> </w:t>
      </w:r>
      <w:r>
        <w:t xml:space="preserve">“is this wall painted or bare?”</w:t>
      </w:r>
      <w:r>
        <w:t xml:space="preserve">)</w:t>
      </w:r>
    </w:p>
    <w:p>
      <w:pPr>
        <w:pStyle w:val="24"/>
        <w:numPr>
          <w:ilvl w:val="0"/>
          <w:numId w:val="1006"/>
        </w:numPr>
      </w:pPr>
      <w:r>
        <w:t xml:space="preserve">For the latter,</w:t>
      </w:r>
      <w:r>
        <w:t xml:space="preserve"> </w:t>
      </w:r>
      <w:r>
        <w:rPr>
          <w:b/>
          <w:bCs/>
        </w:rPr>
        <w:t xml:space="preserve">human-in-the-loop review</w:t>
      </w:r>
      <w:r>
        <w:t xml:space="preserve"> </w:t>
      </w:r>
      <w:r>
        <w:t xml:space="preserve">is the only reliable fallback</w:t>
      </w:r>
    </w:p>
    <w:bookmarkEnd w:id="30"/>
    <w:bookmarkStart w:id="31" w:name="three-labelers-were-enough"/>
    <w:p>
      <w:pPr>
        <w:pStyle w:val="5"/>
      </w:pPr>
      <w:r>
        <w:t xml:space="preserve">6.5 Three labelers were enough</w:t>
      </w:r>
    </w:p>
    <w:p>
      <w:pPr>
        <w:pStyle w:val="24"/>
        <w:numPr>
          <w:ilvl w:val="0"/>
          <w:numId w:val="1007"/>
        </w:numPr>
      </w:pPr>
      <w:r>
        <w:t xml:space="preserve">Cohen’s κ varied widely by class — the three-rater design surfaced this naturally</w:t>
      </w:r>
    </w:p>
    <w:p>
      <w:pPr>
        <w:pStyle w:val="24"/>
        <w:numPr>
          <w:ilvl w:val="0"/>
          <w:numId w:val="1007"/>
        </w:numPr>
      </w:pPr>
      <w:r>
        <w:t xml:space="preserve">Two-out-of-three majority resolved 99.8% of cells; only 2 cells truly split 1/1/1</w:t>
      </w:r>
    </w:p>
    <w:p>
      <w:pPr>
        <w:pStyle w:val="24"/>
        <w:numPr>
          <w:ilvl w:val="0"/>
          <w:numId w:val="1007"/>
        </w:numPr>
      </w:pPr>
      <w:r>
        <w:t xml:space="preserve">Per-rater style differences (yes-rate from 24% to 40%) were a feature, not a bug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implications-for-the-final-deliverable"/>
    <w:p>
      <w:pPr>
        <w:pStyle w:val="4"/>
      </w:pPr>
      <w:r>
        <w:t xml:space="preserve">7. Implications for the final deliverable</w:t>
      </w:r>
    </w:p>
    <w:p>
      <w:pPr>
        <w:pStyle w:val="23"/>
      </w:pPr>
      <w:r>
        <w:t xml:space="preserve">This methodology is not a one-time analysis. It becomes a reusable component of the pipeline package:</w:t>
      </w:r>
    </w:p>
    <w:p>
      <w:pPr>
        <w:pStyle w:val="24"/>
        <w:numPr>
          <w:ilvl w:val="0"/>
          <w:numId w:val="1008"/>
        </w:numPr>
      </w:pPr>
      <w:r>
        <w:rPr>
          <w:b/>
          <w:bCs/>
        </w:rPr>
        <w:t xml:space="preserve">Multi-rater AI evaluation</w:t>
      </w:r>
      <w:r>
        <w:t xml:space="preserve"> </w:t>
      </w:r>
      <w:r>
        <w:t xml:space="preserve">ships with the package. Clients can re-run the 3-pass Sonnet evaluation on new photo batches to validate pipeline updates.</w:t>
      </w:r>
    </w:p>
    <w:p>
      <w:pPr>
        <w:pStyle w:val="24"/>
        <w:numPr>
          <w:ilvl w:val="0"/>
          <w:numId w:val="1008"/>
        </w:numPr>
      </w:pPr>
      <w:r>
        <w:rPr>
          <w:b/>
          <w:bCs/>
        </w:rPr>
        <w:t xml:space="preserve">Tiered ground truth</w:t>
      </w:r>
      <w:r>
        <w:t xml:space="preserve"> </w:t>
      </w:r>
      <w:r>
        <w:t xml:space="preserve">(unanimous / majority / disputed) becomes the standard evaluation framework. Models are reported separately on tier-A high-confidence cells and on majority cells, so confidence is always traceable.</w:t>
      </w:r>
    </w:p>
    <w:p>
      <w:pPr>
        <w:pStyle w:val="24"/>
        <w:numPr>
          <w:ilvl w:val="0"/>
          <w:numId w:val="1008"/>
        </w:numPr>
      </w:pPr>
      <w:r>
        <w:rPr>
          <w:b/>
          <w:bCs/>
        </w:rPr>
        <w:t xml:space="preserve">Per-class reliability table</w:t>
      </w:r>
      <w:r>
        <w:t xml:space="preserve"> </w:t>
      </w:r>
      <w:r>
        <w:t xml:space="preserve">(κ, yes-rate distribution, unsure rate) is the headline diagnostic for any new class added. Classes with κ &lt; 0.4 are flagged as</w:t>
      </w:r>
      <w:r>
        <w:t xml:space="preserve"> </w:t>
      </w:r>
      <w:r>
        <w:t xml:space="preserve">“needs HITL or definition refinement.”</w:t>
      </w:r>
    </w:p>
    <w:p>
      <w:pPr>
        <w:pStyle w:val="24"/>
        <w:numPr>
          <w:ilvl w:val="0"/>
          <w:numId w:val="1008"/>
        </w:numPr>
      </w:pPr>
      <w:r>
        <w:rPr>
          <w:b/>
          <w:bCs/>
        </w:rPr>
        <w:t xml:space="preserve">HITL trigger conditions</w:t>
      </w:r>
      <w:r>
        <w:t xml:space="preserve"> </w:t>
      </w:r>
      <w:r>
        <w:t xml:space="preserve">are derived directly from this report:</w:t>
      </w:r>
    </w:p>
    <w:p>
      <w:pPr>
        <w:pStyle w:val="24"/>
        <w:numPr>
          <w:ilvl w:val="1"/>
          <w:numId w:val="1009"/>
        </w:numPr>
      </w:pPr>
      <w:r>
        <w:t xml:space="preserve">Confidence &lt; 70 on any class</w:t>
      </w:r>
    </w:p>
    <w:p>
      <w:pPr>
        <w:pStyle w:val="24"/>
        <w:numPr>
          <w:ilvl w:val="1"/>
          <w:numId w:val="1009"/>
        </w:numPr>
      </w:pPr>
      <w:r>
        <w:t xml:space="preserve">Class is on the</w:t>
      </w:r>
      <w:r>
        <w:t xml:space="preserve"> </w:t>
      </w:r>
      <w:r>
        <w:t xml:space="preserve">“low-κ”</w:t>
      </w:r>
      <w:r>
        <w:t xml:space="preserve"> </w:t>
      </w:r>
      <w:r>
        <w:t xml:space="preserve">list (paint, chimney, junk for now)</w:t>
      </w:r>
    </w:p>
    <w:p>
      <w:pPr>
        <w:pStyle w:val="24"/>
        <w:numPr>
          <w:ilvl w:val="1"/>
          <w:numId w:val="1009"/>
        </w:numPr>
      </w:pPr>
      <w:r>
        <w:t xml:space="preserve">Sonnet 3-run majority is split or contains an unsure</w:t>
      </w:r>
    </w:p>
    <w:p>
      <w:pPr>
        <w:pStyle w:val="24"/>
        <w:numPr>
          <w:ilvl w:val="0"/>
          <w:numId w:val="1008"/>
        </w:numPr>
      </w:pPr>
      <w:r>
        <w:rPr>
          <w:b/>
          <w:bCs/>
        </w:rPr>
        <w:t xml:space="preserve">Photo capture recommendations</w:t>
      </w:r>
      <w:r>
        <w:t xml:space="preserve"> </w:t>
      </w:r>
      <w:r>
        <w:t xml:space="preserve">to the client come out of the unsure analysis: 89% of unsures are</w:t>
      </w:r>
      <w:r>
        <w:t xml:space="preserve"> </w:t>
      </w:r>
      <w:r>
        <w:t xml:space="preserve">“can’t see”</w:t>
      </w:r>
      <w:r>
        <w:t xml:space="preserve"> </w:t>
      </w:r>
      <w:r>
        <w:t xml:space="preserve">cases. Inspector workflow should include at least one upward roof shot, one chimney closeup, and one window detail per property.</w:t>
      </w:r>
    </w:p>
    <w:p>
      <w:r>
        <w:pict>
          <v:rect style="width:0;height:1.5pt" o:hralign="center" o:hrstd="t" o:hr="t"/>
        </w:pict>
      </w:r>
    </w:p>
    <w:bookmarkEnd w:id="33"/>
    <w:bookmarkStart w:id="34" w:name="next-steps"/>
    <w:p>
      <w:pPr>
        <w:pStyle w:val="4"/>
      </w:pPr>
      <w:r>
        <w:t xml:space="preserve">8. Next steps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24"/>
            </w:pPr>
            <w:r>
              <w:t xml:space="preserve">Item</w:t>
            </w:r>
          </w:p>
        </w:tc>
        <w:tc>
          <w:tcPr/>
          <w:p>
            <w:pPr>
              <w:pStyle w:val="24"/>
            </w:pPr>
            <w:r>
              <w:t xml:space="preserve">Why</w:t>
            </w:r>
          </w:p>
        </w:tc>
        <w:tc>
          <w:tcPr/>
          <w:p>
            <w:pPr>
              <w:pStyle w:val="24"/>
            </w:pPr>
            <w:r>
              <w:t xml:space="preserve">When</w:t>
            </w:r>
          </w:p>
        </w:tc>
      </w:tr>
      <w:tr>
        <w:tc>
          <w:tcPr/>
          <w:p>
            <w:pPr>
              <w:pStyle w:val="24"/>
            </w:pPr>
            <w:r>
              <w:t xml:space="preserve">Lock v2 as the production schema, not v3</w:t>
            </w:r>
          </w:p>
        </w:tc>
        <w:tc>
          <w:tcPr/>
          <w:p>
            <w:pPr>
              <w:pStyle w:val="24"/>
            </w:pPr>
            <w:r>
              <w:t xml:space="preserve">v3 didn’t improve hard classes and had unstable side effects</w:t>
            </w:r>
          </w:p>
        </w:tc>
        <w:tc>
          <w:tcPr/>
          <w:p>
            <w:pPr>
              <w:pStyle w:val="24"/>
            </w:pPr>
            <w:r>
              <w:t xml:space="preserve">Now</w:t>
            </w:r>
          </w:p>
        </w:tc>
      </w:tr>
      <w:tr>
        <w:tc>
          <w:tcPr/>
          <w:p>
            <w:pPr>
              <w:pStyle w:val="24"/>
            </w:pPr>
            <w:r>
              <w:t xml:space="preserve">Document the three-rule schema in the package</w:t>
            </w:r>
          </w:p>
        </w:tc>
        <w:tc>
          <w:tcPr/>
          <w:p>
            <w:pPr>
              <w:pStyle w:val="24"/>
            </w:pPr>
            <w:r>
              <w:t xml:space="preserve">These rules ARE the prompt, and they need to ship</w:t>
            </w:r>
          </w:p>
        </w:tc>
        <w:tc>
          <w:tcPr/>
          <w:p>
            <w:pPr>
              <w:pStyle w:val="24"/>
            </w:pPr>
            <w:r>
              <w:t xml:space="preserve">Next week</w:t>
            </w:r>
          </w:p>
        </w:tc>
      </w:tr>
      <w:tr>
        <w:tc>
          <w:tcPr/>
          <w:p>
            <w:pPr>
              <w:pStyle w:val="24"/>
            </w:pPr>
            <w:r>
              <w:t xml:space="preserve">Build the HITL trigger logic into the cascade</w:t>
            </w:r>
          </w:p>
        </w:tc>
        <w:tc>
          <w:tcPr/>
          <w:p>
            <w:pPr>
              <w:pStyle w:val="24"/>
            </w:pPr>
            <w:r>
              <w:t xml:space="preserve">Per §6.4, paint/chimney/junk need it</w:t>
            </w:r>
          </w:p>
        </w:tc>
        <w:tc>
          <w:tcPr/>
          <w:p>
            <w:pPr>
              <w:pStyle w:val="24"/>
            </w:pPr>
            <w:r>
              <w:t xml:space="preserve">Next week</w:t>
            </w:r>
          </w:p>
        </w:tc>
      </w:tr>
      <w:tr>
        <w:tc>
          <w:tcPr/>
          <w:p>
            <w:pPr>
              <w:pStyle w:val="24"/>
            </w:pPr>
            <w:r>
              <w:t xml:space="preserve">Generate the reliability table for any new class added</w:t>
            </w:r>
          </w:p>
        </w:tc>
        <w:tc>
          <w:tcPr/>
          <w:p>
            <w:pPr>
              <w:pStyle w:val="24"/>
            </w:pPr>
            <w:r>
              <w:t xml:space="preserve">Reusable diagnostic</w:t>
            </w:r>
          </w:p>
        </w:tc>
        <w:tc>
          <w:tcPr/>
          <w:p>
            <w:pPr>
              <w:pStyle w:val="24"/>
            </w:pPr>
            <w:r>
              <w:t xml:space="preserve">Next week</w:t>
            </w:r>
          </w:p>
        </w:tc>
      </w:tr>
      <w:tr>
        <w:tc>
          <w:tcPr/>
          <w:p>
            <w:pPr>
              <w:pStyle w:val="24"/>
            </w:pPr>
            <w:r>
              <w:t xml:space="preserve">Refresh class definitions on</w:t>
            </w:r>
            <w:r>
              <w:t xml:space="preserve"> </w:t>
            </w:r>
            <w:r>
              <w:rPr>
                <w:rStyle w:val="48"/>
              </w:rPr>
              <w:t xml:space="preserve">peeling_paint</w:t>
            </w:r>
            <w:r>
              <w:t xml:space="preserve"> </w:t>
            </w:r>
            <w:r>
              <w:t xml:space="preserve">with the client</w:t>
            </w:r>
          </w:p>
        </w:tc>
        <w:tc>
          <w:tcPr/>
          <w:p>
            <w:pPr>
              <w:pStyle w:val="24"/>
            </w:pPr>
            <w:r>
              <w:t xml:space="preserve">Definition-level fix beats any prompt change</w:t>
            </w:r>
          </w:p>
        </w:tc>
        <w:tc>
          <w:tcPr/>
          <w:p>
            <w:pPr>
              <w:pStyle w:val="24"/>
            </w:pPr>
            <w:r>
              <w:t xml:space="preserve">Pending client meeting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appendix-data-artifacts"/>
    <w:p>
      <w:pPr>
        <w:pStyle w:val="4"/>
      </w:pPr>
      <w:r>
        <w:t xml:space="preserve">Appendix — Data artifacts</w:t>
      </w:r>
    </w:p>
    <w:p>
      <w:pPr>
        <w:pStyle w:val="23"/>
      </w:pPr>
      <w:r>
        <w:t xml:space="preserve">All evaluation data is on disk and reproducible:</w:t>
      </w:r>
    </w:p>
    <w:p>
      <w:pPr>
        <w:pStyle w:val="24"/>
        <w:numPr>
          <w:ilvl w:val="0"/>
          <w:numId w:val="1010"/>
        </w:numPr>
      </w:pPr>
      <w:r>
        <w:rPr>
          <w:rStyle w:val="48"/>
        </w:rPr>
        <w:t xml:space="preserve">checkpoints/runs/run_a/</w:t>
      </w:r>
      <w:r>
        <w:t xml:space="preserve">,</w:t>
      </w:r>
      <w:r>
        <w:t xml:space="preserve"> </w:t>
      </w:r>
      <w:r>
        <w:rPr>
          <w:rStyle w:val="48"/>
        </w:rPr>
        <w:t xml:space="preserve">run_b/</w:t>
      </w:r>
      <w:r>
        <w:t xml:space="preserve">,</w:t>
      </w:r>
      <w:r>
        <w:t xml:space="preserve"> </w:t>
      </w:r>
      <w:r>
        <w:rPr>
          <w:rStyle w:val="48"/>
        </w:rPr>
        <w:t xml:space="preserve">run_c/</w:t>
      </w:r>
      <w:r>
        <w:t xml:space="preserve"> </w:t>
      </w:r>
      <w:r>
        <w:t xml:space="preserve">— three full Sonnet labeling passes (98 photos each)</w:t>
      </w:r>
    </w:p>
    <w:p>
      <w:pPr>
        <w:pStyle w:val="24"/>
        <w:numPr>
          <w:ilvl w:val="0"/>
          <w:numId w:val="1010"/>
        </w:numPr>
      </w:pPr>
      <w:r>
        <w:rPr>
          <w:rStyle w:val="48"/>
        </w:rPr>
        <w:t xml:space="preserve">checkpoints/runs/run_v3/</w:t>
      </w:r>
      <w:r>
        <w:t xml:space="preserve"> </w:t>
      </w:r>
      <w:r>
        <w:t xml:space="preserve">— v3 single-pass with refined hard-class prompts</w:t>
      </w:r>
    </w:p>
    <w:p>
      <w:pPr>
        <w:pStyle w:val="24"/>
        <w:numPr>
          <w:ilvl w:val="0"/>
          <w:numId w:val="1010"/>
        </w:numPr>
      </w:pPr>
      <w:r>
        <w:rPr>
          <w:rStyle w:val="48"/>
        </w:rPr>
        <w:t xml:space="preserve">checkpoints/sonnet_3run_truth.npy</w:t>
      </w:r>
      <w:r>
        <w:t xml:space="preserve"> </w:t>
      </w:r>
      <w:r>
        <w:t xml:space="preserve">— multi-rater majority truth</w:t>
      </w:r>
    </w:p>
    <w:p>
      <w:pPr>
        <w:pStyle w:val="24"/>
        <w:numPr>
          <w:ilvl w:val="0"/>
          <w:numId w:val="1010"/>
        </w:numPr>
      </w:pPr>
      <w:r>
        <w:rPr>
          <w:rStyle w:val="48"/>
        </w:rPr>
        <w:t xml:space="preserve">checkpoints/human_consensus.npy</w:t>
      </w:r>
      <w:r>
        <w:t xml:space="preserve"> </w:t>
      </w:r>
      <w:r>
        <w:t xml:space="preserve">— 3-human majority consensus</w:t>
      </w:r>
    </w:p>
    <w:p>
      <w:pPr>
        <w:pStyle w:val="24"/>
        <w:numPr>
          <w:ilvl w:val="0"/>
          <w:numId w:val="1010"/>
        </w:numPr>
      </w:pPr>
      <w:r>
        <w:rPr>
          <w:rStyle w:val="48"/>
        </w:rPr>
        <w:t xml:space="preserve">data/client-data/labeling/human/*.xlsx</w:t>
      </w:r>
      <w:r>
        <w:t xml:space="preserve"> </w:t>
      </w:r>
      <w:r>
        <w:t xml:space="preserve">— original human labels (Fechi, Eileen, Jake)</w:t>
      </w:r>
    </w:p>
    <w:p>
      <w:pPr>
        <w:pStyle w:val="24"/>
        <w:numPr>
          <w:ilvl w:val="0"/>
          <w:numId w:val="1010"/>
        </w:numPr>
      </w:pPr>
      <w:r>
        <w:rPr>
          <w:rStyle w:val="48"/>
        </w:rPr>
        <w:t xml:space="preserve">data/client-data/labeling/agent_instructions.md</w:t>
      </w:r>
      <w:r>
        <w:t xml:space="preserve"> </w:t>
      </w:r>
      <w:r>
        <w:t xml:space="preserve">— v2 production schema</w:t>
      </w:r>
    </w:p>
    <w:p>
      <w:pPr>
        <w:pStyle w:val="24"/>
        <w:numPr>
          <w:ilvl w:val="0"/>
          <w:numId w:val="1010"/>
        </w:numPr>
      </w:pPr>
      <w:r>
        <w:rPr>
          <w:rStyle w:val="48"/>
        </w:rPr>
        <w:t xml:space="preserve">data/client-data/labeling/agent_instructions_v3.md</w:t>
      </w:r>
      <w:r>
        <w:t xml:space="preserve"> </w:t>
      </w:r>
      <w:r>
        <w:t xml:space="preserve">— v3 experimental schema (archived; not used in production)</w:t>
      </w:r>
    </w:p>
    <w:bookmarkEnd w:id="35"/>
    <w:bookmarkEnd w:id="36"/>
    <w:sectPr>
      <w:footnotePr>
        <w:numRestart w:val="eachSect"/>
      </w:footnotePr>
      <w:cols w:num="1"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F Pro Display Regular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F Pro Display Regular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F Pro Display Regular">
    <w:panose1 w:val="00000000000000000000"/>
    <w:charset w:val="00"/>
    <w:family w:val="auto"/>
    <w:pitch w:val="default"/>
    <w:sig w:usb0="E10002FF" w:usb1="5241EDFF" w:usb2="04008020" w:usb3="00000000" w:csb0="6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hanging="360" w:left="720"/>
      </w:pPr>
    </w:lvl>
    <w:lvl w:ilvl="1" w:tentative="0">
      <w:start w:val="1"/>
      <w:numFmt w:val="decimal"/>
      <w:lvlText w:val="%2."/>
      <w:lvlJc w:val="left"/>
      <w:pPr>
        <w:ind w:hanging="360" w:left="1440"/>
      </w:pPr>
    </w:lvl>
    <w:lvl w:ilvl="2" w:tentative="0">
      <w:start w:val="1"/>
      <w:numFmt w:val="decimal"/>
      <w:lvlText w:val="%3."/>
      <w:lvlJc w:val="left"/>
      <w:pPr>
        <w:ind w:hanging="360" w:left="2160"/>
      </w:pPr>
    </w:lvl>
    <w:lvl w:ilvl="3" w:tentative="0">
      <w:start w:val="1"/>
      <w:numFmt w:val="decimal"/>
      <w:lvlText w:val="%4."/>
      <w:lvlJc w:val="left"/>
      <w:pPr>
        <w:ind w:hanging="360" w:left="2880"/>
      </w:pPr>
    </w:lvl>
    <w:lvl w:ilvl="4" w:tentative="0">
      <w:start w:val="1"/>
      <w:numFmt w:val="decimal"/>
      <w:lvlText w:val="%5."/>
      <w:lvlJc w:val="left"/>
      <w:pPr>
        <w:ind w:hanging="360" w:left="3600"/>
      </w:pPr>
    </w:lvl>
    <w:lvl w:ilvl="5" w:tentative="0">
      <w:start w:val="1"/>
      <w:numFmt w:val="decimal"/>
      <w:lvlText w:val="%6."/>
      <w:lvlJc w:val="left"/>
      <w:pPr>
        <w:ind w:hanging="360" w:left="4320"/>
      </w:pPr>
    </w:lvl>
    <w:lvl w:ilvl="6" w:tentative="0">
      <w:start w:val="1"/>
      <w:numFmt w:val="decimal"/>
      <w:lvlText w:val="%7."/>
      <w:lvlJc w:val="left"/>
      <w:pPr>
        <w:ind w:hanging="360" w:left="5040"/>
      </w:pPr>
    </w:lvl>
    <w:lvl w:ilvl="7" w:tentative="0">
      <w:start w:val="1"/>
      <w:numFmt w:val="decimal"/>
      <w:lvlText w:val="%8."/>
      <w:lvlJc w:val="left"/>
      <w:pPr>
        <w:ind w:hanging="360" w:left="5760"/>
      </w:pPr>
    </w:lvl>
    <w:lvl w:ilvl="8" w:tentative="0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6"/>
  <w:embedSystemFonts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splitPgBreakAndParaMark/>
    <w:compatSetting w:name="compatibilityMode" w:uri="http://schemas.microsoft.com/office/word" w:val="12"/>
  </w:compat>
  <w:rsids>
    <w:rsidRoot w:val="00000000"/>
    <w:rsid w:val="B7F7AC8A"/>
    <w:rsid w:val="EECF4105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1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11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after="200"/>
    </w:pPr>
    <w:rPr>
      <w:rFonts w:asciiTheme="minorHAnsi" w:cstheme="minorBidi" w:eastAsiaTheme="minorEastAsia" w:hAnsiTheme="minorHAnsi"/>
      <w:sz w:val="24"/>
      <w:szCs w:val="24"/>
      <w:lang w:bidi="ar-SA" w:eastAsia="zh-CN" w:val="en-US"/>
    </w:rPr>
  </w:style>
  <w:style w:styleId="2" w:type="paragraph">
    <w:name w:val="heading 1"/>
    <w:basedOn w:val="1"/>
    <w:next w:val="3"/>
    <w:link w:val="31"/>
    <w:qFormat/>
    <w:uiPriority w:val="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4" w:type="paragraph">
    <w:name w:val="heading 2"/>
    <w:basedOn w:val="1"/>
    <w:next w:val="3"/>
    <w:link w:val="32"/>
    <w:semiHidden/>
    <w:unhideWhenUsed/>
    <w:qFormat/>
    <w:uiPriority w:val="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5" w:type="paragraph">
    <w:name w:val="heading 3"/>
    <w:basedOn w:val="1"/>
    <w:next w:val="3"/>
    <w:link w:val="33"/>
    <w:semiHidden/>
    <w:unhideWhenUsed/>
    <w:qFormat/>
    <w:uiPriority w:val="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6" w:type="paragraph">
    <w:name w:val="heading 4"/>
    <w:basedOn w:val="1"/>
    <w:next w:val="3"/>
    <w:link w:val="34"/>
    <w:semiHidden/>
    <w:unhideWhenUsed/>
    <w:qFormat/>
    <w:uiPriority w:val="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7" w:type="paragraph">
    <w:name w:val="heading 5"/>
    <w:basedOn w:val="1"/>
    <w:next w:val="3"/>
    <w:link w:val="35"/>
    <w:semiHidden/>
    <w:unhideWhenUsed/>
    <w:qFormat/>
    <w:uiPriority w:val="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8" w:type="paragraph">
    <w:name w:val="heading 6"/>
    <w:basedOn w:val="1"/>
    <w:next w:val="3"/>
    <w:link w:val="36"/>
    <w:semiHidden/>
    <w:unhideWhenUsed/>
    <w:qFormat/>
    <w:uiPriority w:val="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85858"/>
    </w:rPr>
  </w:style>
  <w:style w:styleId="9" w:type="paragraph">
    <w:name w:val="heading 7"/>
    <w:basedOn w:val="1"/>
    <w:next w:val="3"/>
    <w:link w:val="37"/>
    <w:semiHidden/>
    <w:unhideWhenUsed/>
    <w:qFormat/>
    <w:uiPriority w:val="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85858"/>
    </w:rPr>
  </w:style>
  <w:style w:styleId="10" w:type="paragraph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62626"/>
    </w:rPr>
  </w:style>
  <w:style w:styleId="11" w:type="paragraph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cstheme="majorBidi" w:eastAsiaTheme="majorEastAsia"/>
      <w:color w:themeColor="text1" w:themeTint="D8" w:val="262626"/>
    </w:rPr>
  </w:style>
  <w:style w:default="1" w:styleId="12" w:type="character">
    <w:name w:val="Default Paragraph Font"/>
    <w:semiHidden/>
    <w:unhideWhenUsed/>
    <w:uiPriority w:val="0"/>
  </w:style>
  <w:style w:default="1" w:styleId="13" w:type="table">
    <w:name w:val="Normal Table"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1"/>
    <w:link w:val="19"/>
    <w:qFormat/>
    <w:uiPriority w:val="0"/>
    <w:pPr>
      <w:spacing w:after="180" w:before="180"/>
    </w:pPr>
  </w:style>
  <w:style w:styleId="14" w:type="paragraph">
    <w:name w:val="Block Text"/>
    <w:basedOn w:val="3"/>
    <w:next w:val="3"/>
    <w:unhideWhenUsed/>
    <w:qFormat/>
    <w:uiPriority w:val="9"/>
    <w:pPr>
      <w:spacing w:after="100" w:before="100"/>
      <w:ind w:firstLine="0" w:left="480" w:right="480"/>
    </w:pPr>
  </w:style>
  <w:style w:styleId="15" w:type="paragraph">
    <w:name w:val="caption"/>
    <w:basedOn w:val="1"/>
    <w:uiPriority w:val="0"/>
    <w:pPr>
      <w:spacing w:after="120" w:before="0"/>
    </w:pPr>
    <w:rPr>
      <w:i/>
    </w:rPr>
  </w:style>
  <w:style w:styleId="16" w:type="paragraph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styleId="17" w:type="paragraph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styleId="18" w:type="character">
    <w:name w:val="footnote reference"/>
    <w:basedOn w:val="19"/>
    <w:uiPriority w:val="0"/>
    <w:rPr>
      <w:vertAlign w:val="superscript"/>
    </w:rPr>
  </w:style>
  <w:style w:customStyle="1" w:styleId="19" w:type="character">
    <w:name w:val="Body Text Char"/>
    <w:basedOn w:val="12"/>
    <w:link w:val="3"/>
    <w:uiPriority w:val="0"/>
  </w:style>
  <w:style w:styleId="20" w:type="paragraph">
    <w:name w:val="footnote text"/>
    <w:basedOn w:val="1"/>
    <w:unhideWhenUsed/>
    <w:qFormat/>
    <w:uiPriority w:val="9"/>
  </w:style>
  <w:style w:styleId="21" w:type="character">
    <w:name w:val="Hyperlink"/>
    <w:basedOn w:val="19"/>
    <w:uiPriority w:val="0"/>
    <w:rPr>
      <w:color w:themeColor="accent1" w:val="156082"/>
    </w:rPr>
  </w:style>
  <w:style w:styleId="22" w:type="paragraph">
    <w:name w:val="Subtitle"/>
    <w:basedOn w:val="17"/>
    <w:next w:val="3"/>
    <w:link w:val="26"/>
    <w:qFormat/>
    <w:uiPriority w:val="11"/>
    <w:rPr>
      <w:rFonts w:cstheme="majorBidi" w:eastAsiaTheme="majorEastAsia"/>
      <w:spacing w:val="15"/>
      <w:sz w:val="28"/>
      <w:szCs w:val="28"/>
    </w:rPr>
  </w:style>
  <w:style w:customStyle="1" w:styleId="23" w:type="paragraph">
    <w:name w:val="First Paragraph"/>
    <w:basedOn w:val="3"/>
    <w:next w:val="3"/>
    <w:qFormat/>
    <w:uiPriority w:val="0"/>
  </w:style>
  <w:style w:customStyle="1" w:styleId="24" w:type="paragraph">
    <w:name w:val="Compact"/>
    <w:basedOn w:val="3"/>
    <w:qFormat/>
    <w:uiPriority w:val="0"/>
    <w:pPr>
      <w:spacing w:after="36" w:before="36"/>
    </w:pPr>
  </w:style>
  <w:style w:customStyle="1" w:styleId="25" w:type="character">
    <w:name w:val="Title Char"/>
    <w:basedOn w:val="12"/>
    <w:link w:val="17"/>
    <w:uiPriority w:val="10"/>
    <w:rPr>
      <w:rFonts w:asciiTheme="majorHAnsi" w:cstheme="majorBidi" w:eastAsiaTheme="majorEastAsia" w:hAnsiTheme="majorHAnsi"/>
      <w:sz w:val="56"/>
      <w:szCs w:val="56"/>
    </w:rPr>
  </w:style>
  <w:style w:customStyle="1" w:styleId="26" w:type="character">
    <w:name w:val="Subtitle Char"/>
    <w:basedOn w:val="12"/>
    <w:link w:val="22"/>
    <w:uiPriority w:val="11"/>
    <w:rPr>
      <w:rFonts w:cstheme="majorBidi" w:eastAsiaTheme="majorEastAsia"/>
      <w:color w:themeColor="text1" w:themeTint="A6" w:val="585858"/>
      <w:spacing w:val="15"/>
      <w:sz w:val="28"/>
      <w:szCs w:val="28"/>
    </w:rPr>
  </w:style>
  <w:style w:customStyle="1" w:styleId="27" w:type="paragraph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customStyle="1" w:styleId="28" w:type="paragraph">
    <w:name w:val="Abstract Title"/>
    <w:basedOn w:val="1"/>
    <w:next w:val="29"/>
    <w:qFormat/>
    <w:uiPriority w:val="0"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29" w:type="paragraph">
    <w:name w:val="Abstract"/>
    <w:basedOn w:val="1"/>
    <w:next w:val="3"/>
    <w:qFormat/>
    <w:uiPriority w:val="0"/>
    <w:pPr>
      <w:keepNext/>
      <w:keepLines/>
      <w:spacing w:after="300" w:before="100"/>
    </w:pPr>
    <w:rPr>
      <w:sz w:val="20"/>
      <w:szCs w:val="20"/>
    </w:rPr>
  </w:style>
  <w:style w:customStyle="1" w:styleId="30" w:type="paragraph">
    <w:name w:val="Bibliography"/>
    <w:basedOn w:val="1"/>
    <w:qFormat/>
    <w:uiPriority w:val="0"/>
  </w:style>
  <w:style w:customStyle="1" w:styleId="31" w:type="character">
    <w:name w:val="Heading 1 Char"/>
    <w:basedOn w:val="12"/>
    <w:link w:val="2"/>
    <w:uiPriority w:val="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32" w:type="character">
    <w:name w:val="Heading 2 Char"/>
    <w:basedOn w:val="12"/>
    <w:link w:val="4"/>
    <w:semiHidden/>
    <w:uiPriority w:val="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3" w:type="character">
    <w:name w:val="Heading 3 Char"/>
    <w:basedOn w:val="12"/>
    <w:link w:val="5"/>
    <w:semiHidden/>
    <w:uiPriority w:val="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34" w:type="character">
    <w:name w:val="Heading 4 Char"/>
    <w:basedOn w:val="12"/>
    <w:link w:val="6"/>
    <w:semiHidden/>
    <w:uiPriority w:val="9"/>
    <w:rPr>
      <w:rFonts w:cstheme="majorBidi" w:eastAsiaTheme="majorEastAsia"/>
      <w:i/>
      <w:iCs/>
      <w:color w:themeColor="accent1" w:themeShade="BF" w:val="0F4761"/>
    </w:rPr>
  </w:style>
  <w:style w:customStyle="1" w:styleId="35" w:type="character">
    <w:name w:val="Heading 5 Char"/>
    <w:basedOn w:val="12"/>
    <w:link w:val="7"/>
    <w:semiHidden/>
    <w:uiPriority w:val="9"/>
    <w:rPr>
      <w:rFonts w:cstheme="majorBidi" w:eastAsiaTheme="majorEastAsia"/>
      <w:color w:themeColor="accent1" w:themeShade="BF" w:val="0F4761"/>
    </w:rPr>
  </w:style>
  <w:style w:customStyle="1" w:styleId="36" w:type="character">
    <w:name w:val="Heading 6 Char"/>
    <w:basedOn w:val="12"/>
    <w:link w:val="8"/>
    <w:semiHidden/>
    <w:uiPriority w:val="9"/>
    <w:rPr>
      <w:rFonts w:cstheme="majorBidi" w:eastAsiaTheme="majorEastAsia"/>
      <w:i/>
      <w:iCs/>
      <w:color w:themeColor="text1" w:themeTint="A6" w:val="585858"/>
    </w:rPr>
  </w:style>
  <w:style w:customStyle="1" w:styleId="37" w:type="character">
    <w:name w:val="Heading 7 Char"/>
    <w:basedOn w:val="12"/>
    <w:link w:val="9"/>
    <w:semiHidden/>
    <w:uiPriority w:val="9"/>
    <w:rPr>
      <w:rFonts w:cstheme="majorBidi" w:eastAsiaTheme="majorEastAsia"/>
      <w:color w:themeColor="text1" w:themeTint="A6" w:val="585858"/>
    </w:rPr>
  </w:style>
  <w:style w:customStyle="1" w:styleId="38" w:type="character">
    <w:name w:val="Heading 8 Char"/>
    <w:basedOn w:val="12"/>
    <w:link w:val="10"/>
    <w:semiHidden/>
    <w:uiPriority w:val="9"/>
    <w:rPr>
      <w:rFonts w:cstheme="majorBidi" w:eastAsiaTheme="majorEastAsia"/>
      <w:i/>
      <w:iCs/>
      <w:color w:themeColor="text1" w:themeTint="D8" w:val="262626"/>
    </w:rPr>
  </w:style>
  <w:style w:customStyle="1" w:styleId="39" w:type="character">
    <w:name w:val="Heading 9 Char"/>
    <w:basedOn w:val="12"/>
    <w:link w:val="11"/>
    <w:semiHidden/>
    <w:uiPriority w:val="9"/>
    <w:rPr>
      <w:rFonts w:cstheme="majorBidi" w:eastAsiaTheme="majorEastAsia"/>
      <w:color w:themeColor="text1" w:themeTint="D8" w:val="262626"/>
    </w:rPr>
  </w:style>
  <w:style w:customStyle="1" w:styleId="40" w:type="paragraph">
    <w:name w:val="Footnote Block Text"/>
    <w:basedOn w:val="20"/>
    <w:next w:val="20"/>
    <w:unhideWhenUsed/>
    <w:qFormat/>
    <w:uiPriority w:val="9"/>
    <w:pPr>
      <w:spacing w:after="100" w:before="100"/>
      <w:ind w:firstLine="0" w:left="480" w:right="480"/>
    </w:pPr>
  </w:style>
  <w:style w:customStyle="1" w:styleId="41" w:type="table">
    <w:name w:val="Table"/>
    <w:semiHidden/>
    <w:unhideWhenUsed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color="auto" w:space="0" w:sz="0" w:val="single"/>
        </w:tcBorders>
        <w:vAlign w:val="bottom"/>
      </w:tcPr>
    </w:tblStylePr>
  </w:style>
  <w:style w:customStyle="1" w:styleId="42" w:type="paragraph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customStyle="1" w:styleId="43" w:type="paragraph">
    <w:name w:val="Definition"/>
    <w:basedOn w:val="1"/>
    <w:uiPriority w:val="0"/>
  </w:style>
  <w:style w:customStyle="1" w:styleId="44" w:type="paragraph">
    <w:name w:val="Table Caption"/>
    <w:basedOn w:val="15"/>
    <w:uiPriority w:val="0"/>
    <w:pPr>
      <w:keepNext/>
    </w:pPr>
  </w:style>
  <w:style w:customStyle="1" w:styleId="45" w:type="paragraph">
    <w:name w:val="Image Caption"/>
    <w:basedOn w:val="15"/>
    <w:uiPriority w:val="0"/>
  </w:style>
  <w:style w:customStyle="1" w:styleId="46" w:type="paragraph">
    <w:name w:val="Figure"/>
    <w:basedOn w:val="1"/>
    <w:uiPriority w:val="0"/>
  </w:style>
  <w:style w:customStyle="1" w:styleId="47" w:type="paragraph">
    <w:name w:val="Captioned Figure"/>
    <w:basedOn w:val="46"/>
    <w:uiPriority w:val="0"/>
    <w:pPr>
      <w:keepNext/>
    </w:pPr>
  </w:style>
  <w:style w:customStyle="1" w:styleId="48" w:type="character">
    <w:name w:val="Verbatim Char"/>
    <w:basedOn w:val="19"/>
    <w:link w:val="49"/>
    <w:uiPriority w:val="0"/>
    <w:rPr>
      <w:rFonts w:ascii="Consolas" w:hAnsi="Consolas"/>
      <w:sz w:val="22"/>
    </w:rPr>
  </w:style>
  <w:style w:customStyle="1" w:styleId="49" w:type="paragraph">
    <w:name w:val="Source Code"/>
    <w:basedOn w:val="1"/>
    <w:link w:val="48"/>
    <w:uiPriority w:val="0"/>
    <w:pPr>
      <w:wordWrap w:val="0"/>
    </w:pPr>
  </w:style>
  <w:style w:customStyle="1" w:styleId="50" w:type="character">
    <w:name w:val="Section Number"/>
    <w:basedOn w:val="19"/>
    <w:uiPriority w:val="0"/>
  </w:style>
  <w:style w:customStyle="1" w:styleId="51" w:type="paragraph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0F4761"/>
    </w:rPr>
  </w:style>
  <w:style w:customStyle="1" w:styleId="52" w:type="character">
    <w:name w:val="KeywordTok"/>
    <w:basedOn w:val="48"/>
    <w:uiPriority w:val="0"/>
    <w:rPr>
      <w:b/>
      <w:color w:val="007020"/>
    </w:rPr>
  </w:style>
  <w:style w:customStyle="1" w:styleId="53" w:type="character">
    <w:name w:val="DataTypeTok"/>
    <w:basedOn w:val="48"/>
    <w:uiPriority w:val="0"/>
    <w:rPr>
      <w:color w:val="902000"/>
    </w:rPr>
  </w:style>
  <w:style w:customStyle="1" w:styleId="54" w:type="character">
    <w:name w:val="DecValTok"/>
    <w:basedOn w:val="48"/>
    <w:uiPriority w:val="0"/>
    <w:rPr>
      <w:color w:val="40A070"/>
    </w:rPr>
  </w:style>
  <w:style w:customStyle="1" w:styleId="55" w:type="character">
    <w:name w:val="BaseNTok"/>
    <w:basedOn w:val="48"/>
    <w:uiPriority w:val="0"/>
    <w:rPr>
      <w:color w:val="40A070"/>
    </w:rPr>
  </w:style>
  <w:style w:customStyle="1" w:styleId="56" w:type="character">
    <w:name w:val="FloatTok"/>
    <w:basedOn w:val="48"/>
    <w:uiPriority w:val="0"/>
    <w:rPr>
      <w:color w:val="40A070"/>
    </w:rPr>
  </w:style>
  <w:style w:customStyle="1" w:styleId="57" w:type="character">
    <w:name w:val="ConstantTok"/>
    <w:basedOn w:val="48"/>
    <w:uiPriority w:val="0"/>
    <w:rPr>
      <w:color w:val="880000"/>
    </w:rPr>
  </w:style>
  <w:style w:customStyle="1" w:styleId="58" w:type="character">
    <w:name w:val="CharTok"/>
    <w:basedOn w:val="48"/>
    <w:uiPriority w:val="0"/>
    <w:rPr>
      <w:color w:val="4070A0"/>
    </w:rPr>
  </w:style>
  <w:style w:customStyle="1" w:styleId="59" w:type="character">
    <w:name w:val="SpecialCharTok"/>
    <w:basedOn w:val="48"/>
    <w:uiPriority w:val="0"/>
    <w:rPr>
      <w:color w:val="4070A0"/>
    </w:rPr>
  </w:style>
  <w:style w:customStyle="1" w:styleId="60" w:type="character">
    <w:name w:val="StringTok"/>
    <w:basedOn w:val="48"/>
    <w:uiPriority w:val="0"/>
    <w:rPr>
      <w:color w:val="4070A0"/>
    </w:rPr>
  </w:style>
  <w:style w:customStyle="1" w:styleId="61" w:type="character">
    <w:name w:val="VerbatimStringTok"/>
    <w:basedOn w:val="48"/>
    <w:uiPriority w:val="0"/>
    <w:rPr>
      <w:color w:val="4070A0"/>
    </w:rPr>
  </w:style>
  <w:style w:customStyle="1" w:styleId="62" w:type="character">
    <w:name w:val="SpecialStringTok"/>
    <w:basedOn w:val="48"/>
    <w:uiPriority w:val="0"/>
    <w:rPr>
      <w:color w:val="BB6688"/>
    </w:rPr>
  </w:style>
  <w:style w:customStyle="1" w:styleId="63" w:type="character">
    <w:name w:val="ImportTok"/>
    <w:basedOn w:val="48"/>
    <w:uiPriority w:val="0"/>
    <w:rPr>
      <w:b/>
      <w:color w:val="008000"/>
    </w:rPr>
  </w:style>
  <w:style w:customStyle="1" w:styleId="64" w:type="character">
    <w:name w:val="CommentTok"/>
    <w:basedOn w:val="48"/>
    <w:uiPriority w:val="0"/>
    <w:rPr>
      <w:i/>
      <w:color w:val="60A0B0"/>
    </w:rPr>
  </w:style>
  <w:style w:customStyle="1" w:styleId="65" w:type="character">
    <w:name w:val="DocumentationTok"/>
    <w:basedOn w:val="48"/>
    <w:uiPriority w:val="0"/>
    <w:rPr>
      <w:i/>
      <w:color w:val="BA2121"/>
    </w:rPr>
  </w:style>
  <w:style w:customStyle="1" w:styleId="66" w:type="character">
    <w:name w:val="AnnotationTok"/>
    <w:basedOn w:val="48"/>
    <w:uiPriority w:val="0"/>
    <w:rPr>
      <w:b/>
      <w:i/>
      <w:color w:val="60A0B0"/>
    </w:rPr>
  </w:style>
  <w:style w:customStyle="1" w:styleId="67" w:type="character">
    <w:name w:val="CommentVarTok"/>
    <w:basedOn w:val="48"/>
    <w:uiPriority w:val="0"/>
    <w:rPr>
      <w:b/>
      <w:i/>
      <w:color w:val="60A0B0"/>
    </w:rPr>
  </w:style>
  <w:style w:customStyle="1" w:styleId="68" w:type="character">
    <w:name w:val="OtherTok"/>
    <w:basedOn w:val="48"/>
    <w:uiPriority w:val="0"/>
    <w:rPr>
      <w:color w:val="007020"/>
    </w:rPr>
  </w:style>
  <w:style w:customStyle="1" w:styleId="69" w:type="character">
    <w:name w:val="FunctionTok"/>
    <w:basedOn w:val="48"/>
    <w:uiPriority w:val="0"/>
    <w:rPr>
      <w:color w:val="06287E"/>
    </w:rPr>
  </w:style>
  <w:style w:customStyle="1" w:styleId="70" w:type="character">
    <w:name w:val="VariableTok"/>
    <w:basedOn w:val="48"/>
    <w:uiPriority w:val="0"/>
    <w:rPr>
      <w:color w:val="19177C"/>
    </w:rPr>
  </w:style>
  <w:style w:customStyle="1" w:styleId="71" w:type="character">
    <w:name w:val="ControlFlowTok"/>
    <w:basedOn w:val="48"/>
    <w:uiPriority w:val="0"/>
    <w:rPr>
      <w:b/>
      <w:color w:val="007020"/>
    </w:rPr>
  </w:style>
  <w:style w:customStyle="1" w:styleId="72" w:type="character">
    <w:name w:val="OperatorTok"/>
    <w:basedOn w:val="48"/>
    <w:uiPriority w:val="0"/>
    <w:rPr>
      <w:color w:val="666666"/>
    </w:rPr>
  </w:style>
  <w:style w:customStyle="1" w:styleId="73" w:type="character">
    <w:name w:val="BuiltInTok"/>
    <w:basedOn w:val="48"/>
    <w:uiPriority w:val="0"/>
    <w:rPr>
      <w:color w:val="008000"/>
    </w:rPr>
  </w:style>
  <w:style w:customStyle="1" w:styleId="74" w:type="character">
    <w:name w:val="ExtensionTok"/>
    <w:basedOn w:val="48"/>
    <w:uiPriority w:val="0"/>
  </w:style>
  <w:style w:customStyle="1" w:styleId="75" w:type="character">
    <w:name w:val="PreprocessorTok"/>
    <w:basedOn w:val="48"/>
    <w:uiPriority w:val="0"/>
    <w:rPr>
      <w:color w:val="BC7A00"/>
    </w:rPr>
  </w:style>
  <w:style w:customStyle="1" w:styleId="76" w:type="character">
    <w:name w:val="AttributeTok"/>
    <w:basedOn w:val="48"/>
    <w:uiPriority w:val="0"/>
    <w:rPr>
      <w:color w:val="7D9029"/>
    </w:rPr>
  </w:style>
  <w:style w:customStyle="1" w:styleId="77" w:type="character">
    <w:name w:val="RegionMarkerTok"/>
    <w:basedOn w:val="48"/>
    <w:uiPriority w:val="0"/>
  </w:style>
  <w:style w:customStyle="1" w:styleId="78" w:type="character">
    <w:name w:val="InformationTok"/>
    <w:basedOn w:val="48"/>
    <w:uiPriority w:val="0"/>
    <w:rPr>
      <w:b/>
      <w:i/>
      <w:color w:val="60A0B0"/>
    </w:rPr>
  </w:style>
  <w:style w:customStyle="1" w:styleId="79" w:type="character">
    <w:name w:val="WarningTok"/>
    <w:basedOn w:val="48"/>
    <w:uiPriority w:val="0"/>
    <w:rPr>
      <w:b/>
      <w:i/>
      <w:color w:val="60A0B0"/>
    </w:rPr>
  </w:style>
  <w:style w:customStyle="1" w:styleId="80" w:type="character">
    <w:name w:val="AlertTok"/>
    <w:basedOn w:val="48"/>
    <w:uiPriority w:val="0"/>
    <w:rPr>
      <w:b/>
      <w:color w:val="FF0000"/>
    </w:rPr>
  </w:style>
  <w:style w:customStyle="1" w:styleId="81" w:type="character">
    <w:name w:val="ErrorTok"/>
    <w:basedOn w:val="48"/>
    <w:uiPriority w:val="0"/>
    <w:rPr>
      <w:b/>
      <w:color w:val="FF0000"/>
    </w:rPr>
  </w:style>
  <w:style w:customStyle="1" w:styleId="82" w:type="character">
    <w:name w:val="NormalTok"/>
    <w:basedOn w:val="48"/>
    <w:uiPriority w:val="0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4" Target="numbering.xml" /><Relationship Type="http://schemas.openxmlformats.org/officeDocument/2006/relationships/styles" Id="rId13" Target="styles.xml" /><Relationship Type="http://schemas.openxmlformats.org/officeDocument/2006/relationships/settings" Id="rId12" Target="settings.xml" /><Relationship Type="http://schemas.openxmlformats.org/officeDocument/2006/relationships/webSettings" Id="rId11" Target="webSettings.xml" /><Relationship Type="http://schemas.openxmlformats.org/officeDocument/2006/relationships/fontTable" Id="rId10" Target="fontTable.xml" /><Relationship Type="http://schemas.openxmlformats.org/officeDocument/2006/relationships/theme" Id="rId9" Target="theme/theme1.xml" /><Relationship Type="http://schemas.openxmlformats.org/officeDocument/2006/relationships/footnotes" Id="rId8" Target="footnotes.xml" /><Relationship Type="http://schemas.openxmlformats.org/officeDocument/2006/relationships/comments" Id="rId7" Target="comments.xml" /><Relationship Id="rId6" Target="media/image2.png" Type="http://schemas.openxmlformats.org/officeDocument/2006/relationships/image" /><Relationship Id="rId5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83</Words>
  <Characters>475</Characters>
  <Lines>12</Lines>
  <Paragraphs>8</Paragraphs>
  <TotalTime>9</TotalTime>
  <ScaleCrop>false</ScaleCrop>
  <LinksUpToDate>false</LinksUpToDate>
  <CharactersWithSpaces>583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2026-04-29T01:51:57Z</dcterms:created>
  <dcterms:modified xsi:type="dcterms:W3CDTF">2026-04-29T01:51:57Z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