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B426A" w14:textId="77777777" w:rsidR="007A6076" w:rsidRDefault="007A6076">
      <w:pPr>
        <w:ind w:firstLine="0"/>
      </w:pPr>
    </w:p>
    <w:p w14:paraId="595477B0" w14:textId="6BD7E0BD" w:rsidR="00D02BF8" w:rsidRPr="00D02BF8" w:rsidRDefault="00D02BF8" w:rsidP="00D02BF8">
      <w:pPr>
        <w:pStyle w:val="a3"/>
        <w:pBdr>
          <w:bottom w:val="none" w:sz="0" w:space="0" w:color="000000"/>
        </w:pBdr>
        <w:jc w:val="center"/>
        <w:rPr>
          <w:rFonts w:ascii="Times New Roman" w:eastAsia="Times New Roman" w:hAnsi="Times New Roman" w:cs="Times New Roman"/>
          <w:color w:val="000000"/>
          <w:sz w:val="44"/>
          <w:szCs w:val="44"/>
        </w:rPr>
      </w:pPr>
      <w:r w:rsidRPr="00D02BF8">
        <w:rPr>
          <w:rFonts w:ascii="Times New Roman" w:eastAsia="Times New Roman" w:hAnsi="Times New Roman" w:cs="Times New Roman"/>
          <w:color w:val="000000"/>
          <w:sz w:val="44"/>
          <w:szCs w:val="44"/>
        </w:rPr>
        <w:t>A Symphony of Culture, Technology, and War: Tracing a Century of Global Music Evolution</w:t>
      </w:r>
    </w:p>
    <w:p w14:paraId="108DC254" w14:textId="3F83A79D" w:rsidR="007A6076" w:rsidRDefault="00000000">
      <w:pPr>
        <w:ind w:firstLine="0"/>
        <w:jc w:val="center"/>
        <w:rPr>
          <w:i/>
        </w:rPr>
      </w:pPr>
      <w:r>
        <w:rPr>
          <w:i/>
        </w:rPr>
        <w:t xml:space="preserve">Keywords: </w:t>
      </w:r>
      <w:r w:rsidR="000A6D69" w:rsidRPr="000A6D69">
        <w:rPr>
          <w:i/>
        </w:rPr>
        <w:t xml:space="preserve">Music Evolution, </w:t>
      </w:r>
      <w:r w:rsidR="00B139E7">
        <w:rPr>
          <w:i/>
        </w:rPr>
        <w:t xml:space="preserve">Digital </w:t>
      </w:r>
      <w:r w:rsidR="00B139E7" w:rsidRPr="00B139E7">
        <w:rPr>
          <w:i/>
        </w:rPr>
        <w:t>Homogenization</w:t>
      </w:r>
      <w:r w:rsidR="000A6D69" w:rsidRPr="000A6D69">
        <w:rPr>
          <w:i/>
        </w:rPr>
        <w:t xml:space="preserve">, </w:t>
      </w:r>
      <w:r w:rsidR="005318A7" w:rsidRPr="000A6D69">
        <w:rPr>
          <w:i/>
        </w:rPr>
        <w:t>Cultural Convergence,</w:t>
      </w:r>
      <w:r w:rsidR="00F05273">
        <w:rPr>
          <w:i/>
        </w:rPr>
        <w:t xml:space="preserve"> </w:t>
      </w:r>
      <w:r w:rsidR="000A6D69" w:rsidRPr="000A6D69">
        <w:rPr>
          <w:i/>
        </w:rPr>
        <w:t>Interrupted Time Series Analysis, Cultural Theory</w:t>
      </w:r>
    </w:p>
    <w:p w14:paraId="2964D7B3" w14:textId="77777777" w:rsidR="007A6076" w:rsidRPr="008B6011" w:rsidRDefault="007A6076">
      <w:pPr>
        <w:ind w:firstLine="0"/>
        <w:rPr>
          <w:i/>
        </w:rPr>
      </w:pPr>
    </w:p>
    <w:p w14:paraId="4AC3AB08" w14:textId="6119F847" w:rsidR="00D267AF" w:rsidRPr="00D267AF" w:rsidRDefault="00000000" w:rsidP="00D267AF">
      <w:pPr>
        <w:pStyle w:val="1"/>
        <w:rPr>
          <w:b w:val="0"/>
          <w:sz w:val="24"/>
          <w:szCs w:val="24"/>
        </w:rPr>
      </w:pPr>
      <w:r>
        <w:rPr>
          <w:sz w:val="32"/>
          <w:szCs w:val="32"/>
        </w:rPr>
        <w:t>Extended Abstract</w:t>
      </w:r>
    </w:p>
    <w:p w14:paraId="5076F542" w14:textId="364236B0" w:rsidR="00800462" w:rsidRDefault="00867B29" w:rsidP="00584B5D">
      <w:r w:rsidRPr="00867B29">
        <w:t>Over the past century, music has been evolving under the background of cultural, technological, and political transformations</w:t>
      </w:r>
      <w:r w:rsidR="000A5704">
        <w:t xml:space="preserve"> </w:t>
      </w:r>
      <w:r w:rsidR="000A5704" w:rsidRPr="000A5704">
        <w:t>(Cross, 2001; Frith, 1986; Hesmondhalgh, 2008; Meinhart &amp; Rogers, 2023)</w:t>
      </w:r>
      <w:r w:rsidRPr="00867B29">
        <w:t xml:space="preserve">. Such a rich and dynamic context provides a valuable opportunity to observe how external forces, </w:t>
      </w:r>
      <w:r w:rsidR="00AF0CFF">
        <w:rPr>
          <w:rFonts w:hint="eastAsia"/>
        </w:rPr>
        <w:t>s</w:t>
      </w:r>
      <w:r w:rsidR="00AF0CFF">
        <w:t xml:space="preserve">uch as </w:t>
      </w:r>
      <w:r w:rsidR="00194900">
        <w:rPr>
          <w:rFonts w:hint="eastAsia"/>
        </w:rPr>
        <w:t>political</w:t>
      </w:r>
      <w:r w:rsidR="00194900">
        <w:t xml:space="preserve"> </w:t>
      </w:r>
      <w:r w:rsidRPr="00867B29">
        <w:t xml:space="preserve">events and technological innovations, interplay with cultural production. </w:t>
      </w:r>
      <w:r w:rsidR="002631A4">
        <w:t xml:space="preserve"> </w:t>
      </w:r>
    </w:p>
    <w:p w14:paraId="5100E6F9" w14:textId="3396ED47" w:rsidR="003E7A84" w:rsidRPr="00867B29" w:rsidRDefault="00867B29" w:rsidP="00584B5D">
      <w:pPr>
        <w:rPr>
          <w:rFonts w:hint="eastAsia"/>
        </w:rPr>
      </w:pPr>
      <w:r w:rsidRPr="00867B29">
        <w:t xml:space="preserve">In this study, we </w:t>
      </w:r>
      <w:r w:rsidR="007A75DE">
        <w:t>investigate</w:t>
      </w:r>
      <w:r w:rsidRPr="00867B29">
        <w:t xml:space="preserve"> the evolution of music</w:t>
      </w:r>
      <w:r w:rsidR="001D1425">
        <w:t xml:space="preserve"> during the last century</w:t>
      </w:r>
      <w:r w:rsidRPr="00867B29">
        <w:t xml:space="preserve">, </w:t>
      </w:r>
      <w:r w:rsidR="00E57CA2">
        <w:t>with a specific focus on</w:t>
      </w:r>
      <w:r w:rsidRPr="00867B29">
        <w:t xml:space="preserve"> its direction—the shifts in </w:t>
      </w:r>
      <w:r w:rsidR="00E57CA2">
        <w:t xml:space="preserve">track </w:t>
      </w:r>
      <w:r w:rsidRPr="00867B29">
        <w:t>features over tim</w:t>
      </w:r>
      <w:r w:rsidR="000A523E">
        <w:t xml:space="preserve">e, </w:t>
      </w:r>
      <w:r w:rsidRPr="00867B29">
        <w:t xml:space="preserve">and convergence—the extent to which </w:t>
      </w:r>
      <w:r w:rsidR="00A90F49">
        <w:t>tracks</w:t>
      </w:r>
      <w:r w:rsidRPr="00867B29">
        <w:t xml:space="preserve"> ha</w:t>
      </w:r>
      <w:r w:rsidR="002F5BA9">
        <w:t>ve</w:t>
      </w:r>
      <w:r w:rsidRPr="00867B29">
        <w:t xml:space="preserve"> become more homogeneous across decades</w:t>
      </w:r>
      <w:r w:rsidR="00ED7EEA">
        <w:t xml:space="preserve"> </w:t>
      </w:r>
      <w:r w:rsidR="00ED7EEA" w:rsidRPr="00ED7EEA">
        <w:t>(</w:t>
      </w:r>
      <w:proofErr w:type="spellStart"/>
      <w:r w:rsidR="00ED7EEA" w:rsidRPr="00ED7EEA">
        <w:t>Claidière</w:t>
      </w:r>
      <w:proofErr w:type="spellEnd"/>
      <w:r w:rsidR="00ED7EEA" w:rsidRPr="00ED7EEA">
        <w:t xml:space="preserve"> et al., 2018)</w:t>
      </w:r>
      <w:r w:rsidRPr="00867B29">
        <w:t>.</w:t>
      </w:r>
    </w:p>
    <w:p w14:paraId="70C0E8EB" w14:textId="23C737FA" w:rsidR="00DB4C74" w:rsidRPr="00FB3414" w:rsidRDefault="006F1FBF" w:rsidP="00AE0952">
      <w:r w:rsidRPr="006F1FBF">
        <w:t>The analysis workflow is shown in Figure 1.</w:t>
      </w:r>
      <w:r w:rsidR="00D95647">
        <w:t xml:space="preserve"> </w:t>
      </w:r>
      <w:r w:rsidR="00FB234C" w:rsidRPr="00FB3414">
        <w:t>The Spotify dataset used in this study was sourced from Ka</w:t>
      </w:r>
      <w:r w:rsidR="00FB234C" w:rsidRPr="00EC58E6">
        <w:t>ggle</w:t>
      </w:r>
      <w:r w:rsidR="00D92DCD" w:rsidRPr="00EC58E6">
        <w:t xml:space="preserve"> </w:t>
      </w:r>
      <w:r w:rsidR="00F477F1" w:rsidRPr="00EC58E6">
        <w:t>(Ay, 2021)</w:t>
      </w:r>
      <w:r w:rsidR="00FB234C" w:rsidRPr="00EC58E6">
        <w:t>. This</w:t>
      </w:r>
      <w:r w:rsidR="00FB234C" w:rsidRPr="00FB3414">
        <w:t xml:space="preserve"> dataset is validated, having been used in several previous studies </w:t>
      </w:r>
      <w:r w:rsidR="002631A4">
        <w:t>(</w:t>
      </w:r>
      <w:r w:rsidR="00575515" w:rsidRPr="00575515">
        <w:t>Ochi et al., 2021</w:t>
      </w:r>
      <w:r w:rsidR="002631A4">
        <w:t xml:space="preserve">; </w:t>
      </w:r>
      <w:r w:rsidR="002631A4" w:rsidRPr="002631A4">
        <w:t xml:space="preserve">Willems, </w:t>
      </w:r>
      <w:r w:rsidR="002631A4">
        <w:t>2021)</w:t>
      </w:r>
      <w:r w:rsidR="00FB234C" w:rsidRPr="00FB3414">
        <w:rPr>
          <w:rFonts w:hint="eastAsia"/>
        </w:rPr>
        <w:t xml:space="preserve"> </w:t>
      </w:r>
      <w:r w:rsidR="00FB234C" w:rsidRPr="00FB3414">
        <w:t xml:space="preserve">It includes over 600,000 tracks spanning from 1921 to 2020, providing a comprehensive overview of music evolution across a century. Each track is characterized by various </w:t>
      </w:r>
      <w:r w:rsidR="00AE036F">
        <w:t>audio</w:t>
      </w:r>
      <w:r w:rsidR="005A1EED">
        <w:t>-based</w:t>
      </w:r>
      <w:r w:rsidR="00AE036F">
        <w:t xml:space="preserve"> </w:t>
      </w:r>
      <w:r w:rsidR="00FB234C" w:rsidRPr="00FB3414">
        <w:t>features, derived from Spotify’s advanced algorithm. There are some low-level features, which describe the physical and technical aspects of the music, such as tempo, loudness, and key; there are also some high-level features, which capture stylistic and emotional attributes of the music, such as danceability, energy, and valence.</w:t>
      </w:r>
      <w:r w:rsidR="00FB234C" w:rsidRPr="00FB3414">
        <w:rPr>
          <w:rFonts w:hint="eastAsia"/>
        </w:rPr>
        <w:t xml:space="preserve"> </w:t>
      </w:r>
      <w:r w:rsidR="00FB234C" w:rsidRPr="00FB3414">
        <w:t xml:space="preserve">The full list of features is in Figure </w:t>
      </w:r>
      <w:r w:rsidR="004E257C">
        <w:t>2</w:t>
      </w:r>
      <w:r w:rsidR="00FB234C" w:rsidRPr="00FB3414">
        <w:t>.</w:t>
      </w:r>
      <w:r w:rsidR="003E6F53" w:rsidRPr="00FB3414">
        <w:t xml:space="preserve"> Additionally, the dataset includes metadata such as release date, artist, and track name.</w:t>
      </w:r>
    </w:p>
    <w:p w14:paraId="5F8D4DE7" w14:textId="21EF5ED6" w:rsidR="00A275EF" w:rsidRPr="00FB3414" w:rsidRDefault="00DB4C74" w:rsidP="00A275EF">
      <w:r w:rsidRPr="00FB3414">
        <w:t>To identify overarching patterns in the dataset, we applied principal component analysis (PCA) for dimensionality reduction</w:t>
      </w:r>
      <w:r w:rsidR="00310BAA">
        <w:t xml:space="preserve"> </w:t>
      </w:r>
      <w:r w:rsidR="00310BAA" w:rsidRPr="00310BAA">
        <w:t>(Paul et al., 2013)</w:t>
      </w:r>
      <w:r w:rsidRPr="00FB3414">
        <w:t xml:space="preserve">. Based on the scree plot and cumulative explained variance, nine principal components were retained, accounting for 95% of the total variance. For interpretability, the heatmap (Figure </w:t>
      </w:r>
      <w:r w:rsidR="00D811FF">
        <w:t>2</w:t>
      </w:r>
      <w:r w:rsidRPr="00FB3414">
        <w:t>) illustrates the contributions of original features to each principal component.</w:t>
      </w:r>
      <w:r w:rsidRPr="00FB3414">
        <w:rPr>
          <w:rFonts w:hint="eastAsia"/>
        </w:rPr>
        <w:t xml:space="preserve"> </w:t>
      </w:r>
      <w:r w:rsidRPr="00FB3414">
        <w:t xml:space="preserve">The first principal component (PC1) emerged as the most influential (25% of the total variance), which is positively associated with energy, valence, loudness, and danceability, while negatively associated with acousticness, and instrumentalness. For example, vibrant and upbeat tracks like “Blinding Lights” by The Weeknd scored high on PC1, while reflective and acoustic tracks like “All of Me” by John Legend scored low. Other principal components are also associated with specific features, such as the second principal component (PC2) </w:t>
      </w:r>
      <w:r w:rsidR="002F3C54" w:rsidRPr="00FB3414">
        <w:t xml:space="preserve">is </w:t>
      </w:r>
      <w:r w:rsidR="0000217A" w:rsidRPr="00FB3414">
        <w:t>featured</w:t>
      </w:r>
      <w:r w:rsidR="002901D1" w:rsidRPr="00FB3414">
        <w:t xml:space="preserve"> by</w:t>
      </w:r>
      <w:r w:rsidR="00D23102" w:rsidRPr="00FB3414">
        <w:t xml:space="preserve"> low</w:t>
      </w:r>
      <w:r w:rsidRPr="00FB3414">
        <w:t xml:space="preserve"> speechiness and</w:t>
      </w:r>
      <w:r w:rsidR="006739B7" w:rsidRPr="00FB3414">
        <w:t xml:space="preserve"> high</w:t>
      </w:r>
      <w:r w:rsidRPr="00FB3414">
        <w:t xml:space="preserve"> duration, and the third principal component (PC3) </w:t>
      </w:r>
      <w:r w:rsidR="00CC4D3B" w:rsidRPr="00FB3414">
        <w:t xml:space="preserve">is </w:t>
      </w:r>
      <w:r w:rsidR="00753FB6" w:rsidRPr="00FB3414">
        <w:t>characterized by low</w:t>
      </w:r>
      <w:r w:rsidRPr="00FB3414">
        <w:t xml:space="preserve"> key and</w:t>
      </w:r>
      <w:r w:rsidR="00753FB6" w:rsidRPr="00FB3414">
        <w:t xml:space="preserve"> high</w:t>
      </w:r>
      <w:r w:rsidRPr="00FB3414">
        <w:t xml:space="preserve"> mode.</w:t>
      </w:r>
      <w:r w:rsidRPr="00FB3414">
        <w:rPr>
          <w:rFonts w:hint="eastAsia"/>
        </w:rPr>
        <w:t xml:space="preserve"> </w:t>
      </w:r>
      <w:r w:rsidRPr="00FB3414">
        <w:t>All the following analysis are based on the PCA results.</w:t>
      </w:r>
    </w:p>
    <w:p w14:paraId="3F233E86" w14:textId="36BB4DC7" w:rsidR="0062186E" w:rsidRPr="00FB3414" w:rsidRDefault="00C7668D" w:rsidP="00720C31">
      <w:r w:rsidRPr="00FB3414">
        <w:t xml:space="preserve">To </w:t>
      </w:r>
      <w:r w:rsidR="00534F36">
        <w:t>examine</w:t>
      </w:r>
      <w:r w:rsidRPr="00FB3414">
        <w:t xml:space="preserve"> the</w:t>
      </w:r>
      <w:r w:rsidR="00A275EF" w:rsidRPr="00FB3414">
        <w:t xml:space="preserve"> direction </w:t>
      </w:r>
      <w:r w:rsidR="007149E0" w:rsidRPr="00FB3414">
        <w:t>of</w:t>
      </w:r>
      <w:r w:rsidR="00A275EF" w:rsidRPr="00FB3414">
        <w:t xml:space="preserve"> music </w:t>
      </w:r>
      <w:r w:rsidR="007149E0" w:rsidRPr="00FB3414">
        <w:t>evolution, w</w:t>
      </w:r>
      <w:r w:rsidR="00A275EF" w:rsidRPr="00FB3414">
        <w:t>e</w:t>
      </w:r>
      <w:r w:rsidR="00F206D9" w:rsidRPr="00FB3414">
        <w:t xml:space="preserve"> </w:t>
      </w:r>
      <w:r w:rsidR="00A275EF" w:rsidRPr="00FB3414">
        <w:t>calculated the centroid for each year in the PCA space. Th</w:t>
      </w:r>
      <w:r w:rsidR="000F783B" w:rsidRPr="00FB3414">
        <w:t>ose</w:t>
      </w:r>
      <w:r w:rsidR="00A275EF" w:rsidRPr="00FB3414">
        <w:t xml:space="preserve"> centroids, </w:t>
      </w:r>
      <w:r w:rsidR="00F00C62" w:rsidRPr="00FB3414">
        <w:t>calculated as</w:t>
      </w:r>
      <w:r w:rsidR="00A275EF" w:rsidRPr="00FB3414">
        <w:t xml:space="preserve"> the average of all tracks on different features, represent the overall</w:t>
      </w:r>
      <w:r w:rsidR="000432A8" w:rsidRPr="00FB3414">
        <w:t xml:space="preserve"> </w:t>
      </w:r>
      <w:r w:rsidR="00A275EF" w:rsidRPr="00FB3414">
        <w:t xml:space="preserve">style of </w:t>
      </w:r>
      <w:r w:rsidR="004F6393" w:rsidRPr="00FB3414">
        <w:t>music</w:t>
      </w:r>
      <w:r w:rsidR="00A275EF" w:rsidRPr="00FB3414">
        <w:t xml:space="preserve"> for that</w:t>
      </w:r>
      <w:r w:rsidR="00187E6B" w:rsidRPr="00FB3414">
        <w:t xml:space="preserve"> specific</w:t>
      </w:r>
      <w:r w:rsidR="00A275EF" w:rsidRPr="00FB3414">
        <w:t xml:space="preserve"> year.</w:t>
      </w:r>
      <w:r w:rsidR="00FC2637" w:rsidRPr="00FB3414">
        <w:rPr>
          <w:rFonts w:hint="eastAsia"/>
        </w:rPr>
        <w:t xml:space="preserve"> </w:t>
      </w:r>
      <w:r w:rsidR="00A275EF" w:rsidRPr="00FB3414">
        <w:t xml:space="preserve">Figure </w:t>
      </w:r>
      <w:r w:rsidR="00D811FF">
        <w:t>3</w:t>
      </w:r>
      <w:r w:rsidR="00A275EF" w:rsidRPr="00FB3414">
        <w:t xml:space="preserve"> (left panel) shows the trajectory of centroids in the plane of the first two principal components over the past century.</w:t>
      </w:r>
      <w:r w:rsidR="005D53E2" w:rsidRPr="00FB3414">
        <w:rPr>
          <w:rFonts w:hint="eastAsia"/>
        </w:rPr>
        <w:t xml:space="preserve"> </w:t>
      </w:r>
      <w:r w:rsidR="00A275EF" w:rsidRPr="00FB3414">
        <w:t>The overall trend shows that music styles have gradually evolved from the lower left to the upper right, reflecting the development of music features towards positive emotions, high energy and danceability.</w:t>
      </w:r>
      <w:r w:rsidR="00993F69" w:rsidRPr="00FB3414">
        <w:rPr>
          <w:rFonts w:hint="eastAsia"/>
        </w:rPr>
        <w:t xml:space="preserve"> </w:t>
      </w:r>
      <w:r w:rsidR="00A275EF" w:rsidRPr="00FB3414">
        <w:t xml:space="preserve">However, there is also a brief period of setback in the </w:t>
      </w:r>
      <w:r w:rsidR="00A275EF" w:rsidRPr="00FB3414">
        <w:lastRenderedPageBreak/>
        <w:t xml:space="preserve">trajectory. During the World War II (1939-1945), music styles moved towards the negative side of the first principal component. This reversal may be due to social unrest, </w:t>
      </w:r>
      <w:r w:rsidR="0020584B" w:rsidRPr="00FB3414">
        <w:t>when</w:t>
      </w:r>
      <w:r w:rsidR="00A275EF" w:rsidRPr="00FB3414">
        <w:t xml:space="preserve"> people </w:t>
      </w:r>
      <w:r w:rsidR="004E7844" w:rsidRPr="00FB3414">
        <w:t>were</w:t>
      </w:r>
      <w:r w:rsidR="00A275EF" w:rsidRPr="00FB3414">
        <w:t xml:space="preserve"> feeling down, thus producing more melancholic </w:t>
      </w:r>
      <w:r w:rsidR="0084785D" w:rsidRPr="00FB3414">
        <w:t>music</w:t>
      </w:r>
      <w:r w:rsidR="00A275EF" w:rsidRPr="00FB3414">
        <w:t>.</w:t>
      </w:r>
      <w:r w:rsidR="00993F69" w:rsidRPr="00FB3414">
        <w:rPr>
          <w:rFonts w:hint="eastAsia"/>
        </w:rPr>
        <w:t xml:space="preserve"> </w:t>
      </w:r>
    </w:p>
    <w:p w14:paraId="759ECA82" w14:textId="534B7136" w:rsidR="00357BE6" w:rsidRPr="00FB3414" w:rsidRDefault="00A275EF" w:rsidP="00357BE6">
      <w:r w:rsidRPr="00FB3414">
        <w:t xml:space="preserve">Figure </w:t>
      </w:r>
      <w:r w:rsidR="00C632A4">
        <w:t>3</w:t>
      </w:r>
      <w:r w:rsidRPr="00FB3414">
        <w:t xml:space="preserve"> (right panel) shows the movement quivers between centroids every two years.</w:t>
      </w:r>
      <w:r w:rsidR="00993F69" w:rsidRPr="00FB3414">
        <w:t xml:space="preserve"> </w:t>
      </w:r>
      <w:r w:rsidRPr="00FB3414">
        <w:t xml:space="preserve">The early movement </w:t>
      </w:r>
      <w:r w:rsidR="002554CB" w:rsidRPr="00FB3414">
        <w:t>quivers</w:t>
      </w:r>
      <w:r w:rsidRPr="00FB3414">
        <w:t xml:space="preserve"> </w:t>
      </w:r>
      <w:r w:rsidR="00EC3D45" w:rsidRPr="00FB3414">
        <w:t>are</w:t>
      </w:r>
      <w:r w:rsidRPr="00FB3414">
        <w:t xml:space="preserve"> longer than the later ones, indicating larger changes in music styles in the early years compared to the later years. This </w:t>
      </w:r>
      <w:r w:rsidR="00943B97" w:rsidRPr="00FB3414">
        <w:t>implies</w:t>
      </w:r>
      <w:r w:rsidRPr="00FB3414">
        <w:t xml:space="preserve"> a gradual convergence of global music over the course of a century.</w:t>
      </w:r>
    </w:p>
    <w:p w14:paraId="7E7B9C31" w14:textId="780E3ECE" w:rsidR="00AE235B" w:rsidRDefault="00357BE6" w:rsidP="00E31D29">
      <w:r w:rsidRPr="00FB3414">
        <w:t xml:space="preserve">To further investigate the convergence of music, we examine the within-year homogeneity of music styles. We did not use variance as </w:t>
      </w:r>
      <w:r w:rsidR="00046624" w:rsidRPr="00FB3414">
        <w:t>the</w:t>
      </w:r>
      <w:r w:rsidRPr="00FB3414">
        <w:t xml:space="preserve"> measure of homogeneity, because the number of tracks varies each year, making </w:t>
      </w:r>
      <w:r w:rsidR="00E63275">
        <w:t xml:space="preserve">direct </w:t>
      </w:r>
      <w:r w:rsidRPr="00FB3414">
        <w:t>cross-year comparisons incompatible.</w:t>
      </w:r>
      <w:r w:rsidRPr="00FB3414">
        <w:rPr>
          <w:rFonts w:hint="eastAsia"/>
        </w:rPr>
        <w:t xml:space="preserve"> </w:t>
      </w:r>
      <w:r w:rsidRPr="00FB3414">
        <w:t>Instead, we considered the distance of a track to the centroid of tracks in its release year</w:t>
      </w:r>
      <w:r w:rsidR="00B30502">
        <w:t>.</w:t>
      </w:r>
      <w:r w:rsidRPr="00FB3414">
        <w:t xml:space="preserve"> For each year, we binned tracks into length of 1</w:t>
      </w:r>
      <w:r w:rsidR="000A4E46" w:rsidRPr="00FB3414">
        <w:t xml:space="preserve"> </w:t>
      </w:r>
      <w:r w:rsidR="00FD463F" w:rsidRPr="00FB3414">
        <w:t>interval</w:t>
      </w:r>
      <w:r w:rsidRPr="00FB3414">
        <w:t xml:space="preserve"> based on the distances, </w:t>
      </w:r>
      <w:r w:rsidR="00B65978" w:rsidRPr="00FB3414">
        <w:t>then</w:t>
      </w:r>
      <w:r w:rsidRPr="00FB3414">
        <w:t xml:space="preserve"> counted the number of tracks in each bin. Therefore, we got several time series of the number of tracks across years at different innovation levels, as shown in Figure </w:t>
      </w:r>
      <w:r w:rsidR="00C632A4">
        <w:t>4</w:t>
      </w:r>
      <w:r w:rsidR="009F0B00">
        <w:t>.</w:t>
      </w:r>
    </w:p>
    <w:p w14:paraId="0D09E656" w14:textId="77777777" w:rsidR="00AD083B" w:rsidRDefault="00E20F7B" w:rsidP="00AE235B">
      <w:r w:rsidRPr="00FB3414">
        <w:t>Generall</w:t>
      </w:r>
      <w:r w:rsidR="00B30502">
        <w:t>y</w:t>
      </w:r>
      <w:r w:rsidR="00357BE6" w:rsidRPr="00FB3414">
        <w:t xml:space="preserve">, the number of tracks </w:t>
      </w:r>
      <w:r w:rsidR="00896DB2" w:rsidRPr="00FB3414">
        <w:t>at</w:t>
      </w:r>
      <w:r w:rsidR="00357BE6" w:rsidRPr="00FB3414">
        <w:t xml:space="preserve"> each </w:t>
      </w:r>
      <w:r w:rsidR="005A5D6D" w:rsidRPr="00FB3414">
        <w:t>bin</w:t>
      </w:r>
      <w:r w:rsidR="00357BE6" w:rsidRPr="00FB3414">
        <w:t xml:space="preserve"> increase</w:t>
      </w:r>
      <w:r w:rsidR="00BB5F5C" w:rsidRPr="00FB3414">
        <w:t>d</w:t>
      </w:r>
      <w:r w:rsidR="00357BE6" w:rsidRPr="00FB3414">
        <w:t xml:space="preserve"> over time, while the growth rate </w:t>
      </w:r>
      <w:r w:rsidR="00F21C54" w:rsidRPr="00FB3414">
        <w:t>was</w:t>
      </w:r>
      <w:r w:rsidR="00357BE6" w:rsidRPr="00FB3414">
        <w:t xml:space="preserve"> faster for those at relatively low innovation levels</w:t>
      </w:r>
      <w:r w:rsidR="006B2FAA">
        <w:t xml:space="preserve"> </w:t>
      </w:r>
      <w:r w:rsidR="006B2FAA" w:rsidRPr="00FB3414">
        <w:t>(</w:t>
      </w:r>
      <w:r w:rsidR="006B2FAA">
        <w:t xml:space="preserve">distance to centroid between </w:t>
      </w:r>
      <w:r w:rsidR="006B2FAA" w:rsidRPr="00FB3414">
        <w:t>1</w:t>
      </w:r>
      <w:r w:rsidR="006B2FAA">
        <w:t xml:space="preserve"> and </w:t>
      </w:r>
      <w:r w:rsidR="006B2FAA" w:rsidRPr="00FB3414">
        <w:t>2)</w:t>
      </w:r>
      <w:r w:rsidR="00357BE6" w:rsidRPr="00FB3414">
        <w:t>.</w:t>
      </w:r>
      <w:r w:rsidR="00E31D29" w:rsidRPr="00FB3414">
        <w:rPr>
          <w:rFonts w:hint="eastAsia"/>
        </w:rPr>
        <w:t xml:space="preserve"> </w:t>
      </w:r>
      <w:r w:rsidR="00357BE6" w:rsidRPr="00FB3414">
        <w:t xml:space="preserve">Time series analysis confirmed this. The trend components of different innovation levels are </w:t>
      </w:r>
      <w:r w:rsidR="00E23C7F" w:rsidRPr="00FB3414">
        <w:t xml:space="preserve">steadily </w:t>
      </w:r>
      <w:r w:rsidR="00357BE6" w:rsidRPr="00FB3414">
        <w:t>positive</w:t>
      </w:r>
      <w:r w:rsidR="00E1153B">
        <w:t xml:space="preserve"> before 2000</w:t>
      </w:r>
      <w:r w:rsidR="00357BE6" w:rsidRPr="00FB3414">
        <w:t xml:space="preserve">. </w:t>
      </w:r>
    </w:p>
    <w:p w14:paraId="288515EE" w14:textId="5F85047C" w:rsidR="00174238" w:rsidRPr="00FB3414" w:rsidRDefault="00174238" w:rsidP="00AE235B">
      <w:r w:rsidRPr="00FB3414">
        <w:t xml:space="preserve">However, after 2000, a divergence emerged. The number of tracks at different levels showed a cliff-like descent, and after that, relatively low innovation levels tracks </w:t>
      </w:r>
      <w:r w:rsidR="00D2031E">
        <w:t>exhibited</w:t>
      </w:r>
      <w:r w:rsidRPr="00FB3414">
        <w:t xml:space="preserve"> an amplified</w:t>
      </w:r>
      <w:r w:rsidR="00CC1747">
        <w:t xml:space="preserve"> growth</w:t>
      </w:r>
      <w:r w:rsidRPr="00FB3414">
        <w:t xml:space="preserve"> rate, while the growth rate of lower or medium or high innovation levels get slower. For some high innovation levels, the increase even stagnated.</w:t>
      </w:r>
    </w:p>
    <w:p w14:paraId="04453813" w14:textId="143FA5D7" w:rsidR="00AE235B" w:rsidRDefault="00AE0008" w:rsidP="007E1F5F">
      <w:r>
        <w:t>T</w:t>
      </w:r>
      <w:r w:rsidR="00174238" w:rsidRPr="00FB3414">
        <w:t>he rise of streaming platforms, start</w:t>
      </w:r>
      <w:r w:rsidR="004A46F4">
        <w:t>ing</w:t>
      </w:r>
      <w:r w:rsidR="00174238" w:rsidRPr="00FB3414">
        <w:t xml:space="preserve"> with Napster in 1999 and accelerat</w:t>
      </w:r>
      <w:r w:rsidR="006232A8">
        <w:t>ed</w:t>
      </w:r>
      <w:r w:rsidR="00174238" w:rsidRPr="00FB3414">
        <w:t xml:space="preserve"> with </w:t>
      </w:r>
      <w:r w:rsidR="008E6B07">
        <w:rPr>
          <w:rFonts w:hint="eastAsia"/>
        </w:rPr>
        <w:t>iTu</w:t>
      </w:r>
      <w:r w:rsidR="008E6B07">
        <w:t>nes</w:t>
      </w:r>
      <w:r w:rsidR="008E6B07" w:rsidRPr="00FB3414">
        <w:t xml:space="preserve"> </w:t>
      </w:r>
      <w:r w:rsidR="008E6B07">
        <w:t xml:space="preserve">and </w:t>
      </w:r>
      <w:r w:rsidR="00174238" w:rsidRPr="00FB3414">
        <w:t xml:space="preserve">Spotify in the 2000s, may </w:t>
      </w:r>
      <w:r w:rsidR="00331678">
        <w:t>account for this</w:t>
      </w:r>
      <w:r w:rsidR="00753427">
        <w:t xml:space="preserve"> </w:t>
      </w:r>
      <w:r w:rsidR="004B247F" w:rsidRPr="004B247F">
        <w:t>(Hesmondhalgh, 2022</w:t>
      </w:r>
      <w:r w:rsidR="002955B2">
        <w:t xml:space="preserve">; </w:t>
      </w:r>
      <w:proofErr w:type="spellStart"/>
      <w:r w:rsidR="002955B2" w:rsidRPr="002955B2">
        <w:t>Waldfogel</w:t>
      </w:r>
      <w:proofErr w:type="spellEnd"/>
      <w:r w:rsidR="002955B2" w:rsidRPr="002955B2">
        <w:t>, 2012</w:t>
      </w:r>
      <w:r w:rsidR="004B247F" w:rsidRPr="004B247F">
        <w:t>)</w:t>
      </w:r>
      <w:r w:rsidR="00174238" w:rsidRPr="00FB3414">
        <w:t>.</w:t>
      </w:r>
      <w:r w:rsidR="00B21BDC" w:rsidRPr="00FB3414">
        <w:rPr>
          <w:rFonts w:hint="eastAsia"/>
        </w:rPr>
        <w:t xml:space="preserve"> </w:t>
      </w:r>
      <w:r w:rsidR="00660764">
        <w:t>W</w:t>
      </w:r>
      <w:r w:rsidR="00174238" w:rsidRPr="00FB3414">
        <w:t>e conducted the interrupted time series analysis</w:t>
      </w:r>
      <w:r w:rsidR="00AD4032">
        <w:t xml:space="preserve"> to investigate the potential impact of streaming platform</w:t>
      </w:r>
      <w:r w:rsidR="006D4B2D">
        <w:t>s</w:t>
      </w:r>
      <w:r w:rsidR="00B02521">
        <w:t xml:space="preserve"> </w:t>
      </w:r>
      <w:r w:rsidR="00A81012" w:rsidRPr="00A81012">
        <w:t>(Turner et al., 2021)</w:t>
      </w:r>
      <w:r w:rsidR="00174238" w:rsidRPr="00FB3414">
        <w:t xml:space="preserve">. We set the parameter of streaming effect in terms of slope and intercept, representing the streaming effect on </w:t>
      </w:r>
      <w:r w:rsidR="002F4377">
        <w:t>track</w:t>
      </w:r>
      <w:r w:rsidR="00174238" w:rsidRPr="00FB3414">
        <w:t xml:space="preserve"> number or growth rate</w:t>
      </w:r>
      <w:r w:rsidR="004B247F">
        <w:t>,</w:t>
      </w:r>
      <w:r w:rsidR="00174238" w:rsidRPr="00FB3414">
        <w:t xml:space="preserve"> respectively. </w:t>
      </w:r>
    </w:p>
    <w:p w14:paraId="39BE458F" w14:textId="7D403B35" w:rsidR="009220E7" w:rsidRDefault="00174238" w:rsidP="009220E7">
      <w:r w:rsidRPr="00FB3414">
        <w:t xml:space="preserve">The result </w:t>
      </w:r>
      <w:r w:rsidR="00DB24B6">
        <w:t>(</w:t>
      </w:r>
      <w:r w:rsidR="00DB24B6">
        <w:rPr>
          <w:rFonts w:hint="eastAsia"/>
        </w:rPr>
        <w:t>Fi</w:t>
      </w:r>
      <w:r w:rsidR="00DB24B6">
        <w:t xml:space="preserve">gure 5) </w:t>
      </w:r>
      <w:r w:rsidRPr="00FB3414">
        <w:t>shows that streaming platforms have a significant impact on music innovation</w:t>
      </w:r>
      <w:r w:rsidR="00AE235B">
        <w:t>.</w:t>
      </w:r>
      <w:r w:rsidR="00EE263F">
        <w:rPr>
          <w:rFonts w:hint="eastAsia"/>
        </w:rPr>
        <w:t xml:space="preserve"> </w:t>
      </w:r>
      <w:r w:rsidRPr="00FB3414">
        <w:t xml:space="preserve">In terms of intercept, the streaming effect is negative for most of the innovation levels, indicating that the streaming platforms have caused an instant decline in music production. </w:t>
      </w:r>
      <w:r w:rsidR="005B6260" w:rsidRPr="00FB3414">
        <w:t xml:space="preserve">The universal dropdown in track numbers is likely because of the copyright issue </w:t>
      </w:r>
      <w:r w:rsidR="001723A3" w:rsidRPr="00FB3414">
        <w:t>of streaming platform</w:t>
      </w:r>
      <w:r w:rsidR="00C94663">
        <w:t xml:space="preserve"> </w:t>
      </w:r>
      <w:r w:rsidR="00C94663" w:rsidRPr="00C94663">
        <w:t>(Liebowitz, 2016)</w:t>
      </w:r>
      <w:r w:rsidR="001723A3" w:rsidRPr="00FB3414">
        <w:t>.</w:t>
      </w:r>
      <w:r w:rsidR="009D2A70" w:rsidRPr="00FB3414">
        <w:t xml:space="preserve"> </w:t>
      </w:r>
      <w:r w:rsidRPr="00FB3414">
        <w:t>In terms of slope, tracks</w:t>
      </w:r>
      <w:r w:rsidR="009218E4">
        <w:t xml:space="preserve"> with</w:t>
      </w:r>
      <w:r w:rsidRPr="00FB3414">
        <w:t xml:space="preserve"> relatively small </w:t>
      </w:r>
      <w:r w:rsidR="003C7696">
        <w:t>distance</w:t>
      </w:r>
      <w:r w:rsidRPr="00FB3414">
        <w:t xml:space="preserve"> from the centroid, saw amplified growth, whereas tracks at other innovation levels did not get much benefit</w:t>
      </w:r>
      <w:r w:rsidR="00D0572B">
        <w:t xml:space="preserve"> much</w:t>
      </w:r>
      <w:r w:rsidRPr="00FB3414">
        <w:t xml:space="preserve"> from the streaming era.</w:t>
      </w:r>
      <w:r w:rsidR="000729EA" w:rsidRPr="00FB3414">
        <w:t xml:space="preserve"> </w:t>
      </w:r>
      <w:r w:rsidR="00490DCD" w:rsidRPr="00FB3414">
        <w:t xml:space="preserve">This implies that the streaming platform selectively increase the </w:t>
      </w:r>
      <w:r w:rsidR="00F96613">
        <w:t xml:space="preserve">creation </w:t>
      </w:r>
      <w:r w:rsidR="00587C87" w:rsidRPr="00FB3414">
        <w:t>of relatively low innovation music</w:t>
      </w:r>
      <w:r w:rsidR="00FF0EA7" w:rsidRPr="00FB3414">
        <w:t xml:space="preserve">, which is </w:t>
      </w:r>
      <w:r w:rsidR="00BC2445" w:rsidRPr="00FB3414">
        <w:t xml:space="preserve">aligned with </w:t>
      </w:r>
      <w:r w:rsidR="00976938">
        <w:rPr>
          <w:rFonts w:hint="eastAsia"/>
        </w:rPr>
        <w:t>p</w:t>
      </w:r>
      <w:r w:rsidR="00931327" w:rsidRPr="00931327">
        <w:t>revious findings in digital homogenization</w:t>
      </w:r>
      <w:r w:rsidR="00935B51">
        <w:t xml:space="preserve"> </w:t>
      </w:r>
      <w:r w:rsidR="00935B51" w:rsidRPr="00935B51">
        <w:t>(</w:t>
      </w:r>
      <w:proofErr w:type="spellStart"/>
      <w:r w:rsidR="00935B51" w:rsidRPr="00935B51">
        <w:t>Askin</w:t>
      </w:r>
      <w:proofErr w:type="spellEnd"/>
      <w:r w:rsidR="00935B51" w:rsidRPr="00935B51">
        <w:t xml:space="preserve"> &amp; </w:t>
      </w:r>
      <w:proofErr w:type="spellStart"/>
      <w:r w:rsidR="00935B51" w:rsidRPr="00935B51">
        <w:t>Mauskapf</w:t>
      </w:r>
      <w:proofErr w:type="spellEnd"/>
      <w:r w:rsidR="00935B51" w:rsidRPr="00935B51">
        <w:t>, 2017</w:t>
      </w:r>
      <w:r w:rsidR="00F21529">
        <w:t xml:space="preserve">; </w:t>
      </w:r>
      <w:proofErr w:type="spellStart"/>
      <w:r w:rsidR="00F21529" w:rsidRPr="00F21529">
        <w:t>Bourreau</w:t>
      </w:r>
      <w:proofErr w:type="spellEnd"/>
      <w:r w:rsidR="00F21529" w:rsidRPr="00F21529">
        <w:t xml:space="preserve"> et al., 2022</w:t>
      </w:r>
      <w:r w:rsidR="00935B51" w:rsidRPr="00935B51">
        <w:t>)</w:t>
      </w:r>
      <w:r w:rsidR="00C53D70">
        <w:t>:</w:t>
      </w:r>
      <w:r w:rsidR="00F130F5" w:rsidRPr="00FB3414">
        <w:t xml:space="preserve"> </w:t>
      </w:r>
      <w:r w:rsidR="003B7EA5">
        <w:t>Although</w:t>
      </w:r>
      <w:r w:rsidR="0082118C" w:rsidRPr="00FB3414">
        <w:t xml:space="preserve"> streaming democratized music creation and access, it also reinforced mainstream trends.</w:t>
      </w:r>
    </w:p>
    <w:p w14:paraId="7A04891A" w14:textId="46DED715" w:rsidR="00BC5D7F" w:rsidRDefault="008E4367" w:rsidP="008B70B7">
      <w:r>
        <w:t>Our</w:t>
      </w:r>
      <w:r w:rsidRPr="00925D7D">
        <w:t xml:space="preserve"> findings offer a nuanced perspective on the adaptive progression of music over the past century,</w:t>
      </w:r>
      <w:r>
        <w:t xml:space="preserve"> </w:t>
      </w:r>
      <w:r>
        <w:rPr>
          <w:rFonts w:hint="eastAsia"/>
        </w:rPr>
        <w:t>which</w:t>
      </w:r>
      <w:r>
        <w:t xml:space="preserve"> is</w:t>
      </w:r>
      <w:r w:rsidRPr="00925D7D">
        <w:t xml:space="preserve"> </w:t>
      </w:r>
      <w:r w:rsidR="00D83C99">
        <w:t>influenced</w:t>
      </w:r>
      <w:r w:rsidRPr="00925D7D">
        <w:t xml:space="preserve"> by both </w:t>
      </w:r>
      <w:r w:rsidR="00925767">
        <w:t>political</w:t>
      </w:r>
      <w:r w:rsidRPr="00925D7D">
        <w:t xml:space="preserve"> disruption</w:t>
      </w:r>
      <w:r>
        <w:t>s</w:t>
      </w:r>
      <w:r w:rsidRPr="00925D7D">
        <w:t xml:space="preserve"> and technological </w:t>
      </w:r>
      <w:r>
        <w:t>innovations</w:t>
      </w:r>
      <w:r w:rsidRPr="00925D7D">
        <w:t xml:space="preserve">. </w:t>
      </w:r>
      <w:r w:rsidR="00361CDD">
        <w:t>Generally,</w:t>
      </w:r>
      <w:r>
        <w:t xml:space="preserve"> global music has shown a growing convergence and a trend</w:t>
      </w:r>
      <w:r w:rsidR="004A2392">
        <w:rPr>
          <w:rFonts w:hint="eastAsia"/>
        </w:rPr>
        <w:t xml:space="preserve"> </w:t>
      </w:r>
      <w:r>
        <w:t xml:space="preserve">towards vibrant </w:t>
      </w:r>
      <w:r w:rsidR="004A2392">
        <w:t>style</w:t>
      </w:r>
      <w:r>
        <w:t>, characterized by features like higher energy level.</w:t>
      </w:r>
      <w:r>
        <w:t xml:space="preserve"> </w:t>
      </w:r>
      <w:r w:rsidR="00E43A46">
        <w:t>However, d</w:t>
      </w:r>
      <w:r w:rsidR="00BC5D7F">
        <w:t xml:space="preserve">uring the war period, this trend experienced a reverse </w:t>
      </w:r>
      <w:r w:rsidR="00251A22">
        <w:t>setback,</w:t>
      </w:r>
      <w:r w:rsidR="00BC5D7F">
        <w:t xml:space="preserve"> while</w:t>
      </w:r>
      <w:r w:rsidR="00251A22">
        <w:rPr>
          <w:rFonts w:hint="eastAsia"/>
        </w:rPr>
        <w:t xml:space="preserve"> </w:t>
      </w:r>
      <w:r w:rsidR="00BC5D7F">
        <w:t xml:space="preserve">technological </w:t>
      </w:r>
      <w:r w:rsidR="00251A22">
        <w:t>innovations</w:t>
      </w:r>
      <w:r w:rsidR="00BC5D7F">
        <w:t xml:space="preserve">, such as the emergence of streaming </w:t>
      </w:r>
      <w:r w:rsidR="00AC65CF">
        <w:t>platform</w:t>
      </w:r>
      <w:r w:rsidR="00514E15">
        <w:t>s</w:t>
      </w:r>
      <w:r w:rsidR="00BC5D7F">
        <w:t>, has</w:t>
      </w:r>
      <w:r w:rsidR="008B70B7">
        <w:rPr>
          <w:rFonts w:hint="eastAsia"/>
        </w:rPr>
        <w:t xml:space="preserve"> </w:t>
      </w:r>
      <w:r w:rsidR="00BC5D7F">
        <w:t>accelerated the process of convergence.</w:t>
      </w:r>
    </w:p>
    <w:p w14:paraId="545CBFF1" w14:textId="3EFBC872" w:rsidR="0068705A" w:rsidRPr="00C90169" w:rsidRDefault="00BC5D7F" w:rsidP="00C90169">
      <w:pPr>
        <w:rPr>
          <w:rFonts w:hint="eastAsia"/>
          <w:b/>
        </w:rPr>
      </w:pPr>
      <w:r>
        <w:t>These findings indicate that the evolution of cultural objects, such as music, is</w:t>
      </w:r>
      <w:r w:rsidR="00441E8E">
        <w:rPr>
          <w:rFonts w:hint="eastAsia"/>
        </w:rPr>
        <w:t xml:space="preserve"> </w:t>
      </w:r>
      <w:r>
        <w:t xml:space="preserve">not an isolated </w:t>
      </w:r>
      <w:r w:rsidR="00333D6B">
        <w:t xml:space="preserve">cultural </w:t>
      </w:r>
      <w:r>
        <w:t>process, but more likely a reflection of technological and political</w:t>
      </w:r>
      <w:r w:rsidR="004A4416">
        <w:rPr>
          <w:rFonts w:hint="eastAsia"/>
        </w:rPr>
        <w:t xml:space="preserve"> </w:t>
      </w:r>
      <w:r>
        <w:t>background, demonstrating the interplaying relationship between cultural</w:t>
      </w:r>
      <w:r w:rsidR="009764CC">
        <w:rPr>
          <w:rFonts w:hint="eastAsia"/>
        </w:rPr>
        <w:t xml:space="preserve"> </w:t>
      </w:r>
      <w:r>
        <w:t>concepts and the external world.</w:t>
      </w:r>
      <w:r>
        <w:t xml:space="preserve"> </w:t>
      </w:r>
    </w:p>
    <w:p w14:paraId="3098C331" w14:textId="2579E492" w:rsidR="00025BB4" w:rsidRDefault="00000000" w:rsidP="00EC58E6">
      <w:pPr>
        <w:pStyle w:val="1"/>
      </w:pPr>
      <w:r>
        <w:rPr>
          <w:sz w:val="32"/>
          <w:szCs w:val="32"/>
        </w:rPr>
        <w:lastRenderedPageBreak/>
        <w:t>References</w:t>
      </w:r>
      <w:r w:rsidR="00EC58E6">
        <w:t xml:space="preserve"> </w:t>
      </w:r>
    </w:p>
    <w:p w14:paraId="384425FC" w14:textId="1CE3209D" w:rsidR="00935B51" w:rsidRPr="006D3078" w:rsidRDefault="00935B51" w:rsidP="001802A9">
      <w:pPr>
        <w:pStyle w:val="References"/>
        <w:spacing w:line="240" w:lineRule="auto"/>
      </w:pPr>
      <w:proofErr w:type="spellStart"/>
      <w:r w:rsidRPr="00935B51">
        <w:t>Askin</w:t>
      </w:r>
      <w:proofErr w:type="spellEnd"/>
      <w:r w:rsidRPr="00935B51">
        <w:t xml:space="preserve">, N., &amp; </w:t>
      </w:r>
      <w:proofErr w:type="spellStart"/>
      <w:r w:rsidRPr="00935B51">
        <w:t>Mauskapf</w:t>
      </w:r>
      <w:proofErr w:type="spellEnd"/>
      <w:r w:rsidRPr="00935B51">
        <w:t xml:space="preserve">, M. (2017). What </w:t>
      </w:r>
      <w:r w:rsidR="002955B2">
        <w:t>m</w:t>
      </w:r>
      <w:r w:rsidRPr="00935B51">
        <w:t xml:space="preserve">akes </w:t>
      </w:r>
      <w:r w:rsidR="002955B2">
        <w:t>p</w:t>
      </w:r>
      <w:r w:rsidRPr="00935B51">
        <w:t xml:space="preserve">opular </w:t>
      </w:r>
      <w:r w:rsidR="002955B2">
        <w:t>c</w:t>
      </w:r>
      <w:r w:rsidRPr="00935B51">
        <w:t xml:space="preserve">ulture </w:t>
      </w:r>
      <w:r w:rsidR="002955B2">
        <w:t>p</w:t>
      </w:r>
      <w:r w:rsidRPr="00935B51">
        <w:t xml:space="preserve">opular? Product </w:t>
      </w:r>
      <w:r w:rsidR="002955B2">
        <w:t>f</w:t>
      </w:r>
      <w:r w:rsidRPr="00935B51">
        <w:t xml:space="preserve">eatures and </w:t>
      </w:r>
      <w:r w:rsidR="002955B2">
        <w:t>o</w:t>
      </w:r>
      <w:r w:rsidRPr="00935B51">
        <w:t xml:space="preserve">ptimal </w:t>
      </w:r>
      <w:r w:rsidR="002955B2">
        <w:t>d</w:t>
      </w:r>
      <w:r w:rsidRPr="00935B51">
        <w:t xml:space="preserve">ifferentiation in </w:t>
      </w:r>
      <w:r w:rsidR="002955B2">
        <w:t>m</w:t>
      </w:r>
      <w:r w:rsidRPr="00935B51">
        <w:t xml:space="preserve">usic. </w:t>
      </w:r>
      <w:r w:rsidRPr="00C77AA3">
        <w:rPr>
          <w:i/>
          <w:iCs/>
        </w:rPr>
        <w:t>American Sociological Review, 82</w:t>
      </w:r>
      <w:r w:rsidRPr="00935B51">
        <w:t xml:space="preserve">(5), 910–944. </w:t>
      </w:r>
      <w:hyperlink r:id="rId7" w:history="1">
        <w:r w:rsidRPr="00E22E4F">
          <w:rPr>
            <w:rStyle w:val="a5"/>
          </w:rPr>
          <w:t>https://doi.org/10.1177/0003122417728662</w:t>
        </w:r>
      </w:hyperlink>
      <w:r>
        <w:t xml:space="preserve"> </w:t>
      </w:r>
    </w:p>
    <w:p w14:paraId="08AE64D7" w14:textId="2D1C90EB" w:rsidR="007A6076" w:rsidRDefault="00025BB4" w:rsidP="001802A9">
      <w:pPr>
        <w:pStyle w:val="References"/>
        <w:spacing w:line="240" w:lineRule="auto"/>
      </w:pPr>
      <w:r w:rsidRPr="006D3078">
        <w:t xml:space="preserve">Ay, Y. E. (2021, January 24). </w:t>
      </w:r>
      <w:r w:rsidRPr="006D3078">
        <w:rPr>
          <w:i/>
          <w:iCs/>
        </w:rPr>
        <w:t>Spotify dataset 1921-2020, 600k+ tracks</w:t>
      </w:r>
      <w:r w:rsidRPr="006D3078">
        <w:t xml:space="preserve">. Kaggle. Retrieved from </w:t>
      </w:r>
      <w:hyperlink r:id="rId8" w:history="1">
        <w:r w:rsidRPr="006D3078">
          <w:rPr>
            <w:rStyle w:val="a5"/>
          </w:rPr>
          <w:t>https://www.kaggle.com/datasets/yamaerenay/spotify-dataset-19212020-600k-tracks</w:t>
        </w:r>
      </w:hyperlink>
      <w:r w:rsidRPr="006D3078">
        <w:t xml:space="preserve"> </w:t>
      </w:r>
    </w:p>
    <w:p w14:paraId="3BF04CAE" w14:textId="781150FF" w:rsidR="00377177" w:rsidRDefault="00377177" w:rsidP="001802A9">
      <w:pPr>
        <w:pStyle w:val="References"/>
        <w:spacing w:line="240" w:lineRule="auto"/>
      </w:pPr>
      <w:proofErr w:type="spellStart"/>
      <w:r w:rsidRPr="00377177">
        <w:t>Bourreau</w:t>
      </w:r>
      <w:proofErr w:type="spellEnd"/>
      <w:r w:rsidRPr="00377177">
        <w:t xml:space="preserve">, M., Moreau, F., &amp; Wikström, P. (2022). Does digitization lead to the homogenization of cultural content? </w:t>
      </w:r>
      <w:r w:rsidRPr="000C5A40">
        <w:rPr>
          <w:i/>
          <w:iCs/>
        </w:rPr>
        <w:t>Economic Inquiry, 60</w:t>
      </w:r>
      <w:r w:rsidRPr="00377177">
        <w:t xml:space="preserve">(1), 427–453. </w:t>
      </w:r>
      <w:hyperlink r:id="rId9" w:history="1">
        <w:r w:rsidRPr="00E22E4F">
          <w:rPr>
            <w:rStyle w:val="a5"/>
          </w:rPr>
          <w:t>https://doi.org/10.1111/ecin.13015</w:t>
        </w:r>
      </w:hyperlink>
      <w:r>
        <w:t xml:space="preserve"> </w:t>
      </w:r>
    </w:p>
    <w:p w14:paraId="76203042" w14:textId="1283BDD8" w:rsidR="00ED7EEA" w:rsidRPr="006D3078" w:rsidRDefault="00ED7EEA" w:rsidP="001802A9">
      <w:pPr>
        <w:pStyle w:val="References"/>
        <w:widowControl w:val="0"/>
        <w:suppressAutoHyphens/>
        <w:spacing w:line="240" w:lineRule="auto"/>
      </w:pPr>
      <w:proofErr w:type="spellStart"/>
      <w:r w:rsidRPr="006D3078">
        <w:t>Claidière</w:t>
      </w:r>
      <w:proofErr w:type="spellEnd"/>
      <w:r w:rsidRPr="006D3078">
        <w:t xml:space="preserve">, N., </w:t>
      </w:r>
      <w:proofErr w:type="spellStart"/>
      <w:r w:rsidRPr="006D3078">
        <w:t>Amedon</w:t>
      </w:r>
      <w:proofErr w:type="spellEnd"/>
      <w:r w:rsidRPr="006D3078">
        <w:t xml:space="preserve">, G. K.-k., André, J.-B., Kirby, S., Smith, K., Sperber, D., &amp; Fagot, J. (2018). Convergent transformation and selection in cultural evolution. </w:t>
      </w:r>
      <w:r w:rsidRPr="00BA6B8D">
        <w:rPr>
          <w:i/>
          <w:iCs/>
        </w:rPr>
        <w:t>Evolution and Human Behavior, 39</w:t>
      </w:r>
      <w:r w:rsidRPr="006D3078">
        <w:t>(2), 191–202.</w:t>
      </w:r>
      <w:r w:rsidR="008D46EA" w:rsidRPr="006D3078">
        <w:t xml:space="preserve"> </w:t>
      </w:r>
      <w:hyperlink r:id="rId10" w:history="1">
        <w:r w:rsidR="008D46EA" w:rsidRPr="006D3078">
          <w:rPr>
            <w:rStyle w:val="a5"/>
          </w:rPr>
          <w:t>https://doi.org/10.1016/j.evolhumbehav.2017.12.007</w:t>
        </w:r>
      </w:hyperlink>
      <w:r w:rsidRPr="006D3078">
        <w:t xml:space="preserve"> </w:t>
      </w:r>
    </w:p>
    <w:p w14:paraId="7E98B0CC" w14:textId="3753301F" w:rsidR="0051656C" w:rsidRPr="006D3078" w:rsidRDefault="0051656C" w:rsidP="001802A9">
      <w:pPr>
        <w:pStyle w:val="References"/>
        <w:spacing w:line="240" w:lineRule="auto"/>
      </w:pPr>
      <w:r w:rsidRPr="006D3078">
        <w:t xml:space="preserve">Cross, I. (2001). Music, </w:t>
      </w:r>
      <w:r w:rsidR="004F2E5B" w:rsidRPr="006D3078">
        <w:t>c</w:t>
      </w:r>
      <w:r w:rsidRPr="006D3078">
        <w:t xml:space="preserve">ognition, </w:t>
      </w:r>
      <w:r w:rsidR="004F2E5B" w:rsidRPr="006D3078">
        <w:rPr>
          <w:rFonts w:hint="eastAsia"/>
        </w:rPr>
        <w:t>c</w:t>
      </w:r>
      <w:r w:rsidRPr="006D3078">
        <w:t xml:space="preserve">ulture, and </w:t>
      </w:r>
      <w:r w:rsidR="004F2E5B" w:rsidRPr="006D3078">
        <w:t>e</w:t>
      </w:r>
      <w:r w:rsidRPr="006D3078">
        <w:t xml:space="preserve">volution. </w:t>
      </w:r>
      <w:r w:rsidRPr="006D3078">
        <w:rPr>
          <w:i/>
          <w:iCs/>
        </w:rPr>
        <w:t>Annals of the New York Academy of Sciences, 930</w:t>
      </w:r>
      <w:r w:rsidRPr="006D3078">
        <w:t xml:space="preserve">(1), 28–42. </w:t>
      </w:r>
      <w:hyperlink r:id="rId11" w:history="1">
        <w:r w:rsidRPr="006D3078">
          <w:rPr>
            <w:rStyle w:val="a5"/>
          </w:rPr>
          <w:t>https://doi.org/10.1111/j.1749-6632.2001.tb05723.x</w:t>
        </w:r>
      </w:hyperlink>
      <w:r w:rsidRPr="006D3078">
        <w:t xml:space="preserve"> </w:t>
      </w:r>
    </w:p>
    <w:p w14:paraId="42C36C35" w14:textId="65A2282D" w:rsidR="0051656C" w:rsidRPr="006D3078" w:rsidRDefault="0051656C" w:rsidP="001802A9">
      <w:pPr>
        <w:pStyle w:val="References"/>
        <w:spacing w:line="240" w:lineRule="auto"/>
      </w:pPr>
      <w:r w:rsidRPr="006D3078">
        <w:t xml:space="preserve">Frith, S. (1986). Art versus technology: the strange case of popular music. </w:t>
      </w:r>
      <w:r w:rsidRPr="006D3078">
        <w:rPr>
          <w:i/>
          <w:iCs/>
        </w:rPr>
        <w:t>Media, Culture &amp; Society, 8</w:t>
      </w:r>
      <w:r w:rsidRPr="006D3078">
        <w:t xml:space="preserve">(3), 263–279. </w:t>
      </w:r>
      <w:hyperlink r:id="rId12" w:history="1">
        <w:r w:rsidRPr="006D3078">
          <w:rPr>
            <w:rStyle w:val="a5"/>
          </w:rPr>
          <w:t>https://doi.org/10.1177/016344386008003002</w:t>
        </w:r>
      </w:hyperlink>
      <w:r w:rsidRPr="006D3078">
        <w:t xml:space="preserve"> </w:t>
      </w:r>
    </w:p>
    <w:p w14:paraId="5E1B0EE2" w14:textId="2571A1B7" w:rsidR="0051656C" w:rsidRPr="006D3078" w:rsidRDefault="0051656C" w:rsidP="001802A9">
      <w:pPr>
        <w:pStyle w:val="References"/>
        <w:spacing w:line="240" w:lineRule="auto"/>
      </w:pPr>
      <w:r w:rsidRPr="006D3078">
        <w:t xml:space="preserve">Hesmondhalgh, D. (2008). Cultural and creative industries. </w:t>
      </w:r>
      <w:r w:rsidRPr="006D3078">
        <w:rPr>
          <w:i/>
          <w:iCs/>
        </w:rPr>
        <w:t>The SAGE handbook of cultural analysis</w:t>
      </w:r>
      <w:r w:rsidRPr="006D3078">
        <w:t>, 552569.</w:t>
      </w:r>
    </w:p>
    <w:p w14:paraId="13559F82" w14:textId="21182626" w:rsidR="004B247F" w:rsidRDefault="004B247F" w:rsidP="001802A9">
      <w:pPr>
        <w:pStyle w:val="References"/>
        <w:spacing w:line="240" w:lineRule="auto"/>
      </w:pPr>
      <w:r w:rsidRPr="006D3078">
        <w:t xml:space="preserve">Hesmondhalgh, D. (2022). Streaming’s </w:t>
      </w:r>
      <w:r w:rsidR="00766BD1">
        <w:t>e</w:t>
      </w:r>
      <w:r w:rsidRPr="006D3078">
        <w:t xml:space="preserve">ffects on </w:t>
      </w:r>
      <w:r w:rsidR="00766BD1">
        <w:t>m</w:t>
      </w:r>
      <w:r w:rsidRPr="006D3078">
        <w:t xml:space="preserve">usic </w:t>
      </w:r>
      <w:r w:rsidR="00766BD1">
        <w:t>c</w:t>
      </w:r>
      <w:r w:rsidRPr="006D3078">
        <w:t xml:space="preserve">ulture: </w:t>
      </w:r>
      <w:r w:rsidR="00766BD1">
        <w:t>o</w:t>
      </w:r>
      <w:r w:rsidRPr="006D3078">
        <w:t xml:space="preserve">ld </w:t>
      </w:r>
      <w:r w:rsidR="00766BD1">
        <w:t>a</w:t>
      </w:r>
      <w:r w:rsidRPr="006D3078">
        <w:t xml:space="preserve">nxieties and </w:t>
      </w:r>
      <w:r w:rsidR="00766BD1">
        <w:t>n</w:t>
      </w:r>
      <w:r w:rsidRPr="006D3078">
        <w:t xml:space="preserve">ew </w:t>
      </w:r>
      <w:r w:rsidR="00766BD1">
        <w:t>s</w:t>
      </w:r>
      <w:r w:rsidRPr="006D3078">
        <w:t xml:space="preserve">implifications. </w:t>
      </w:r>
      <w:r w:rsidRPr="00885D73">
        <w:rPr>
          <w:i/>
          <w:iCs/>
        </w:rPr>
        <w:t>Cultural Sociology, 16</w:t>
      </w:r>
      <w:r w:rsidRPr="006D3078">
        <w:t xml:space="preserve">(1), 3–24. </w:t>
      </w:r>
      <w:hyperlink r:id="rId13" w:history="1">
        <w:r w:rsidR="004C7ED4" w:rsidRPr="00E22E4F">
          <w:rPr>
            <w:rStyle w:val="a5"/>
          </w:rPr>
          <w:t>https://doi.org/10.1177/17499755211019974</w:t>
        </w:r>
      </w:hyperlink>
      <w:r w:rsidRPr="006D3078">
        <w:t xml:space="preserve"> </w:t>
      </w:r>
    </w:p>
    <w:p w14:paraId="367C4ABC" w14:textId="49CB1514" w:rsidR="004C7ED4" w:rsidRPr="006D3078" w:rsidRDefault="004C7ED4" w:rsidP="001802A9">
      <w:pPr>
        <w:pStyle w:val="References"/>
        <w:spacing w:line="240" w:lineRule="auto"/>
      </w:pPr>
      <w:r w:rsidRPr="004C7ED4">
        <w:t xml:space="preserve">Liebowitz, S. J. (2016). How much of the decline in sound recording sales is due to file-sharing? </w:t>
      </w:r>
      <w:r w:rsidRPr="00E355BC">
        <w:rPr>
          <w:i/>
          <w:iCs/>
        </w:rPr>
        <w:t>Journal of Cultural Economics, 40</w:t>
      </w:r>
      <w:r w:rsidRPr="004C7ED4">
        <w:t xml:space="preserve">(1), 13–28. </w:t>
      </w:r>
      <w:hyperlink r:id="rId14" w:history="1">
        <w:r w:rsidRPr="00E22E4F">
          <w:rPr>
            <w:rStyle w:val="a5"/>
          </w:rPr>
          <w:t>https://doi.org/10.1007/s10824-014-9233-2</w:t>
        </w:r>
      </w:hyperlink>
      <w:r>
        <w:t xml:space="preserve"> </w:t>
      </w:r>
    </w:p>
    <w:p w14:paraId="3191A96C" w14:textId="6005CC48" w:rsidR="0051656C" w:rsidRPr="006D3078" w:rsidRDefault="0051656C" w:rsidP="001802A9">
      <w:pPr>
        <w:pStyle w:val="References"/>
        <w:spacing w:line="240" w:lineRule="auto"/>
      </w:pPr>
      <w:r w:rsidRPr="006D3078">
        <w:t xml:space="preserve">Meinhart, M., &amp; Rogers, J. C. (2023). Theorizing </w:t>
      </w:r>
      <w:r w:rsidR="004F2E5B" w:rsidRPr="006D3078">
        <w:t>t</w:t>
      </w:r>
      <w:r w:rsidRPr="006D3078">
        <w:t xml:space="preserve">rauma and </w:t>
      </w:r>
      <w:r w:rsidR="004F2E5B" w:rsidRPr="006D3078">
        <w:t>m</w:t>
      </w:r>
      <w:r w:rsidRPr="006D3078">
        <w:t xml:space="preserve">usic in the </w:t>
      </w:r>
      <w:r w:rsidR="004F2E5B" w:rsidRPr="006D3078">
        <w:t>l</w:t>
      </w:r>
      <w:r w:rsidRPr="006D3078">
        <w:t xml:space="preserve">ong </w:t>
      </w:r>
      <w:r w:rsidR="004F2E5B" w:rsidRPr="006D3078">
        <w:t>n</w:t>
      </w:r>
      <w:r w:rsidRPr="006D3078">
        <w:t xml:space="preserve">ineteenth </w:t>
      </w:r>
      <w:r w:rsidR="004F2E5B" w:rsidRPr="006D3078">
        <w:t>c</w:t>
      </w:r>
      <w:r w:rsidRPr="006D3078">
        <w:t xml:space="preserve">entury. </w:t>
      </w:r>
      <w:r w:rsidRPr="006D3078">
        <w:rPr>
          <w:i/>
          <w:iCs/>
        </w:rPr>
        <w:t>Nineteenth-Century Music Review, 20</w:t>
      </w:r>
      <w:r w:rsidRPr="006D3078">
        <w:t xml:space="preserve">(1), 3–32. </w:t>
      </w:r>
      <w:hyperlink r:id="rId15" w:history="1">
        <w:r w:rsidRPr="006D3078">
          <w:rPr>
            <w:rStyle w:val="a5"/>
          </w:rPr>
          <w:t>https://doi.org/10.1017/s1479409822000039</w:t>
        </w:r>
      </w:hyperlink>
      <w:r w:rsidRPr="006D3078">
        <w:t xml:space="preserve"> </w:t>
      </w:r>
    </w:p>
    <w:p w14:paraId="597ABEB8" w14:textId="7F2CC0A8" w:rsidR="00F446EE" w:rsidRDefault="00F446EE" w:rsidP="001802A9">
      <w:pPr>
        <w:pStyle w:val="References"/>
        <w:spacing w:line="240" w:lineRule="auto"/>
        <w:rPr>
          <w:i/>
          <w:iCs/>
        </w:rPr>
      </w:pPr>
      <w:r w:rsidRPr="006D3078">
        <w:t xml:space="preserve">Ochi, V., Estrada, R., </w:t>
      </w:r>
      <w:proofErr w:type="spellStart"/>
      <w:r w:rsidRPr="006D3078">
        <w:t>Gaji</w:t>
      </w:r>
      <w:proofErr w:type="spellEnd"/>
      <w:r w:rsidRPr="006D3078">
        <w:t xml:space="preserve">, T., </w:t>
      </w:r>
      <w:proofErr w:type="spellStart"/>
      <w:r w:rsidRPr="006D3078">
        <w:t>Gadea</w:t>
      </w:r>
      <w:proofErr w:type="spellEnd"/>
      <w:r w:rsidRPr="006D3078">
        <w:t xml:space="preserve">, W., &amp; Duong, E. (2021). Spotify danceability and popularity analysis using </w:t>
      </w:r>
      <w:r w:rsidR="00337483" w:rsidRPr="006D3078">
        <w:t>SAP</w:t>
      </w:r>
      <w:r w:rsidRPr="006D3078">
        <w:t xml:space="preserve">. </w:t>
      </w:r>
      <w:proofErr w:type="spellStart"/>
      <w:r w:rsidRPr="006D3078">
        <w:rPr>
          <w:i/>
          <w:iCs/>
        </w:rPr>
        <w:t>Arxiv</w:t>
      </w:r>
      <w:proofErr w:type="spellEnd"/>
      <w:r w:rsidRPr="006D3078">
        <w:rPr>
          <w:i/>
          <w:iCs/>
        </w:rPr>
        <w:t xml:space="preserve"> preprint arXiv:2108.02370.</w:t>
      </w:r>
    </w:p>
    <w:p w14:paraId="72E7DF98" w14:textId="4C257189" w:rsidR="00310BAA" w:rsidRPr="00310BAA" w:rsidRDefault="00310BAA" w:rsidP="001802A9">
      <w:pPr>
        <w:pStyle w:val="References"/>
        <w:spacing w:line="240" w:lineRule="auto"/>
        <w:rPr>
          <w:rFonts w:hint="eastAsia"/>
        </w:rPr>
      </w:pPr>
      <w:r w:rsidRPr="00310BAA">
        <w:t xml:space="preserve">Paul, L. C., Suman, A. A., &amp; Sultan, N. (2013). Methodological analysis of principal component analysis (PCA) method. </w:t>
      </w:r>
      <w:r w:rsidRPr="00D7245E">
        <w:rPr>
          <w:i/>
          <w:iCs/>
        </w:rPr>
        <w:t>International Journal of Computational Engineering &amp; Management, 16</w:t>
      </w:r>
      <w:r w:rsidRPr="00310BAA">
        <w:t>(2), 3238.</w:t>
      </w:r>
    </w:p>
    <w:p w14:paraId="2800841F" w14:textId="236E3829" w:rsidR="000F130D" w:rsidRDefault="000F130D" w:rsidP="001802A9">
      <w:pPr>
        <w:pStyle w:val="References"/>
        <w:spacing w:line="240" w:lineRule="auto"/>
      </w:pPr>
      <w:r w:rsidRPr="000F130D">
        <w:t xml:space="preserve">Turner, S. L., Karahalios, A., Forbes, A. B., Taljaard, M., Grimshaw, J. M., &amp; McKenzie, J. E. (2021). Comparison of six statistical methods for interrupted time series studies: empirical evaluation of 190 published series. </w:t>
      </w:r>
      <w:r w:rsidRPr="00ED26E9">
        <w:rPr>
          <w:i/>
          <w:iCs/>
        </w:rPr>
        <w:t>BMC Medical Research Methodology, 21</w:t>
      </w:r>
      <w:r w:rsidRPr="000F130D">
        <w:t xml:space="preserve">(1). </w:t>
      </w:r>
      <w:hyperlink r:id="rId16" w:history="1">
        <w:r w:rsidRPr="00E22E4F">
          <w:rPr>
            <w:rStyle w:val="a5"/>
          </w:rPr>
          <w:t>https://doi.org/10.1186/s12874-021-01306-w</w:t>
        </w:r>
      </w:hyperlink>
      <w:r>
        <w:t xml:space="preserve"> </w:t>
      </w:r>
    </w:p>
    <w:p w14:paraId="566D311E" w14:textId="4A0847AA" w:rsidR="009E7120" w:rsidRDefault="009E7120" w:rsidP="001802A9">
      <w:pPr>
        <w:pStyle w:val="References"/>
        <w:spacing w:line="240" w:lineRule="auto"/>
      </w:pPr>
      <w:proofErr w:type="spellStart"/>
      <w:r w:rsidRPr="009E7120">
        <w:t>Waldfogel</w:t>
      </w:r>
      <w:proofErr w:type="spellEnd"/>
      <w:r w:rsidRPr="009E7120">
        <w:t xml:space="preserve">, J. (2012). Copyright </w:t>
      </w:r>
      <w:r>
        <w:t>p</w:t>
      </w:r>
      <w:r w:rsidRPr="009E7120">
        <w:t xml:space="preserve">rotection, </w:t>
      </w:r>
      <w:r>
        <w:t>t</w:t>
      </w:r>
      <w:r w:rsidRPr="009E7120">
        <w:t xml:space="preserve">echnological </w:t>
      </w:r>
      <w:r>
        <w:t>c</w:t>
      </w:r>
      <w:r w:rsidRPr="009E7120">
        <w:t xml:space="preserve">hange, and the </w:t>
      </w:r>
      <w:r>
        <w:t>q</w:t>
      </w:r>
      <w:r w:rsidRPr="009E7120">
        <w:t xml:space="preserve">uality of </w:t>
      </w:r>
      <w:r>
        <w:t>n</w:t>
      </w:r>
      <w:r w:rsidRPr="009E7120">
        <w:t xml:space="preserve">ew </w:t>
      </w:r>
      <w:r>
        <w:t>p</w:t>
      </w:r>
      <w:r w:rsidRPr="009E7120">
        <w:t xml:space="preserve">roducts: </w:t>
      </w:r>
      <w:r>
        <w:t>e</w:t>
      </w:r>
      <w:r w:rsidRPr="009E7120">
        <w:t xml:space="preserve">vidence from </w:t>
      </w:r>
      <w:r>
        <w:t>r</w:t>
      </w:r>
      <w:r w:rsidRPr="009E7120">
        <w:t xml:space="preserve">ecorded </w:t>
      </w:r>
      <w:r>
        <w:t>m</w:t>
      </w:r>
      <w:r w:rsidRPr="009E7120">
        <w:t xml:space="preserve">usic since </w:t>
      </w:r>
      <w:proofErr w:type="spellStart"/>
      <w:r>
        <w:t>n</w:t>
      </w:r>
      <w:r w:rsidRPr="009E7120">
        <w:t>apster</w:t>
      </w:r>
      <w:proofErr w:type="spellEnd"/>
      <w:r w:rsidRPr="009E7120">
        <w:t xml:space="preserve">. </w:t>
      </w:r>
      <w:r w:rsidRPr="009E7120">
        <w:rPr>
          <w:i/>
          <w:iCs/>
        </w:rPr>
        <w:t>The Journal of Law and Economics, 55</w:t>
      </w:r>
      <w:r w:rsidRPr="009E7120">
        <w:t xml:space="preserve">(4), 715–740. </w:t>
      </w:r>
      <w:hyperlink r:id="rId17" w:history="1">
        <w:r w:rsidRPr="00E22E4F">
          <w:rPr>
            <w:rStyle w:val="a5"/>
          </w:rPr>
          <w:t>https://doi.org/10.1086/665824</w:t>
        </w:r>
      </w:hyperlink>
      <w:r>
        <w:t xml:space="preserve"> </w:t>
      </w:r>
    </w:p>
    <w:p w14:paraId="7D104286" w14:textId="4EC3466E" w:rsidR="002631A4" w:rsidRPr="006D3078" w:rsidRDefault="002631A4" w:rsidP="001802A9">
      <w:pPr>
        <w:pStyle w:val="References"/>
        <w:spacing w:line="240" w:lineRule="auto"/>
      </w:pPr>
      <w:r w:rsidRPr="006D3078">
        <w:t xml:space="preserve">Willems, B. (2021). </w:t>
      </w:r>
      <w:r w:rsidRPr="006D3078">
        <w:rPr>
          <w:i/>
          <w:iCs/>
        </w:rPr>
        <w:t>Design and development of a voice controlled music</w:t>
      </w:r>
      <w:r w:rsidRPr="006D3078">
        <w:t xml:space="preserve"> (Doctoral dissertation, Google).</w:t>
      </w:r>
    </w:p>
    <w:p w14:paraId="255F5457" w14:textId="77777777" w:rsidR="007A6076" w:rsidRDefault="007A6076">
      <w:pPr>
        <w:pBdr>
          <w:top w:val="nil"/>
          <w:left w:val="nil"/>
          <w:bottom w:val="nil"/>
          <w:right w:val="nil"/>
          <w:between w:val="nil"/>
        </w:pBdr>
        <w:ind w:left="720" w:firstLine="0"/>
        <w:rPr>
          <w:color w:val="808080"/>
        </w:rPr>
      </w:pPr>
    </w:p>
    <w:p w14:paraId="553344FA" w14:textId="77777777" w:rsidR="007A6076" w:rsidRDefault="007A6076">
      <w:pPr>
        <w:pBdr>
          <w:top w:val="nil"/>
          <w:left w:val="nil"/>
          <w:bottom w:val="nil"/>
          <w:right w:val="nil"/>
          <w:between w:val="nil"/>
        </w:pBdr>
        <w:ind w:left="720" w:firstLine="0"/>
        <w:rPr>
          <w:color w:val="808080"/>
        </w:rPr>
      </w:pPr>
    </w:p>
    <w:p w14:paraId="2AEA0D94" w14:textId="77777777" w:rsidR="007A6076" w:rsidRDefault="007A6076">
      <w:pPr>
        <w:pBdr>
          <w:top w:val="nil"/>
          <w:left w:val="nil"/>
          <w:bottom w:val="nil"/>
          <w:right w:val="nil"/>
          <w:between w:val="nil"/>
        </w:pBdr>
        <w:ind w:left="720" w:firstLine="0"/>
        <w:rPr>
          <w:color w:val="808080"/>
        </w:rPr>
      </w:pPr>
    </w:p>
    <w:p w14:paraId="7017A9AD" w14:textId="77777777" w:rsidR="007A6076" w:rsidRDefault="007A6076">
      <w:pPr>
        <w:ind w:firstLine="0"/>
        <w:rPr>
          <w:color w:val="808080"/>
        </w:rPr>
      </w:pPr>
    </w:p>
    <w:p w14:paraId="56D5338E" w14:textId="38221AB9" w:rsidR="007A6076" w:rsidRDefault="007A6076">
      <w:pPr>
        <w:pBdr>
          <w:top w:val="nil"/>
          <w:left w:val="nil"/>
          <w:bottom w:val="nil"/>
          <w:right w:val="nil"/>
          <w:between w:val="nil"/>
        </w:pBdr>
        <w:ind w:left="720" w:firstLine="0"/>
        <w:rPr>
          <w:noProof/>
          <w:color w:val="000000"/>
        </w:rPr>
      </w:pPr>
    </w:p>
    <w:p w14:paraId="6486E7C9" w14:textId="77777777" w:rsidR="00C06441" w:rsidRDefault="00C06441" w:rsidP="001802A9">
      <w:pPr>
        <w:pBdr>
          <w:top w:val="nil"/>
          <w:left w:val="nil"/>
          <w:bottom w:val="nil"/>
          <w:right w:val="nil"/>
          <w:between w:val="nil"/>
        </w:pBdr>
        <w:ind w:firstLine="0"/>
        <w:rPr>
          <w:rFonts w:hint="eastAsia"/>
          <w:color w:val="808080"/>
        </w:rPr>
      </w:pPr>
    </w:p>
    <w:p w14:paraId="3A9D1A42" w14:textId="17470706" w:rsidR="00C06441" w:rsidRDefault="00C06441" w:rsidP="00067AAF">
      <w:pPr>
        <w:pBdr>
          <w:top w:val="nil"/>
          <w:left w:val="nil"/>
          <w:bottom w:val="nil"/>
          <w:right w:val="nil"/>
          <w:between w:val="nil"/>
        </w:pBdr>
        <w:ind w:left="720" w:firstLine="0"/>
        <w:jc w:val="center"/>
        <w:rPr>
          <w:color w:val="808080"/>
        </w:rPr>
      </w:pPr>
      <w:r w:rsidRPr="00C06441">
        <w:rPr>
          <w:color w:val="808080"/>
        </w:rPr>
        <w:lastRenderedPageBreak/>
        <w:drawing>
          <wp:inline distT="0" distB="0" distL="0" distR="0" wp14:anchorId="0D249D73" wp14:editId="71885C3A">
            <wp:extent cx="5568778" cy="1916716"/>
            <wp:effectExtent l="0" t="0" r="0" b="127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8"/>
                    <a:stretch>
                      <a:fillRect/>
                    </a:stretch>
                  </pic:blipFill>
                  <pic:spPr>
                    <a:xfrm>
                      <a:off x="0" y="0"/>
                      <a:ext cx="5579158" cy="1920289"/>
                    </a:xfrm>
                    <a:prstGeom prst="rect">
                      <a:avLst/>
                    </a:prstGeom>
                  </pic:spPr>
                </pic:pic>
              </a:graphicData>
            </a:graphic>
          </wp:inline>
        </w:drawing>
      </w:r>
    </w:p>
    <w:p w14:paraId="6FE922A8" w14:textId="3FFA8D48" w:rsidR="00C06441" w:rsidRDefault="00C06441" w:rsidP="00C06441">
      <w:pPr>
        <w:pBdr>
          <w:top w:val="nil"/>
          <w:left w:val="nil"/>
          <w:bottom w:val="nil"/>
          <w:right w:val="nil"/>
          <w:between w:val="nil"/>
        </w:pBdr>
        <w:jc w:val="center"/>
        <w:rPr>
          <w:color w:val="000000"/>
        </w:rPr>
      </w:pPr>
      <w:r>
        <w:rPr>
          <w:rFonts w:eastAsia="Times New Roman"/>
          <w:color w:val="000000"/>
        </w:rPr>
        <w:t xml:space="preserve">Figure </w:t>
      </w:r>
      <w:r>
        <w:rPr>
          <w:rFonts w:eastAsia="Times New Roman"/>
          <w:color w:val="000000"/>
        </w:rPr>
        <w:t>1</w:t>
      </w:r>
      <w:r>
        <w:rPr>
          <w:rFonts w:eastAsia="Times New Roman"/>
          <w:color w:val="000000"/>
        </w:rPr>
        <w:t xml:space="preserve">. </w:t>
      </w:r>
      <w:r>
        <w:rPr>
          <w:rFonts w:eastAsia="Times New Roman"/>
          <w:color w:val="000000"/>
        </w:rPr>
        <w:t>Analysis workflow</w:t>
      </w:r>
    </w:p>
    <w:p w14:paraId="1AE51EAA" w14:textId="77777777" w:rsidR="00C06441" w:rsidRDefault="00C06441" w:rsidP="00515D67">
      <w:pPr>
        <w:pBdr>
          <w:top w:val="nil"/>
          <w:left w:val="nil"/>
          <w:bottom w:val="nil"/>
          <w:right w:val="nil"/>
          <w:between w:val="nil"/>
        </w:pBdr>
        <w:ind w:left="720" w:firstLine="0"/>
        <w:rPr>
          <w:rFonts w:hint="eastAsia"/>
          <w:color w:val="808080"/>
        </w:rPr>
      </w:pPr>
    </w:p>
    <w:p w14:paraId="5926BA05" w14:textId="2676E788" w:rsidR="00515D67" w:rsidRDefault="00515D67" w:rsidP="00067AAF">
      <w:pPr>
        <w:pBdr>
          <w:top w:val="nil"/>
          <w:left w:val="nil"/>
          <w:bottom w:val="nil"/>
          <w:right w:val="nil"/>
          <w:between w:val="nil"/>
        </w:pBdr>
        <w:ind w:left="720" w:firstLine="0"/>
        <w:jc w:val="center"/>
        <w:rPr>
          <w:rFonts w:hint="eastAsia"/>
          <w:color w:val="808080"/>
        </w:rPr>
      </w:pPr>
      <w:r w:rsidRPr="00515D67">
        <w:rPr>
          <w:color w:val="808080"/>
        </w:rPr>
        <w:drawing>
          <wp:inline distT="0" distB="0" distL="0" distR="0" wp14:anchorId="3C23743E" wp14:editId="58301996">
            <wp:extent cx="5511113" cy="3734516"/>
            <wp:effectExtent l="0" t="0" r="127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19"/>
                    <a:stretch>
                      <a:fillRect/>
                    </a:stretch>
                  </pic:blipFill>
                  <pic:spPr>
                    <a:xfrm>
                      <a:off x="0" y="0"/>
                      <a:ext cx="5523237" cy="3742732"/>
                    </a:xfrm>
                    <a:prstGeom prst="rect">
                      <a:avLst/>
                    </a:prstGeom>
                  </pic:spPr>
                </pic:pic>
              </a:graphicData>
            </a:graphic>
          </wp:inline>
        </w:drawing>
      </w:r>
    </w:p>
    <w:p w14:paraId="4C27A308" w14:textId="5C136740" w:rsidR="007A6076" w:rsidRDefault="00000000">
      <w:pPr>
        <w:pBdr>
          <w:top w:val="nil"/>
          <w:left w:val="nil"/>
          <w:bottom w:val="nil"/>
          <w:right w:val="nil"/>
          <w:between w:val="nil"/>
        </w:pBdr>
        <w:jc w:val="center"/>
        <w:rPr>
          <w:rFonts w:eastAsia="Times New Roman"/>
          <w:color w:val="000000"/>
        </w:rPr>
      </w:pPr>
      <w:r>
        <w:rPr>
          <w:rFonts w:eastAsia="Times New Roman"/>
          <w:color w:val="000000"/>
        </w:rPr>
        <w:t xml:space="preserve">Figure </w:t>
      </w:r>
      <w:r w:rsidR="00C06441">
        <w:rPr>
          <w:rFonts w:eastAsia="Times New Roman"/>
          <w:color w:val="000000"/>
        </w:rPr>
        <w:t>2</w:t>
      </w:r>
      <w:r>
        <w:rPr>
          <w:rFonts w:eastAsia="Times New Roman"/>
          <w:color w:val="000000"/>
        </w:rPr>
        <w:t xml:space="preserve">. </w:t>
      </w:r>
      <w:r w:rsidR="00AF2B59" w:rsidRPr="00AF2B59">
        <w:rPr>
          <w:rFonts w:eastAsia="Times New Roman"/>
          <w:color w:val="000000"/>
        </w:rPr>
        <w:t>Principal component analysis results</w:t>
      </w:r>
    </w:p>
    <w:p w14:paraId="6F6CE082" w14:textId="77777777" w:rsidR="00067AAF" w:rsidRDefault="00067AAF">
      <w:pPr>
        <w:pBdr>
          <w:top w:val="nil"/>
          <w:left w:val="nil"/>
          <w:bottom w:val="nil"/>
          <w:right w:val="nil"/>
          <w:between w:val="nil"/>
        </w:pBdr>
        <w:jc w:val="center"/>
        <w:rPr>
          <w:color w:val="000000"/>
        </w:rPr>
      </w:pPr>
    </w:p>
    <w:p w14:paraId="5231EA69" w14:textId="04AB2129" w:rsidR="00402AE4" w:rsidRDefault="00402AE4" w:rsidP="00067AAF">
      <w:pPr>
        <w:pBdr>
          <w:top w:val="nil"/>
          <w:left w:val="nil"/>
          <w:bottom w:val="nil"/>
          <w:right w:val="nil"/>
          <w:between w:val="nil"/>
        </w:pBdr>
        <w:ind w:left="720" w:firstLine="0"/>
        <w:jc w:val="center"/>
        <w:rPr>
          <w:rFonts w:hint="eastAsia"/>
          <w:color w:val="808080"/>
        </w:rPr>
      </w:pPr>
      <w:r w:rsidRPr="00402AE4">
        <w:rPr>
          <w:color w:val="808080"/>
        </w:rPr>
        <w:drawing>
          <wp:inline distT="0" distB="0" distL="0" distR="0" wp14:anchorId="3423C842" wp14:editId="4B281751">
            <wp:extent cx="5469924" cy="2311131"/>
            <wp:effectExtent l="0" t="0" r="3810" b="635"/>
            <wp:docPr id="5"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pic:nvPicPr>
                  <pic:blipFill rotWithShape="1">
                    <a:blip r:embed="rId20"/>
                    <a:srcRect b="5241"/>
                    <a:stretch/>
                  </pic:blipFill>
                  <pic:spPr bwMode="auto">
                    <a:xfrm>
                      <a:off x="0" y="0"/>
                      <a:ext cx="5474770" cy="2313178"/>
                    </a:xfrm>
                    <a:prstGeom prst="rect">
                      <a:avLst/>
                    </a:prstGeom>
                    <a:ln>
                      <a:noFill/>
                    </a:ln>
                    <a:extLst>
                      <a:ext uri="{53640926-AAD7-44D8-BBD7-CCE9431645EC}">
                        <a14:shadowObscured xmlns:a14="http://schemas.microsoft.com/office/drawing/2010/main"/>
                      </a:ext>
                    </a:extLst>
                  </pic:spPr>
                </pic:pic>
              </a:graphicData>
            </a:graphic>
          </wp:inline>
        </w:drawing>
      </w:r>
    </w:p>
    <w:p w14:paraId="5FFAA1CC" w14:textId="3648A2B7" w:rsidR="00402AE4" w:rsidRDefault="00402AE4" w:rsidP="00402AE4">
      <w:pPr>
        <w:pBdr>
          <w:top w:val="nil"/>
          <w:left w:val="nil"/>
          <w:bottom w:val="nil"/>
          <w:right w:val="nil"/>
          <w:between w:val="nil"/>
        </w:pBdr>
        <w:jc w:val="center"/>
        <w:rPr>
          <w:rFonts w:eastAsia="Times New Roman"/>
          <w:color w:val="000000"/>
        </w:rPr>
      </w:pPr>
      <w:r>
        <w:rPr>
          <w:rFonts w:eastAsia="Times New Roman"/>
          <w:color w:val="000000"/>
        </w:rPr>
        <w:t xml:space="preserve">Figure </w:t>
      </w:r>
      <w:r>
        <w:rPr>
          <w:rFonts w:eastAsia="Times New Roman"/>
          <w:color w:val="000000"/>
        </w:rPr>
        <w:t>3</w:t>
      </w:r>
      <w:r>
        <w:rPr>
          <w:rFonts w:eastAsia="Times New Roman"/>
          <w:color w:val="000000"/>
        </w:rPr>
        <w:t xml:space="preserve">. </w:t>
      </w:r>
      <w:r>
        <w:rPr>
          <w:rFonts w:eastAsia="Times New Roman"/>
          <w:color w:val="000000"/>
        </w:rPr>
        <w:t>Centroid evolution over time</w:t>
      </w:r>
    </w:p>
    <w:p w14:paraId="1B971C47" w14:textId="1B87CC21" w:rsidR="001D6782" w:rsidRDefault="001D6782" w:rsidP="00402AE4">
      <w:pPr>
        <w:pBdr>
          <w:top w:val="nil"/>
          <w:left w:val="nil"/>
          <w:bottom w:val="nil"/>
          <w:right w:val="nil"/>
          <w:between w:val="nil"/>
        </w:pBdr>
        <w:jc w:val="center"/>
        <w:rPr>
          <w:color w:val="000000"/>
        </w:rPr>
      </w:pPr>
      <w:r w:rsidRPr="001D6782">
        <w:rPr>
          <w:color w:val="000000"/>
        </w:rPr>
        <w:lastRenderedPageBreak/>
        <w:drawing>
          <wp:inline distT="0" distB="0" distL="0" distR="0" wp14:anchorId="34C2AB0B" wp14:editId="65B63E7A">
            <wp:extent cx="5732145" cy="2849245"/>
            <wp:effectExtent l="0" t="0" r="0" b="0"/>
            <wp:docPr id="6" name="图片 6"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图表, 折线图&#10;&#10;描述已自动生成"/>
                    <pic:cNvPicPr/>
                  </pic:nvPicPr>
                  <pic:blipFill>
                    <a:blip r:embed="rId21"/>
                    <a:stretch>
                      <a:fillRect/>
                    </a:stretch>
                  </pic:blipFill>
                  <pic:spPr>
                    <a:xfrm>
                      <a:off x="0" y="0"/>
                      <a:ext cx="5732145" cy="2849245"/>
                    </a:xfrm>
                    <a:prstGeom prst="rect">
                      <a:avLst/>
                    </a:prstGeom>
                  </pic:spPr>
                </pic:pic>
              </a:graphicData>
            </a:graphic>
          </wp:inline>
        </w:drawing>
      </w:r>
    </w:p>
    <w:p w14:paraId="0DF0E84B" w14:textId="42CFC0FA" w:rsidR="001D6782" w:rsidRDefault="001D6782" w:rsidP="001D6782">
      <w:pPr>
        <w:pBdr>
          <w:top w:val="nil"/>
          <w:left w:val="nil"/>
          <w:bottom w:val="nil"/>
          <w:right w:val="nil"/>
          <w:between w:val="nil"/>
        </w:pBdr>
        <w:jc w:val="center"/>
        <w:rPr>
          <w:rFonts w:eastAsia="Times New Roman"/>
          <w:color w:val="000000"/>
        </w:rPr>
      </w:pPr>
      <w:r>
        <w:rPr>
          <w:rFonts w:eastAsia="Times New Roman"/>
          <w:color w:val="000000"/>
        </w:rPr>
        <w:t xml:space="preserve">Figure </w:t>
      </w:r>
      <w:r>
        <w:rPr>
          <w:rFonts w:eastAsia="Times New Roman"/>
          <w:color w:val="000000"/>
        </w:rPr>
        <w:t>4</w:t>
      </w:r>
      <w:r>
        <w:rPr>
          <w:rFonts w:eastAsia="Times New Roman"/>
          <w:color w:val="000000"/>
        </w:rPr>
        <w:t xml:space="preserve">. </w:t>
      </w:r>
      <w:r w:rsidR="00DB7659" w:rsidRPr="00DB7659">
        <w:rPr>
          <w:rFonts w:eastAsia="Times New Roman"/>
          <w:color w:val="000000"/>
        </w:rPr>
        <w:t xml:space="preserve">Trend of tracks </w:t>
      </w:r>
      <w:r w:rsidR="00530BC0">
        <w:rPr>
          <w:rFonts w:eastAsia="Times New Roman" w:hint="eastAsia"/>
          <w:color w:val="000000"/>
        </w:rPr>
        <w:t>at</w:t>
      </w:r>
      <w:r w:rsidR="00530BC0">
        <w:rPr>
          <w:rFonts w:eastAsia="Times New Roman"/>
          <w:color w:val="000000"/>
        </w:rPr>
        <w:t xml:space="preserve"> </w:t>
      </w:r>
      <w:r w:rsidR="00DB7659" w:rsidRPr="00DB7659">
        <w:rPr>
          <w:rFonts w:eastAsia="Times New Roman"/>
          <w:color w:val="000000"/>
        </w:rPr>
        <w:t xml:space="preserve">different </w:t>
      </w:r>
      <w:r w:rsidR="006C5269" w:rsidRPr="00DB7659">
        <w:rPr>
          <w:rFonts w:eastAsia="Times New Roman"/>
          <w:color w:val="000000"/>
        </w:rPr>
        <w:t>innovation</w:t>
      </w:r>
      <w:r w:rsidR="006C5269" w:rsidRPr="00DB7659">
        <w:rPr>
          <w:rFonts w:eastAsia="Times New Roman"/>
          <w:color w:val="000000"/>
        </w:rPr>
        <w:t xml:space="preserve"> </w:t>
      </w:r>
      <w:r w:rsidR="00DB7659" w:rsidRPr="00DB7659">
        <w:rPr>
          <w:rFonts w:eastAsia="Times New Roman"/>
          <w:color w:val="000000"/>
        </w:rPr>
        <w:t>levels</w:t>
      </w:r>
    </w:p>
    <w:p w14:paraId="372B07E5" w14:textId="77777777" w:rsidR="00B45258" w:rsidRDefault="00B45258" w:rsidP="001D6782">
      <w:pPr>
        <w:pBdr>
          <w:top w:val="nil"/>
          <w:left w:val="nil"/>
          <w:bottom w:val="nil"/>
          <w:right w:val="nil"/>
          <w:between w:val="nil"/>
        </w:pBdr>
        <w:jc w:val="center"/>
        <w:rPr>
          <w:rFonts w:eastAsia="Times New Roman"/>
          <w:color w:val="000000"/>
        </w:rPr>
      </w:pPr>
    </w:p>
    <w:p w14:paraId="1A649045" w14:textId="07657C5B" w:rsidR="00B45258" w:rsidRPr="00B45258" w:rsidRDefault="00B45258" w:rsidP="001D6782">
      <w:pPr>
        <w:pBdr>
          <w:top w:val="nil"/>
          <w:left w:val="nil"/>
          <w:bottom w:val="nil"/>
          <w:right w:val="nil"/>
          <w:between w:val="nil"/>
        </w:pBdr>
        <w:jc w:val="center"/>
        <w:rPr>
          <w:rFonts w:eastAsia="Times New Roman"/>
          <w:color w:val="000000"/>
        </w:rPr>
      </w:pPr>
      <w:r w:rsidRPr="00B45258">
        <w:rPr>
          <w:rFonts w:eastAsia="Times New Roman"/>
          <w:color w:val="000000"/>
        </w:rPr>
        <w:drawing>
          <wp:inline distT="0" distB="0" distL="0" distR="0" wp14:anchorId="5B606A8D" wp14:editId="4CF204C0">
            <wp:extent cx="5732145" cy="2817341"/>
            <wp:effectExtent l="0" t="0" r="0" b="254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rotWithShape="1">
                    <a:blip r:embed="rId22"/>
                    <a:srcRect b="1711"/>
                    <a:stretch/>
                  </pic:blipFill>
                  <pic:spPr bwMode="auto">
                    <a:xfrm>
                      <a:off x="0" y="0"/>
                      <a:ext cx="5732145" cy="2817341"/>
                    </a:xfrm>
                    <a:prstGeom prst="rect">
                      <a:avLst/>
                    </a:prstGeom>
                    <a:ln>
                      <a:noFill/>
                    </a:ln>
                    <a:extLst>
                      <a:ext uri="{53640926-AAD7-44D8-BBD7-CCE9431645EC}">
                        <a14:shadowObscured xmlns:a14="http://schemas.microsoft.com/office/drawing/2010/main"/>
                      </a:ext>
                    </a:extLst>
                  </pic:spPr>
                </pic:pic>
              </a:graphicData>
            </a:graphic>
          </wp:inline>
        </w:drawing>
      </w:r>
    </w:p>
    <w:p w14:paraId="0671C8C8" w14:textId="6940F5FA" w:rsidR="00B71B93" w:rsidRDefault="00B71B93" w:rsidP="00B71B93">
      <w:pPr>
        <w:pBdr>
          <w:top w:val="nil"/>
          <w:left w:val="nil"/>
          <w:bottom w:val="nil"/>
          <w:right w:val="nil"/>
          <w:between w:val="nil"/>
        </w:pBdr>
        <w:jc w:val="center"/>
        <w:rPr>
          <w:rFonts w:eastAsia="Times New Roman"/>
          <w:color w:val="000000"/>
        </w:rPr>
      </w:pPr>
      <w:r>
        <w:rPr>
          <w:rFonts w:eastAsia="Times New Roman"/>
          <w:color w:val="000000"/>
        </w:rPr>
        <w:t xml:space="preserve">Figure </w:t>
      </w:r>
      <w:r w:rsidR="00E96D35">
        <w:rPr>
          <w:rFonts w:eastAsia="Times New Roman"/>
          <w:color w:val="000000"/>
        </w:rPr>
        <w:t>5</w:t>
      </w:r>
      <w:r>
        <w:rPr>
          <w:rFonts w:eastAsia="Times New Roman"/>
          <w:color w:val="000000"/>
        </w:rPr>
        <w:t xml:space="preserve">. </w:t>
      </w:r>
      <w:r>
        <w:rPr>
          <w:rFonts w:eastAsia="Times New Roman"/>
          <w:color w:val="000000"/>
        </w:rPr>
        <w:t>Interrupted time series analysis of streaming effect</w:t>
      </w:r>
    </w:p>
    <w:p w14:paraId="43AEC07D" w14:textId="77777777" w:rsidR="001D6782" w:rsidRPr="00B71B93" w:rsidRDefault="001D6782" w:rsidP="00402AE4">
      <w:pPr>
        <w:pBdr>
          <w:top w:val="nil"/>
          <w:left w:val="nil"/>
          <w:bottom w:val="nil"/>
          <w:right w:val="nil"/>
          <w:between w:val="nil"/>
        </w:pBdr>
        <w:jc w:val="center"/>
        <w:rPr>
          <w:rFonts w:hint="eastAsia"/>
          <w:color w:val="000000"/>
        </w:rPr>
      </w:pPr>
    </w:p>
    <w:p w14:paraId="27A63895" w14:textId="77777777" w:rsidR="007A6076" w:rsidRDefault="007A6076">
      <w:pPr>
        <w:pBdr>
          <w:top w:val="nil"/>
          <w:left w:val="nil"/>
          <w:bottom w:val="nil"/>
          <w:right w:val="nil"/>
          <w:between w:val="nil"/>
        </w:pBdr>
        <w:ind w:left="720" w:firstLine="0"/>
        <w:rPr>
          <w:color w:val="808080"/>
        </w:rPr>
      </w:pPr>
    </w:p>
    <w:p w14:paraId="2ED57B54" w14:textId="77777777" w:rsidR="007A6076" w:rsidRDefault="00000000">
      <w:pPr>
        <w:tabs>
          <w:tab w:val="left" w:pos="5618"/>
        </w:tabs>
        <w:rPr>
          <w:color w:val="808080"/>
        </w:rPr>
      </w:pPr>
      <w:r>
        <w:rPr>
          <w:color w:val="808080"/>
        </w:rPr>
        <w:tab/>
      </w:r>
    </w:p>
    <w:sectPr w:rsidR="007A6076">
      <w:headerReference w:type="default" r:id="rId23"/>
      <w:footerReference w:type="default" r:id="rId24"/>
      <w:pgSz w:w="11907" w:h="16840"/>
      <w:pgMar w:top="1440" w:right="1440" w:bottom="1440" w:left="1440" w:header="3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F0D56" w14:textId="77777777" w:rsidR="00E45885" w:rsidRDefault="00E45885">
      <w:r>
        <w:separator/>
      </w:r>
    </w:p>
  </w:endnote>
  <w:endnote w:type="continuationSeparator" w:id="0">
    <w:p w14:paraId="3ACDC6C3" w14:textId="77777777" w:rsidR="00E45885" w:rsidRDefault="00E45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A835" w14:textId="77777777" w:rsidR="007A6076" w:rsidRDefault="00000000">
    <w:pPr>
      <w:pBdr>
        <w:top w:val="nil"/>
        <w:left w:val="nil"/>
        <w:bottom w:val="nil"/>
        <w:right w:val="nil"/>
        <w:between w:val="nil"/>
      </w:pBdr>
      <w:tabs>
        <w:tab w:val="center" w:pos="4680"/>
        <w:tab w:val="right" w:pos="9360"/>
      </w:tabs>
      <w:ind w:firstLine="0"/>
      <w:jc w:val="center"/>
      <w:rPr>
        <w:color w:val="000000"/>
      </w:rPr>
    </w:pPr>
    <w:r>
      <w:rPr>
        <w:color w:val="000000"/>
      </w:rPr>
      <w:fldChar w:fldCharType="begin"/>
    </w:r>
    <w:r>
      <w:rPr>
        <w:rFonts w:eastAsia="Times New Roman"/>
        <w:color w:val="000000"/>
      </w:rPr>
      <w:instrText>PAGE</w:instrText>
    </w:r>
    <w:r>
      <w:rPr>
        <w:color w:val="000000"/>
      </w:rPr>
      <w:fldChar w:fldCharType="separate"/>
    </w:r>
    <w:r w:rsidR="00D267AF">
      <w:rPr>
        <w:rFonts w:eastAsia="Times New Roman"/>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26321" w14:textId="77777777" w:rsidR="00E45885" w:rsidRDefault="00E45885">
      <w:r>
        <w:separator/>
      </w:r>
    </w:p>
  </w:footnote>
  <w:footnote w:type="continuationSeparator" w:id="0">
    <w:p w14:paraId="42468D03" w14:textId="77777777" w:rsidR="00E45885" w:rsidRDefault="00E458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27D25" w14:textId="77777777" w:rsidR="007A6076" w:rsidRDefault="00000000">
    <w:pPr>
      <w:pBdr>
        <w:top w:val="nil"/>
        <w:left w:val="nil"/>
        <w:bottom w:val="nil"/>
        <w:right w:val="nil"/>
        <w:between w:val="nil"/>
      </w:pBdr>
      <w:tabs>
        <w:tab w:val="center" w:pos="4680"/>
        <w:tab w:val="right" w:pos="9360"/>
      </w:tabs>
      <w:ind w:firstLine="0"/>
      <w:jc w:val="center"/>
      <w:rPr>
        <w:color w:val="000000"/>
      </w:rPr>
    </w:pPr>
    <w:r>
      <w:t>10</w:t>
    </w:r>
    <w:r>
      <w:rPr>
        <w:rFonts w:eastAsia="Times New Roman"/>
        <w:color w:val="000000"/>
        <w:vertAlign w:val="superscript"/>
      </w:rPr>
      <w:t>th</w:t>
    </w:r>
    <w:r>
      <w:rPr>
        <w:rFonts w:eastAsia="Times New Roman"/>
        <w:color w:val="000000"/>
      </w:rPr>
      <w:t xml:space="preserve"> International Conference on Computational Social Science IC</w:t>
    </w:r>
    <w:r>
      <w:rPr>
        <w:rFonts w:eastAsia="Times New Roman"/>
        <w:color w:val="000000"/>
        <w:vertAlign w:val="superscript"/>
      </w:rPr>
      <w:t>2</w:t>
    </w:r>
    <w:r>
      <w:rPr>
        <w:rFonts w:eastAsia="Times New Roman"/>
        <w:color w:val="000000"/>
      </w:rPr>
      <w:t>S</w:t>
    </w:r>
    <w:r>
      <w:rPr>
        <w:rFonts w:eastAsia="Times New Roman"/>
        <w:color w:val="000000"/>
        <w:vertAlign w:val="superscript"/>
      </w:rPr>
      <w:t>2</w:t>
    </w:r>
  </w:p>
  <w:p w14:paraId="1B37B88E" w14:textId="77777777" w:rsidR="007A6076" w:rsidRDefault="00000000">
    <w:pPr>
      <w:pBdr>
        <w:top w:val="nil"/>
        <w:left w:val="nil"/>
        <w:bottom w:val="nil"/>
        <w:right w:val="nil"/>
        <w:between w:val="nil"/>
      </w:pBdr>
      <w:tabs>
        <w:tab w:val="center" w:pos="4680"/>
        <w:tab w:val="right" w:pos="9360"/>
      </w:tabs>
      <w:ind w:firstLine="0"/>
      <w:jc w:val="center"/>
      <w:rPr>
        <w:color w:val="000000"/>
      </w:rPr>
    </w:pPr>
    <w:r>
      <w:rPr>
        <w:rFonts w:eastAsia="Times New Roman"/>
        <w:color w:val="000000"/>
      </w:rPr>
      <w:t>July 17-20, 202</w:t>
    </w:r>
    <w:r>
      <w:t>4</w:t>
    </w:r>
    <w:r>
      <w:rPr>
        <w:rFonts w:eastAsia="Times New Roman"/>
        <w:color w:val="000000"/>
      </w:rPr>
      <w:t xml:space="preserve"> – </w:t>
    </w:r>
    <w:r>
      <w:t>Philadelphia</w:t>
    </w:r>
    <w:r>
      <w:rPr>
        <w:rFonts w:eastAsia="Times New Roman"/>
        <w:color w:val="000000"/>
      </w:rPr>
      <w:t xml:space="preserve">, </w:t>
    </w:r>
    <w:r>
      <w:t>USA</w:t>
    </w:r>
    <w:r>
      <w:rPr>
        <w:rFonts w:eastAsia="Times New Roman"/>
        <w:color w:val="000000"/>
      </w:rPr>
      <w:t xml:space="preserve"> </w:t>
    </w:r>
  </w:p>
  <w:p w14:paraId="43AFD755" w14:textId="77777777" w:rsidR="007A6076" w:rsidRDefault="007A6076">
    <w:pPr>
      <w:pBdr>
        <w:top w:val="nil"/>
        <w:left w:val="nil"/>
        <w:bottom w:val="nil"/>
        <w:right w:val="nil"/>
        <w:between w:val="nil"/>
      </w:pBdr>
      <w:tabs>
        <w:tab w:val="center" w:pos="4680"/>
        <w:tab w:val="right" w:pos="9360"/>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822EB"/>
    <w:multiLevelType w:val="multilevel"/>
    <w:tmpl w:val="97DA2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6215B0"/>
    <w:multiLevelType w:val="multilevel"/>
    <w:tmpl w:val="811C89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9206905">
    <w:abstractNumId w:val="1"/>
  </w:num>
  <w:num w:numId="2" w16cid:durableId="967125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076"/>
    <w:rsid w:val="0000217A"/>
    <w:rsid w:val="00013093"/>
    <w:rsid w:val="000171BF"/>
    <w:rsid w:val="00025BB4"/>
    <w:rsid w:val="000432A8"/>
    <w:rsid w:val="00046624"/>
    <w:rsid w:val="00055120"/>
    <w:rsid w:val="00067AAF"/>
    <w:rsid w:val="00070379"/>
    <w:rsid w:val="000729EA"/>
    <w:rsid w:val="000743E9"/>
    <w:rsid w:val="00075E72"/>
    <w:rsid w:val="0007745A"/>
    <w:rsid w:val="0009577F"/>
    <w:rsid w:val="000A0419"/>
    <w:rsid w:val="000A4E46"/>
    <w:rsid w:val="000A523E"/>
    <w:rsid w:val="000A5704"/>
    <w:rsid w:val="000A6D69"/>
    <w:rsid w:val="000C377E"/>
    <w:rsid w:val="000C5A40"/>
    <w:rsid w:val="000C5BAF"/>
    <w:rsid w:val="000F130D"/>
    <w:rsid w:val="000F2E69"/>
    <w:rsid w:val="000F4BE1"/>
    <w:rsid w:val="000F783B"/>
    <w:rsid w:val="0011695B"/>
    <w:rsid w:val="001517F9"/>
    <w:rsid w:val="00162BBF"/>
    <w:rsid w:val="001723A3"/>
    <w:rsid w:val="00173D0F"/>
    <w:rsid w:val="00174238"/>
    <w:rsid w:val="001802A9"/>
    <w:rsid w:val="00187897"/>
    <w:rsid w:val="00187E6B"/>
    <w:rsid w:val="00194900"/>
    <w:rsid w:val="001A1043"/>
    <w:rsid w:val="001C3D90"/>
    <w:rsid w:val="001D1425"/>
    <w:rsid w:val="001D42DF"/>
    <w:rsid w:val="001D6782"/>
    <w:rsid w:val="001D73EF"/>
    <w:rsid w:val="0020584B"/>
    <w:rsid w:val="002109C8"/>
    <w:rsid w:val="002179C9"/>
    <w:rsid w:val="00230655"/>
    <w:rsid w:val="00240967"/>
    <w:rsid w:val="00251A22"/>
    <w:rsid w:val="002554CB"/>
    <w:rsid w:val="002631A4"/>
    <w:rsid w:val="0026625F"/>
    <w:rsid w:val="002901D1"/>
    <w:rsid w:val="002955B2"/>
    <w:rsid w:val="002A3DA1"/>
    <w:rsid w:val="002A7162"/>
    <w:rsid w:val="002A79FB"/>
    <w:rsid w:val="002F3C54"/>
    <w:rsid w:val="002F4377"/>
    <w:rsid w:val="002F5BA9"/>
    <w:rsid w:val="00310BAA"/>
    <w:rsid w:val="00323CC5"/>
    <w:rsid w:val="00331678"/>
    <w:rsid w:val="00333D6B"/>
    <w:rsid w:val="00337483"/>
    <w:rsid w:val="0035348C"/>
    <w:rsid w:val="00357BE6"/>
    <w:rsid w:val="00361CDD"/>
    <w:rsid w:val="00364F68"/>
    <w:rsid w:val="00372730"/>
    <w:rsid w:val="00377104"/>
    <w:rsid w:val="00377177"/>
    <w:rsid w:val="00384366"/>
    <w:rsid w:val="00396143"/>
    <w:rsid w:val="003964EC"/>
    <w:rsid w:val="003A55F6"/>
    <w:rsid w:val="003A67B0"/>
    <w:rsid w:val="003B7EA5"/>
    <w:rsid w:val="003C75F5"/>
    <w:rsid w:val="003C7696"/>
    <w:rsid w:val="003C7B75"/>
    <w:rsid w:val="003E604D"/>
    <w:rsid w:val="003E6F53"/>
    <w:rsid w:val="003E7A84"/>
    <w:rsid w:val="003F6AC9"/>
    <w:rsid w:val="00400BFD"/>
    <w:rsid w:val="00402AE4"/>
    <w:rsid w:val="00415C1E"/>
    <w:rsid w:val="00421374"/>
    <w:rsid w:val="00421C58"/>
    <w:rsid w:val="0043299F"/>
    <w:rsid w:val="00441E8E"/>
    <w:rsid w:val="00457131"/>
    <w:rsid w:val="004572A8"/>
    <w:rsid w:val="00484599"/>
    <w:rsid w:val="00485272"/>
    <w:rsid w:val="00490DCD"/>
    <w:rsid w:val="004A218D"/>
    <w:rsid w:val="004A2392"/>
    <w:rsid w:val="004A41A1"/>
    <w:rsid w:val="004A4416"/>
    <w:rsid w:val="004A46F4"/>
    <w:rsid w:val="004B247F"/>
    <w:rsid w:val="004B749B"/>
    <w:rsid w:val="004C7ED4"/>
    <w:rsid w:val="004D46EB"/>
    <w:rsid w:val="004E2293"/>
    <w:rsid w:val="004E257C"/>
    <w:rsid w:val="004E7844"/>
    <w:rsid w:val="004F2E5B"/>
    <w:rsid w:val="004F6393"/>
    <w:rsid w:val="00514E15"/>
    <w:rsid w:val="00515D67"/>
    <w:rsid w:val="0051656C"/>
    <w:rsid w:val="005229DE"/>
    <w:rsid w:val="00530BC0"/>
    <w:rsid w:val="005318A7"/>
    <w:rsid w:val="00531E98"/>
    <w:rsid w:val="00534F36"/>
    <w:rsid w:val="0054298C"/>
    <w:rsid w:val="00575515"/>
    <w:rsid w:val="00584B5D"/>
    <w:rsid w:val="00587C87"/>
    <w:rsid w:val="005A03D8"/>
    <w:rsid w:val="005A1EED"/>
    <w:rsid w:val="005A5D6D"/>
    <w:rsid w:val="005B32E7"/>
    <w:rsid w:val="005B5A0F"/>
    <w:rsid w:val="005B6260"/>
    <w:rsid w:val="005C2BCF"/>
    <w:rsid w:val="005C5B90"/>
    <w:rsid w:val="005D53E2"/>
    <w:rsid w:val="005D6159"/>
    <w:rsid w:val="005F5584"/>
    <w:rsid w:val="005F56BA"/>
    <w:rsid w:val="005F6CA7"/>
    <w:rsid w:val="00611BF3"/>
    <w:rsid w:val="00620EB3"/>
    <w:rsid w:val="0062186E"/>
    <w:rsid w:val="006232A8"/>
    <w:rsid w:val="006459C3"/>
    <w:rsid w:val="00650C79"/>
    <w:rsid w:val="00660227"/>
    <w:rsid w:val="00660764"/>
    <w:rsid w:val="0066560E"/>
    <w:rsid w:val="00670553"/>
    <w:rsid w:val="006711EA"/>
    <w:rsid w:val="006739B7"/>
    <w:rsid w:val="00673B81"/>
    <w:rsid w:val="00683D89"/>
    <w:rsid w:val="00685E39"/>
    <w:rsid w:val="0068705A"/>
    <w:rsid w:val="00687D08"/>
    <w:rsid w:val="006A2686"/>
    <w:rsid w:val="006B2FAA"/>
    <w:rsid w:val="006B6526"/>
    <w:rsid w:val="006C4E47"/>
    <w:rsid w:val="006C5269"/>
    <w:rsid w:val="006D0EB4"/>
    <w:rsid w:val="006D3078"/>
    <w:rsid w:val="006D4B2D"/>
    <w:rsid w:val="006F1FBF"/>
    <w:rsid w:val="007105FD"/>
    <w:rsid w:val="007149E0"/>
    <w:rsid w:val="00720C31"/>
    <w:rsid w:val="007231F9"/>
    <w:rsid w:val="00724B6E"/>
    <w:rsid w:val="00733B7B"/>
    <w:rsid w:val="007372A1"/>
    <w:rsid w:val="00753427"/>
    <w:rsid w:val="00753FB6"/>
    <w:rsid w:val="00766BD1"/>
    <w:rsid w:val="0076730C"/>
    <w:rsid w:val="007972A8"/>
    <w:rsid w:val="007A6076"/>
    <w:rsid w:val="007A75DE"/>
    <w:rsid w:val="007B0C29"/>
    <w:rsid w:val="007C4514"/>
    <w:rsid w:val="007E1F5F"/>
    <w:rsid w:val="007E27E5"/>
    <w:rsid w:val="007F1611"/>
    <w:rsid w:val="007F1798"/>
    <w:rsid w:val="007F4790"/>
    <w:rsid w:val="007F606F"/>
    <w:rsid w:val="00800462"/>
    <w:rsid w:val="0082118C"/>
    <w:rsid w:val="0084785D"/>
    <w:rsid w:val="0086271C"/>
    <w:rsid w:val="0086417C"/>
    <w:rsid w:val="00864EF8"/>
    <w:rsid w:val="00867B29"/>
    <w:rsid w:val="00884DA6"/>
    <w:rsid w:val="00885D73"/>
    <w:rsid w:val="008967E5"/>
    <w:rsid w:val="00896DB2"/>
    <w:rsid w:val="008A09EB"/>
    <w:rsid w:val="008A2EB2"/>
    <w:rsid w:val="008A4BA2"/>
    <w:rsid w:val="008A4F3F"/>
    <w:rsid w:val="008B6011"/>
    <w:rsid w:val="008B70B7"/>
    <w:rsid w:val="008C15DA"/>
    <w:rsid w:val="008C3018"/>
    <w:rsid w:val="008D35A0"/>
    <w:rsid w:val="008D46EA"/>
    <w:rsid w:val="008E4367"/>
    <w:rsid w:val="008E6B07"/>
    <w:rsid w:val="008F0BFC"/>
    <w:rsid w:val="0092077C"/>
    <w:rsid w:val="009218E4"/>
    <w:rsid w:val="00922009"/>
    <w:rsid w:val="009220E7"/>
    <w:rsid w:val="00923B3C"/>
    <w:rsid w:val="00925767"/>
    <w:rsid w:val="00925D7D"/>
    <w:rsid w:val="009271F2"/>
    <w:rsid w:val="00931327"/>
    <w:rsid w:val="00935B51"/>
    <w:rsid w:val="00936373"/>
    <w:rsid w:val="00942EB3"/>
    <w:rsid w:val="00943B97"/>
    <w:rsid w:val="0096161A"/>
    <w:rsid w:val="00963C71"/>
    <w:rsid w:val="00974878"/>
    <w:rsid w:val="009764CC"/>
    <w:rsid w:val="00976938"/>
    <w:rsid w:val="00980947"/>
    <w:rsid w:val="00983F06"/>
    <w:rsid w:val="009852D3"/>
    <w:rsid w:val="00993F69"/>
    <w:rsid w:val="00997C6D"/>
    <w:rsid w:val="009B6081"/>
    <w:rsid w:val="009C46F6"/>
    <w:rsid w:val="009C605A"/>
    <w:rsid w:val="009C648F"/>
    <w:rsid w:val="009D2A70"/>
    <w:rsid w:val="009D7F01"/>
    <w:rsid w:val="009E5E60"/>
    <w:rsid w:val="009E7120"/>
    <w:rsid w:val="009F0B00"/>
    <w:rsid w:val="009F24E3"/>
    <w:rsid w:val="009F3A87"/>
    <w:rsid w:val="009F5665"/>
    <w:rsid w:val="00A00965"/>
    <w:rsid w:val="00A1428C"/>
    <w:rsid w:val="00A22A91"/>
    <w:rsid w:val="00A275EF"/>
    <w:rsid w:val="00A4714D"/>
    <w:rsid w:val="00A608A3"/>
    <w:rsid w:val="00A727B3"/>
    <w:rsid w:val="00A73E01"/>
    <w:rsid w:val="00A81012"/>
    <w:rsid w:val="00A81D15"/>
    <w:rsid w:val="00A82014"/>
    <w:rsid w:val="00A83435"/>
    <w:rsid w:val="00A90F49"/>
    <w:rsid w:val="00A93F64"/>
    <w:rsid w:val="00AA34B8"/>
    <w:rsid w:val="00AA4F35"/>
    <w:rsid w:val="00AA50CE"/>
    <w:rsid w:val="00AB51AB"/>
    <w:rsid w:val="00AB58AF"/>
    <w:rsid w:val="00AC2F08"/>
    <w:rsid w:val="00AC65CF"/>
    <w:rsid w:val="00AD083B"/>
    <w:rsid w:val="00AD4032"/>
    <w:rsid w:val="00AE0008"/>
    <w:rsid w:val="00AE036F"/>
    <w:rsid w:val="00AE0952"/>
    <w:rsid w:val="00AE235B"/>
    <w:rsid w:val="00AF0CFF"/>
    <w:rsid w:val="00AF2B59"/>
    <w:rsid w:val="00AF3648"/>
    <w:rsid w:val="00AF37B9"/>
    <w:rsid w:val="00AF4EBA"/>
    <w:rsid w:val="00B0237F"/>
    <w:rsid w:val="00B02521"/>
    <w:rsid w:val="00B05ADA"/>
    <w:rsid w:val="00B111FC"/>
    <w:rsid w:val="00B139E7"/>
    <w:rsid w:val="00B13A2B"/>
    <w:rsid w:val="00B161B8"/>
    <w:rsid w:val="00B21BDC"/>
    <w:rsid w:val="00B30502"/>
    <w:rsid w:val="00B45258"/>
    <w:rsid w:val="00B53205"/>
    <w:rsid w:val="00B65978"/>
    <w:rsid w:val="00B71B93"/>
    <w:rsid w:val="00B71DE5"/>
    <w:rsid w:val="00B733FB"/>
    <w:rsid w:val="00B771DA"/>
    <w:rsid w:val="00B851E9"/>
    <w:rsid w:val="00B908E7"/>
    <w:rsid w:val="00B90F68"/>
    <w:rsid w:val="00B966D6"/>
    <w:rsid w:val="00B97E88"/>
    <w:rsid w:val="00BA6B8D"/>
    <w:rsid w:val="00BB1E17"/>
    <w:rsid w:val="00BB3819"/>
    <w:rsid w:val="00BB5F5C"/>
    <w:rsid w:val="00BC2445"/>
    <w:rsid w:val="00BC4CFD"/>
    <w:rsid w:val="00BC5D7F"/>
    <w:rsid w:val="00C00E72"/>
    <w:rsid w:val="00C050B4"/>
    <w:rsid w:val="00C061E1"/>
    <w:rsid w:val="00C06441"/>
    <w:rsid w:val="00C20CC5"/>
    <w:rsid w:val="00C24B46"/>
    <w:rsid w:val="00C3496C"/>
    <w:rsid w:val="00C44466"/>
    <w:rsid w:val="00C53D70"/>
    <w:rsid w:val="00C632A4"/>
    <w:rsid w:val="00C66128"/>
    <w:rsid w:val="00C700A9"/>
    <w:rsid w:val="00C7668D"/>
    <w:rsid w:val="00C77AA3"/>
    <w:rsid w:val="00C80825"/>
    <w:rsid w:val="00C84481"/>
    <w:rsid w:val="00C87A07"/>
    <w:rsid w:val="00C90169"/>
    <w:rsid w:val="00C90C12"/>
    <w:rsid w:val="00C90D73"/>
    <w:rsid w:val="00C912BB"/>
    <w:rsid w:val="00C94663"/>
    <w:rsid w:val="00CA7071"/>
    <w:rsid w:val="00CA7835"/>
    <w:rsid w:val="00CB4B30"/>
    <w:rsid w:val="00CC1747"/>
    <w:rsid w:val="00CC1E76"/>
    <w:rsid w:val="00CC254F"/>
    <w:rsid w:val="00CC4D3B"/>
    <w:rsid w:val="00CF2642"/>
    <w:rsid w:val="00D02BF8"/>
    <w:rsid w:val="00D0572B"/>
    <w:rsid w:val="00D063B2"/>
    <w:rsid w:val="00D16C5C"/>
    <w:rsid w:val="00D2031E"/>
    <w:rsid w:val="00D23102"/>
    <w:rsid w:val="00D267AF"/>
    <w:rsid w:val="00D40FA9"/>
    <w:rsid w:val="00D4479A"/>
    <w:rsid w:val="00D46456"/>
    <w:rsid w:val="00D523ED"/>
    <w:rsid w:val="00D60A28"/>
    <w:rsid w:val="00D60DEA"/>
    <w:rsid w:val="00D7245E"/>
    <w:rsid w:val="00D80502"/>
    <w:rsid w:val="00D811FF"/>
    <w:rsid w:val="00D81C75"/>
    <w:rsid w:val="00D81E2C"/>
    <w:rsid w:val="00D83C99"/>
    <w:rsid w:val="00D92DCD"/>
    <w:rsid w:val="00D95647"/>
    <w:rsid w:val="00DA3ED9"/>
    <w:rsid w:val="00DA505A"/>
    <w:rsid w:val="00DB24B6"/>
    <w:rsid w:val="00DB4C74"/>
    <w:rsid w:val="00DB7659"/>
    <w:rsid w:val="00DD7178"/>
    <w:rsid w:val="00DD7E0E"/>
    <w:rsid w:val="00DE719F"/>
    <w:rsid w:val="00DF4989"/>
    <w:rsid w:val="00DF5660"/>
    <w:rsid w:val="00E058CC"/>
    <w:rsid w:val="00E1153B"/>
    <w:rsid w:val="00E20F7B"/>
    <w:rsid w:val="00E23C7F"/>
    <w:rsid w:val="00E31D29"/>
    <w:rsid w:val="00E35248"/>
    <w:rsid w:val="00E355BC"/>
    <w:rsid w:val="00E40C88"/>
    <w:rsid w:val="00E41B10"/>
    <w:rsid w:val="00E42A01"/>
    <w:rsid w:val="00E43A46"/>
    <w:rsid w:val="00E45885"/>
    <w:rsid w:val="00E54EBF"/>
    <w:rsid w:val="00E57CA2"/>
    <w:rsid w:val="00E63275"/>
    <w:rsid w:val="00E6342C"/>
    <w:rsid w:val="00E63CF8"/>
    <w:rsid w:val="00E71EA4"/>
    <w:rsid w:val="00E86545"/>
    <w:rsid w:val="00E96D35"/>
    <w:rsid w:val="00EC3D45"/>
    <w:rsid w:val="00EC58E6"/>
    <w:rsid w:val="00ED0A1A"/>
    <w:rsid w:val="00ED26E9"/>
    <w:rsid w:val="00ED7EEA"/>
    <w:rsid w:val="00EE2404"/>
    <w:rsid w:val="00EE263F"/>
    <w:rsid w:val="00EE5710"/>
    <w:rsid w:val="00EE5E06"/>
    <w:rsid w:val="00EF61E9"/>
    <w:rsid w:val="00F00C62"/>
    <w:rsid w:val="00F05273"/>
    <w:rsid w:val="00F11B6C"/>
    <w:rsid w:val="00F130F5"/>
    <w:rsid w:val="00F206D9"/>
    <w:rsid w:val="00F2110D"/>
    <w:rsid w:val="00F21529"/>
    <w:rsid w:val="00F21C54"/>
    <w:rsid w:val="00F22880"/>
    <w:rsid w:val="00F23B9B"/>
    <w:rsid w:val="00F26EFB"/>
    <w:rsid w:val="00F446EE"/>
    <w:rsid w:val="00F477F1"/>
    <w:rsid w:val="00F5215D"/>
    <w:rsid w:val="00F610AE"/>
    <w:rsid w:val="00F73275"/>
    <w:rsid w:val="00F96613"/>
    <w:rsid w:val="00FA0860"/>
    <w:rsid w:val="00FB234C"/>
    <w:rsid w:val="00FB3414"/>
    <w:rsid w:val="00FB3B97"/>
    <w:rsid w:val="00FC2637"/>
    <w:rsid w:val="00FD463F"/>
    <w:rsid w:val="00FF0EA7"/>
    <w:rsid w:val="00FF52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6D9C"/>
  <w15:docId w15:val="{99F0F8B7-B16B-9843-964B-534C98EDC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pPr>
        <w:ind w:firstLine="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120" w:after="120"/>
      <w:ind w:firstLine="0"/>
      <w:outlineLvl w:val="0"/>
    </w:pPr>
    <w:rPr>
      <w:b/>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pBdr>
        <w:bottom w:val="single" w:sz="8" w:space="4" w:color="4F81BD"/>
      </w:pBdr>
      <w:spacing w:after="300"/>
    </w:pPr>
    <w:rPr>
      <w:rFonts w:ascii="Cambria" w:eastAsia="Cambria" w:hAnsi="Cambria" w:cs="Cambria"/>
      <w:color w:val="17365D"/>
      <w:sz w:val="52"/>
      <w:szCs w:val="5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customStyle="1" w:styleId="References">
    <w:name w:val="References"/>
    <w:rsid w:val="00025BB4"/>
    <w:pPr>
      <w:pBdr>
        <w:top w:val="nil"/>
        <w:left w:val="nil"/>
        <w:bottom w:val="nil"/>
        <w:right w:val="nil"/>
        <w:between w:val="nil"/>
        <w:bar w:val="nil"/>
      </w:pBdr>
      <w:spacing w:line="480" w:lineRule="auto"/>
      <w:ind w:left="720" w:hanging="720"/>
    </w:pPr>
    <w:rPr>
      <w:rFonts w:eastAsia="Arial Unicode MS" w:cs="Arial Unicode MS"/>
      <w:color w:val="000000"/>
      <w:bdr w:val="nil"/>
      <w14:textOutline w14:w="0" w14:cap="flat" w14:cmpd="sng" w14:algn="ctr">
        <w14:noFill/>
        <w14:prstDash w14:val="solid"/>
        <w14:bevel/>
      </w14:textOutline>
    </w:rPr>
  </w:style>
  <w:style w:type="character" w:styleId="a5">
    <w:name w:val="Hyperlink"/>
    <w:basedOn w:val="a0"/>
    <w:uiPriority w:val="99"/>
    <w:unhideWhenUsed/>
    <w:rsid w:val="00025BB4"/>
    <w:rPr>
      <w:color w:val="0000FF" w:themeColor="hyperlink"/>
      <w:u w:val="single"/>
    </w:rPr>
  </w:style>
  <w:style w:type="character" w:styleId="a6">
    <w:name w:val="Unresolved Mention"/>
    <w:basedOn w:val="a0"/>
    <w:uiPriority w:val="99"/>
    <w:semiHidden/>
    <w:unhideWhenUsed/>
    <w:rsid w:val="00025BB4"/>
    <w:rPr>
      <w:color w:val="605E5C"/>
      <w:shd w:val="clear" w:color="auto" w:fill="E1DFDD"/>
    </w:rPr>
  </w:style>
  <w:style w:type="character" w:styleId="a7">
    <w:name w:val="FollowedHyperlink"/>
    <w:basedOn w:val="a0"/>
    <w:uiPriority w:val="99"/>
    <w:semiHidden/>
    <w:unhideWhenUsed/>
    <w:rsid w:val="00025B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0223">
      <w:bodyDiv w:val="1"/>
      <w:marLeft w:val="0"/>
      <w:marRight w:val="0"/>
      <w:marTop w:val="0"/>
      <w:marBottom w:val="0"/>
      <w:divBdr>
        <w:top w:val="none" w:sz="0" w:space="0" w:color="auto"/>
        <w:left w:val="none" w:sz="0" w:space="0" w:color="auto"/>
        <w:bottom w:val="none" w:sz="0" w:space="0" w:color="auto"/>
        <w:right w:val="none" w:sz="0" w:space="0" w:color="auto"/>
      </w:divBdr>
    </w:div>
    <w:div w:id="159464892">
      <w:bodyDiv w:val="1"/>
      <w:marLeft w:val="0"/>
      <w:marRight w:val="0"/>
      <w:marTop w:val="0"/>
      <w:marBottom w:val="0"/>
      <w:divBdr>
        <w:top w:val="none" w:sz="0" w:space="0" w:color="auto"/>
        <w:left w:val="none" w:sz="0" w:space="0" w:color="auto"/>
        <w:bottom w:val="none" w:sz="0" w:space="0" w:color="auto"/>
        <w:right w:val="none" w:sz="0" w:space="0" w:color="auto"/>
      </w:divBdr>
    </w:div>
    <w:div w:id="266667465">
      <w:bodyDiv w:val="1"/>
      <w:marLeft w:val="0"/>
      <w:marRight w:val="0"/>
      <w:marTop w:val="0"/>
      <w:marBottom w:val="0"/>
      <w:divBdr>
        <w:top w:val="none" w:sz="0" w:space="0" w:color="auto"/>
        <w:left w:val="none" w:sz="0" w:space="0" w:color="auto"/>
        <w:bottom w:val="none" w:sz="0" w:space="0" w:color="auto"/>
        <w:right w:val="none" w:sz="0" w:space="0" w:color="auto"/>
      </w:divBdr>
    </w:div>
    <w:div w:id="345179350">
      <w:bodyDiv w:val="1"/>
      <w:marLeft w:val="0"/>
      <w:marRight w:val="0"/>
      <w:marTop w:val="0"/>
      <w:marBottom w:val="0"/>
      <w:divBdr>
        <w:top w:val="none" w:sz="0" w:space="0" w:color="auto"/>
        <w:left w:val="none" w:sz="0" w:space="0" w:color="auto"/>
        <w:bottom w:val="none" w:sz="0" w:space="0" w:color="auto"/>
        <w:right w:val="none" w:sz="0" w:space="0" w:color="auto"/>
      </w:divBdr>
    </w:div>
    <w:div w:id="376317333">
      <w:bodyDiv w:val="1"/>
      <w:marLeft w:val="0"/>
      <w:marRight w:val="0"/>
      <w:marTop w:val="0"/>
      <w:marBottom w:val="0"/>
      <w:divBdr>
        <w:top w:val="none" w:sz="0" w:space="0" w:color="auto"/>
        <w:left w:val="none" w:sz="0" w:space="0" w:color="auto"/>
        <w:bottom w:val="none" w:sz="0" w:space="0" w:color="auto"/>
        <w:right w:val="none" w:sz="0" w:space="0" w:color="auto"/>
      </w:divBdr>
    </w:div>
    <w:div w:id="476261591">
      <w:bodyDiv w:val="1"/>
      <w:marLeft w:val="0"/>
      <w:marRight w:val="0"/>
      <w:marTop w:val="0"/>
      <w:marBottom w:val="0"/>
      <w:divBdr>
        <w:top w:val="none" w:sz="0" w:space="0" w:color="auto"/>
        <w:left w:val="none" w:sz="0" w:space="0" w:color="auto"/>
        <w:bottom w:val="none" w:sz="0" w:space="0" w:color="auto"/>
        <w:right w:val="none" w:sz="0" w:space="0" w:color="auto"/>
      </w:divBdr>
      <w:divsChild>
        <w:div w:id="1886527257">
          <w:marLeft w:val="0"/>
          <w:marRight w:val="0"/>
          <w:marTop w:val="0"/>
          <w:marBottom w:val="0"/>
          <w:divBdr>
            <w:top w:val="none" w:sz="0" w:space="0" w:color="auto"/>
            <w:left w:val="none" w:sz="0" w:space="0" w:color="auto"/>
            <w:bottom w:val="none" w:sz="0" w:space="0" w:color="auto"/>
            <w:right w:val="none" w:sz="0" w:space="0" w:color="auto"/>
          </w:divBdr>
          <w:divsChild>
            <w:div w:id="17994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6039">
      <w:bodyDiv w:val="1"/>
      <w:marLeft w:val="0"/>
      <w:marRight w:val="0"/>
      <w:marTop w:val="0"/>
      <w:marBottom w:val="0"/>
      <w:divBdr>
        <w:top w:val="none" w:sz="0" w:space="0" w:color="auto"/>
        <w:left w:val="none" w:sz="0" w:space="0" w:color="auto"/>
        <w:bottom w:val="none" w:sz="0" w:space="0" w:color="auto"/>
        <w:right w:val="none" w:sz="0" w:space="0" w:color="auto"/>
      </w:divBdr>
    </w:div>
    <w:div w:id="794563418">
      <w:bodyDiv w:val="1"/>
      <w:marLeft w:val="0"/>
      <w:marRight w:val="0"/>
      <w:marTop w:val="0"/>
      <w:marBottom w:val="0"/>
      <w:divBdr>
        <w:top w:val="none" w:sz="0" w:space="0" w:color="auto"/>
        <w:left w:val="none" w:sz="0" w:space="0" w:color="auto"/>
        <w:bottom w:val="none" w:sz="0" w:space="0" w:color="auto"/>
        <w:right w:val="none" w:sz="0" w:space="0" w:color="auto"/>
      </w:divBdr>
    </w:div>
    <w:div w:id="795373176">
      <w:bodyDiv w:val="1"/>
      <w:marLeft w:val="0"/>
      <w:marRight w:val="0"/>
      <w:marTop w:val="0"/>
      <w:marBottom w:val="0"/>
      <w:divBdr>
        <w:top w:val="none" w:sz="0" w:space="0" w:color="auto"/>
        <w:left w:val="none" w:sz="0" w:space="0" w:color="auto"/>
        <w:bottom w:val="none" w:sz="0" w:space="0" w:color="auto"/>
        <w:right w:val="none" w:sz="0" w:space="0" w:color="auto"/>
      </w:divBdr>
    </w:div>
    <w:div w:id="850684918">
      <w:bodyDiv w:val="1"/>
      <w:marLeft w:val="0"/>
      <w:marRight w:val="0"/>
      <w:marTop w:val="0"/>
      <w:marBottom w:val="0"/>
      <w:divBdr>
        <w:top w:val="none" w:sz="0" w:space="0" w:color="auto"/>
        <w:left w:val="none" w:sz="0" w:space="0" w:color="auto"/>
        <w:bottom w:val="none" w:sz="0" w:space="0" w:color="auto"/>
        <w:right w:val="none" w:sz="0" w:space="0" w:color="auto"/>
      </w:divBdr>
    </w:div>
    <w:div w:id="864443440">
      <w:bodyDiv w:val="1"/>
      <w:marLeft w:val="0"/>
      <w:marRight w:val="0"/>
      <w:marTop w:val="0"/>
      <w:marBottom w:val="0"/>
      <w:divBdr>
        <w:top w:val="none" w:sz="0" w:space="0" w:color="auto"/>
        <w:left w:val="none" w:sz="0" w:space="0" w:color="auto"/>
        <w:bottom w:val="none" w:sz="0" w:space="0" w:color="auto"/>
        <w:right w:val="none" w:sz="0" w:space="0" w:color="auto"/>
      </w:divBdr>
    </w:div>
    <w:div w:id="866061157">
      <w:bodyDiv w:val="1"/>
      <w:marLeft w:val="0"/>
      <w:marRight w:val="0"/>
      <w:marTop w:val="0"/>
      <w:marBottom w:val="0"/>
      <w:divBdr>
        <w:top w:val="none" w:sz="0" w:space="0" w:color="auto"/>
        <w:left w:val="none" w:sz="0" w:space="0" w:color="auto"/>
        <w:bottom w:val="none" w:sz="0" w:space="0" w:color="auto"/>
        <w:right w:val="none" w:sz="0" w:space="0" w:color="auto"/>
      </w:divBdr>
      <w:divsChild>
        <w:div w:id="860778952">
          <w:marLeft w:val="0"/>
          <w:marRight w:val="0"/>
          <w:marTop w:val="0"/>
          <w:marBottom w:val="0"/>
          <w:divBdr>
            <w:top w:val="none" w:sz="0" w:space="0" w:color="auto"/>
            <w:left w:val="none" w:sz="0" w:space="0" w:color="auto"/>
            <w:bottom w:val="none" w:sz="0" w:space="0" w:color="auto"/>
            <w:right w:val="none" w:sz="0" w:space="0" w:color="auto"/>
          </w:divBdr>
          <w:divsChild>
            <w:div w:id="583615317">
              <w:marLeft w:val="0"/>
              <w:marRight w:val="0"/>
              <w:marTop w:val="0"/>
              <w:marBottom w:val="0"/>
              <w:divBdr>
                <w:top w:val="none" w:sz="0" w:space="0" w:color="auto"/>
                <w:left w:val="none" w:sz="0" w:space="0" w:color="auto"/>
                <w:bottom w:val="none" w:sz="0" w:space="0" w:color="auto"/>
                <w:right w:val="none" w:sz="0" w:space="0" w:color="auto"/>
              </w:divBdr>
            </w:div>
            <w:div w:id="878542638">
              <w:marLeft w:val="0"/>
              <w:marRight w:val="0"/>
              <w:marTop w:val="0"/>
              <w:marBottom w:val="0"/>
              <w:divBdr>
                <w:top w:val="none" w:sz="0" w:space="0" w:color="auto"/>
                <w:left w:val="none" w:sz="0" w:space="0" w:color="auto"/>
                <w:bottom w:val="none" w:sz="0" w:space="0" w:color="auto"/>
                <w:right w:val="none" w:sz="0" w:space="0" w:color="auto"/>
              </w:divBdr>
            </w:div>
            <w:div w:id="594824405">
              <w:marLeft w:val="0"/>
              <w:marRight w:val="0"/>
              <w:marTop w:val="0"/>
              <w:marBottom w:val="0"/>
              <w:divBdr>
                <w:top w:val="none" w:sz="0" w:space="0" w:color="auto"/>
                <w:left w:val="none" w:sz="0" w:space="0" w:color="auto"/>
                <w:bottom w:val="none" w:sz="0" w:space="0" w:color="auto"/>
                <w:right w:val="none" w:sz="0" w:space="0" w:color="auto"/>
              </w:divBdr>
            </w:div>
            <w:div w:id="418912354">
              <w:marLeft w:val="0"/>
              <w:marRight w:val="0"/>
              <w:marTop w:val="0"/>
              <w:marBottom w:val="0"/>
              <w:divBdr>
                <w:top w:val="none" w:sz="0" w:space="0" w:color="auto"/>
                <w:left w:val="none" w:sz="0" w:space="0" w:color="auto"/>
                <w:bottom w:val="none" w:sz="0" w:space="0" w:color="auto"/>
                <w:right w:val="none" w:sz="0" w:space="0" w:color="auto"/>
              </w:divBdr>
            </w:div>
            <w:div w:id="1949317453">
              <w:marLeft w:val="0"/>
              <w:marRight w:val="0"/>
              <w:marTop w:val="0"/>
              <w:marBottom w:val="0"/>
              <w:divBdr>
                <w:top w:val="none" w:sz="0" w:space="0" w:color="auto"/>
                <w:left w:val="none" w:sz="0" w:space="0" w:color="auto"/>
                <w:bottom w:val="none" w:sz="0" w:space="0" w:color="auto"/>
                <w:right w:val="none" w:sz="0" w:space="0" w:color="auto"/>
              </w:divBdr>
            </w:div>
            <w:div w:id="1717926870">
              <w:marLeft w:val="0"/>
              <w:marRight w:val="0"/>
              <w:marTop w:val="0"/>
              <w:marBottom w:val="0"/>
              <w:divBdr>
                <w:top w:val="none" w:sz="0" w:space="0" w:color="auto"/>
                <w:left w:val="none" w:sz="0" w:space="0" w:color="auto"/>
                <w:bottom w:val="none" w:sz="0" w:space="0" w:color="auto"/>
                <w:right w:val="none" w:sz="0" w:space="0" w:color="auto"/>
              </w:divBdr>
            </w:div>
            <w:div w:id="18436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2916">
      <w:bodyDiv w:val="1"/>
      <w:marLeft w:val="0"/>
      <w:marRight w:val="0"/>
      <w:marTop w:val="0"/>
      <w:marBottom w:val="0"/>
      <w:divBdr>
        <w:top w:val="none" w:sz="0" w:space="0" w:color="auto"/>
        <w:left w:val="none" w:sz="0" w:space="0" w:color="auto"/>
        <w:bottom w:val="none" w:sz="0" w:space="0" w:color="auto"/>
        <w:right w:val="none" w:sz="0" w:space="0" w:color="auto"/>
      </w:divBdr>
      <w:divsChild>
        <w:div w:id="1558978477">
          <w:marLeft w:val="0"/>
          <w:marRight w:val="0"/>
          <w:marTop w:val="0"/>
          <w:marBottom w:val="0"/>
          <w:divBdr>
            <w:top w:val="none" w:sz="0" w:space="0" w:color="auto"/>
            <w:left w:val="none" w:sz="0" w:space="0" w:color="auto"/>
            <w:bottom w:val="none" w:sz="0" w:space="0" w:color="auto"/>
            <w:right w:val="none" w:sz="0" w:space="0" w:color="auto"/>
          </w:divBdr>
          <w:divsChild>
            <w:div w:id="1624459020">
              <w:marLeft w:val="0"/>
              <w:marRight w:val="0"/>
              <w:marTop w:val="0"/>
              <w:marBottom w:val="0"/>
              <w:divBdr>
                <w:top w:val="none" w:sz="0" w:space="0" w:color="auto"/>
                <w:left w:val="none" w:sz="0" w:space="0" w:color="auto"/>
                <w:bottom w:val="none" w:sz="0" w:space="0" w:color="auto"/>
                <w:right w:val="none" w:sz="0" w:space="0" w:color="auto"/>
              </w:divBdr>
            </w:div>
            <w:div w:id="1058550615">
              <w:marLeft w:val="0"/>
              <w:marRight w:val="0"/>
              <w:marTop w:val="0"/>
              <w:marBottom w:val="0"/>
              <w:divBdr>
                <w:top w:val="none" w:sz="0" w:space="0" w:color="auto"/>
                <w:left w:val="none" w:sz="0" w:space="0" w:color="auto"/>
                <w:bottom w:val="none" w:sz="0" w:space="0" w:color="auto"/>
                <w:right w:val="none" w:sz="0" w:space="0" w:color="auto"/>
              </w:divBdr>
            </w:div>
            <w:div w:id="504368880">
              <w:marLeft w:val="0"/>
              <w:marRight w:val="0"/>
              <w:marTop w:val="0"/>
              <w:marBottom w:val="0"/>
              <w:divBdr>
                <w:top w:val="none" w:sz="0" w:space="0" w:color="auto"/>
                <w:left w:val="none" w:sz="0" w:space="0" w:color="auto"/>
                <w:bottom w:val="none" w:sz="0" w:space="0" w:color="auto"/>
                <w:right w:val="none" w:sz="0" w:space="0" w:color="auto"/>
              </w:divBdr>
            </w:div>
            <w:div w:id="448936873">
              <w:marLeft w:val="0"/>
              <w:marRight w:val="0"/>
              <w:marTop w:val="0"/>
              <w:marBottom w:val="0"/>
              <w:divBdr>
                <w:top w:val="none" w:sz="0" w:space="0" w:color="auto"/>
                <w:left w:val="none" w:sz="0" w:space="0" w:color="auto"/>
                <w:bottom w:val="none" w:sz="0" w:space="0" w:color="auto"/>
                <w:right w:val="none" w:sz="0" w:space="0" w:color="auto"/>
              </w:divBdr>
            </w:div>
            <w:div w:id="14917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2855">
      <w:bodyDiv w:val="1"/>
      <w:marLeft w:val="0"/>
      <w:marRight w:val="0"/>
      <w:marTop w:val="0"/>
      <w:marBottom w:val="0"/>
      <w:divBdr>
        <w:top w:val="none" w:sz="0" w:space="0" w:color="auto"/>
        <w:left w:val="none" w:sz="0" w:space="0" w:color="auto"/>
        <w:bottom w:val="none" w:sz="0" w:space="0" w:color="auto"/>
        <w:right w:val="none" w:sz="0" w:space="0" w:color="auto"/>
      </w:divBdr>
    </w:div>
    <w:div w:id="1174145480">
      <w:bodyDiv w:val="1"/>
      <w:marLeft w:val="0"/>
      <w:marRight w:val="0"/>
      <w:marTop w:val="0"/>
      <w:marBottom w:val="0"/>
      <w:divBdr>
        <w:top w:val="none" w:sz="0" w:space="0" w:color="auto"/>
        <w:left w:val="none" w:sz="0" w:space="0" w:color="auto"/>
        <w:bottom w:val="none" w:sz="0" w:space="0" w:color="auto"/>
        <w:right w:val="none" w:sz="0" w:space="0" w:color="auto"/>
      </w:divBdr>
    </w:div>
    <w:div w:id="1275477048">
      <w:bodyDiv w:val="1"/>
      <w:marLeft w:val="0"/>
      <w:marRight w:val="0"/>
      <w:marTop w:val="0"/>
      <w:marBottom w:val="0"/>
      <w:divBdr>
        <w:top w:val="none" w:sz="0" w:space="0" w:color="auto"/>
        <w:left w:val="none" w:sz="0" w:space="0" w:color="auto"/>
        <w:bottom w:val="none" w:sz="0" w:space="0" w:color="auto"/>
        <w:right w:val="none" w:sz="0" w:space="0" w:color="auto"/>
      </w:divBdr>
    </w:div>
    <w:div w:id="1351643243">
      <w:bodyDiv w:val="1"/>
      <w:marLeft w:val="0"/>
      <w:marRight w:val="0"/>
      <w:marTop w:val="0"/>
      <w:marBottom w:val="0"/>
      <w:divBdr>
        <w:top w:val="none" w:sz="0" w:space="0" w:color="auto"/>
        <w:left w:val="none" w:sz="0" w:space="0" w:color="auto"/>
        <w:bottom w:val="none" w:sz="0" w:space="0" w:color="auto"/>
        <w:right w:val="none" w:sz="0" w:space="0" w:color="auto"/>
      </w:divBdr>
      <w:divsChild>
        <w:div w:id="1607612929">
          <w:marLeft w:val="0"/>
          <w:marRight w:val="0"/>
          <w:marTop w:val="0"/>
          <w:marBottom w:val="0"/>
          <w:divBdr>
            <w:top w:val="none" w:sz="0" w:space="0" w:color="auto"/>
            <w:left w:val="none" w:sz="0" w:space="0" w:color="auto"/>
            <w:bottom w:val="none" w:sz="0" w:space="0" w:color="auto"/>
            <w:right w:val="none" w:sz="0" w:space="0" w:color="auto"/>
          </w:divBdr>
          <w:divsChild>
            <w:div w:id="43723936">
              <w:marLeft w:val="0"/>
              <w:marRight w:val="0"/>
              <w:marTop w:val="0"/>
              <w:marBottom w:val="0"/>
              <w:divBdr>
                <w:top w:val="none" w:sz="0" w:space="0" w:color="auto"/>
                <w:left w:val="none" w:sz="0" w:space="0" w:color="auto"/>
                <w:bottom w:val="none" w:sz="0" w:space="0" w:color="auto"/>
                <w:right w:val="none" w:sz="0" w:space="0" w:color="auto"/>
              </w:divBdr>
            </w:div>
            <w:div w:id="130026895">
              <w:marLeft w:val="0"/>
              <w:marRight w:val="0"/>
              <w:marTop w:val="0"/>
              <w:marBottom w:val="0"/>
              <w:divBdr>
                <w:top w:val="none" w:sz="0" w:space="0" w:color="auto"/>
                <w:left w:val="none" w:sz="0" w:space="0" w:color="auto"/>
                <w:bottom w:val="none" w:sz="0" w:space="0" w:color="auto"/>
                <w:right w:val="none" w:sz="0" w:space="0" w:color="auto"/>
              </w:divBdr>
            </w:div>
            <w:div w:id="872839912">
              <w:marLeft w:val="0"/>
              <w:marRight w:val="0"/>
              <w:marTop w:val="0"/>
              <w:marBottom w:val="0"/>
              <w:divBdr>
                <w:top w:val="none" w:sz="0" w:space="0" w:color="auto"/>
                <w:left w:val="none" w:sz="0" w:space="0" w:color="auto"/>
                <w:bottom w:val="none" w:sz="0" w:space="0" w:color="auto"/>
                <w:right w:val="none" w:sz="0" w:space="0" w:color="auto"/>
              </w:divBdr>
            </w:div>
            <w:div w:id="1309551761">
              <w:marLeft w:val="0"/>
              <w:marRight w:val="0"/>
              <w:marTop w:val="0"/>
              <w:marBottom w:val="0"/>
              <w:divBdr>
                <w:top w:val="none" w:sz="0" w:space="0" w:color="auto"/>
                <w:left w:val="none" w:sz="0" w:space="0" w:color="auto"/>
                <w:bottom w:val="none" w:sz="0" w:space="0" w:color="auto"/>
                <w:right w:val="none" w:sz="0" w:space="0" w:color="auto"/>
              </w:divBdr>
            </w:div>
            <w:div w:id="1416514966">
              <w:marLeft w:val="0"/>
              <w:marRight w:val="0"/>
              <w:marTop w:val="0"/>
              <w:marBottom w:val="0"/>
              <w:divBdr>
                <w:top w:val="none" w:sz="0" w:space="0" w:color="auto"/>
                <w:left w:val="none" w:sz="0" w:space="0" w:color="auto"/>
                <w:bottom w:val="none" w:sz="0" w:space="0" w:color="auto"/>
                <w:right w:val="none" w:sz="0" w:space="0" w:color="auto"/>
              </w:divBdr>
            </w:div>
            <w:div w:id="452292090">
              <w:marLeft w:val="0"/>
              <w:marRight w:val="0"/>
              <w:marTop w:val="0"/>
              <w:marBottom w:val="0"/>
              <w:divBdr>
                <w:top w:val="none" w:sz="0" w:space="0" w:color="auto"/>
                <w:left w:val="none" w:sz="0" w:space="0" w:color="auto"/>
                <w:bottom w:val="none" w:sz="0" w:space="0" w:color="auto"/>
                <w:right w:val="none" w:sz="0" w:space="0" w:color="auto"/>
              </w:divBdr>
            </w:div>
            <w:div w:id="1130174141">
              <w:marLeft w:val="0"/>
              <w:marRight w:val="0"/>
              <w:marTop w:val="0"/>
              <w:marBottom w:val="0"/>
              <w:divBdr>
                <w:top w:val="none" w:sz="0" w:space="0" w:color="auto"/>
                <w:left w:val="none" w:sz="0" w:space="0" w:color="auto"/>
                <w:bottom w:val="none" w:sz="0" w:space="0" w:color="auto"/>
                <w:right w:val="none" w:sz="0" w:space="0" w:color="auto"/>
              </w:divBdr>
            </w:div>
            <w:div w:id="18823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2980">
      <w:bodyDiv w:val="1"/>
      <w:marLeft w:val="0"/>
      <w:marRight w:val="0"/>
      <w:marTop w:val="0"/>
      <w:marBottom w:val="0"/>
      <w:divBdr>
        <w:top w:val="none" w:sz="0" w:space="0" w:color="auto"/>
        <w:left w:val="none" w:sz="0" w:space="0" w:color="auto"/>
        <w:bottom w:val="none" w:sz="0" w:space="0" w:color="auto"/>
        <w:right w:val="none" w:sz="0" w:space="0" w:color="auto"/>
      </w:divBdr>
    </w:div>
    <w:div w:id="1405446323">
      <w:bodyDiv w:val="1"/>
      <w:marLeft w:val="0"/>
      <w:marRight w:val="0"/>
      <w:marTop w:val="0"/>
      <w:marBottom w:val="0"/>
      <w:divBdr>
        <w:top w:val="none" w:sz="0" w:space="0" w:color="auto"/>
        <w:left w:val="none" w:sz="0" w:space="0" w:color="auto"/>
        <w:bottom w:val="none" w:sz="0" w:space="0" w:color="auto"/>
        <w:right w:val="none" w:sz="0" w:space="0" w:color="auto"/>
      </w:divBdr>
      <w:divsChild>
        <w:div w:id="1519736066">
          <w:marLeft w:val="0"/>
          <w:marRight w:val="0"/>
          <w:marTop w:val="0"/>
          <w:marBottom w:val="0"/>
          <w:divBdr>
            <w:top w:val="none" w:sz="0" w:space="0" w:color="auto"/>
            <w:left w:val="none" w:sz="0" w:space="0" w:color="auto"/>
            <w:bottom w:val="none" w:sz="0" w:space="0" w:color="auto"/>
            <w:right w:val="none" w:sz="0" w:space="0" w:color="auto"/>
          </w:divBdr>
          <w:divsChild>
            <w:div w:id="462843995">
              <w:marLeft w:val="0"/>
              <w:marRight w:val="0"/>
              <w:marTop w:val="0"/>
              <w:marBottom w:val="0"/>
              <w:divBdr>
                <w:top w:val="none" w:sz="0" w:space="0" w:color="auto"/>
                <w:left w:val="none" w:sz="0" w:space="0" w:color="auto"/>
                <w:bottom w:val="none" w:sz="0" w:space="0" w:color="auto"/>
                <w:right w:val="none" w:sz="0" w:space="0" w:color="auto"/>
              </w:divBdr>
            </w:div>
            <w:div w:id="1979722946">
              <w:marLeft w:val="0"/>
              <w:marRight w:val="0"/>
              <w:marTop w:val="0"/>
              <w:marBottom w:val="0"/>
              <w:divBdr>
                <w:top w:val="none" w:sz="0" w:space="0" w:color="auto"/>
                <w:left w:val="none" w:sz="0" w:space="0" w:color="auto"/>
                <w:bottom w:val="none" w:sz="0" w:space="0" w:color="auto"/>
                <w:right w:val="none" w:sz="0" w:space="0" w:color="auto"/>
              </w:divBdr>
            </w:div>
            <w:div w:id="633368534">
              <w:marLeft w:val="0"/>
              <w:marRight w:val="0"/>
              <w:marTop w:val="0"/>
              <w:marBottom w:val="0"/>
              <w:divBdr>
                <w:top w:val="none" w:sz="0" w:space="0" w:color="auto"/>
                <w:left w:val="none" w:sz="0" w:space="0" w:color="auto"/>
                <w:bottom w:val="none" w:sz="0" w:space="0" w:color="auto"/>
                <w:right w:val="none" w:sz="0" w:space="0" w:color="auto"/>
              </w:divBdr>
            </w:div>
            <w:div w:id="510686987">
              <w:marLeft w:val="0"/>
              <w:marRight w:val="0"/>
              <w:marTop w:val="0"/>
              <w:marBottom w:val="0"/>
              <w:divBdr>
                <w:top w:val="none" w:sz="0" w:space="0" w:color="auto"/>
                <w:left w:val="none" w:sz="0" w:space="0" w:color="auto"/>
                <w:bottom w:val="none" w:sz="0" w:space="0" w:color="auto"/>
                <w:right w:val="none" w:sz="0" w:space="0" w:color="auto"/>
              </w:divBdr>
            </w:div>
            <w:div w:id="185679102">
              <w:marLeft w:val="0"/>
              <w:marRight w:val="0"/>
              <w:marTop w:val="0"/>
              <w:marBottom w:val="0"/>
              <w:divBdr>
                <w:top w:val="none" w:sz="0" w:space="0" w:color="auto"/>
                <w:left w:val="none" w:sz="0" w:space="0" w:color="auto"/>
                <w:bottom w:val="none" w:sz="0" w:space="0" w:color="auto"/>
                <w:right w:val="none" w:sz="0" w:space="0" w:color="auto"/>
              </w:divBdr>
            </w:div>
            <w:div w:id="1687630004">
              <w:marLeft w:val="0"/>
              <w:marRight w:val="0"/>
              <w:marTop w:val="0"/>
              <w:marBottom w:val="0"/>
              <w:divBdr>
                <w:top w:val="none" w:sz="0" w:space="0" w:color="auto"/>
                <w:left w:val="none" w:sz="0" w:space="0" w:color="auto"/>
                <w:bottom w:val="none" w:sz="0" w:space="0" w:color="auto"/>
                <w:right w:val="none" w:sz="0" w:space="0" w:color="auto"/>
              </w:divBdr>
            </w:div>
            <w:div w:id="161967438">
              <w:marLeft w:val="0"/>
              <w:marRight w:val="0"/>
              <w:marTop w:val="0"/>
              <w:marBottom w:val="0"/>
              <w:divBdr>
                <w:top w:val="none" w:sz="0" w:space="0" w:color="auto"/>
                <w:left w:val="none" w:sz="0" w:space="0" w:color="auto"/>
                <w:bottom w:val="none" w:sz="0" w:space="0" w:color="auto"/>
                <w:right w:val="none" w:sz="0" w:space="0" w:color="auto"/>
              </w:divBdr>
            </w:div>
            <w:div w:id="2143496907">
              <w:marLeft w:val="0"/>
              <w:marRight w:val="0"/>
              <w:marTop w:val="0"/>
              <w:marBottom w:val="0"/>
              <w:divBdr>
                <w:top w:val="none" w:sz="0" w:space="0" w:color="auto"/>
                <w:left w:val="none" w:sz="0" w:space="0" w:color="auto"/>
                <w:bottom w:val="none" w:sz="0" w:space="0" w:color="auto"/>
                <w:right w:val="none" w:sz="0" w:space="0" w:color="auto"/>
              </w:divBdr>
            </w:div>
            <w:div w:id="13037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28177">
      <w:bodyDiv w:val="1"/>
      <w:marLeft w:val="0"/>
      <w:marRight w:val="0"/>
      <w:marTop w:val="0"/>
      <w:marBottom w:val="0"/>
      <w:divBdr>
        <w:top w:val="none" w:sz="0" w:space="0" w:color="auto"/>
        <w:left w:val="none" w:sz="0" w:space="0" w:color="auto"/>
        <w:bottom w:val="none" w:sz="0" w:space="0" w:color="auto"/>
        <w:right w:val="none" w:sz="0" w:space="0" w:color="auto"/>
      </w:divBdr>
    </w:div>
    <w:div w:id="1654143207">
      <w:bodyDiv w:val="1"/>
      <w:marLeft w:val="0"/>
      <w:marRight w:val="0"/>
      <w:marTop w:val="0"/>
      <w:marBottom w:val="0"/>
      <w:divBdr>
        <w:top w:val="none" w:sz="0" w:space="0" w:color="auto"/>
        <w:left w:val="none" w:sz="0" w:space="0" w:color="auto"/>
        <w:bottom w:val="none" w:sz="0" w:space="0" w:color="auto"/>
        <w:right w:val="none" w:sz="0" w:space="0" w:color="auto"/>
      </w:divBdr>
    </w:div>
    <w:div w:id="1705321612">
      <w:bodyDiv w:val="1"/>
      <w:marLeft w:val="0"/>
      <w:marRight w:val="0"/>
      <w:marTop w:val="0"/>
      <w:marBottom w:val="0"/>
      <w:divBdr>
        <w:top w:val="none" w:sz="0" w:space="0" w:color="auto"/>
        <w:left w:val="none" w:sz="0" w:space="0" w:color="auto"/>
        <w:bottom w:val="none" w:sz="0" w:space="0" w:color="auto"/>
        <w:right w:val="none" w:sz="0" w:space="0" w:color="auto"/>
      </w:divBdr>
    </w:div>
    <w:div w:id="1719892790">
      <w:bodyDiv w:val="1"/>
      <w:marLeft w:val="0"/>
      <w:marRight w:val="0"/>
      <w:marTop w:val="0"/>
      <w:marBottom w:val="0"/>
      <w:divBdr>
        <w:top w:val="none" w:sz="0" w:space="0" w:color="auto"/>
        <w:left w:val="none" w:sz="0" w:space="0" w:color="auto"/>
        <w:bottom w:val="none" w:sz="0" w:space="0" w:color="auto"/>
        <w:right w:val="none" w:sz="0" w:space="0" w:color="auto"/>
      </w:divBdr>
      <w:divsChild>
        <w:div w:id="267932790">
          <w:marLeft w:val="0"/>
          <w:marRight w:val="0"/>
          <w:marTop w:val="0"/>
          <w:marBottom w:val="0"/>
          <w:divBdr>
            <w:top w:val="none" w:sz="0" w:space="0" w:color="auto"/>
            <w:left w:val="none" w:sz="0" w:space="0" w:color="auto"/>
            <w:bottom w:val="none" w:sz="0" w:space="0" w:color="auto"/>
            <w:right w:val="none" w:sz="0" w:space="0" w:color="auto"/>
          </w:divBdr>
          <w:divsChild>
            <w:div w:id="1757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7305">
      <w:bodyDiv w:val="1"/>
      <w:marLeft w:val="0"/>
      <w:marRight w:val="0"/>
      <w:marTop w:val="0"/>
      <w:marBottom w:val="0"/>
      <w:divBdr>
        <w:top w:val="none" w:sz="0" w:space="0" w:color="auto"/>
        <w:left w:val="none" w:sz="0" w:space="0" w:color="auto"/>
        <w:bottom w:val="none" w:sz="0" w:space="0" w:color="auto"/>
        <w:right w:val="none" w:sz="0" w:space="0" w:color="auto"/>
      </w:divBdr>
    </w:div>
    <w:div w:id="1811512714">
      <w:bodyDiv w:val="1"/>
      <w:marLeft w:val="0"/>
      <w:marRight w:val="0"/>
      <w:marTop w:val="0"/>
      <w:marBottom w:val="0"/>
      <w:divBdr>
        <w:top w:val="none" w:sz="0" w:space="0" w:color="auto"/>
        <w:left w:val="none" w:sz="0" w:space="0" w:color="auto"/>
        <w:bottom w:val="none" w:sz="0" w:space="0" w:color="auto"/>
        <w:right w:val="none" w:sz="0" w:space="0" w:color="auto"/>
      </w:divBdr>
      <w:divsChild>
        <w:div w:id="744641621">
          <w:marLeft w:val="0"/>
          <w:marRight w:val="0"/>
          <w:marTop w:val="0"/>
          <w:marBottom w:val="0"/>
          <w:divBdr>
            <w:top w:val="none" w:sz="0" w:space="0" w:color="auto"/>
            <w:left w:val="none" w:sz="0" w:space="0" w:color="auto"/>
            <w:bottom w:val="none" w:sz="0" w:space="0" w:color="auto"/>
            <w:right w:val="none" w:sz="0" w:space="0" w:color="auto"/>
          </w:divBdr>
          <w:divsChild>
            <w:div w:id="1120145126">
              <w:marLeft w:val="0"/>
              <w:marRight w:val="0"/>
              <w:marTop w:val="0"/>
              <w:marBottom w:val="0"/>
              <w:divBdr>
                <w:top w:val="none" w:sz="0" w:space="0" w:color="auto"/>
                <w:left w:val="none" w:sz="0" w:space="0" w:color="auto"/>
                <w:bottom w:val="none" w:sz="0" w:space="0" w:color="auto"/>
                <w:right w:val="none" w:sz="0" w:space="0" w:color="auto"/>
              </w:divBdr>
            </w:div>
            <w:div w:id="349991744">
              <w:marLeft w:val="0"/>
              <w:marRight w:val="0"/>
              <w:marTop w:val="0"/>
              <w:marBottom w:val="0"/>
              <w:divBdr>
                <w:top w:val="none" w:sz="0" w:space="0" w:color="auto"/>
                <w:left w:val="none" w:sz="0" w:space="0" w:color="auto"/>
                <w:bottom w:val="none" w:sz="0" w:space="0" w:color="auto"/>
                <w:right w:val="none" w:sz="0" w:space="0" w:color="auto"/>
              </w:divBdr>
            </w:div>
            <w:div w:id="2113478209">
              <w:marLeft w:val="0"/>
              <w:marRight w:val="0"/>
              <w:marTop w:val="0"/>
              <w:marBottom w:val="0"/>
              <w:divBdr>
                <w:top w:val="none" w:sz="0" w:space="0" w:color="auto"/>
                <w:left w:val="none" w:sz="0" w:space="0" w:color="auto"/>
                <w:bottom w:val="none" w:sz="0" w:space="0" w:color="auto"/>
                <w:right w:val="none" w:sz="0" w:space="0" w:color="auto"/>
              </w:divBdr>
            </w:div>
            <w:div w:id="813329838">
              <w:marLeft w:val="0"/>
              <w:marRight w:val="0"/>
              <w:marTop w:val="0"/>
              <w:marBottom w:val="0"/>
              <w:divBdr>
                <w:top w:val="none" w:sz="0" w:space="0" w:color="auto"/>
                <w:left w:val="none" w:sz="0" w:space="0" w:color="auto"/>
                <w:bottom w:val="none" w:sz="0" w:space="0" w:color="auto"/>
                <w:right w:val="none" w:sz="0" w:space="0" w:color="auto"/>
              </w:divBdr>
            </w:div>
            <w:div w:id="1352684715">
              <w:marLeft w:val="0"/>
              <w:marRight w:val="0"/>
              <w:marTop w:val="0"/>
              <w:marBottom w:val="0"/>
              <w:divBdr>
                <w:top w:val="none" w:sz="0" w:space="0" w:color="auto"/>
                <w:left w:val="none" w:sz="0" w:space="0" w:color="auto"/>
                <w:bottom w:val="none" w:sz="0" w:space="0" w:color="auto"/>
                <w:right w:val="none" w:sz="0" w:space="0" w:color="auto"/>
              </w:divBdr>
            </w:div>
            <w:div w:id="1069887761">
              <w:marLeft w:val="0"/>
              <w:marRight w:val="0"/>
              <w:marTop w:val="0"/>
              <w:marBottom w:val="0"/>
              <w:divBdr>
                <w:top w:val="none" w:sz="0" w:space="0" w:color="auto"/>
                <w:left w:val="none" w:sz="0" w:space="0" w:color="auto"/>
                <w:bottom w:val="none" w:sz="0" w:space="0" w:color="auto"/>
                <w:right w:val="none" w:sz="0" w:space="0" w:color="auto"/>
              </w:divBdr>
            </w:div>
            <w:div w:id="37894663">
              <w:marLeft w:val="0"/>
              <w:marRight w:val="0"/>
              <w:marTop w:val="0"/>
              <w:marBottom w:val="0"/>
              <w:divBdr>
                <w:top w:val="none" w:sz="0" w:space="0" w:color="auto"/>
                <w:left w:val="none" w:sz="0" w:space="0" w:color="auto"/>
                <w:bottom w:val="none" w:sz="0" w:space="0" w:color="auto"/>
                <w:right w:val="none" w:sz="0" w:space="0" w:color="auto"/>
              </w:divBdr>
            </w:div>
            <w:div w:id="12350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5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yamaerenay/spotify-dataset-19212020-600k-tracks" TargetMode="External"/><Relationship Id="rId13" Type="http://schemas.openxmlformats.org/officeDocument/2006/relationships/hyperlink" Target="https://doi.org/10.1177/17499755211019974" TargetMode="Externa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doi.org/10.1177/0003122417728662" TargetMode="External"/><Relationship Id="rId12" Type="http://schemas.openxmlformats.org/officeDocument/2006/relationships/hyperlink" Target="https://doi.org/10.1177/016344386008003002" TargetMode="External"/><Relationship Id="rId17" Type="http://schemas.openxmlformats.org/officeDocument/2006/relationships/hyperlink" Target="https://doi.org/10.1086/66582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86/s12874-021-01306-w"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11/j.1749-6632.2001.tb05723.x"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17/s1479409822000039" TargetMode="External"/><Relationship Id="rId23" Type="http://schemas.openxmlformats.org/officeDocument/2006/relationships/header" Target="header1.xml"/><Relationship Id="rId10" Type="http://schemas.openxmlformats.org/officeDocument/2006/relationships/hyperlink" Target="https://doi.org/10.1016/j.evolhumbehav.2017.12.007"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111/ecin.13015" TargetMode="External"/><Relationship Id="rId14" Type="http://schemas.openxmlformats.org/officeDocument/2006/relationships/hyperlink" Target="https://doi.org/10.1007/s10824-014-9233-2"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1688</Words>
  <Characters>9628</Characters>
  <Application>Microsoft Office Word</Application>
  <DocSecurity>0</DocSecurity>
  <Lines>80</Lines>
  <Paragraphs>22</Paragraphs>
  <ScaleCrop>false</ScaleCrop>
  <Company/>
  <LinksUpToDate>false</LinksUpToDate>
  <CharactersWithSpaces>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Yuhao Zhu</cp:lastModifiedBy>
  <cp:revision>4</cp:revision>
  <cp:lastPrinted>2024-12-14T03:32:00Z</cp:lastPrinted>
  <dcterms:created xsi:type="dcterms:W3CDTF">2024-12-14T03:32:00Z</dcterms:created>
  <dcterms:modified xsi:type="dcterms:W3CDTF">2024-12-14T03:37:00Z</dcterms:modified>
</cp:coreProperties>
</file>