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rial" w:hAnsi="Arial" w:eastAsia="Arial"/>
          <w:b/>
          <w:color w:val="617F7E"/>
          <w:sz w:val="17"/>
        </w:rPr>
        <w:t>—  ВЕРСІЯ 1.0</w:t>
      </w:r>
    </w:p>
    <w:p>
      <w:pPr>
        <w:pStyle w:val="Title"/>
        <w:spacing w:before="920"/>
      </w:pPr>
      <w:r>
        <w:rPr>
          <w:rFonts w:ascii="Arial" w:hAnsi="Arial" w:eastAsia="Arial"/>
          <w:b/>
          <w:color w:val="C58A35"/>
          <w:sz w:val="60"/>
        </w:rPr>
        <w:t xml:space="preserve">Інструкція </w:t>
      </w:r>
      <w:r>
        <w:rPr>
          <w:rFonts w:ascii="Arial" w:hAnsi="Arial" w:eastAsia="Arial"/>
          <w:b w:val="0"/>
          <w:color w:val="394649"/>
          <w:sz w:val="60"/>
        </w:rPr>
        <w:t>для власника дослідження</w:t>
      </w:r>
    </w:p>
    <w:p>
      <w:pPr>
        <w:spacing w:before="200" w:after="560"/>
      </w:pPr>
      <w:r>
        <w:rPr>
          <w:rFonts w:ascii="Arial" w:hAnsi="Arial" w:eastAsia="Arial"/>
          <w:b w:val="0"/>
          <w:color w:val="394649"/>
          <w:sz w:val="30"/>
        </w:rPr>
        <w:t>Короткий покроковий супровід підготовки, проведення та використання результатів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040"/>
            <w:shd w:fill="C58A3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5040"/>
            <w:shd w:fill="F2F0EB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Мета Барометра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У визначеному робочому середовищі виявити сигнали психосоціальних небезпек, проблемні аспекти організації роботи та взаємодії, розбіжності між джерелами даних і організаційні практики, які потребують уваги.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/>
          <w:color w:val="394649"/>
          <w:sz w:val="21"/>
        </w:rPr>
        <w:t>Барометр не формує загального бала або «погоди компанії» і не використовується для рейтингування компанії, підрозділу чи керівника.</w:t>
      </w:r>
    </w:p>
    <w:p>
      <w:pPr>
        <w:pStyle w:val="Heading1"/>
      </w:pPr>
      <w:r>
        <w:t>1. Що потрібно підготувати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Ноутбук або настільний комп’ютер з актуальним Google Chrome чи Microsoft Edge.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Назву проєкту та назви робочих середовищ, які компанія визначає самостійно.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Загальну кількість працівників у кожному робочому середовищі.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Кількість керівників із прямими підлеглими, яких буде запрошено до опитування.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Дозволену компанією систему для проведення анонімного опитування.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Реально доступні контакти допомоги, реагування та зворотного зв’язку.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Захищене місце для зберігання файлу проєкту та експортів.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Один файл проєкту = одна компанія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Одна компанія може мати кілька окремих файлів проєктів. Наприклад: «Пілот 2026», «Барометр 2027» або «Проєкт 1».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Створіть проєкт, середовища і період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144"/>
      </w:tblGrid>
      <w:tr>
        <w:tc>
          <w:tcPr>
            <w:tcW w:type="dxa" w:w="5040"/>
            <w:shd w:fill="C58A3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Відкрийте локальний HTML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Запустіть файл безпосередньо в Chrome або Edge. Встановлення програм і права адміністратора не потрібні.</w:t>
            </w:r>
          </w:p>
        </w:tc>
      </w:tr>
      <w:tr>
        <w:tc>
          <w:tcPr>
            <w:tcW w:type="dxa" w:w="5040"/>
            <w:shd w:fill="617F7E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Створіть проєкт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На стартовому екрані «Проєкти Барометра» натисніть «Створити проєкт» та вкажіть назву компанії і проєкту.</w:t>
            </w:r>
          </w:p>
        </w:tc>
      </w:tr>
      <w:tr>
        <w:tc>
          <w:tcPr>
            <w:tcW w:type="dxa" w:w="5040"/>
            <w:shd w:fill="C58A3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Додайте робочі середовища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Для кожного вкажіть назву, за потреби опис, загальну кількість працівників і кількість запрошених керівників із прямими підлеглими.</w:t>
            </w:r>
          </w:p>
        </w:tc>
      </w:tr>
      <w:tr>
        <w:tc>
          <w:tcPr>
            <w:tcW w:type="dxa" w:w="5040"/>
            <w:shd w:fill="617F7E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Додайте період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Вкажіть назву періоду, дату початку й завершення збору даних та дату завершення вимірювання.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 w:val="0"/>
          <w:color w:val="394649"/>
          <w:sz w:val="20"/>
        </w:rPr>
        <w:t>Рекомендований період збору відповідей у більшості випадків: 7–14 календарних днів. E та L бажано збирати одночасно. Чекап P слід заповнити в межах того самого періоду.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21"/>
              </w:rPr>
              <w:t>Конфіденційність малих груп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Якщо у робочому середовищі менше 20 працівників, окремі результати E не формуються. Якщо менше 10 керівників із прямими підлеглими, окремі результати L не формуються. Інструмент покаже попередження, але не заблокує створення середовища.</w:t>
            </w:r>
          </w:p>
        </w:tc>
      </w:tr>
    </w:tbl>
    <w:p>
      <w:pPr>
        <w:spacing w:after="20"/>
      </w:pPr>
    </w:p>
    <w:p>
      <w:pPr>
        <w:pStyle w:val="Heading1"/>
      </w:pPr>
      <w:r>
        <w:t>3. Налаштуйте єдину анкету E/L</w:t>
      </w:r>
    </w:p>
    <w:p>
      <w:r>
        <w:t>Усі учасники спочатку відповідають на E01–E35. Потім форма ставить рольове запитання. Відповідь «Ні» завершує анкету, а відповідь «Так» відкриває L01–L21 для керівників із прямими підлеглими.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Для кожного робочого середовища створюйте окрему копію тієї самої анкети.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Не додавайте до анкети питання про регіон, підрозділ або робоче середовище.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Усі твердження E/L та рольове запитання мають бути обов’язковими.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Вимкніть автоматичний збір електронних адрес, індикатор прогресу та перемішування запитань.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Зберігайте погоджений порядок кодів, текстів, шкали й переходів.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Що власник може редагувати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Власник може редагувати лише спеціально визначені адаптивні частини анкети: назву компанії у вступі; інформацію про те, де і коли будуть повідомлені результати; завершальний блок із контактами, каналами підтримки, повідомлення про порушення, небезпечні ситуації та іншими доступними механізмами компанії; візуальне оформлення.</w:t>
              <w:br/>
              <w:br/>
              <w:t>Не змінюйте тексти тверджень, коди, шкалу відповідей, порядок запитань, рольове запитання, обов’язковість і логіку переходів між блоками.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Завершальний блок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Можна видаляти неактуальні канали, змінювати їх назви, додавати реально доступні канали та адаптувати пояснювальний текст. Не залишайте контакт або канал, якого фактично немає.</w:t>
            </w:r>
          </w:p>
        </w:tc>
      </w:tr>
    </w:tbl>
    <w:p>
      <w:pPr>
        <w:spacing w:after="20"/>
      </w:pPr>
    </w:p>
    <w:p>
      <w:pPr>
        <w:pStyle w:val="Heading1"/>
      </w:pPr>
      <w:r>
        <w:t>4. Захистіть анонімність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Не збирайте ім’я, електронну адресу, табельний номер, корпоративний логін або інші прямі ідентифікатори.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Перед запуском перевірте налаштування форми і зробіть тестовий експорт.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Не поєднуйте відповіді з кадровими файлами або іншими джерелами, які можуть ідентифікувати учасників.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Якщо локальний Барометр виявить потенційні персональні колонки, експортуйте результати повторно без ідентифікаторів.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21"/>
              </w:rPr>
              <w:t>Важливо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Анонімна анкета не є каналом реагування на конкретну ситуацію. У завершальному повідомленні дайте працівникам окремі конфіденційні канали для допомоги, повідомлення про порушення та небезпечні ситуації.</w:t>
            </w:r>
          </w:p>
        </w:tc>
      </w:tr>
    </w:tbl>
    <w:p>
      <w:pPr>
        <w:spacing w:after="20"/>
      </w:pPr>
    </w:p>
    <w:p>
      <w:pPr>
        <w:pStyle w:val="Heading1"/>
      </w:pPr>
      <w:r>
        <w:t>5. Проведіть опитування та чекап P</w:t>
      </w:r>
    </w:p>
    <w:p>
      <w:pPr>
        <w:pStyle w:val="Heading2"/>
      </w:pPr>
      <w:r>
        <w:t>Опитування E/L</w:t>
      </w:r>
    </w:p>
    <w:p>
      <w:r>
        <w:t>Надайте учасникам достатній час, поясніть добровільність та анонімність, а також повідомте, коли й де компанія представить узагальнені результати та заплановані дії.</w:t>
      </w:r>
    </w:p>
    <w:p>
      <w:pPr>
        <w:pStyle w:val="Heading2"/>
      </w:pPr>
      <w:r>
        <w:t>Організаційний чекап P</w:t>
      </w:r>
    </w:p>
    <w:p>
      <w:r>
        <w:t>Відкрийте у локальному Барометрі розділ «Чекап P». Послідовно оцініть 42 практики у семи модулях: «Реалізовано повністю», «Частково або нерівномірно» або «Не реалізовано».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Якщо інформації поки немає, залиште практику неоціненою і поверніться пізніше.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За потреби додайте до модуля факти, документи, приклади застосування або прогалини.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Завершити P можна лише після оцінювання всіх практик.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P можна редагувати після завершення. Після змін натисніть «Перерахувати результати».</w:t>
      </w:r>
    </w:p>
    <w:p>
      <w:r>
        <w:br w:type="page"/>
      </w:r>
    </w:p>
    <w:p>
      <w:pPr>
        <w:pStyle w:val="Heading1"/>
      </w:pPr>
      <w:r>
        <w:t>6. Імпортуйте XLSX або 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144"/>
      </w:tblGrid>
      <w:tr>
        <w:tc>
          <w:tcPr>
            <w:tcW w:type="dxa" w:w="5040"/>
            <w:shd w:fill="C58A3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Відкрийте потрібний контекст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Виберіть робоче середовище та період, до яких належить файл.</w:t>
            </w:r>
          </w:p>
        </w:tc>
      </w:tr>
      <w:tr>
        <w:tc>
          <w:tcPr>
            <w:tcW w:type="dxa" w:w="5040"/>
            <w:shd w:fill="617F7E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Завантажте один файл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Файл має містити E і L разом: один рядок на респондента, одна колонка на твердження.</w:t>
            </w:r>
          </w:p>
        </w:tc>
      </w:tr>
      <w:tr>
        <w:tc>
          <w:tcPr>
            <w:tcW w:type="dxa" w:w="5040"/>
            <w:shd w:fill="C58A3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Перевірте дані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Барометр покаже кількість відповідей E/L, розпізнані твердження, попередження та конкретні помилки.</w:t>
            </w:r>
          </w:p>
        </w:tc>
      </w:tr>
      <w:tr>
        <w:tc>
          <w:tcPr>
            <w:tcW w:type="dxa" w:w="5040"/>
            <w:shd w:fill="617F7E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Розрахуйте результати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Кнопка активується лише після успішної перевірки. Сирі відповіді залишаються тільки в оперативній пам’яті браузера.</w:t>
            </w:r>
          </w:p>
        </w:tc>
      </w:tr>
      <w:tr>
        <w:tc>
          <w:tcPr>
            <w:tcW w:type="dxa" w:w="5040"/>
            <w:shd w:fill="C58A3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6"/>
              </w:rPr>
              <w:t>5</w:t>
            </w:r>
          </w:p>
        </w:tc>
        <w:tc>
          <w:tcPr>
            <w:tcW w:type="dxa" w:w="5040"/>
            <w:shd w:fill="F7F5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color w:val="394649"/>
                <w:sz w:val="21"/>
              </w:rPr>
              <w:t>Замініть за потреби</w:t>
              <w:br/>
            </w:r>
            <w:r>
              <w:rPr>
                <w:rFonts w:ascii="Arial" w:hAnsi="Arial" w:eastAsia="Arial"/>
                <w:b w:val="0"/>
                <w:color w:val="394649"/>
                <w:sz w:val="19"/>
              </w:rPr>
              <w:t>Повторний імпорт замінює актуальний набір результатів для цього середовища й періоду, а не додається до нього.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Як виправляти помилки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Якщо відсутній код, змінено точний текст або є недопустиме значення, виправте це у системі опитування, експортуйте файл повторно та зробіть новий імпорт.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Прочитайте результати</w:t>
      </w:r>
    </w:p>
    <w:p>
      <w:r>
        <w:t>Дашборд показує сім модулів. У кожному E, L і P відображаються окремо. P завжди позначено як «Організаційний чекап P: рівень компанії».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617F7E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5040"/>
            <w:shd w:fill="617F7E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Як читати</w:t>
            </w:r>
          </w:p>
        </w:tc>
      </w:tr>
      <w:tr>
        <w:tc>
          <w:tcPr>
            <w:tcW w:type="dxa" w:w="5040"/>
            <w:shd w:fill="F2E4C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19"/>
              </w:rPr>
              <w:t>Ясно</w:t>
            </w:r>
          </w:p>
        </w:tc>
        <w:tc>
          <w:tcPr>
            <w:tcW w:type="dxa" w:w="5040"/>
            <w:shd w:fill="FAF9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94649"/>
                <w:sz w:val="19"/>
              </w:rPr>
              <w:t>Доступні дані формують переважно сприятливу картину.</w:t>
            </w:r>
          </w:p>
        </w:tc>
      </w:tr>
      <w:tr>
        <w:tc>
          <w:tcPr>
            <w:tcW w:type="dxa" w:w="5040"/>
            <w:shd w:fill="F2E4C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19"/>
              </w:rPr>
              <w:t>Хмарно</w:t>
            </w:r>
          </w:p>
        </w:tc>
        <w:tc>
          <w:tcPr>
            <w:tcW w:type="dxa" w:w="5040"/>
            <w:shd w:fill="FAF9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94649"/>
                <w:sz w:val="19"/>
              </w:rPr>
              <w:t>Картина змішана або містить аспекти, які потребують перевірки.</w:t>
            </w:r>
          </w:p>
        </w:tc>
      </w:tr>
      <w:tr>
        <w:tc>
          <w:tcPr>
            <w:tcW w:type="dxa" w:w="5040"/>
            <w:shd w:fill="F2E4C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19"/>
              </w:rPr>
              <w:t>Буря</w:t>
            </w:r>
          </w:p>
        </w:tc>
        <w:tc>
          <w:tcPr>
            <w:tcW w:type="dxa" w:w="5040"/>
            <w:shd w:fill="FAF9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94649"/>
                <w:sz w:val="19"/>
              </w:rPr>
              <w:t>Є несприятливий сигнал, з якого варто почати конкретну організаційну перевірку.</w:t>
            </w:r>
          </w:p>
        </w:tc>
      </w:tr>
      <w:tr>
        <w:tc>
          <w:tcPr>
            <w:tcW w:type="dxa" w:w="5040"/>
            <w:shd w:fill="ECEFE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6E7878"/>
                <w:sz w:val="19"/>
              </w:rPr>
              <w:t>Туман</w:t>
            </w:r>
          </w:p>
        </w:tc>
        <w:tc>
          <w:tcPr>
            <w:tcW w:type="dxa" w:w="5040"/>
            <w:shd w:fill="FAF9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color w:val="394649"/>
                <w:sz w:val="19"/>
              </w:rPr>
              <w:t>Даних недостатньо для інтерпретації з дотриманням конфіденційності. Це не сприятливий і не несприятливий статус.</w:t>
            </w:r>
          </w:p>
        </w:tc>
      </w:tr>
    </w:tbl>
    <w:p/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Починайте з проблемних аспектів усередині модуля, а не лише зі статусу модуля.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Критичні P-практики показуються першими, але не отримують автоматичного пріоритету «Високий».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Суттєвий розрив E↔L означає, що джерела варто зіставити на конкретних робочих прикладах. Не визначайте одне з них як «правильне».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Навіть у модулі зі статусом «Ясно» може бути окремий проблемний аспект.</w:t>
      </w:r>
    </w:p>
    <w:p>
      <w:pPr>
        <w:pStyle w:val="Heading1"/>
      </w:pPr>
      <w:r>
        <w:t>8. Сформуйте План дій і звіт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Відкрийте рекомендовані дії для конкретного проблемного аспекту.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Оберіть лише ті дії, які відповідають фактичній ситуації та можливостям компанії.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Вкажіть сферу застосування, пріоритет, відповідального, строк, показник виконання та статус.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Експортуйте План дій у XLSX.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Для обраного робочого середовища натисніть «Зберегти звіт у PDF» та скористайтеся друком браузера.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C58A35"/>
                <w:sz w:val="21"/>
              </w:rPr>
              <w:t>Застереження для звіту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Результати Барометра вказують на сигнали та зони, які потребують уваги. Вони не є оцінкою ефективності компанії, підрозділу чи керівника та не використовуються для рейтингування.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Збережіть проєкт і порівняйте періоди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Регулярно натискайте «Зберегти проєкт». Браузер не зберігає корпоративні результати автоматично.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Зберігайте файл проєкту у визначеному компанією захищеному місці.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Для наступного вимірювання відкрийте той самий файл і додайте новий період.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Порівнюйте лише те саме робоче середовище між різними періодами.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Не робіть причинних висновків. Формулюйте описово: «Після попереднього вимірювання результат змінився…».</w:t>
      </w:r>
    </w:p>
    <w:p>
      <w:pPr>
        <w:pStyle w:val="ListBullet"/>
        <w:ind w:left="259" w:hanging="173"/>
      </w:pPr>
      <w:r>
        <w:rPr>
          <w:rFonts w:ascii="Arial" w:hAnsi="Arial" w:eastAsia="Arial"/>
          <w:b w:val="0"/>
          <w:color w:val="394649"/>
          <w:sz w:val="20"/>
        </w:rPr>
        <w:t>Перед новим періодом вручну перевіряйте на порталі актуальну версію Барометра.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0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617F7E"/>
                <w:sz w:val="21"/>
              </w:rPr>
              <w:t>Зіставність</w:t>
              <w:br/>
            </w:r>
            <w:r>
              <w:rPr>
                <w:rFonts w:ascii="Arial" w:hAnsi="Arial" w:eastAsia="Arial"/>
                <w:b w:val="0"/>
                <w:color w:val="394649"/>
                <w:sz w:val="20"/>
              </w:rPr>
              <w:t>Порівнюйте результати лише тоді, коли межі та склад робочого середовища між періодами залишаються достатньо зіставними.</w:t>
            </w:r>
          </w:p>
        </w:tc>
      </w:tr>
    </w:tbl>
    <w:p>
      <w:pPr>
        <w:spacing w:after="20"/>
      </w:pPr>
    </w:p>
    <w:p>
      <w:pPr>
        <w:pStyle w:val="Heading1"/>
      </w:pPr>
      <w:r>
        <w:t>10. Контрольний список перед запуском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Визначено робочі середовища та чисельність.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Для кожного середовища створено окрему копію анкети.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Тексти, коди, шкала, порядок і маршрутизація не змінені.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Збір email, індикатор прогресу та перемішування вимкнені.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Тестовий експорт не містить прямих ідентифікаторів.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У завершальному повідомленні вказано лише реально доступні канали.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Повідомлено строк збору й спосіб оприлюднення узагальнених результатів.</w:t>
      </w:r>
    </w:p>
    <w:p>
      <w:pPr>
        <w:ind w:left="173"/>
      </w:pPr>
      <w:r>
        <w:rPr>
          <w:rFonts w:ascii="Arial" w:hAnsi="Arial" w:eastAsia="Arial"/>
          <w:b w:val="0"/>
          <w:color w:val="394649"/>
          <w:sz w:val="20"/>
        </w:rPr>
        <w:t>☐  Визначено захищене місце для файлу проєкту та експортів.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872"/>
    </w:tblGrid>
    <w:tr>
      <w:tc>
        <w:tcPr>
          <w:tcW w:type="dxa" w:w="5040"/>
        </w:tcPr>
        <w:p>
          <w:r>
            <w:rPr>
              <w:rFonts w:ascii="Arial" w:hAnsi="Arial" w:eastAsia="Arial"/>
              <w:color w:val="6E7878"/>
              <w:sz w:val="15"/>
            </w:rPr>
            <w:t>Барометр психосоціальної безпеки робочого середовища · Версія 1.0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rial" w:hAnsi="Arial" w:eastAsia="Arial"/>
              <w:color w:val="6E7878"/>
              <w:sz w:val="16"/>
            </w:rPr>
            <w:t xml:space="preserve">Сторінка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 w:eastAsia="Arial"/>
        <w:b/>
        <w:color w:val="617F7E"/>
        <w:sz w:val="15"/>
      </w:rPr>
      <w:t>БАРОМЕТР  /  ІНСТРУКЦІЯ ДЛЯ ВЛАСНИКА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946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C58A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617F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39464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