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Arial" w:hAnsi="Arial" w:eastAsia="Arial"/>
          <w:b/>
          <w:color w:val="617F7E"/>
          <w:sz w:val="17"/>
        </w:rPr>
        <w:t>—  ВЕРСІЯ 1.0</w:t>
      </w:r>
    </w:p>
    <w:p>
      <w:pPr>
        <w:pStyle w:val="Title"/>
        <w:spacing w:before="920"/>
      </w:pPr>
      <w:r>
        <w:rPr>
          <w:rFonts w:ascii="Arial" w:hAnsi="Arial" w:eastAsia="Arial"/>
          <w:b/>
          <w:color w:val="C58A35"/>
          <w:sz w:val="60"/>
        </w:rPr>
        <w:t xml:space="preserve">Технічна </w:t>
      </w:r>
      <w:r>
        <w:rPr>
          <w:rFonts w:ascii="Arial" w:hAnsi="Arial" w:eastAsia="Arial"/>
          <w:b w:val="0"/>
          <w:color w:val="394649"/>
          <w:sz w:val="60"/>
        </w:rPr>
        <w:t>довідка з безпеки даних</w:t>
      </w:r>
    </w:p>
    <w:p>
      <w:pPr>
        <w:spacing w:before="200" w:after="560"/>
      </w:pPr>
      <w:r>
        <w:rPr>
          <w:rFonts w:ascii="Arial" w:hAnsi="Arial" w:eastAsia="Arial"/>
          <w:b w:val="0"/>
          <w:color w:val="394649"/>
          <w:sz w:val="30"/>
        </w:rPr>
        <w:t>Локальна обробка, зберігання проєкту та мережеві з’єднання</w:t>
      </w:r>
    </w:p>
    <w:tbl>
      <w:tblPr>
        <w:tblW w:type="auto" w:w="0"/>
        <w:tblLayout w:type="fixed"/>
        <w:tblLook w:firstColumn="1" w:firstRow="1" w:lastColumn="0" w:lastRow="0" w:noHBand="0" w:noVBand="1" w:val="04A0"/>
      </w:tblPr>
      <w:tblGrid>
        <w:gridCol w:w="1728"/>
        <w:gridCol w:w="8352"/>
      </w:tblGrid>
      <w:tr>
        <w:tc>
          <w:tcPr>
            <w:tcW w:type="dxa" w:w="5040"/>
            <w:shd w:fill="C58A35"/>
            <w:tcMar>
              <w:top w:w="25" w:type="dxa"/>
              <w:start w:w="0" w:type="dxa"/>
              <w:bottom w:w="25" w:type="dxa"/>
              <w:end w:w="0" w:type="dxa"/>
            </w:tcMar>
          </w:tcPr>
          <w:p/>
        </w:tc>
        <w:tc>
          <w:tcPr>
            <w:tcW w:type="dxa" w:w="5040"/>
            <w:shd w:fill="F2F0EB"/>
            <w:tcMar>
              <w:top w:w="25" w:type="dxa"/>
              <w:start w:w="0" w:type="dxa"/>
              <w:bottom w:w="25" w:type="dxa"/>
              <w:end w:w="0" w:type="dxa"/>
            </w:tcMar>
          </w:tcPr>
          <w:p/>
        </w:tc>
      </w:tr>
    </w:tbl>
    <w:p/>
    <w:tbl>
      <w:tblPr>
        <w:tblW w:type="auto" w:w="0"/>
        <w:jc w:val="center"/>
        <w:tblLook w:firstColumn="1" w:firstRow="1" w:lastColumn="0" w:lastRow="0" w:noHBand="0" w:noVBand="1" w:val="04A0"/>
      </w:tblPr>
      <w:tblGrid>
        <w:gridCol w:w="10080"/>
      </w:tblGrid>
      <w:tr>
        <w:trPr>
          <w:cantSplit/>
        </w:trPr>
        <w:tc>
          <w:tcPr>
            <w:tcW w:type="dxa" w:w="10080"/>
            <w:shd w:fill="F2F0EB"/>
            <w:tcMar>
              <w:top w:w="150" w:type="dxa"/>
              <w:start w:w="170" w:type="dxa"/>
              <w:bottom w:w="150" w:type="dxa"/>
              <w:end w:w="170" w:type="dxa"/>
            </w:tcMar>
          </w:tcPr>
          <w:p>
            <w:r>
              <w:rPr>
                <w:rFonts w:ascii="Arial" w:hAnsi="Arial" w:eastAsia="Arial"/>
                <w:b/>
                <w:color w:val="617F7E"/>
                <w:sz w:val="21"/>
              </w:rPr>
              <w:t>Коротко</w:t>
              <w:br/>
            </w:r>
            <w:r>
              <w:rPr>
                <w:rFonts w:ascii="Arial" w:hAnsi="Arial" w:eastAsia="Arial"/>
                <w:b w:val="0"/>
                <w:color w:val="394649"/>
                <w:sz w:val="20"/>
              </w:rPr>
              <w:t>«Барометр психосоціальної безпеки робочого середовища» використовує локальний HTML-інструмент, який працює безпосередньо у браузері на комп’ютері користувача.</w:t>
            </w:r>
          </w:p>
        </w:tc>
      </w:tr>
    </w:tbl>
    <w:p>
      <w:pPr>
        <w:spacing w:after="20"/>
      </w:pPr>
    </w:p>
    <w:p>
      <w:pPr>
        <w:pStyle w:val="Heading1"/>
      </w:pPr>
      <w:r>
        <w:t>Передавання даних</w:t>
      </w:r>
    </w:p>
    <w:p>
      <w:r>
        <w:t>Інструмент не передає дані компанії через інтернет і не використовує сервери, API, хмарні сховища або зовнішні сервіси для обробки результатів.</w:t>
      </w:r>
    </w:p>
    <w:p>
      <w:pPr>
        <w:pStyle w:val="Heading1"/>
      </w:pPr>
      <w:r>
        <w:t>Обробка відповідей</w:t>
      </w:r>
    </w:p>
    <w:p>
      <w:r>
        <w:t>Файли XLSX/CSV з результатами опитування обробляються локально на пристрої користувача.</w:t>
      </w:r>
    </w:p>
    <w:p>
      <w:pPr>
        <w:pStyle w:val="Heading1"/>
      </w:pPr>
      <w:r>
        <w:t>Зберігання сирих даних</w:t>
      </w:r>
    </w:p>
    <w:p>
      <w:r>
        <w:t>Індивідуальні відповіді використовуються лише для розрахунку агрегованих показників і не зберігаються у файлі проєкту Барометра.</w:t>
      </w:r>
    </w:p>
    <w:p>
      <w:pPr>
        <w:pStyle w:val="Heading1"/>
      </w:pPr>
      <w:r>
        <w:t>Файл проєкту</w:t>
      </w:r>
    </w:p>
    <w:p>
      <w:r>
        <w:t>Файл проєкту містить агреговані результати, налаштування проєкту, організаційний чекап і План дій.</w:t>
      </w:r>
    </w:p>
    <w:p>
      <w:pPr>
        <w:pStyle w:val="Heading1"/>
      </w:pPr>
      <w:r>
        <w:t>Мережеві з’єднання</w:t>
      </w:r>
    </w:p>
    <w:p>
      <w:r>
        <w:t>Локальний інструмент не виконує зовнішніх мережевих запитів і не містить функцій аналітики або телеметрії.</w:t>
      </w:r>
    </w:p>
    <w:p>
      <w:pPr>
        <w:pStyle w:val="Heading1"/>
      </w:pPr>
      <w:r>
        <w:t>Зберігання файлів</w:t>
      </w:r>
    </w:p>
    <w:p>
      <w:r>
        <w:t>Місце зберігання файлу проєкту визначає сама компанія відповідно до власних правил інформаційної безпеки.</w:t>
      </w:r>
    </w:p>
    <w:p>
      <w:pPr>
        <w:pStyle w:val="Heading1"/>
      </w:pPr>
      <w:r>
        <w:t>Запуск інструменту</w:t>
      </w:r>
    </w:p>
    <w:p>
      <w:r>
        <w:t>Барометр працює як локальний HTML-файл у веббраузері та не потребує встановлення програмного забезпечення або надання прав адміністратора.</w:t>
      </w:r>
    </w:p>
    <w:tbl>
      <w:tblPr>
        <w:tblW w:type="auto" w:w="0"/>
        <w:jc w:val="center"/>
        <w:tblLook w:firstColumn="1" w:firstRow="1" w:lastColumn="0" w:lastRow="0" w:noHBand="0" w:noVBand="1" w:val="04A0"/>
      </w:tblPr>
      <w:tblGrid>
        <w:gridCol w:w="10080"/>
      </w:tblGrid>
      <w:tr>
        <w:trPr>
          <w:cantSplit/>
        </w:trPr>
        <w:tc>
          <w:tcPr>
            <w:tcW w:type="dxa" w:w="10080"/>
            <w:shd w:fill="F2F0EB"/>
            <w:tcMar>
              <w:top w:w="150" w:type="dxa"/>
              <w:start w:w="170" w:type="dxa"/>
              <w:bottom w:w="150" w:type="dxa"/>
              <w:end w:w="170" w:type="dxa"/>
            </w:tcMar>
          </w:tcPr>
          <w:p>
            <w:r>
              <w:rPr>
                <w:rFonts w:ascii="Arial" w:hAnsi="Arial" w:eastAsia="Arial"/>
                <w:b/>
                <w:color w:val="C58A35"/>
                <w:sz w:val="21"/>
              </w:rPr>
              <w:t>Організаційна відповідальність</w:t>
              <w:br/>
            </w:r>
            <w:r>
              <w:rPr>
                <w:rFonts w:ascii="Arial" w:hAnsi="Arial" w:eastAsia="Arial"/>
                <w:b w:val="0"/>
                <w:color w:val="394649"/>
                <w:sz w:val="20"/>
              </w:rPr>
              <w:t>Компанія самостійно визначає дозволену систему опитування, права доступу, строки зберігання, резервне копіювання та захищене місце для файлів. Перед імпортом слід експортувати відповіді без імен, email, табельних номерів, корпоративних логінів та інших прямих ідентифікаторів.</w:t>
            </w:r>
          </w:p>
        </w:tc>
      </w:tr>
    </w:tbl>
    <w:p>
      <w:pPr>
        <w:spacing w:after="20"/>
      </w:pPr>
    </w:p>
    <w:p>
      <w:pPr>
        <w:pStyle w:val="Heading1"/>
      </w:pPr>
      <w:r>
        <w:t>Технічні межі</w:t>
      </w:r>
    </w:p>
    <w:p>
      <w:pPr>
        <w:pStyle w:val="ListBullet"/>
        <w:ind w:left="259" w:hanging="173"/>
      </w:pPr>
      <w:r>
        <w:rPr>
          <w:rFonts w:ascii="Arial" w:hAnsi="Arial" w:eastAsia="Arial"/>
          <w:b w:val="0"/>
          <w:color w:val="394649"/>
          <w:sz w:val="20"/>
        </w:rPr>
        <w:t>Локальний HTML не створює облікових записів і не синхронізує проєкт між пристроями.</w:t>
      </w:r>
    </w:p>
    <w:p>
      <w:pPr>
        <w:pStyle w:val="ListBullet"/>
        <w:ind w:left="259" w:hanging="173"/>
      </w:pPr>
      <w:r>
        <w:rPr>
          <w:rFonts w:ascii="Arial" w:hAnsi="Arial" w:eastAsia="Arial"/>
          <w:b w:val="0"/>
          <w:color w:val="394649"/>
          <w:sz w:val="20"/>
        </w:rPr>
        <w:t>Корпоративні дані не автозберігаються у браузері. Користувач зберігає окремий файл проєкту вручну.</w:t>
      </w:r>
    </w:p>
    <w:p>
      <w:pPr>
        <w:pStyle w:val="ListBullet"/>
        <w:ind w:left="259" w:hanging="173"/>
      </w:pPr>
      <w:r>
        <w:rPr>
          <w:rFonts w:ascii="Arial" w:hAnsi="Arial" w:eastAsia="Arial"/>
          <w:b w:val="0"/>
          <w:color w:val="394649"/>
          <w:sz w:val="20"/>
        </w:rPr>
        <w:t>У браузері може зберігатися лише службова інформація про назву та час останнього відкриття проєкту.</w:t>
      </w:r>
    </w:p>
    <w:p>
      <w:pPr>
        <w:pStyle w:val="ListBullet"/>
        <w:ind w:left="259" w:hanging="173"/>
      </w:pPr>
      <w:r>
        <w:rPr>
          <w:rFonts w:ascii="Arial" w:hAnsi="Arial" w:eastAsia="Arial"/>
          <w:b w:val="0"/>
          <w:color w:val="394649"/>
          <w:sz w:val="20"/>
        </w:rPr>
        <w:t>Актуальність версії користувач перевіряє на публічному порталі вручну.</w:t>
      </w:r>
    </w:p>
    <w:p>
      <w:pPr>
        <w:pStyle w:val="Heading1"/>
      </w:pPr>
      <w:r>
        <w:t>Використаний сторонній компонент</w:t>
      </w:r>
    </w:p>
    <w:p>
      <w:r>
        <w:t>SheetJS Community Edition 0.20.3 використовується для локального читання та створення XLSX/CSV. Компонент вбудовано у HTML, він не завантажується з CDN. Ліцензія: Apache License 2.0. Інші зовнішні бібліотеки, шрифти, аналітика та телеметрія не використовуються.</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208"/>
      <w:gridCol w:w="1872"/>
    </w:tblGrid>
    <w:tr>
      <w:tc>
        <w:tcPr>
          <w:tcW w:type="dxa" w:w="5040"/>
        </w:tcPr>
        <w:p>
          <w:r>
            <w:rPr>
              <w:rFonts w:ascii="Arial" w:hAnsi="Arial" w:eastAsia="Arial"/>
              <w:color w:val="6E7878"/>
              <w:sz w:val="15"/>
            </w:rPr>
            <w:t>Барометр психосоціальної безпеки робочого середовища · Версія 1.0</w:t>
          </w:r>
        </w:p>
      </w:tc>
      <w:tc>
        <w:tcPr>
          <w:tcW w:type="dxa" w:w="5040"/>
        </w:tcPr>
        <w:p>
          <w:pPr>
            <w:jc w:val="right"/>
          </w:pPr>
          <w:r>
            <w:rPr>
              <w:rFonts w:ascii="Arial" w:hAnsi="Arial" w:eastAsia="Arial"/>
              <w:color w:val="6E7878"/>
              <w:sz w:val="16"/>
            </w:rPr>
            <w:t xml:space="preserve">Сторінка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eastAsia="Arial"/>
        <w:b/>
        <w:color w:val="617F7E"/>
        <w:sz w:val="15"/>
      </w:rPr>
      <w:t>БАРОМЕТР  /  ТЕХНІЧНА ДОВІДКА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3946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C58A35"/>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617F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3946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