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Coach Scoring Guide</w:t>
      </w:r>
    </w:p>
    <w:p>
      <w:pPr>
        <w:pStyle w:val="Subtitle"/>
      </w:pPr>
      <w:r>
        <w:t>Seven sections · 24 criteria · Adviser communication</w:t>
      </w:r>
    </w:p>
    <w:p>
      <w:r>
        <w:t>Prepared for consultant review on 2 October 2026</w:t>
      </w:r>
    </w:p>
    <w:p>
      <w:r>
        <w:t>This guide explains what Meeting Coach assesses, how evidence supports a judgment, and how the resulting scores are calculated. Please review whether the criteria and anchors are fair, observable and useful across different meeting types.</w:t>
      </w:r>
    </w:p>
    <w:p>
      <w:r>
        <w:t>The tool assesses the adviser's communication and meeting craft. It does not judge clients, evaluate investment suitability, certify compliance or generate client advice. English, Afrikaans and mixed-language meetings use the same criteria; coaching is in British English and quotes retain the original speech.</w:t>
      </w:r>
    </w:p>
    <w:p>
      <w:pPr>
        <w:pStyle w:val="Heading2"/>
      </w:pPr>
      <w:r>
        <w:t>The seven sections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6077"/>
        <w:gridCol w:w="792"/>
      </w:tblGrid>
      <w:tr>
        <w:trPr>
          <w:cantSplit/>
          <w:tblHeader/>
        </w:trPr>
        <w:tc>
          <w:tcPr>
            <w:tcW w:type="dxa" w:w="29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344D5C"/>
          </w:tcPr>
          <w:p>
            <w:pPr>
              <w:spacing w:after="0" w:before="0" w:line="250" w:lineRule="auto"/>
            </w:pPr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6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344D5C"/>
          </w:tcPr>
          <w:p>
            <w:pPr>
              <w:spacing w:after="0" w:before="0" w:line="250" w:lineRule="auto"/>
            </w:pPr>
            <w:r>
              <w:rPr>
                <w:b/>
                <w:color w:val="FFFFFF"/>
                <w:sz w:val="19"/>
              </w:rPr>
              <w:t>Focus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344D5C"/>
          </w:tcPr>
          <w:p>
            <w:pPr>
              <w:spacing w:after="0" w:before="0" w:line="250" w:lineRule="auto"/>
            </w:pPr>
            <w:r>
              <w:rPr>
                <w:b/>
                <w:color w:val="FFFFFF"/>
                <w:sz w:val="19"/>
              </w:rPr>
              <w:t>Page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1 Human before agenda</w:t>
            </w:r>
          </w:p>
        </w:tc>
        <w:tc>
          <w:tcPr>
            <w:tcW w:type="dxa" w:w="6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Assess whether the opening recognises the person and lets the client influence the conversation before financial analysis begins.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2 Listening share</w:t>
            </w:r>
          </w:p>
        </w:tc>
        <w:tc>
          <w:tcPr>
            <w:tcW w:type="dxa" w:w="6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Assess whether the adviser makes room for the client and responds to what the client actually says.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3 Behavioural coaching moments</w:t>
            </w:r>
          </w:p>
        </w:tc>
        <w:tc>
          <w:tcPr>
            <w:tcW w:type="dxa" w:w="6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Assess how the adviser responds to worry and helps the client think ahead about difficult periods.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4 Plain language</w:t>
            </w:r>
          </w:p>
        </w:tc>
        <w:tc>
          <w:tcPr>
            <w:tcW w:type="dxa" w:w="6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Assess whether explanations are understandable and whether the adviser checks actual understanding.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5 Agreements &amp; adherence</w:t>
            </w:r>
          </w:p>
        </w:tc>
        <w:tc>
          <w:tcPr>
            <w:tcW w:type="dxa" w:w="6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Assess whether a meeting turns discussion into understood decisions and manageable next steps.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6 Anchored to their why</w:t>
            </w:r>
          </w:p>
        </w:tc>
        <w:tc>
          <w:tcPr>
            <w:tcW w:type="dxa" w:w="6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Assess whether the adviser connects discussion and recommendations to what this particular client values and wants.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7 Both voices</w:t>
            </w:r>
          </w:p>
        </w:tc>
        <w:tc>
          <w:tcPr>
            <w:tcW w:type="dxa" w:w="6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Assess whether both partners in an explicitly confirmed couple meeting participate and confirm important decisions.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9</w:t>
            </w:r>
          </w:p>
        </w:tc>
      </w:tr>
    </w:tbl>
    <w:p>
      <w:pPr>
        <w:pStyle w:val="Heading2"/>
      </w:pPr>
      <w:r>
        <w:t>How to read each section</w:t>
      </w:r>
    </w:p>
    <w:p>
      <w:r>
        <w:t>Each section has its own page with the current anchors and exact criterion wording. Explanations, evidence guidance and not-assessable examples are interpretation notes for consultant review; they do not add new scoring rules.</w:t>
      </w:r>
    </w:p>
    <w:p>
      <w:pPr>
        <w:pStyle w:val="Heading2"/>
      </w:pPr>
      <w:r>
        <w:t>What a criterion verdict means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7790"/>
      </w:tblGrid>
      <w:tr>
        <w:trPr>
          <w:cantSplit/>
          <w:tblHeader/>
        </w:trPr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344D5C"/>
          </w:tcPr>
          <w:p>
            <w:pPr>
              <w:spacing w:after="0" w:before="0" w:line="250" w:lineRule="auto"/>
            </w:pPr>
            <w:r>
              <w:rPr>
                <w:b/>
                <w:color w:val="FFFFFF"/>
                <w:sz w:val="19"/>
              </w:rPr>
              <w:t>Verdict</w:t>
            </w:r>
          </w:p>
        </w:tc>
        <w:tc>
          <w:tcPr>
            <w:tcW w:type="dxa" w:w="77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344D5C"/>
          </w:tcPr>
          <w:p>
            <w:pPr>
              <w:spacing w:after="0" w:before="0" w:line="250" w:lineRule="auto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Met</w:t>
            </w:r>
          </w:p>
        </w:tc>
        <w:tc>
          <w:tcPr>
            <w:tcW w:type="dxa" w:w="77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The relevant behaviour is demonstrated by the cited interaction.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Partially met</w:t>
            </w:r>
          </w:p>
        </w:tc>
        <w:tc>
          <w:tcPr>
            <w:tcW w:type="dxa" w:w="77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The behaviour is incomplete, inconsistent or only partly demonstrated.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Not met</w:t>
            </w:r>
          </w:p>
        </w:tc>
        <w:tc>
          <w:tcPr>
            <w:tcW w:type="dxa" w:w="77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A real opportunity arose and was missed or contradicted; the relevant interaction must be cited.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Not assessable</w:t>
            </w:r>
          </w:p>
        </w:tc>
        <w:tc>
          <w:tcPr>
            <w:tcW w:type="dxa" w:w="77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No relevant opportunity or adequate evidence is visible. This is not a failure.</w:t>
            </w:r>
          </w:p>
        </w:tc>
      </w:tr>
    </w:tbl>
    <w:p>
      <w:r>
        <w:t>The Afrikaans-specific Plain language criterion has been removed. All seven sections remain; Plain language now has two criteria. This is the operative rubric, version 1.1.</w:t>
      </w:r>
    </w:p>
    <w:p>
      <w:r>
        <w:br w:type="page"/>
      </w:r>
    </w:p>
    <w:p>
      <w:pPr>
        <w:pStyle w:val="Heading1"/>
      </w:pPr>
      <w:r>
        <w:t>How scoring is determined</w:t>
      </w:r>
    </w:p>
    <w:p>
      <w:r>
        <w:t>The computer calculates conversation metrics. The AI makes evidence-based judgments against the rubric. The server validates the output and calculates the overall; it does not determine whether the AI's interpretation is fair.</w:t>
      </w:r>
    </w:p>
    <w:p>
      <w:pPr>
        <w:pStyle w:val="Heading2"/>
      </w:pPr>
      <w:r>
        <w:t>From transcript to category score</w:t>
      </w:r>
    </w:p>
    <w:p>
      <w:pPr>
        <w:pStyle w:val="Heading3"/>
      </w:pPr>
      <w:r>
        <w:t>1 Confirm context</w:t>
      </w:r>
    </w:p>
    <w:p>
      <w:r>
        <w:t>Select the adviser and confirm other speakers as clients or observers. Both voices applies only to a confirmed couple with two clients. Unsupported attribution is rejected.</w:t>
      </w:r>
    </w:p>
    <w:p>
      <w:pPr>
        <w:pStyle w:val="Heading3"/>
      </w:pPr>
      <w:r>
        <w:t>2 Calculate the metrics</w:t>
      </w:r>
    </w:p>
    <w:p>
      <w:r>
        <w:t>Code calculates the figures below. Observer speech remains in context but is excluded from adviser/client metrics; it still breaks uninterrupted spans.</w:t>
      </w:r>
    </w:p>
    <w:p>
      <w:pPr>
        <w:pStyle w:val="Heading3"/>
      </w:pPr>
      <w:r>
        <w:t>3 Assess every criterion</w:t>
      </w:r>
    </w:p>
    <w:p>
      <w:r>
        <w:t>Each verdict has a rationale. An assessable criterion requires a verbatim quote from a transcript segment; that segment supplies its speaker and any real timestamp.</w:t>
      </w:r>
    </w:p>
    <w:p>
      <w:pPr>
        <w:pStyle w:val="Heading3"/>
      </w:pPr>
      <w:r>
        <w:t>4 Apply the category anchors</w:t>
      </w:r>
    </w:p>
    <w:p>
      <w:r>
        <w:t>The AI assigns each assessable category a value from 1 to 5 against the low, middle and high anchors. Middle means ordinary competence. Repeated strong evidence supports the top; clear counter-evidence supports the bottom.</w:t>
      </w:r>
    </w:p>
    <w:p>
      <w:pPr>
        <w:pStyle w:val="Heading3"/>
      </w:pPr>
      <w:r>
        <w:t>5 Validate and average</w:t>
      </w:r>
    </w:p>
    <w:p>
      <w:r>
        <w:t>Section and criterion IDs must be complete and unique. Unassessable sections have no numeric value. The server calculates the equal-weight mean of assessable sections.</w:t>
      </w:r>
    </w:p>
    <w:p>
      <w:r>
        <w:t>There is no fixed conversion from criterion verdicts to points, no arithmetic average of the criteria, and no special weighting for sections with more criteria. Values 2 and 4, or decimals, are model judgments between the supplied anchors; all five levels are not separately defined in the current rubric.</w:t>
      </w:r>
    </w:p>
    <w:p>
      <w:pPr>
        <w:pStyle w:val="Heading2"/>
      </w:pPr>
      <w:r>
        <w:t>What the calculated metrics mean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7992"/>
      </w:tblGrid>
      <w:tr>
        <w:trPr>
          <w:cantSplit/>
          <w:tblHeader/>
        </w:trP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344D5C"/>
          </w:tcPr>
          <w:p>
            <w:pPr>
              <w:spacing w:after="0" w:before="0" w:line="250" w:lineRule="auto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344D5C"/>
          </w:tcPr>
          <w:p>
            <w:pPr>
              <w:spacing w:after="0" w:before="0" w:line="250" w:lineRule="auto"/>
            </w:pPr>
            <w:r>
              <w:rPr>
                <w:b/>
                <w:color w:val="FFFFFF"/>
                <w:sz w:val="19"/>
              </w:rPr>
              <w:t>Calculation and limitation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Talk share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Estimated adviser duration ÷ (adviser + client duration). Use timestamp gaps when all starts are valid and non-decreasing; otherwise words at 140 words per minute.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Question turns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Adviser speech segments ending in a question mark. Not a comprehensive linguistic inventory.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Uninterrupted spans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Consecutive segments by the same speaker. Observer speech breaks a run. Gaps include pauses; repeated starts and an unknown final tail use word estimates.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Duration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Known total if supplied; otherwise the visible timestamp span plus estimated tail, or a word-based estimate. Known duration never creates quote timestamps.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Client balance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For a couple only: larger client speaking duration ÷ smaller. Approximate 2:1 and 3:1 thresholds guide judgment; they do not measure understanding.</w:t>
            </w:r>
          </w:p>
        </w:tc>
      </w:tr>
    </w:tbl>
    <w:p>
      <w:pPr>
        <w:pStyle w:val="Heading2"/>
      </w:pPr>
      <w:r>
        <w:t>The overall score</w:t>
      </w:r>
    </w:p>
    <w:p>
      <w:r>
        <w:t>Example: six assessable category scores of 4, 3, 3, 4, 4 and 3 sum to 21. Both voices is n/a in a solo meeting. Overall = 21 ÷ 6 = 3.50 out of 5. A fully unassessable review has overall n/a. Displayed precision is not proof of scientific accuracy.</w:t>
      </w:r>
    </w:p>
    <w:p>
      <w:r>
        <w:t>A valid quote does not prove a fair interpretation. Scores can vary between AI runs. Calibration should check evidence coverage, fair n/a decisions, useful coaching and agreement with human judgments.</w:t>
      </w:r>
    </w:p>
    <w:p>
      <w:r>
        <w:br w:type="page"/>
      </w:r>
    </w:p>
    <w:p>
      <w:pPr>
        <w:pStyle w:val="Heading1"/>
      </w:pPr>
      <w:r>
        <w:t>1 Human before agenda</w:t>
      </w:r>
    </w:p>
    <w:p>
      <w:r>
        <w:t>Assess whether the opening recognises the person and lets the client influence the conversation before financial analysis begins.</w:t>
      </w:r>
    </w:p>
    <w:p>
      <w:pPr>
        <w:pStyle w:val="Heading2"/>
      </w:pPr>
      <w:r>
        <w:t>Current scoring anchors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855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344D5C"/>
          </w:tcPr>
          <w:p>
            <w:pPr>
              <w:spacing w:after="0" w:before="0" w:line="250" w:lineRule="auto"/>
            </w:pPr>
            <w:r>
              <w:rPr>
                <w:b/>
                <w:color w:val="FFFFFF"/>
                <w:sz w:val="19"/>
              </w:rPr>
              <w:t>Anchor</w:t>
            </w:r>
          </w:p>
        </w:tc>
        <w:tc>
          <w:tcPr>
            <w:tcW w:type="dxa" w:w="8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344D5C"/>
          </w:tcPr>
          <w:p>
            <w:pPr>
              <w:spacing w:after="0" w:before="0" w:line="250" w:lineRule="auto"/>
            </w:pPr>
            <w:r>
              <w:rPr>
                <w:b/>
                <w:color w:val="FFFFFF"/>
                <w:sz w:val="19"/>
              </w:rPr>
              <w:t>Current rubric wording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Low</w:t>
            </w:r>
          </w:p>
        </w:tc>
        <w:tc>
          <w:tcPr>
            <w:tcW w:type="dxa" w:w="8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Numbers within the first minute, no check-in.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Middle</w:t>
            </w:r>
          </w:p>
        </w:tc>
        <w:tc>
          <w:tcPr>
            <w:tcW w:type="dxa" w:w="8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Brief check-in, then adviser-set agenda.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High</w:t>
            </w:r>
          </w:p>
        </w:tc>
        <w:tc>
          <w:tcPr>
            <w:tcW w:type="dxa" w:w="8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Genuine opening conversation, and the client shaped the agenda.</w:t>
            </w:r>
          </w:p>
        </w:tc>
      </w:tr>
    </w:tbl>
    <w:p>
      <w:r>
        <w:t>Judge the quality of engagement, not the length of small talk. A polite opening alone supports the middle anchor; strong evidence combines a meaningful response with a client-shaped agenda.</w:t>
      </w:r>
    </w:p>
    <w:p>
      <w:pPr>
        <w:pStyle w:val="Heading3"/>
      </w:pPr>
      <w:r>
        <w:t>1.1 Engage with the opening answer</w:t>
      </w:r>
    </w:p>
    <w:p>
      <w:pPr>
        <w:spacing w:after="60"/>
      </w:pPr>
      <w:r>
        <w:rPr>
          <w:i/>
          <w:sz w:val="20"/>
        </w:rPr>
        <w:t>The adviser opened by asking how the client is doing, and engaged with the answer rather than treating it as a formality.</w:t>
      </w:r>
    </w:p>
    <w:p>
      <w:r>
        <w:t>A check-in matters when the adviser listens to the reply and follows its meaning. A scripted question followed immediately by figures is weaker evidence.</w:t>
      </w:r>
    </w:p>
    <w:p>
      <w:r>
        <w:rPr>
          <w:b/>
        </w:rPr>
        <w:t xml:space="preserve">Evidence to look for: </w:t>
      </w:r>
      <w:r>
        <w:t>Look for the opening question, the client's answer and the adviser's response together.</w:t>
      </w:r>
    </w:p>
    <w:p>
      <w:r>
        <w:rPr>
          <w:b/>
        </w:rPr>
        <w:t xml:space="preserve">Not assessable when: </w:t>
      </w:r>
      <w:r>
        <w:t>The recording or excerpt omits the opening.</w:t>
      </w:r>
    </w:p>
    <w:p>
      <w:pPr>
        <w:pStyle w:val="Heading3"/>
      </w:pPr>
      <w:r>
        <w:t>1.2 Acknowledge life events</w:t>
      </w:r>
    </w:p>
    <w:p>
      <w:pPr>
        <w:spacing w:after="60"/>
      </w:pPr>
      <w:r>
        <w:rPr>
          <w:i/>
          <w:sz w:val="20"/>
        </w:rPr>
        <w:t>Life events mentioned by the client were acknowledged before moving to financials.</w:t>
      </w:r>
    </w:p>
    <w:p>
      <w:r>
        <w:t>Recognise a change, loss, milestone or pressure before moving to its financial implications. The criterion assesses acknowledgement rather than counselling skill.</w:t>
      </w:r>
    </w:p>
    <w:p>
      <w:r>
        <w:rPr>
          <w:b/>
        </w:rPr>
        <w:t xml:space="preserve">Evidence to look for: </w:t>
      </w:r>
      <w:r>
        <w:t>A specific acknowledgement of the event and what it means to the client.</w:t>
      </w:r>
    </w:p>
    <w:p>
      <w:r>
        <w:rPr>
          <w:b/>
        </w:rPr>
        <w:t xml:space="preserve">Not assessable when: </w:t>
      </w:r>
      <w:r>
        <w:t>No life event is mentioned or visible.</w:t>
      </w:r>
    </w:p>
    <w:p>
      <w:pPr>
        <w:pStyle w:val="Heading3"/>
      </w:pPr>
      <w:r>
        <w:t>1.3 Let the client shape the agenda</w:t>
      </w:r>
    </w:p>
    <w:p>
      <w:pPr>
        <w:spacing w:after="60"/>
      </w:pPr>
      <w:r>
        <w:rPr>
          <w:i/>
          <w:sz w:val="20"/>
        </w:rPr>
        <w:t>The client was asked what would make the meeting most useful to them, and the agenda reflected the answer.</w:t>
      </w:r>
    </w:p>
    <w:p>
      <w:r>
        <w:t>Ask what would make the meeting useful and visibly adapt the order or priorities. Asking the question without responding to the answer is only partial evidence.</w:t>
      </w:r>
    </w:p>
    <w:p>
      <w:r>
        <w:rPr>
          <w:b/>
        </w:rPr>
        <w:t xml:space="preserve">Evidence to look for: </w:t>
      </w:r>
      <w:r>
        <w:t>The invitation, the client's priority and the agreed agenda or next transition.</w:t>
      </w:r>
    </w:p>
    <w:p>
      <w:r>
        <w:rPr>
          <w:b/>
        </w:rPr>
        <w:t xml:space="preserve">Not assessable when: </w:t>
      </w:r>
      <w:r>
        <w:t>The relevant opening or agenda discussion is missing.</w:t>
      </w:r>
    </w:p>
    <w:p>
      <w:pPr>
        <w:pStyle w:val="Heading3"/>
      </w:pPr>
      <w:r>
        <w:t>Point for consultant review</w:t>
      </w:r>
    </w:p>
    <w:p>
      <w:r>
        <w:t>A transcript starting after the opening cannot establish how the meeting began. Consider whether the opening is visible before assigning a score.</w:t>
      </w:r>
    </w:p>
    <w:p>
      <w:r>
        <w:br w:type="page"/>
      </w:r>
    </w:p>
    <w:p>
      <w:pPr>
        <w:pStyle w:val="Heading1"/>
      </w:pPr>
      <w:r>
        <w:t>2 Listening share</w:t>
      </w:r>
    </w:p>
    <w:p>
      <w:r>
        <w:t>Assess whether the adviser makes room for the client and responds to what the client actually says. Speaking share supports this judgment but does not define listening quality by itself.</w:t>
      </w:r>
    </w:p>
    <w:p>
      <w:pPr>
        <w:pStyle w:val="Heading2"/>
      </w:pPr>
      <w:r>
        <w:t>Current scoring anchors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855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344D5C"/>
          </w:tcPr>
          <w:p>
            <w:pPr>
              <w:spacing w:after="0" w:before="0" w:line="250" w:lineRule="auto"/>
            </w:pPr>
            <w:r>
              <w:rPr>
                <w:b/>
                <w:color w:val="FFFFFF"/>
                <w:sz w:val="19"/>
              </w:rPr>
              <w:t>Anchor</w:t>
            </w:r>
          </w:p>
        </w:tc>
        <w:tc>
          <w:tcPr>
            <w:tcW w:type="dxa" w:w="8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344D5C"/>
          </w:tcPr>
          <w:p>
            <w:pPr>
              <w:spacing w:after="0" w:before="0" w:line="250" w:lineRule="auto"/>
            </w:pPr>
            <w:r>
              <w:rPr>
                <w:b/>
                <w:color w:val="FFFFFF"/>
                <w:sz w:val="19"/>
              </w:rPr>
              <w:t>Current rubric wording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Low</w:t>
            </w:r>
          </w:p>
        </w:tc>
        <w:tc>
          <w:tcPr>
            <w:tcW w:type="dxa" w:w="8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Adviser talk share 65% or more, or a monologue over 4 minutes.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Middle</w:t>
            </w:r>
          </w:p>
        </w:tc>
        <w:tc>
          <w:tcPr>
            <w:tcW w:type="dxa" w:w="8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Share 45-65%.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High</w:t>
            </w:r>
          </w:p>
        </w:tc>
        <w:tc>
          <w:tcPr>
            <w:tcW w:type="dxa" w:w="8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Share 45% or below, with reflections and follow-ups that build on the client's own words.</w:t>
            </w:r>
          </w:p>
        </w:tc>
      </w:tr>
    </w:tbl>
    <w:p>
      <w:r>
        <w:t>The current anchors use 45% and 65% adviser-share reference points and a four-minute monologue. These are rubric thresholds, not proven universal cut-offs. Reflections and responsive follow-ups are also needed for a high judgment.</w:t>
      </w:r>
    </w:p>
    <w:p>
      <w:pPr>
        <w:pStyle w:val="Heading3"/>
      </w:pPr>
      <w:r>
        <w:t>2.1 Leave room for the client</w:t>
      </w:r>
    </w:p>
    <w:p>
      <w:pPr>
        <w:spacing w:after="60"/>
      </w:pPr>
      <w:r>
        <w:rPr>
          <w:i/>
          <w:sz w:val="20"/>
        </w:rPr>
        <w:t>Per the computed metrics, the adviser spoke less than the client (or close to parity).</w:t>
      </w:r>
    </w:p>
    <w:p>
      <w:r>
        <w:t>Use the computed adviser share of adviser/client speech. Observers are excluded. Compare the figure with the interaction; the model must not invent a different percentage.</w:t>
      </w:r>
    </w:p>
    <w:p>
      <w:r>
        <w:rPr>
          <w:b/>
        </w:rPr>
        <w:t xml:space="preserve">Evidence to look for: </w:t>
      </w:r>
      <w:r>
        <w:t>The provided share, plus a real exchange illustrating how space was given or taken.</w:t>
      </w:r>
    </w:p>
    <w:p>
      <w:r>
        <w:rPr>
          <w:b/>
        </w:rPr>
        <w:t xml:space="preserve">Not assessable when: </w:t>
      </w:r>
      <w:r>
        <w:t>Reliable adviser/client attribution is unavailable.</w:t>
      </w:r>
    </w:p>
    <w:p>
      <w:pPr>
        <w:pStyle w:val="Heading3"/>
      </w:pPr>
      <w:r>
        <w:t>2.2 Build questions on the answer</w:t>
      </w:r>
    </w:p>
    <w:p>
      <w:pPr>
        <w:spacing w:after="60"/>
      </w:pPr>
      <w:r>
        <w:rPr>
          <w:i/>
          <w:sz w:val="20"/>
        </w:rPr>
        <w:t>The adviser's questions built on what the client had just said, rather than returning to a script.</w:t>
      </w:r>
    </w:p>
    <w:p>
      <w:r>
        <w:t>Follow up a concern, goal or detail the client has just introduced. A question can be open-ended yet still ignore the preceding answer.</w:t>
      </w:r>
    </w:p>
    <w:p>
      <w:r>
        <w:rPr>
          <w:b/>
        </w:rPr>
        <w:t xml:space="preserve">Evidence to look for: </w:t>
      </w:r>
      <w:r>
        <w:t>Adjacent turns showing a clear connection between the client's words and the follow-up.</w:t>
      </w:r>
    </w:p>
    <w:p>
      <w:r>
        <w:rPr>
          <w:b/>
        </w:rPr>
        <w:t xml:space="preserve">Not assessable when: </w:t>
      </w:r>
      <w:r>
        <w:t>No relevant question-and-answer exchange is visible.</w:t>
      </w:r>
    </w:p>
    <w:p>
      <w:pPr>
        <w:pStyle w:val="Heading3"/>
      </w:pPr>
      <w:r>
        <w:t>2.3 Reflect meaning and feeling</w:t>
      </w:r>
    </w:p>
    <w:p>
      <w:pPr>
        <w:spacing w:after="60"/>
      </w:pPr>
      <w:r>
        <w:rPr>
          <w:i/>
          <w:sz w:val="20"/>
        </w:rPr>
        <w:t>The adviser used reflective listening - restating the client's meaning or feeling before responding - not only questions.</w:t>
      </w:r>
    </w:p>
    <w:p>
      <w:r>
        <w:t>Restate or check the client's meaning before responding. Repeating words mechanically is weaker than accurately reflecting the concern or feeling behind them.</w:t>
      </w:r>
    </w:p>
    <w:p>
      <w:r>
        <w:rPr>
          <w:b/>
        </w:rPr>
        <w:t xml:space="preserve">Evidence to look for: </w:t>
      </w:r>
      <w:r>
        <w:t>A client statement followed by a reflection and, where available, confirmation or correction.</w:t>
      </w:r>
    </w:p>
    <w:p>
      <w:r>
        <w:rPr>
          <w:b/>
        </w:rPr>
        <w:t xml:space="preserve">Not assessable when: </w:t>
      </w:r>
      <w:r>
        <w:t>The excerpt offers no assessable opportunity for a reflection.</w:t>
      </w:r>
    </w:p>
    <w:p>
      <w:pPr>
        <w:pStyle w:val="Heading3"/>
      </w:pPr>
      <w:r>
        <w:t>2.4 Check during explanations</w:t>
      </w:r>
    </w:p>
    <w:p>
      <w:pPr>
        <w:spacing w:after="60"/>
      </w:pPr>
      <w:r>
        <w:rPr>
          <w:i/>
          <w:sz w:val="20"/>
        </w:rPr>
        <w:t>Long explanations were broken with checks rather than delivered as monologues.</w:t>
      </w:r>
    </w:p>
    <w:p>
      <w:r>
        <w:t>Break substantial explanations with a useful invitation to respond. A token check after a very long speech may support only partial achievement.</w:t>
      </w:r>
    </w:p>
    <w:p>
      <w:r>
        <w:rPr>
          <w:b/>
        </w:rPr>
        <w:t xml:space="preserve">Evidence to look for: </w:t>
      </w:r>
      <w:r>
        <w:t>An explanation and the check that lets the client ask, correct or respond.</w:t>
      </w:r>
    </w:p>
    <w:p>
      <w:r>
        <w:rPr>
          <w:b/>
        </w:rPr>
        <w:t xml:space="preserve">Not assessable when: </w:t>
      </w:r>
      <w:r>
        <w:t>No substantial explanation occurs in the visible passage.</w:t>
      </w:r>
    </w:p>
    <w:p>
      <w:pPr>
        <w:pStyle w:val="Heading3"/>
      </w:pPr>
      <w:r>
        <w:t>Point for consultant review</w:t>
      </w:r>
    </w:p>
    <w:p>
      <w:r>
        <w:t>Review the overlapping anchor boundaries at exactly 45% and 65%, and whether the thresholds suit different meeting types. Planned technical explanations can increase adviser share without establishing poor listening.</w:t>
      </w:r>
    </w:p>
    <w:p>
      <w:r>
        <w:br w:type="page"/>
      </w:r>
    </w:p>
    <w:p>
      <w:pPr>
        <w:pStyle w:val="Heading1"/>
      </w:pPr>
      <w:r>
        <w:t>3 Behavioural coaching moments</w:t>
      </w:r>
    </w:p>
    <w:p>
      <w:r>
        <w:t>Assess how the adviser responds to worry and helps the client think ahead about difficult periods. This measures communication and preparation, not the correctness of investment advice.</w:t>
      </w:r>
    </w:p>
    <w:p>
      <w:pPr>
        <w:pStyle w:val="Heading2"/>
      </w:pPr>
      <w:r>
        <w:t>Current scoring anchors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855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344D5C"/>
          </w:tcPr>
          <w:p>
            <w:pPr>
              <w:spacing w:after="0" w:before="0" w:line="250" w:lineRule="auto"/>
            </w:pPr>
            <w:r>
              <w:rPr>
                <w:b/>
                <w:color w:val="FFFFFF"/>
                <w:sz w:val="19"/>
              </w:rPr>
              <w:t>Anchor</w:t>
            </w:r>
          </w:p>
        </w:tc>
        <w:tc>
          <w:tcPr>
            <w:tcW w:type="dxa" w:w="8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344D5C"/>
          </w:tcPr>
          <w:p>
            <w:pPr>
              <w:spacing w:after="0" w:before="0" w:line="250" w:lineRule="auto"/>
            </w:pPr>
            <w:r>
              <w:rPr>
                <w:b/>
                <w:color w:val="FFFFFF"/>
                <w:sz w:val="19"/>
              </w:rPr>
              <w:t>Current rubric wording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Low</w:t>
            </w:r>
          </w:p>
        </w:tc>
        <w:tc>
          <w:tcPr>
            <w:tcW w:type="dxa" w:w="8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Client anxiety met with a prediction or brushed past; no forward-looking coaching.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Middle</w:t>
            </w:r>
          </w:p>
        </w:tc>
        <w:tc>
          <w:tcPr>
            <w:tcW w:type="dxa" w:w="8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Reassurance given, plan referenced.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High</w:t>
            </w:r>
          </w:p>
        </w:tc>
        <w:tc>
          <w:tcPr>
            <w:tcW w:type="dxa" w:w="8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Anxiety named before it was answered AND future turbulence rehearsed unprompted.</w:t>
            </w:r>
          </w:p>
        </w:tc>
      </w:tr>
    </w:tbl>
    <w:p>
      <w:r>
        <w:t>A strong judgment needs both recognition of anxiety and forward-looking preparation when relevant. Missing anxiety or market discussion is not automatically failure; first establish the opportunity.</w:t>
      </w:r>
    </w:p>
    <w:p>
      <w:pPr>
        <w:pStyle w:val="Heading3"/>
      </w:pPr>
      <w:r>
        <w:t>3.1 Name the concern before answering</w:t>
      </w:r>
    </w:p>
    <w:p>
      <w:pPr>
        <w:spacing w:after="60"/>
      </w:pPr>
      <w:r>
        <w:rPr>
          <w:i/>
          <w:sz w:val="20"/>
        </w:rPr>
        <w:t>When the client expressed worry, the adviser named the concern before answering it.</w:t>
      </w:r>
    </w:p>
    <w:p>
      <w:r>
        <w:t>Acknowledge the worry in the client's terms before reassuring or explaining. Immediate predictions or dismissal can be counter-evidence when the client expressed a clear concern.</w:t>
      </w:r>
    </w:p>
    <w:p>
      <w:r>
        <w:rPr>
          <w:b/>
        </w:rPr>
        <w:t xml:space="preserve">Evidence to look for: </w:t>
      </w:r>
      <w:r>
        <w:t>The client's worry and the response that names, checks or bypasses it.</w:t>
      </w:r>
    </w:p>
    <w:p>
      <w:r>
        <w:rPr>
          <w:b/>
        </w:rPr>
        <w:t xml:space="preserve">Not assessable when: </w:t>
      </w:r>
      <w:r>
        <w:t>No worry or relevant concern is expressed.</w:t>
      </w:r>
    </w:p>
    <w:p>
      <w:pPr>
        <w:pStyle w:val="Heading3"/>
      </w:pPr>
      <w:r>
        <w:t>3.2 Anchor reassurance to the plan</w:t>
      </w:r>
    </w:p>
    <w:p>
      <w:pPr>
        <w:spacing w:after="60"/>
      </w:pPr>
      <w:r>
        <w:rPr>
          <w:i/>
          <w:sz w:val="20"/>
        </w:rPr>
        <w:t>Reassurance was anchored to the client's plan and long-term evidence, not to predictions about markets, tax, or politics.</w:t>
      </w:r>
    </w:p>
    <w:p>
      <w:r>
        <w:t>Explain reassurance through the client's plan and relevant long-term evidence. Confident forecasts about markets, tax or politics do not satisfy this communication criterion.</w:t>
      </w:r>
    </w:p>
    <w:p>
      <w:r>
        <w:rPr>
          <w:b/>
        </w:rPr>
        <w:t xml:space="preserve">Evidence to look for: </w:t>
      </w:r>
      <w:r>
        <w:t>A reassurance exchange and the stated reason supporting it.</w:t>
      </w:r>
    </w:p>
    <w:p>
      <w:r>
        <w:rPr>
          <w:b/>
        </w:rPr>
        <w:t xml:space="preserve">Not assessable when: </w:t>
      </w:r>
      <w:r>
        <w:t>No reassurance is offered or called for.</w:t>
      </w:r>
    </w:p>
    <w:p>
      <w:pPr>
        <w:pStyle w:val="Heading3"/>
      </w:pPr>
      <w:r>
        <w:t>3.3 Separate controllable factors</w:t>
      </w:r>
    </w:p>
    <w:p>
      <w:pPr>
        <w:spacing w:after="60"/>
      </w:pPr>
      <w:r>
        <w:rPr>
          <w:i/>
          <w:sz w:val="20"/>
        </w:rPr>
        <w:t>The adviser separated what is controllable from what is not, out loud.</w:t>
      </w:r>
    </w:p>
    <w:p>
      <w:r>
        <w:t>Make the distinction aloud between choices the client can influence and external events they cannot. The link should help the client decide where to focus.</w:t>
      </w:r>
    </w:p>
    <w:p>
      <w:r>
        <w:rPr>
          <w:b/>
        </w:rPr>
        <w:t xml:space="preserve">Evidence to look for: </w:t>
      </w:r>
      <w:r>
        <w:t>An explicit contrast between controllable actions and uncertain external conditions.</w:t>
      </w:r>
    </w:p>
    <w:p>
      <w:r>
        <w:rPr>
          <w:b/>
        </w:rPr>
        <w:t xml:space="preserve">Not assessable when: </w:t>
      </w:r>
      <w:r>
        <w:t>No relevant uncertainty or decision context appears.</w:t>
      </w:r>
    </w:p>
    <w:p>
      <w:pPr>
        <w:pStyle w:val="Heading3"/>
      </w:pPr>
      <w:r>
        <w:t>3.4 Rehearse a future difficult period</w:t>
      </w:r>
    </w:p>
    <w:p>
      <w:pPr>
        <w:spacing w:after="60"/>
      </w:pPr>
      <w:r>
        <w:rPr>
          <w:i/>
          <w:sz w:val="20"/>
        </w:rPr>
        <w:t>Proactive inoculation: at some point the adviser rehearsed a future bad patch before it exists, rather than only reacting to raised fears.</w:t>
      </w:r>
    </w:p>
    <w:p>
      <w:r>
        <w:t>Prepare for a possible bad patch before it happens, rather than responding only to a fear already raised. Assess the communication exercise, not a proposed financial strategy.</w:t>
      </w:r>
    </w:p>
    <w:p>
      <w:r>
        <w:rPr>
          <w:b/>
        </w:rPr>
        <w:t xml:space="preserve">Evidence to look for: </w:t>
      </w:r>
      <w:r>
        <w:t>A prospective scenario and discussion of how the client would respond or use the plan.</w:t>
      </w:r>
    </w:p>
    <w:p>
      <w:r>
        <w:rPr>
          <w:b/>
        </w:rPr>
        <w:t xml:space="preserve">Not assessable when: </w:t>
      </w:r>
      <w:r>
        <w:t>No relevant opportunity for future-turbulence preparation is established.</w:t>
      </w:r>
    </w:p>
    <w:p>
      <w:pPr>
        <w:pStyle w:val="Heading3"/>
      </w:pPr>
      <w:r>
        <w:t>Point for consultant review</w:t>
      </w:r>
    </w:p>
    <w:p>
      <w:r>
        <w:t>The high anchor combines reactive and proactive behaviours. Review whether the requirement is appropriate for every type of meeting before changing it.</w:t>
      </w:r>
    </w:p>
    <w:p>
      <w:r>
        <w:br w:type="page"/>
      </w:r>
    </w:p>
    <w:p>
      <w:pPr>
        <w:pStyle w:val="Heading1"/>
      </w:pPr>
      <w:r>
        <w:t>4 Plain language</w:t>
      </w:r>
    </w:p>
    <w:p>
      <w:r>
        <w:t>Assess whether explanations are understandable and whether the adviser checks actual understanding. Plain language concerns communication, not a client's education, intelligence or financial knowledge.</w:t>
      </w:r>
    </w:p>
    <w:p>
      <w:pPr>
        <w:pStyle w:val="Heading2"/>
      </w:pPr>
      <w:r>
        <w:t>Current scoring anchors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855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344D5C"/>
          </w:tcPr>
          <w:p>
            <w:pPr>
              <w:spacing w:after="0" w:before="0" w:line="250" w:lineRule="auto"/>
            </w:pPr>
            <w:r>
              <w:rPr>
                <w:b/>
                <w:color w:val="FFFFFF"/>
                <w:sz w:val="19"/>
              </w:rPr>
              <w:t>Anchor</w:t>
            </w:r>
          </w:p>
        </w:tc>
        <w:tc>
          <w:tcPr>
            <w:tcW w:type="dxa" w:w="8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344D5C"/>
          </w:tcPr>
          <w:p>
            <w:pPr>
              <w:spacing w:after="0" w:before="0" w:line="250" w:lineRule="auto"/>
            </w:pPr>
            <w:r>
              <w:rPr>
                <w:b/>
                <w:color w:val="FFFFFF"/>
                <w:sz w:val="19"/>
              </w:rPr>
              <w:t>Current rubric wording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Low</w:t>
            </w:r>
          </w:p>
        </w:tc>
        <w:tc>
          <w:tcPr>
            <w:tcW w:type="dxa" w:w="8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Jargon used repeatedly without translation.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Middle</w:t>
            </w:r>
          </w:p>
        </w:tc>
        <w:tc>
          <w:tcPr>
            <w:tcW w:type="dxa" w:w="8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Mostly plain, occasional unexplained terms.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High</w:t>
            </w:r>
          </w:p>
        </w:tc>
        <w:tc>
          <w:tcPr>
            <w:tcW w:type="dxa" w:w="8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Every technical term translated at first use, and understanding tested by invitation, not assumption.</w:t>
            </w:r>
          </w:p>
        </w:tc>
      </w:tr>
    </w:tbl>
    <w:p>
      <w:r>
        <w:t>Frequent unexplained jargon supports the low anchor. Mostly clear speech supports the middle. Strong evidence pairs ordinary explanations with an invitation to explain the idea back. A polite yes alone does not prove understanding.</w:t>
      </w:r>
    </w:p>
    <w:p>
      <w:pPr>
        <w:pStyle w:val="Heading3"/>
      </w:pPr>
      <w:r>
        <w:t>4.1 Explain terms at first use</w:t>
      </w:r>
    </w:p>
    <w:p>
      <w:pPr>
        <w:spacing w:after="60"/>
      </w:pPr>
      <w:r>
        <w:rPr>
          <w:i/>
          <w:sz w:val="20"/>
        </w:rPr>
        <w:t>Technical terms were either avoided or explained in ordinary words at first use.</w:t>
      </w:r>
    </w:p>
    <w:p>
      <w:r>
        <w:t>Avoid unnecessary technical terms or explain them when first introduced. Clear explanations should retain the meaning rather than replacing precision with a misleading simplification.</w:t>
      </w:r>
    </w:p>
    <w:p>
      <w:r>
        <w:rPr>
          <w:b/>
        </w:rPr>
        <w:t xml:space="preserve">Evidence to look for: </w:t>
      </w:r>
      <w:r>
        <w:t>The first use of a term and the nearby explanation or ordinary-language alternative. Repeated unexplained terms can be counter-evidence.</w:t>
      </w:r>
    </w:p>
    <w:p>
      <w:r>
        <w:rPr>
          <w:b/>
        </w:rPr>
        <w:t xml:space="preserve">Not assessable when: </w:t>
      </w:r>
      <w:r>
        <w:t>No relevant term or explanation is visible; do not invent a terminology problem.</w:t>
      </w:r>
    </w:p>
    <w:p>
      <w:pPr>
        <w:pStyle w:val="Heading3"/>
      </w:pPr>
      <w:r>
        <w:t>4.2 Invite teach-back</w:t>
      </w:r>
    </w:p>
    <w:p>
      <w:pPr>
        <w:spacing w:after="60"/>
      </w:pPr>
      <w:r>
        <w:rPr>
          <w:i/>
          <w:sz w:val="20"/>
        </w:rPr>
        <w:t>Understanding was checked by inviting the client to say it back in their own words - teach-back, not just "does that make sense?".</w:t>
      </w:r>
    </w:p>
    <w:p>
      <w:r>
        <w:t>Invite the client to explain the idea in their own words so misunderstandings can surface. Frame the invitation as a check on the explanation, not a test of the client.</w:t>
      </w:r>
    </w:p>
    <w:p>
      <w:r>
        <w:rPr>
          <w:b/>
        </w:rPr>
        <w:t xml:space="preserve">Evidence to look for: </w:t>
      </w:r>
      <w:r>
        <w:t>An invitation such as asking how the client would describe the idea, followed by their response and any clarification.</w:t>
      </w:r>
    </w:p>
    <w:p>
      <w:r>
        <w:rPr>
          <w:b/>
        </w:rPr>
        <w:t xml:space="preserve">Not assessable when: </w:t>
      </w:r>
      <w:r>
        <w:t>No substantive explanation or suitable understanding-check opportunity occurs.</w:t>
      </w:r>
    </w:p>
    <w:p>
      <w:pPr>
        <w:pStyle w:val="Heading3"/>
      </w:pPr>
      <w:r>
        <w:t>Point for consultant review</w:t>
      </w:r>
    </w:p>
    <w:p>
      <w:r>
        <w:t>The language-specific subsection has been removed. This section now has two criteria; the category keeps the same equal weight as the other assessable categories.</w:t>
      </w:r>
    </w:p>
    <w:p>
      <w:r>
        <w:br w:type="page"/>
      </w:r>
    </w:p>
    <w:p>
      <w:pPr>
        <w:pStyle w:val="Heading1"/>
      </w:pPr>
      <w:r>
        <w:t>5 Agreements and adherence</w:t>
      </w:r>
    </w:p>
    <w:p>
      <w:r>
        <w:t>Assess whether a meeting turns discussion into understood decisions and manageable next steps. A transcript can show how follow-through was supported; it cannot prove that actions were later completed.</w:t>
      </w:r>
    </w:p>
    <w:p>
      <w:pPr>
        <w:pStyle w:val="Heading2"/>
      </w:pPr>
      <w:r>
        <w:t>Current scoring anchors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855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344D5C"/>
          </w:tcPr>
          <w:p>
            <w:pPr>
              <w:spacing w:after="0" w:before="0" w:line="250" w:lineRule="auto"/>
            </w:pPr>
            <w:r>
              <w:rPr>
                <w:b/>
                <w:color w:val="FFFFFF"/>
                <w:sz w:val="19"/>
              </w:rPr>
              <w:t>Anchor</w:t>
            </w:r>
          </w:p>
        </w:tc>
        <w:tc>
          <w:tcPr>
            <w:tcW w:type="dxa" w:w="8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344D5C"/>
          </w:tcPr>
          <w:p>
            <w:pPr>
              <w:spacing w:after="0" w:before="0" w:line="250" w:lineRule="auto"/>
            </w:pPr>
            <w:r>
              <w:rPr>
                <w:b/>
                <w:color w:val="FFFFFF"/>
                <w:sz w:val="19"/>
              </w:rPr>
              <w:t>Current rubric wording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Low</w:t>
            </w:r>
          </w:p>
        </w:tc>
        <w:tc>
          <w:tcPr>
            <w:tcW w:type="dxa" w:w="8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Meeting ends without decisions restated.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Middle</w:t>
            </w:r>
          </w:p>
        </w:tc>
        <w:tc>
          <w:tcPr>
            <w:tcW w:type="dxa" w:w="8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Adviser summarises actions.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High</w:t>
            </w:r>
          </w:p>
        </w:tc>
        <w:tc>
          <w:tcPr>
            <w:tcW w:type="dxa" w:w="8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Readback confirmed aloud, action load kept small, first step easy, obstacles anticipated.</w:t>
            </w:r>
          </w:p>
        </w:tc>
      </w:tr>
    </w:tbl>
    <w:p>
      <w:r>
        <w:t>An adviser-only summary supports the middle anchor. Stronger evidence includes client confirmation, explicit ownership and timing, a manageable first step and anticipated obstacles. No decision is not automatically a poor close.</w:t>
      </w:r>
    </w:p>
    <w:p>
      <w:pPr>
        <w:pStyle w:val="Heading3"/>
      </w:pPr>
      <w:r>
        <w:t>5.1 Read back and confirm decisions</w:t>
      </w:r>
    </w:p>
    <w:p>
      <w:pPr>
        <w:spacing w:after="60"/>
      </w:pPr>
      <w:r>
        <w:rPr>
          <w:i/>
          <w:sz w:val="20"/>
        </w:rPr>
        <w:t>Every decision reached was restated by the adviser in one sentence, and the client audibly confirmed each.</w:t>
      </w:r>
    </w:p>
    <w:p>
      <w:r>
        <w:t>Restate each decision clearly and invite audible confirmation. A general closing thank-you is not evidence that every material decision was understood and agreed.</w:t>
      </w:r>
    </w:p>
    <w:p>
      <w:r>
        <w:rPr>
          <w:b/>
        </w:rPr>
        <w:t xml:space="preserve">Evidence to look for: </w:t>
      </w:r>
      <w:r>
        <w:t>The decision readback and the client's confirmation or correction.</w:t>
      </w:r>
    </w:p>
    <w:p>
      <w:r>
        <w:rPr>
          <w:b/>
        </w:rPr>
        <w:t xml:space="preserve">Not assessable when: </w:t>
      </w:r>
      <w:r>
        <w:t>No decision was reached or the decision/close is outside the excerpt.</w:t>
      </w:r>
    </w:p>
    <w:p>
      <w:pPr>
        <w:pStyle w:val="Heading3"/>
      </w:pPr>
      <w:r>
        <w:t>5.2 Assign actions and timing</w:t>
      </w:r>
    </w:p>
    <w:p>
      <w:pPr>
        <w:spacing w:after="60"/>
      </w:pPr>
      <w:r>
        <w:rPr>
          <w:i/>
          <w:sz w:val="20"/>
        </w:rPr>
        <w:t>Next steps were assigned out loud - what the adviser does, what the client does, and roughly by when.</w:t>
      </w:r>
    </w:p>
    <w:p>
      <w:r>
        <w:t>Say who will do what and roughly when. Separate adviser responsibilities from client tasks so ownership does not remain implied.</w:t>
      </w:r>
    </w:p>
    <w:p>
      <w:r>
        <w:rPr>
          <w:b/>
        </w:rPr>
        <w:t xml:space="preserve">Evidence to look for: </w:t>
      </w:r>
      <w:r>
        <w:t>Explicit action, owner and approximate deadline stated aloud.</w:t>
      </w:r>
    </w:p>
    <w:p>
      <w:r>
        <w:rPr>
          <w:b/>
        </w:rPr>
        <w:t xml:space="preserve">Not assessable when: </w:t>
      </w:r>
      <w:r>
        <w:t>There are no relevant next steps in the visible meeting.</w:t>
      </w:r>
    </w:p>
    <w:p>
      <w:pPr>
        <w:pStyle w:val="Heading3"/>
      </w:pPr>
      <w:r>
        <w:t>5.3 Keep the action load manageable</w:t>
      </w:r>
    </w:p>
    <w:p>
      <w:pPr>
        <w:spacing w:after="60"/>
      </w:pPr>
      <w:r>
        <w:rPr>
          <w:i/>
          <w:sz w:val="20"/>
        </w:rPr>
        <w:t>The client's action load was kept deliberately small (roughly three items or fewer), with the first step easy and near-term.</w:t>
      </w:r>
    </w:p>
    <w:p>
      <w:r>
        <w:t>The rubric favours roughly three client tasks or fewer, with an easy, near-term first step. Count actions from the conversation rather than assuming brevity means feasibility.</w:t>
      </w:r>
    </w:p>
    <w:p>
      <w:r>
        <w:rPr>
          <w:b/>
        </w:rPr>
        <w:t xml:space="preserve">Evidence to look for: </w:t>
      </w:r>
      <w:r>
        <w:t>The requested task set and a practical first action the client can begin.</w:t>
      </w:r>
    </w:p>
    <w:p>
      <w:r>
        <w:rPr>
          <w:b/>
        </w:rPr>
        <w:t xml:space="preserve">Not assessable when: </w:t>
      </w:r>
      <w:r>
        <w:t>No client action is assigned.</w:t>
      </w:r>
    </w:p>
    <w:p>
      <w:pPr>
        <w:pStyle w:val="Heading3"/>
      </w:pPr>
      <w:r>
        <w:t>5.4 Anticipate obstacles</w:t>
      </w:r>
    </w:p>
    <w:p>
      <w:pPr>
        <w:spacing w:after="60"/>
      </w:pPr>
      <w:r>
        <w:rPr>
          <w:i/>
          <w:sz w:val="20"/>
        </w:rPr>
        <w:t>Likely obstacles to follow-through were asked about or anticipated ("what would get in the way of this?").</w:t>
      </w:r>
    </w:p>
    <w:p>
      <w:r>
        <w:t>Ask about or anticipate what could prevent follow-through. A relevant practical obstacle matters more than a generic encouragement to get things done.</w:t>
      </w:r>
    </w:p>
    <w:p>
      <w:r>
        <w:rPr>
          <w:b/>
        </w:rPr>
        <w:t xml:space="preserve">Evidence to look for: </w:t>
      </w:r>
      <w:r>
        <w:t>A question about barriers or a specific barrier addressed before the meeting ends.</w:t>
      </w:r>
    </w:p>
    <w:p>
      <w:r>
        <w:rPr>
          <w:b/>
        </w:rPr>
        <w:t xml:space="preserve">Not assessable when: </w:t>
      </w:r>
      <w:r>
        <w:t>No follow-through commitment or relevant opportunity is present.</w:t>
      </w:r>
    </w:p>
    <w:p>
      <w:pPr>
        <w:pStyle w:val="Heading3"/>
      </w:pPr>
      <w:r>
        <w:t>Point for consultant review</w:t>
      </w:r>
    </w:p>
    <w:p>
      <w:r>
        <w:t>Keep the distinction between communication of agreement and actual adherence. This category does not certify informed consent, compliance or financial suitability.</w:t>
      </w:r>
    </w:p>
    <w:p>
      <w:r>
        <w:br w:type="page"/>
      </w:r>
    </w:p>
    <w:p>
      <w:pPr>
        <w:pStyle w:val="Heading1"/>
      </w:pPr>
      <w:r>
        <w:t>6 Anchored to their why</w:t>
      </w:r>
    </w:p>
    <w:p>
      <w:r>
        <w:t>Assess whether the adviser connects discussion and recommendations to what this particular client values and wants. The category measures the expressed link, not whether a recommendation is financially suitable.</w:t>
      </w:r>
    </w:p>
    <w:p>
      <w:pPr>
        <w:pStyle w:val="Heading2"/>
      </w:pPr>
      <w:r>
        <w:t>Current scoring anchors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855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344D5C"/>
          </w:tcPr>
          <w:p>
            <w:pPr>
              <w:spacing w:after="0" w:before="0" w:line="250" w:lineRule="auto"/>
            </w:pPr>
            <w:r>
              <w:rPr>
                <w:b/>
                <w:color w:val="FFFFFF"/>
                <w:sz w:val="19"/>
              </w:rPr>
              <w:t>Anchor</w:t>
            </w:r>
          </w:p>
        </w:tc>
        <w:tc>
          <w:tcPr>
            <w:tcW w:type="dxa" w:w="8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344D5C"/>
          </w:tcPr>
          <w:p>
            <w:pPr>
              <w:spacing w:after="0" w:before="0" w:line="250" w:lineRule="auto"/>
            </w:pPr>
            <w:r>
              <w:rPr>
                <w:b/>
                <w:color w:val="FFFFFF"/>
                <w:sz w:val="19"/>
              </w:rPr>
              <w:t>Current rubric wording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Low</w:t>
            </w:r>
          </w:p>
        </w:tc>
        <w:tc>
          <w:tcPr>
            <w:tcW w:type="dxa" w:w="8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Recommendations justified only by product or tax logic.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Middle</w:t>
            </w:r>
          </w:p>
        </w:tc>
        <w:tc>
          <w:tcPr>
            <w:tcW w:type="dxa" w:w="8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Goals mentioned generically.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High</w:t>
            </w:r>
          </w:p>
        </w:tc>
        <w:tc>
          <w:tcPr>
            <w:tcW w:type="dxa" w:w="8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Each material recommendation explicitly tied back to something this client said they want.</w:t>
            </w:r>
          </w:p>
        </w:tc>
      </w:tr>
    </w:tbl>
    <w:p>
      <w:r>
        <w:t>Product, tax or return logic alone supports the low anchor when personal goals were relevant. A generic reference to goals is middle evidence. Strong evidence ties each material recommendation to a stated client priority.</w:t>
      </w:r>
    </w:p>
    <w:p>
      <w:pPr>
        <w:pStyle w:val="Heading3"/>
      </w:pPr>
      <w:r>
        <w:t>6.1 Link recommendations to stated goals</w:t>
      </w:r>
    </w:p>
    <w:p>
      <w:pPr>
        <w:spacing w:after="60"/>
      </w:pPr>
      <w:r>
        <w:rPr>
          <w:i/>
          <w:sz w:val="20"/>
        </w:rPr>
        <w:t>Recommendations were linked out loud to the client's own stated goals, values, or life plans ("because you said you want X..."), not only to returns, tax, or product features.</w:t>
      </w:r>
    </w:p>
    <w:p>
      <w:r>
        <w:t>Explain aloud why a recommendation relates to a goal, value or life plan the client has expressed. Merely mentioning goals beside product features is weaker evidence.</w:t>
      </w:r>
    </w:p>
    <w:p>
      <w:r>
        <w:rPr>
          <w:b/>
        </w:rPr>
        <w:t xml:space="preserve">Evidence to look for: </w:t>
      </w:r>
      <w:r>
        <w:t>The client-stated priority and the explicit recommendation-to-goal link, quoted separately if they occur in different segments.</w:t>
      </w:r>
    </w:p>
    <w:p>
      <w:r>
        <w:rPr>
          <w:b/>
        </w:rPr>
        <w:t xml:space="preserve">Not assessable when: </w:t>
      </w:r>
      <w:r>
        <w:t>No material recommendation or relevant client priority is visible.</w:t>
      </w:r>
    </w:p>
    <w:p>
      <w:pPr>
        <w:pStyle w:val="Heading3"/>
      </w:pPr>
      <w:r>
        <w:t>6.2 Use the client's own words</w:t>
      </w:r>
    </w:p>
    <w:p>
      <w:pPr>
        <w:spacing w:after="60"/>
      </w:pPr>
      <w:r>
        <w:rPr>
          <w:i/>
          <w:sz w:val="20"/>
        </w:rPr>
        <w:t>The client's own words for what matters were used, not the adviser's substitutes.</w:t>
      </w:r>
    </w:p>
    <w:p>
      <w:r>
        <w:t>Use the client's terms for what matters instead of substituting the adviser's interpretation. A faithful reflection is stronger than a generic phrase such as financial freedom.</w:t>
      </w:r>
    </w:p>
    <w:p>
      <w:r>
        <w:rPr>
          <w:b/>
        </w:rPr>
        <w:t xml:space="preserve">Evidence to look for: </w:t>
      </w:r>
      <w:r>
        <w:t>The original wording and its accurate use in the adviser's response.</w:t>
      </w:r>
    </w:p>
    <w:p>
      <w:r>
        <w:rPr>
          <w:b/>
        </w:rPr>
        <w:t xml:space="preserve">Not assessable when: </w:t>
      </w:r>
      <w:r>
        <w:t>The client's relevant wording is absent from the excerpt.</w:t>
      </w:r>
    </w:p>
    <w:p>
      <w:pPr>
        <w:pStyle w:val="Heading3"/>
      </w:pPr>
      <w:r>
        <w:t>6.3 Surface changes before advising</w:t>
      </w:r>
    </w:p>
    <w:p>
      <w:pPr>
        <w:spacing w:after="60"/>
      </w:pPr>
      <w:r>
        <w:rPr>
          <w:i/>
          <w:sz w:val="20"/>
        </w:rPr>
        <w:t>Where a goal had shifted, the shift was surfaced before advice was given on it.</w:t>
      </w:r>
    </w:p>
    <w:p>
      <w:r>
        <w:t>If a goal has changed, recognise and clarify that change before advising on it. Do not assume previous goals remain current merely because a plan already exists.</w:t>
      </w:r>
    </w:p>
    <w:p>
      <w:r>
        <w:rPr>
          <w:b/>
        </w:rPr>
        <w:t xml:space="preserve">Evidence to look for: </w:t>
      </w:r>
      <w:r>
        <w:t>The changed priority, its clarification and the sequence before the recommendation.</w:t>
      </w:r>
    </w:p>
    <w:p>
      <w:r>
        <w:rPr>
          <w:b/>
        </w:rPr>
        <w:t xml:space="preserve">Not assessable when: </w:t>
      </w:r>
      <w:r>
        <w:t>No changed goal is raised or established.</w:t>
      </w:r>
    </w:p>
    <w:p>
      <w:pPr>
        <w:pStyle w:val="Heading3"/>
      </w:pPr>
      <w:r>
        <w:t>Point for consultant review</w:t>
      </w:r>
    </w:p>
    <w:p>
      <w:r>
        <w:t>A convincing connection needs both sides: the client's stated priority and the adviser's link to it. Do not infer goals from demographic details or invent a recommendation in a discussion-only meeting.</w:t>
      </w:r>
    </w:p>
    <w:p>
      <w:r>
        <w:br w:type="page"/>
      </w:r>
    </w:p>
    <w:p>
      <w:pPr>
        <w:pStyle w:val="Heading1"/>
      </w:pPr>
      <w:r>
        <w:t>7 Both voices</w:t>
      </w:r>
    </w:p>
    <w:p>
      <w:r>
        <w:t>Assess whether both partners in an explicitly confirmed couple meeting participate and confirm important decisions. Two non-adviser speakers do not establish a couple; assistants and observers are separate roles.</w:t>
      </w:r>
    </w:p>
    <w:p>
      <w:pPr>
        <w:pStyle w:val="Heading2"/>
      </w:pPr>
      <w:r>
        <w:t>Current scoring anchors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8554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344D5C"/>
          </w:tcPr>
          <w:p>
            <w:pPr>
              <w:spacing w:after="0" w:before="0" w:line="250" w:lineRule="auto"/>
            </w:pPr>
            <w:r>
              <w:rPr>
                <w:b/>
                <w:color w:val="FFFFFF"/>
                <w:sz w:val="19"/>
              </w:rPr>
              <w:t>Anchor</w:t>
            </w:r>
          </w:p>
        </w:tc>
        <w:tc>
          <w:tcPr>
            <w:tcW w:type="dxa" w:w="8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344D5C"/>
          </w:tcPr>
          <w:p>
            <w:pPr>
              <w:spacing w:after="0" w:before="0" w:line="250" w:lineRule="auto"/>
            </w:pPr>
            <w:r>
              <w:rPr>
                <w:b/>
                <w:color w:val="FFFFFF"/>
                <w:sz w:val="19"/>
              </w:rPr>
              <w:t>Current rubric wording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Low</w:t>
            </w:r>
          </w:p>
        </w:tc>
        <w:tc>
          <w:tcPr>
            <w:tcW w:type="dxa" w:w="8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One client near-silent and never drawn in.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Middle</w:t>
            </w:r>
          </w:p>
        </w:tc>
        <w:tc>
          <w:tcPr>
            <w:tcW w:type="dxa" w:w="8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Both spoke, but one clearly carried it.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High</w:t>
            </w:r>
          </w:p>
        </w:tc>
        <w:tc>
          <w:tcPr>
            <w:tcW w:type="dxa" w:w="85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4F5"/>
          </w:tcPr>
          <w:p>
            <w:pPr>
              <w:spacing w:after="0" w:before="0" w:line="250" w:lineRule="auto"/>
            </w:pPr>
            <w:r>
              <w:rPr>
                <w:b w:val="0"/>
                <w:color w:val="222A2A"/>
                <w:sz w:val="19"/>
              </w:rPr>
              <w:t>Shares within roughly 2:1, quieter partner directly invited, and each confirmed decisions individually.</w:t>
            </w:r>
          </w:p>
        </w:tc>
      </w:tr>
    </w:tbl>
    <w:p>
      <w:r>
        <w:t>The rubric uses worse than about 3:1 as a concern and better than about 2:1 as support for a high score. Balanced time alone is insufficient: invitations, individual goals and confirmations also matter.</w:t>
      </w:r>
    </w:p>
    <w:p>
      <w:pPr>
        <w:pStyle w:val="Heading3"/>
      </w:pPr>
      <w:r>
        <w:t>7.1 Balance client participation</w:t>
      </w:r>
    </w:p>
    <w:p>
      <w:pPr>
        <w:spacing w:after="60"/>
      </w:pPr>
      <w:r>
        <w:rPr>
          <w:i/>
          <w:sz w:val="20"/>
        </w:rPr>
        <w:t>Per the computed metrics, speaking time between the two clients was reasonably balanced (worse than ~3:1 should pull down; better than ~2:1 supports a high score).</w:t>
      </w:r>
    </w:p>
    <w:p>
      <w:r>
        <w:t>Use the computed ratio of the larger to smaller client speaking time. Observer speech is excluded. A ratio reflects estimated participation, not equal understanding or an obligation to split time exactly.</w:t>
      </w:r>
    </w:p>
    <w:p>
      <w:r>
        <w:rPr>
          <w:b/>
        </w:rPr>
        <w:t xml:space="preserve">Evidence to look for: </w:t>
      </w:r>
      <w:r>
        <w:t>The supplied ratio and a relevant exchange showing the participation pattern.</w:t>
      </w:r>
    </w:p>
    <w:p>
      <w:r>
        <w:rPr>
          <w:b/>
        </w:rPr>
        <w:t xml:space="preserve">Not assessable when: </w:t>
      </w:r>
      <w:r>
        <w:t>Not a couple meeting or reliable separate client attribution is unavailable.</w:t>
      </w:r>
    </w:p>
    <w:p>
      <w:pPr>
        <w:pStyle w:val="Heading3"/>
      </w:pPr>
      <w:r>
        <w:t>7.2 Invite the quieter partner directly</w:t>
      </w:r>
    </w:p>
    <w:p>
      <w:pPr>
        <w:spacing w:after="60"/>
      </w:pPr>
      <w:r>
        <w:rPr>
          <w:i/>
          <w:sz w:val="20"/>
        </w:rPr>
        <w:t>The quieter partner was directly invited in by name at least twice, including on at least one substantive decision.</w:t>
      </w:r>
    </w:p>
    <w:p>
      <w:r>
        <w:t>The current criterion asks for at least two invitations by name, including one on a substantive decision. A single invitation can be partial evidence; absence needs an established opportunity.</w:t>
      </w:r>
    </w:p>
    <w:p>
      <w:r>
        <w:rPr>
          <w:b/>
        </w:rPr>
        <w:t xml:space="preserve">Evidence to look for: </w:t>
      </w:r>
      <w:r>
        <w:t>The direct invitations, whom they addressed and whether one concerned a material decision.</w:t>
      </w:r>
    </w:p>
    <w:p>
      <w:r>
        <w:rPr>
          <w:b/>
        </w:rPr>
        <w:t xml:space="preserve">Not assessable when: </w:t>
      </w:r>
      <w:r>
        <w:t>No relevant opportunity or decision is visible; the meeting is outside couple scope.</w:t>
      </w:r>
    </w:p>
    <w:p>
      <w:pPr>
        <w:pStyle w:val="Heading3"/>
      </w:pPr>
      <w:r>
        <w:t>7.3 Explore goals individually</w:t>
      </w:r>
    </w:p>
    <w:p>
      <w:pPr>
        <w:spacing w:after="60"/>
      </w:pPr>
      <w:r>
        <w:rPr>
          <w:i/>
          <w:sz w:val="20"/>
        </w:rPr>
        <w:t>Goals questions were put to each partner individually, not only to the couple jointly.</w:t>
      </w:r>
    </w:p>
    <w:p>
      <w:r>
        <w:t>Ask each partner about goals rather than accepting a joint answer as both people's priorities. Individual answers can reveal differences that a shared agenda masks.</w:t>
      </w:r>
    </w:p>
    <w:p>
      <w:r>
        <w:rPr>
          <w:b/>
        </w:rPr>
        <w:t xml:space="preserve">Evidence to look for: </w:t>
      </w:r>
      <w:r>
        <w:t>A goals question addressed to each person and their separate responses.</w:t>
      </w:r>
    </w:p>
    <w:p>
      <w:r>
        <w:rPr>
          <w:b/>
        </w:rPr>
        <w:t xml:space="preserve">Not assessable when: </w:t>
      </w:r>
      <w:r>
        <w:t>No goals discussion is visible or this is not a couple meeting.</w:t>
      </w:r>
    </w:p>
    <w:p>
      <w:pPr>
        <w:pStyle w:val="Heading3"/>
      </w:pPr>
      <w:r>
        <w:t>7.4 Hear confirmation from both</w:t>
      </w:r>
    </w:p>
    <w:p>
      <w:pPr>
        <w:spacing w:after="60"/>
      </w:pPr>
      <w:r>
        <w:rPr>
          <w:i/>
          <w:sz w:val="20"/>
        </w:rPr>
        <w:t>Each decision was confirmed aloud by both, not by one on behalf of two.</w:t>
      </w:r>
    </w:p>
    <w:p>
      <w:r>
        <w:t>Seek each partner's audible confirmation of each decision. One person's agreement on behalf of both is weaker evidence when a shared decision has actually been reached.</w:t>
      </w:r>
    </w:p>
    <w:p>
      <w:r>
        <w:rPr>
          <w:b/>
        </w:rPr>
        <w:t xml:space="preserve">Evidence to look for: </w:t>
      </w:r>
      <w:r>
        <w:t>The decision and separate confirmations or corrections from both clients.</w:t>
      </w:r>
    </w:p>
    <w:p>
      <w:r>
        <w:rPr>
          <w:b/>
        </w:rPr>
        <w:t xml:space="preserve">Not assessable when: </w:t>
      </w:r>
      <w:r>
        <w:t>No decision is reached or this is not a couple meeting.</w:t>
      </w:r>
    </w:p>
    <w:p>
      <w:pPr>
        <w:pStyle w:val="Heading3"/>
      </w:pPr>
      <w:r>
        <w:t>Point for consultant review</w:t>
      </w:r>
    </w:p>
    <w:p>
      <w:r>
        <w:t>Outside couple scope, the entire category is n/a and excluded from the overall. Within a couple meeting, distinguish a genuinely missed invitation from a passage too short to show the opportunity.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936" w:right="1037" w:bottom="893" w:left="1037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Rubric 1.1  |  2 October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MEETING COACH  /  SCORING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/>
      <w:color w:val="222A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cstheme="majorBidi" w:ascii="Georgia" w:hAnsi="Georgia" w:cs="Georgia" w:eastAsia="Georgia"/>
      <w:b w:val="0"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cstheme="majorBidi" w:ascii="Aptos" w:hAnsi="Aptos" w:cs="Aptos" w:eastAsia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cstheme="majorBidi" w:ascii="Aptos" w:hAnsi="Aptos" w:cs="Aptos" w:eastAsia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cstheme="majorBidi" w:ascii="Georgia" w:hAnsi="Georgia" w:cs="Georgia" w:eastAsia="Georgia"/>
      <w:b w:val="0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40" w:after="100"/>
    </w:pPr>
    <w:rPr>
      <w:rFonts w:cstheme="majorBidi" w:ascii="Aptos" w:hAnsi="Aptos" w:cs="Aptos" w:eastAsia="Aptos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4" w:lineRule="auto"/>
    </w:pPr>
    <w:rPr>
      <w:rFonts w:ascii="Aptos" w:hAnsi="Aptos"/>
      <w:color w:val="222A2A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Coach Scoring Guide</dc:title>
  <dc:subject>Seven section rubric and scoring method</dc:subject>
  <dc:creator>Meeting Coach</dc:creator>
  <cp:keywords>meeting craft, consultant review, scoring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