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5c"/>
          <w:sz w:val="48"/>
          <w:szCs w:val="48"/>
        </w:rPr>
        <w:t xml:space="preserve">Vortex-Drain Cosmology (VDC)</w:t>
      </w:r>
    </w:p>
    <w:p>
      <w:pPr>
        <w:spacing w:before="0" w:after="80"/>
        <w:jc w:val="center"/>
      </w:pPr>
      <w:r>
        <w:rPr>
          <w:rFonts w:ascii="Arial" w:cs="Arial" w:eastAsia="Arial" w:hAnsi="Arial"/>
          <w:i/>
          <w:iCs/>
          <w:color w:val="555555"/>
          <w:sz w:val="28"/>
          <w:szCs w:val="28"/>
        </w:rPr>
        <w:t xml:space="preserve">A Working Model and Theoretical Framework</w:t>
      </w:r>
    </w:p>
    <w:p>
      <w:pPr>
        <w:pBdr>
          <w:bottom w:val="single" w:color="2e5f8a" w:sz="6" w:space="1"/>
        </w:pBdr>
        <w:spacing w:before="0" w:after="400"/>
        <w:jc w:val="center"/>
      </w:pPr>
      <w:r>
        <w:rPr>
          <w:rFonts w:ascii="Arial" w:cs="Arial" w:eastAsia="Arial" w:hAnsi="Arial"/>
          <w:color w:val="888888"/>
          <w:sz w:val="20"/>
          <w:szCs w:val="20"/>
        </w:rPr>
        <w:t xml:space="preserve">March 2026  |  Developed through collaborative analysis</w:t>
      </w:r>
    </w:p>
    <w:p>
      <w:pPr>
        <w:pStyle w:val="Heading1"/>
      </w:pPr>
      <w:r>
        <w:t xml:space="preserve">What This Is</w:t>
      </w:r>
    </w:p>
    <w:p>
      <w:pPr>
        <w:spacing w:after="160"/>
      </w:pPr>
      <w:r>
        <w:rPr>
          <w:sz w:val="22"/>
          <w:szCs w:val="22"/>
        </w:rPr>
        <w:t xml:space="preserve">VDC is a cosmological framework developed through iterative reasoning and computational simulation. It proposes that the universe is a finite, closed manifold (3-torus topology) in which structure forms not from a single expansion event but from wave interference, fluid-dynamic substrate mechanics, and a conserved matter cycle between observable reality and an underlying substrate layer. The framework accounts for several major anomalies in the standard cosmological model (ΛCDM) without invoking dark matter or dark energy as independent entities.</w:t>
      </w:r>
    </w:p>
    <w:p>
      <w:pPr>
        <w:spacing w:after="160"/>
      </w:pPr>
      <w:r>
        <w:rPr>
          <w:i/>
          <w:iCs/>
          <w:color w:val="555555"/>
          <w:sz w:val="22"/>
          <w:szCs w:val="22"/>
        </w:rPr>
        <w:t xml:space="preserve">This document summarizes the core claims, simulation results, and open questions as of March 2026. It is written for a technically literate reader who is not necessarily a professional physicist.</w:t>
      </w:r>
    </w:p>
    <w:p>
      <w:pPr>
        <w:pStyle w:val="Heading1"/>
      </w:pPr>
      <w:r>
        <w:t xml:space="preserve">Core Claims</w:t>
      </w:r>
    </w:p>
    <w:p>
      <w:pPr>
        <w:pStyle w:val="Heading2"/>
      </w:pPr>
      <w:r>
        <w:t xml:space="preserve">1. Topology: Finite Closed Manifold</w:t>
      </w:r>
    </w:p>
    <w:p>
      <w:pPr>
        <w:spacing w:after="120"/>
      </w:pPr>
      <w:r>
        <w:rPr>
          <w:sz w:val="22"/>
          <w:szCs w:val="22"/>
        </w:rPr>
        <w:t xml:space="preserve">The universe is not infinite. Spacetime wraps back on itself in a 3-torus geometry: travel far enough in any direction and you return to your starting point. This is consistent with observed CMB low-multipole anomalies (the absence of large-scale ripples) and eliminates the horizon problem without requiring inflationary expansion.</w:t>
      </w:r>
    </w:p>
    <w:p>
      <w:pPr>
        <w:pStyle w:val="Heading2"/>
      </w:pPr>
      <w:r>
        <w:t xml:space="preserve">2. Single Boom, Finite Wave Energy</w:t>
      </w:r>
    </w:p>
    <w:p>
      <w:pPr>
        <w:spacing w:after="120"/>
      </w:pPr>
      <w:r>
        <w:rPr>
          <w:sz w:val="22"/>
          <w:szCs w:val="22"/>
        </w:rPr>
        <w:t xml:space="preserve">One large initial event releases a finite pulse of wave energy into the substrate. That wave propagates, wraps the torus, and interferes with itself. Constructive interference nodes become the seeds for matter accumulation. Destructive interference nodes become voids. No continuous energy injection. The reverb of the single event is sufficient to scaffold all large-scale structure.</w:t>
      </w:r>
    </w:p>
    <w:p>
      <w:pPr>
        <w:pStyle w:val="Heading2"/>
      </w:pPr>
      <w:r>
        <w:t xml:space="preserve">3. The Substrate (The Subway)</w:t>
      </w:r>
    </w:p>
    <w:p>
      <w:pPr>
        <w:spacing w:after="120"/>
      </w:pPr>
      <w:r>
        <w:rPr>
          <w:sz w:val="22"/>
          <w:szCs w:val="22"/>
        </w:rPr>
        <w:t xml:space="preserve">Beneath observable reality is a substrate layer of unstructured energy. Observable matter exists as surface tension on this substrate. The substrate has a finite carrying capacity: where matter density is high, the surface is thick and stable. Where matter is absent long enough, the surface tension fails and a true void forms — causally disconnected from observable reality, carrying no fields, no forces, no light.</w:t>
      </w:r>
    </w:p>
    <w:p>
      <w:pPr>
        <w:spacing w:after="120"/>
      </w:pPr>
      <w:r>
        <w:rPr>
          <w:sz w:val="22"/>
          <w:szCs w:val="22"/>
        </w:rPr>
        <w:t xml:space="preserve">The substrate is the closest analog in this framework to what physicists call the quantum vacuum or superfluid vacuum. The key difference: it has directional flow (a drain) and a finite surface tension that can fail.</w:t>
      </w:r>
    </w:p>
    <w:p>
      <w:pPr>
        <w:pStyle w:val="Heading2"/>
      </w:pPr>
      <w:r>
        <w:t xml:space="preserve">4. Surface Tension as Wave Limiter</w:t>
      </w:r>
    </w:p>
    <w:p>
      <w:pPr>
        <w:spacing w:after="120"/>
      </w:pPr>
      <w:r>
        <w:rPr>
          <w:sz w:val="22"/>
          <w:szCs w:val="22"/>
        </w:rPr>
        <w:t xml:space="preserve">The substrate resists extreme deformation. Small wave amplitudes propagate freely. Large amplitudes are pulled back toward equilibrium by a restoring force proportional to amplitude squared. This is physically analogous to surface tension in fluid dynamics. It prevents wave energy from diverging and means the system is self-regulating: the bigger the disturbance, the harder the medium snaps back.</w:t>
      </w:r>
    </w:p>
    <w:p>
      <w:pPr>
        <w:pStyle w:val="Heading2"/>
      </w:pPr>
      <w:r>
        <w:t xml:space="preserve">5. The Black Hole → Subway → Geyser Cycle</w:t>
      </w:r>
    </w:p>
    <w:p>
      <w:pPr>
        <w:spacing w:after="120"/>
      </w:pPr>
      <w:r>
        <w:rPr>
          <w:sz w:val="22"/>
          <w:szCs w:val="22"/>
        </w:rPr>
        <w:t xml:space="preserve">Matter is not permanent in observable reality. Extreme density peaks (black holes) drain matter slowly into the substrate at a rate limited by the force required to untie structured matter back into unstructured substrate energy. This is a hard cap on inflow rate. Matter accumulates in the substrate reservoir. When true void tears form from sustained absence of matter, the pressure differential between the loaded substrate and the empty void drives eruptions: white-hole geysers that inject primordial substrate energy back into observable reality. The cycle is conserved — matter is never created or destroyed, only transitioned between layers.</w:t>
      </w:r>
    </w:p>
    <w:p>
      <w:pPr>
        <w:pStyle w:val="Heading2"/>
      </w:pPr>
      <w:r>
        <w:t xml:space="preserve">6. Vorticity and Chirality</w:t>
      </w:r>
    </w:p>
    <w:p>
      <w:pPr>
        <w:spacing w:after="120"/>
      </w:pPr>
      <w:r>
        <w:rPr>
          <w:sz w:val="22"/>
          <w:szCs w:val="22"/>
        </w:rPr>
        <w:t xml:space="preserve">Rotating fluid creates a perpendicular force on adjacent matter (Magnus/tidal effect). In the VDC substrate, this produces position-dependent handedness: matter in different regions of the torus develops opposite spin directions depending on their position relative to the original boom site and the resulting interference pattern. This is not seeded — it emerges from asymmetric initial conditions interacting with the closed geometry. The simulation consistently shows diagonal opposite-quadrant chirality from a single off-center boom.</w:t>
      </w:r>
    </w:p>
    <w:p>
      <w:pPr>
        <w:pStyle w:val="Heading2"/>
      </w:pPr>
      <w:r>
        <w:t xml:space="preserve">7. Gravity, Electromagnetism, and the Unified Spectrum</w:t>
      </w:r>
    </w:p>
    <w:p>
      <w:pPr>
        <w:spacing w:after="120"/>
      </w:pPr>
      <w:r>
        <w:rPr>
          <w:sz w:val="22"/>
          <w:szCs w:val="22"/>
        </w:rPr>
        <w:t xml:space="preserve">All four fundamental forces are proposed to be frequency bands of a single substrate field. Gravity is low-frequency substrate deformation (macro-scale drainage toward density). Electromagnetism is shear stress between counter-rotating substrate vortices. The strong force is surface tension holding vortex pairs together. The weak force is vortex instability — the moment a vortex exceeds the substrate’s ability to maintain it and partially decouples. This is not proven mathematically in this framework; it is a structural hypothesis that motivates future work.</w:t>
      </w:r>
    </w:p>
    <w:p>
      <w:pPr>
        <w:pStyle w:val="Heading2"/>
      </w:pPr>
      <w:r>
        <w:t xml:space="preserve">8. Quantum Mechanics as the Interface Layer</w:t>
      </w:r>
    </w:p>
    <w:p>
      <w:pPr>
        <w:spacing w:after="120"/>
      </w:pPr>
      <w:r>
        <w:rPr>
          <w:sz w:val="22"/>
          <w:szCs w:val="22"/>
        </w:rPr>
        <w:t xml:space="preserve">Quantum weirdness — superposition, entanglement, wavefunction collapse — is the signature of the interface between the substrate and observable reality. Particles are not objects existing in spacetime; they are quantized vortices in the substrate that manifest as observable matter when their phase relationship to the surface is stable. Entanglement is two vortices sharing the same substrate thread: they appear non-locally connected in observable space because their connection runs through the substrate, which does not observe the same distance constraints. Measurement collapses the wavefunction because measurement is a substrate interaction — it forces a definite phase relationship.</w:t>
      </w:r>
    </w:p>
    <w:p>
      <w:pPr>
        <w:spacing w:after="160"/>
      </w:pPr>
      <w:r>
        <w:rPr>
          <w:i/>
          <w:iCs/>
          <w:color w:val="555555"/>
          <w:sz w:val="22"/>
          <w:szCs w:val="22"/>
        </w:rPr>
        <w:t xml:space="preserve">This is the cleanest framing developed in this work and may be its most original contribution. It maps structurally onto Superfluid Vacuum Theory (Volovik, et al.) but arrives from a different direction and makes the substrate connection to quantum behavior explicit rather than analogical.</w:t>
      </w:r>
    </w:p>
    <w:p>
      <w:pPr>
        <w:pStyle w:val="Heading1"/>
      </w:pPr>
      <w:r>
        <w:t xml:space="preserve">What the Simulation Demonstrated</w:t>
      </w:r>
    </w:p>
    <w:p>
      <w:pPr>
        <w:spacing w:after="120"/>
      </w:pPr>
      <w:r>
        <w:rPr>
          <w:sz w:val="22"/>
          <w:szCs w:val="22"/>
        </w:rPr>
        <w:t xml:space="preserve">A 2D simulation (80×80 torus, 9 versions, up to 400 steps) was built from scratch to test whether the described forces produce observed large-scale structure without being pre-programmed to do so. Key results:</w:t>
      </w:r>
    </w:p>
    <w:p>
      <w:pPr>
        <w:pStyle w:val="ListParagraph"/>
        <w:numPr>
          <w:ilvl w:val="0"/>
          <w:numId w:val="2"/>
        </w:numPr>
        <w:spacing w:after="80"/>
      </w:pPr>
      <w:r>
        <w:rPr>
          <w:sz w:val="22"/>
          <w:szCs w:val="22"/>
        </w:rPr>
        <w:t xml:space="preserve">Single boom + quantum noise → filament and void structure emerged without seeding. The wave interference pattern determined where matter accumulated.</w:t>
      </w:r>
    </w:p>
    <w:p>
      <w:pPr>
        <w:pStyle w:val="ListParagraph"/>
        <w:numPr>
          <w:ilvl w:val="0"/>
          <w:numId w:val="2"/>
        </w:numPr>
        <w:spacing w:after="80"/>
      </w:pPr>
      <w:r>
        <w:rPr>
          <w:sz w:val="22"/>
          <w:szCs w:val="22"/>
        </w:rPr>
        <w:t xml:space="preserve">Cooling curve (plasma epoch → fragmentation → structure) produced correct qualitative sequence: hot uniform blob, then fragmentation, then concentrated cores with surrounding voids.</w:t>
      </w:r>
    </w:p>
    <w:p>
      <w:pPr>
        <w:pStyle w:val="ListParagraph"/>
        <w:numPr>
          <w:ilvl w:val="0"/>
          <w:numId w:val="2"/>
        </w:numPr>
        <w:spacing w:after="80"/>
      </w:pPr>
      <w:r>
        <w:rPr>
          <w:sz w:val="22"/>
          <w:szCs w:val="22"/>
        </w:rPr>
        <w:t xml:space="preserve">Self-gravity with no arbitrary decay → cores concentrated over time rather than dispersing. Core density increased by +39 units in the structure epoch (v8).</w:t>
      </w:r>
    </w:p>
    <w:p>
      <w:pPr>
        <w:pStyle w:val="ListParagraph"/>
        <w:numPr>
          <w:ilvl w:val="0"/>
          <w:numId w:val="2"/>
        </w:numPr>
        <w:spacing w:after="80"/>
      </w:pPr>
      <w:r>
        <w:rPr>
          <w:sz w:val="22"/>
          <w:szCs w:val="22"/>
        </w:rPr>
        <w:t xml:space="preserve">Surface tension restoring force → wave energy self-limited to ~3x initial rather than diverging. The rubber-band mechanism worked as predicted.</w:t>
      </w:r>
    </w:p>
    <w:p>
      <w:pPr>
        <w:pStyle w:val="ListParagraph"/>
        <w:numPr>
          <w:ilvl w:val="0"/>
          <w:numId w:val="2"/>
        </w:numPr>
        <w:spacing w:after="80"/>
      </w:pPr>
      <w:r>
        <w:rPr>
          <w:sz w:val="22"/>
          <w:szCs w:val="22"/>
        </w:rPr>
        <w:t xml:space="preserve">Position-dependent chirality emerged consistently across multiple runs: diagonal opposite quadrants developed opposite handedness from a single off-center boom. Not seeded — emergent.</w:t>
      </w:r>
    </w:p>
    <w:p>
      <w:pPr>
        <w:pStyle w:val="ListParagraph"/>
        <w:numPr>
          <w:ilvl w:val="0"/>
          <w:numId w:val="2"/>
        </w:numPr>
        <w:spacing w:after="80"/>
      </w:pPr>
      <w:r>
        <w:rPr>
          <w:sz w:val="22"/>
          <w:szCs w:val="22"/>
        </w:rPr>
        <w:t xml:space="preserve">BH→subway→geyser cycle reached near-equilibrium by step 300: drain rate and geyser injection rate converged to within ~6% of each other and continued converging.</w:t>
      </w:r>
    </w:p>
    <w:p>
      <w:pPr>
        <w:pStyle w:val="ListParagraph"/>
        <w:numPr>
          <w:ilvl w:val="0"/>
          <w:numId w:val="2"/>
        </w:numPr>
        <w:spacing w:after="160"/>
      </w:pPr>
      <w:r>
        <w:rPr>
          <w:sz w:val="22"/>
          <w:szCs w:val="22"/>
        </w:rPr>
        <w:t xml:space="preserve">Radial density profile showed core + surrounding relative void + outer shell — consistent with wave interference ring structure, not uniform blob.</w:t>
      </w:r>
    </w:p>
    <w:p>
      <w:pPr>
        <w:spacing w:after="120"/>
      </w:pPr>
      <w:r>
        <w:rPr>
          <w:b/>
          <w:bCs/>
          <w:sz w:val="22"/>
          <w:szCs w:val="22"/>
        </w:rPr>
        <w:t xml:space="preserve">What the simulation did not demonstrate:</w:t>
      </w:r>
    </w:p>
    <w:p>
      <w:pPr>
        <w:pStyle w:val="ListParagraph"/>
        <w:numPr>
          <w:ilvl w:val="0"/>
          <w:numId w:val="2"/>
        </w:numPr>
        <w:spacing w:after="80"/>
      </w:pPr>
      <w:r>
        <w:rPr>
          <w:sz w:val="22"/>
          <w:szCs w:val="22"/>
        </w:rPr>
        <w:t xml:space="preserve">3D structure (all runs were 2D)</w:t>
      </w:r>
    </w:p>
    <w:p>
      <w:pPr>
        <w:pStyle w:val="ListParagraph"/>
        <w:numPr>
          <w:ilvl w:val="0"/>
          <w:numId w:val="2"/>
        </w:numPr>
        <w:spacing w:after="80"/>
      </w:pPr>
      <w:r>
        <w:rPr>
          <w:sz w:val="22"/>
          <w:szCs w:val="22"/>
        </w:rPr>
        <w:t xml:space="preserve">Quantitative predictions matching observed CMB power spectrum</w:t>
      </w:r>
    </w:p>
    <w:p>
      <w:pPr>
        <w:pStyle w:val="ListParagraph"/>
        <w:numPr>
          <w:ilvl w:val="0"/>
          <w:numId w:val="2"/>
        </w:numPr>
        <w:spacing w:after="80"/>
      </w:pPr>
      <w:r>
        <w:rPr>
          <w:sz w:val="22"/>
          <w:szCs w:val="22"/>
        </w:rPr>
        <w:t xml:space="preserve">The quantum-substrate interface (would require a different class of simulation)</w:t>
      </w:r>
    </w:p>
    <w:p>
      <w:pPr>
        <w:pStyle w:val="ListParagraph"/>
        <w:numPr>
          <w:ilvl w:val="0"/>
          <w:numId w:val="2"/>
        </w:numPr>
        <w:spacing w:after="160"/>
      </w:pPr>
      <w:r>
        <w:rPr>
          <w:sz w:val="22"/>
          <w:szCs w:val="22"/>
        </w:rPr>
        <w:t xml:space="preserve">Perfect energy conservation (small numerical drift remains in void redistribution)</w:t>
      </w:r>
    </w:p>
    <w:p>
      <w:pPr>
        <w:pStyle w:val="Heading1"/>
      </w:pPr>
      <w:r>
        <w:t xml:space="preserve">Anomalies in Standard Cosmology That VDC Addresses</w:t>
      </w:r>
    </w:p>
    <w:p>
      <w:pPr>
        <w:pStyle w:val="ListParagraph"/>
        <w:numPr>
          <w:ilvl w:val="0"/>
          <w:numId w:val="2"/>
        </w:numPr>
        <w:spacing w:after="80"/>
      </w:pPr>
      <w:r>
        <w:rPr>
          <w:sz w:val="22"/>
          <w:szCs w:val="22"/>
        </w:rPr>
        <w:t xml:space="preserve">JWST overmassive early galaxies: thick early cloud reduces redshift stripping, galaxies appear more mature than standard model predicts</w:t>
      </w:r>
    </w:p>
    <w:p>
      <w:pPr>
        <w:pStyle w:val="ListParagraph"/>
        <w:numPr>
          <w:ilvl w:val="0"/>
          <w:numId w:val="2"/>
        </w:numPr>
        <w:spacing w:after="80"/>
      </w:pPr>
      <w:r>
        <w:rPr>
          <w:sz w:val="22"/>
          <w:szCs w:val="22"/>
        </w:rPr>
        <w:t xml:space="preserve">Hubble tension (8% expansion rate gap): substrate thinning causes apparent redshift independent of expansion, inflating inferred distances</w:t>
      </w:r>
    </w:p>
    <w:p>
      <w:pPr>
        <w:pStyle w:val="ListParagraph"/>
        <w:numPr>
          <w:ilvl w:val="0"/>
          <w:numId w:val="2"/>
        </w:numPr>
        <w:spacing w:after="80"/>
      </w:pPr>
      <w:r>
        <w:rPr>
          <w:sz w:val="22"/>
          <w:szCs w:val="22"/>
        </w:rPr>
        <w:t xml:space="preserve">CMB axis of evil (directional anomaly): natural consequence of off-center boom in a closed manifold</w:t>
      </w:r>
    </w:p>
    <w:p>
      <w:pPr>
        <w:pStyle w:val="ListParagraph"/>
        <w:numPr>
          <w:ilvl w:val="0"/>
          <w:numId w:val="2"/>
        </w:numPr>
        <w:spacing w:after="80"/>
      </w:pPr>
      <w:r>
        <w:rPr>
          <w:sz w:val="22"/>
          <w:szCs w:val="22"/>
        </w:rPr>
        <w:t xml:space="preserve">Void growth faster than predicted: true void formation from substrate failure is faster than density-only models allow</w:t>
      </w:r>
    </w:p>
    <w:p>
      <w:pPr>
        <w:pStyle w:val="ListParagraph"/>
        <w:numPr>
          <w:ilvl w:val="0"/>
          <w:numId w:val="2"/>
        </w:numPr>
        <w:spacing w:after="80"/>
      </w:pPr>
      <w:r>
        <w:rPr>
          <w:sz w:val="22"/>
          <w:szCs w:val="22"/>
        </w:rPr>
        <w:t xml:space="preserve">Dark matter (missing mass): interference scaffolding from wave constructive interference mimics gravitational mass without requiring new particles</w:t>
      </w:r>
    </w:p>
    <w:p>
      <w:pPr>
        <w:pStyle w:val="ListParagraph"/>
        <w:numPr>
          <w:ilvl w:val="0"/>
          <w:numId w:val="2"/>
        </w:numPr>
        <w:spacing w:after="160"/>
      </w:pPr>
      <w:r>
        <w:rPr>
          <w:sz w:val="22"/>
          <w:szCs w:val="22"/>
        </w:rPr>
        <w:t xml:space="preserve">Dark energy (accelerating expansion): substrate thinning at void edges creates apparent acceleration without a cosmological constant</w:t>
      </w:r>
    </w:p>
    <w:p>
      <w:pPr>
        <w:pStyle w:val="Heading1"/>
      </w:pPr>
      <w:r>
        <w:t xml:space="preserve">What Is Still Missing</w:t>
      </w:r>
    </w:p>
    <w:p>
      <w:pPr>
        <w:spacing w:after="120"/>
      </w:pPr>
      <w:r>
        <w:rPr>
          <w:sz w:val="22"/>
          <w:szCs w:val="22"/>
        </w:rPr>
        <w:t xml:space="preserve">The following are genuine gaps, not dismissed:</w:t>
      </w:r>
    </w:p>
    <w:p>
      <w:pPr>
        <w:pStyle w:val="ListParagraph"/>
        <w:numPr>
          <w:ilvl w:val="0"/>
          <w:numId w:val="2"/>
        </w:numPr>
        <w:spacing w:after="80"/>
      </w:pPr>
      <w:r>
        <w:rPr>
          <w:sz w:val="22"/>
          <w:szCs w:val="22"/>
        </w:rPr>
        <w:t xml:space="preserve">The mathematical bridge between fluid vorticity and gauge field theory (electromagnetism). Helmholtz vortex theorems and Kelvin’s circulation theorem exist; nobody has formally connected them to Maxwell’s equations through a substrate model.</w:t>
      </w:r>
    </w:p>
    <w:p>
      <w:pPr>
        <w:pStyle w:val="ListParagraph"/>
        <w:numPr>
          <w:ilvl w:val="0"/>
          <w:numId w:val="2"/>
        </w:numPr>
        <w:spacing w:after="80"/>
      </w:pPr>
      <w:r>
        <w:rPr>
          <w:sz w:val="22"/>
          <w:szCs w:val="22"/>
        </w:rPr>
        <w:t xml:space="preserve">A quantitative prediction for the CMB power spectrum. VDC must reproduce the acoustic peaks to be taken seriously as an alternative to ΛCDM. This requires a 3D simulation with proper initial conditions.</w:t>
      </w:r>
    </w:p>
    <w:p>
      <w:pPr>
        <w:pStyle w:val="ListParagraph"/>
        <w:numPr>
          <w:ilvl w:val="0"/>
          <w:numId w:val="2"/>
        </w:numPr>
        <w:spacing w:after="80"/>
      </w:pPr>
      <w:r>
        <w:rPr>
          <w:sz w:val="22"/>
          <w:szCs w:val="22"/>
        </w:rPr>
        <w:t xml:space="preserve">The entropy reset mechanism. The subway cycle handles matter recycling but does not formally address how thermodynamic entropy is managed across cycles. This is the hardest problem.</w:t>
      </w:r>
    </w:p>
    <w:p>
      <w:pPr>
        <w:pStyle w:val="ListParagraph"/>
        <w:numPr>
          <w:ilvl w:val="0"/>
          <w:numId w:val="2"/>
        </w:numPr>
        <w:spacing w:after="160"/>
      </w:pPr>
      <w:r>
        <w:rPr>
          <w:sz w:val="22"/>
          <w:szCs w:val="22"/>
        </w:rPr>
        <w:t xml:space="preserve">Formal derivation of particle masses, charges, and spins from substrate vortex parameters. The vortex-particle hypothesis is structurally compelling but mathematically undeveloped.</w:t>
      </w:r>
    </w:p>
    <w:p>
      <w:pPr>
        <w:pStyle w:val="Heading1"/>
      </w:pPr>
      <w:r>
        <w:t xml:space="preserve">Independently Convergent Work</w:t>
      </w:r>
    </w:p>
    <w:p>
      <w:pPr>
        <w:spacing w:after="120"/>
      </w:pPr>
      <w:r>
        <w:rPr>
          <w:sz w:val="22"/>
          <w:szCs w:val="22"/>
        </w:rPr>
        <w:t xml:space="preserve">The following researchers and frameworks were arrived at independently and show structural convergence with VDC claims. This convergence is evidence of a real pattern, not coincidence.</w:t>
      </w:r>
    </w:p>
    <w:p>
      <w:pPr>
        <w:pStyle w:val="ListParagraph"/>
        <w:numPr>
          <w:ilvl w:val="0"/>
          <w:numId w:val="2"/>
        </w:numPr>
        <w:spacing w:after="80"/>
      </w:pPr>
      <w:r>
        <w:rPr>
          <w:sz w:val="22"/>
          <w:szCs w:val="22"/>
        </w:rPr>
        <w:t xml:space="preserve">Grigori Volovik — Superfluid Vacuum Theory: vacuum as a superfluid, particles as quantized vortices. Strongest existing overlap with the substrate and quantum-interface claims.</w:t>
      </w:r>
    </w:p>
    <w:p>
      <w:pPr>
        <w:pStyle w:val="ListParagraph"/>
        <w:numPr>
          <w:ilvl w:val="0"/>
          <w:numId w:val="2"/>
        </w:numPr>
        <w:spacing w:after="80"/>
      </w:pPr>
      <w:r>
        <w:rPr>
          <w:sz w:val="22"/>
          <w:szCs w:val="22"/>
        </w:rPr>
        <w:t xml:space="preserve">Erik Verlinde — Emergent Gravity: gravity as an emergent thermodynamic phenomenon rather than a fundamental force. Parallel to the VDC claim that gravity is low-frequency substrate deformation.</w:t>
      </w:r>
    </w:p>
    <w:p>
      <w:pPr>
        <w:pStyle w:val="ListParagraph"/>
        <w:numPr>
          <w:ilvl w:val="0"/>
          <w:numId w:val="2"/>
        </w:numPr>
        <w:spacing w:after="80"/>
      </w:pPr>
      <w:r>
        <w:rPr>
          <w:sz w:val="22"/>
          <w:szCs w:val="22"/>
        </w:rPr>
        <w:t xml:space="preserve">ER=EPR conjecture (Maldacena &amp; Susskind): entangled particles connected by microscopic wormholes through a deeper geometry. Structurally identical to the subway-thread entanglement claim.</w:t>
      </w:r>
    </w:p>
    <w:p>
      <w:pPr>
        <w:pStyle w:val="ListParagraph"/>
        <w:numPr>
          <w:ilvl w:val="0"/>
          <w:numId w:val="2"/>
        </w:numPr>
        <w:spacing w:after="80"/>
      </w:pPr>
      <w:r>
        <w:rPr>
          <w:sz w:val="22"/>
          <w:szCs w:val="22"/>
        </w:rPr>
        <w:t xml:space="preserve">Nikodem Poplawski — universe inside a black hole: our Big Bang as a bounce event inside a parent black hole. Consistent with the BH-criticality boom mechanism.</w:t>
      </w:r>
    </w:p>
    <w:p>
      <w:pPr>
        <w:pStyle w:val="ListParagraph"/>
        <w:numPr>
          <w:ilvl w:val="0"/>
          <w:numId w:val="2"/>
        </w:numPr>
        <w:spacing w:after="80"/>
      </w:pPr>
      <w:r>
        <w:rPr>
          <w:sz w:val="22"/>
          <w:szCs w:val="22"/>
        </w:rPr>
        <w:t xml:space="preserve">Aharonov-Bohm effect: magnetic influence through regions of zero field strength, suggesting EM is a geometric property of space rather than a particle-exchange force. Consistent with the shear-stress vortex model of electromagnetism.</w:t>
      </w:r>
    </w:p>
    <w:p>
      <w:pPr>
        <w:pStyle w:val="ListParagraph"/>
        <w:numPr>
          <w:ilvl w:val="0"/>
          <w:numId w:val="2"/>
        </w:numPr>
        <w:spacing w:after="160"/>
      </w:pPr>
      <w:r>
        <w:rPr>
          <w:sz w:val="22"/>
          <w:szCs w:val="22"/>
        </w:rPr>
        <w:t xml:space="preserve">Cosmological topology searches (CMB low-multipole analysis): active research area looking for torus signatures in CMB data. VDC makes a specific prediction here that is testable.</w:t>
      </w:r>
    </w:p>
    <w:p>
      <w:pPr>
        <w:pStyle w:val="Heading1"/>
      </w:pPr>
      <w:r>
        <w:t xml:space="preserve">Next Steps for Anyone Taking This Further</w:t>
      </w:r>
    </w:p>
    <w:p>
      <w:pPr>
        <w:pStyle w:val="ListParagraph"/>
        <w:numPr>
          <w:ilvl w:val="0"/>
          <w:numId w:val="2"/>
        </w:numPr>
        <w:spacing w:after="80"/>
      </w:pPr>
      <w:r>
        <w:rPr>
          <w:sz w:val="22"/>
          <w:szCs w:val="22"/>
        </w:rPr>
        <w:t xml:space="preserve">Port the 2D simulation to 3D SPH (smoothed particle hydrodynamics) or an N-body solver on proper compute. The 2D results are qualitatively correct but cannot produce quantitative CMB predictions.</w:t>
      </w:r>
    </w:p>
    <w:p>
      <w:pPr>
        <w:pStyle w:val="ListParagraph"/>
        <w:numPr>
          <w:ilvl w:val="0"/>
          <w:numId w:val="2"/>
        </w:numPr>
        <w:spacing w:after="80"/>
      </w:pPr>
      <w:r>
        <w:rPr>
          <w:sz w:val="22"/>
          <w:szCs w:val="22"/>
        </w:rPr>
        <w:t xml:space="preserve">Derive the substrate wave equation from first principles using superfluid field theory. Target: show that the surface tension restoring force has the right form to reproduce observed large-scale structure statistics.</w:t>
      </w:r>
    </w:p>
    <w:p>
      <w:pPr>
        <w:pStyle w:val="ListParagraph"/>
        <w:numPr>
          <w:ilvl w:val="0"/>
          <w:numId w:val="2"/>
        </w:numPr>
        <w:spacing w:after="80"/>
      </w:pPr>
      <w:r>
        <w:rPr>
          <w:sz w:val="22"/>
          <w:szCs w:val="22"/>
        </w:rPr>
        <w:t xml:space="preserve">Formally connect vorticity conservation in the substrate to the gauge symmetries of electromagnetism. This is the mathematical bridge that, if it exists, would constitute a genuine unification.</w:t>
      </w:r>
    </w:p>
    <w:p>
      <w:pPr>
        <w:pStyle w:val="ListParagraph"/>
        <w:numPr>
          <w:ilvl w:val="0"/>
          <w:numId w:val="2"/>
        </w:numPr>
        <w:spacing w:after="80"/>
      </w:pPr>
      <w:r>
        <w:rPr>
          <w:sz w:val="22"/>
          <w:szCs w:val="22"/>
        </w:rPr>
        <w:t xml:space="preserve">Test the torus topology prediction against current CMB data. If the universe is a 3-torus of a specific size, there should be matching ghost images of structures at specific angular separations. This is checkable with existing data.</w:t>
      </w:r>
    </w:p>
    <w:p>
      <w:pPr>
        <w:pStyle w:val="ListParagraph"/>
        <w:numPr>
          <w:ilvl w:val="0"/>
          <w:numId w:val="2"/>
        </w:numPr>
        <w:spacing w:after="160"/>
      </w:pPr>
      <w:r>
        <w:rPr>
          <w:sz w:val="22"/>
          <w:szCs w:val="22"/>
        </w:rPr>
        <w:t xml:space="preserve">Develop the quantum-substrate interface formally. The claim that measurement is a substrate interaction is the most testable novel prediction in the framework. It implies specific deviations from standard quantum mechanics in extremely low-density regions (near true voids).</w:t>
      </w:r>
    </w:p>
    <w:p>
      <w:pPr>
        <w:pBdr>
          <w:top w:val="single" w:color="cccccc" w:sz="4" w:space="1"/>
        </w:pBdr>
        <w:spacing w:before="400"/>
      </w:pPr>
      <w:r>
        <w:rPr>
          <w:i/>
          <w:iCs/>
          <w:color w:val="888888"/>
          <w:sz w:val="18"/>
          <w:szCs w:val="18"/>
        </w:rPr>
        <w:t xml:space="preserve">Developed through iterative reasoning and simulation over approximately one week of collaborative sessions. The simulation code (vdc_v9_clean.py) is available separately. The framework is not peer-reviewed. It is offered as a structured hypothesis with testable predictions, not as established physics.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2026-03-04T07:06:18.059Z</dcterms:created>
  <dcterms:modified xsi:type="dcterms:W3CDTF">2026-03-04T07:06:18.060Z</dcterms:modified>
</cp:coreProperties>
</file>

<file path=docProps/custom.xml><?xml version="1.0" encoding="utf-8"?>
<Properties xmlns="http://schemas.openxmlformats.org/officeDocument/2006/custom-properties" xmlns:vt="http://schemas.openxmlformats.org/officeDocument/2006/docPropsVTypes"/>
</file>