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VDC/VSM: Proton/Muon Mass Ratio Derivation</w:t>
      </w:r>
    </w:p>
    <w:p>
      <w:pPr>
        <w:spacing w:after="120"/>
      </w:pPr>
      <w:r>
        <w:rPr>
          <w:i/>
          <w:iCs/>
          <w:color w:val="555555"/>
          <w:sz w:val="22"/>
          <w:szCs w:val="22"/>
        </w:rPr>
        <w:t xml:space="preserve">A geometric derivation from first principles — no free parameters, no fitted constants</w:t>
      </w:r>
    </w:p>
    <w:p>
      <w:pPr>
        <w:spacing w:after="80"/>
      </w:pPr>
      <w:r>
        <w:rPr>
          <w:b/>
          <w:bCs/>
        </w:rPr>
        <w:t xml:space="preserve">Patrick T. Baxter</w:t>
      </w:r>
    </w:p>
    <w:p>
      <w:pPr>
        <w:spacing w:after="240"/>
      </w:pPr>
      <w:r>
        <w:rPr>
          <w:color w:val="888888"/>
        </w:rPr>
        <w:t xml:space="preserve">Vortex Dynamics Cosmology / Vortex Substrate Model — April 2026</w:t>
      </w:r>
    </w:p>
    <w:p>
      <w:pPr>
        <w:pBdr>
          <w:bottom w:val="single" w:color="2E75B6" w:sz="6" w:space="1"/>
        </w:pBdr>
        <w:spacing w:after="200"/>
      </w:pPr>
      <w:r>
        <w:t xml:space="preserve"/>
      </w:r>
    </w:p>
    <w:p>
      <w:pPr>
        <w:pBdr>
          <w:top w:val="single" w:color="2E75B6" w:sz="8"/>
          <w:bottom w:val="single" w:color="2E75B6" w:sz="8"/>
          <w:left w:val="single" w:color="2E75B6" w:sz="8"/>
          <w:right w:val="single" w:color="2E75B6" w:sz="8"/>
        </w:pBdr>
        <w:spacing w:after="120" w:before="120"/>
      </w:pPr>
      <w:r>
        <w:rPr>
          <w:b/>
          <w:bCs/>
          <w:color w:val="2E75B6"/>
        </w:rPr>
        <w:t xml:space="preserve">RESULT SUMMARY</w:t>
      </w:r>
    </w:p>
    <w:p>
      <w:pPr>
        <w:spacing w:after="80"/>
        <w:ind w:left="360"/>
      </w:pPr>
      <w:r>
        <w:rPr>
          <w:b/>
          <w:bCs/>
        </w:rPr>
        <w:t xml:space="preserve">Derived value:   </w:t>
      </w:r>
      <w:r>
        <w:rPr>
          <w:rFonts w:ascii="Courier New" w:cs="Courier New" w:eastAsia="Courier New" w:hAnsi="Courier New"/>
        </w:rPr>
        <w:t xml:space="preserve">8.846  (proton/muon mass ratio)</w:t>
      </w:r>
    </w:p>
    <w:p>
      <w:pPr>
        <w:spacing w:after="80"/>
        <w:ind w:left="360"/>
      </w:pPr>
      <w:r>
        <w:rPr>
          <w:b/>
          <w:bCs/>
        </w:rPr>
        <w:t xml:space="preserve">Observed value:  </w:t>
      </w:r>
      <w:r>
        <w:rPr>
          <w:rFonts w:ascii="Courier New" w:cs="Courier New" w:eastAsia="Courier New" w:hAnsi="Courier New"/>
        </w:rPr>
        <w:t xml:space="preserve">8.880  (measured)</w:t>
      </w:r>
    </w:p>
    <w:p>
      <w:pPr>
        <w:spacing w:after="80"/>
        <w:ind w:left="360"/>
      </w:pPr>
      <w:r>
        <w:rPr>
          <w:b/>
          <w:bCs/>
        </w:rPr>
        <w:t xml:space="preserve">Error:           </w:t>
      </w:r>
      <w:r>
        <w:rPr>
          <w:rFonts w:ascii="Courier New" w:cs="Courier New" w:eastAsia="Courier New" w:hAnsi="Courier New"/>
        </w:rPr>
        <w:t xml:space="preserve">0.38%</w:t>
      </w:r>
    </w:p>
    <w:p>
      <w:pPr>
        <w:spacing w:after="240"/>
        <w:ind w:left="360"/>
      </w:pPr>
      <w:r>
        <w:rPr>
          <w:b/>
          <w:bCs/>
        </w:rPr>
        <w:t xml:space="preserve">All inputs:      </w:t>
      </w:r>
      <w:r>
        <w:rPr>
          <w:rFonts w:ascii="Courier New" w:cs="Courier New" w:eastAsia="Courier New" w:hAnsi="Courier New"/>
        </w:rPr>
        <w:t xml:space="preserve">Exact integers and geometric ratios from N=6 and N=12 polyhedra</w:t>
      </w:r>
    </w:p>
    <w:p>
      <w:pPr>
        <w:pBdr>
          <w:bottom w:val="single" w:color="2E75B6" w:sz="6" w:space="1"/>
        </w:pBdr>
        <w:spacing w:after="200"/>
      </w:pPr>
      <w:r>
        <w:t xml:space="preserve"/>
      </w:r>
    </w:p>
    <w:p>
      <w:pPr>
        <w:pStyle w:val="Heading2"/>
      </w:pPr>
      <w:r>
        <w:t xml:space="preserve">Overview</w:t>
      </w:r>
    </w:p>
    <w:p>
      <w:pPr>
        <w:spacing w:after="160"/>
      </w:pPr>
      <w:r>
        <w:t xml:space="preserve">In Vortex Dynamics Cosmology, mass is not a fundamental property. It is the total substrate displacement produced by a stable vortex cluster — the amount of substrate the structure pulls away from the zero state and holds in organized motion. The proton and muon are two specific stable vortex cluster geometries. Their mass ratio is therefore a geometric ratio, derivable entirely from the shapes involved.</w:t>
      </w:r>
    </w:p>
    <w:p>
      <w:pPr>
        <w:spacing w:after="160"/>
      </w:pPr>
      <w:r>
        <w:t xml:space="preserve">This document traces every step of that derivation. Every number used is either an exact integer, an exact geometric ratio, or rho_L — the local density correction that itself emerges from the N=12 boundary geometry. No constants are fitted to match the observed value.</w:t>
      </w:r>
    </w:p>
    <w:p>
      <w:pPr>
        <w:pBdr>
          <w:bottom w:val="single" w:color="2E75B6" w:sz="6" w:space="1"/>
        </w:pBdr>
        <w:spacing w:after="200"/>
      </w:pPr>
      <w:r>
        <w:t xml:space="preserve"/>
      </w:r>
    </w:p>
    <w:p>
      <w:pPr>
        <w:pStyle w:val="Heading2"/>
      </w:pPr>
      <w:r>
        <w:t xml:space="preserve">Step 1: The Two Structures</w:t>
      </w:r>
    </w:p>
    <w:p>
      <w:pPr>
        <w:spacing w:after="160"/>
      </w:pPr>
      <w:r>
        <w:t xml:space="preserve">The muon corresponds to the N=6 vortex cluster — an octahedron. The proton corresponds to the N=12 vortex cluster — a cuboctahedron. These are not arbitrary assignments; they are the two simplest stable multi-pin geometries that the substrate supports, and their physical properties match the observed particles.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Property</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Muon (N=6 Octahedron)</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Proton (N=12 Cuboctahedron)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Pin count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6</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12</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Triangular faces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8</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Square faces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Edges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24</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Triangle adjacency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Each tri touches 3 tri</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Each tri touches 0 tri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Volume (unit edge)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sqrt(2)/3 = 0.4714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5*sqrt(2)/3 = 2.3570</w:t>
            </w:r>
          </w:p>
        </w:tc>
      </w:tr>
    </w:tbl>
    <w:p>
      <w:pPr>
        <w:spacing w:after="240"/>
      </w:pPr>
      <w:r>
        <w:t xml:space="preserve"/>
      </w:r>
    </w:p>
    <w:p>
      <w:pPr>
        <w:spacing w:after="160"/>
      </w:pPr>
      <w:r>
        <w:t xml:space="preserve">The critical structural difference: in the octahedron, every triangular face is surrounded by three other triangular faces. In the cuboctahedron, every triangular face is surrounded entirely by square faces — zero triangle-to-triangle adjacency. This single difference drives the entire mass ratio calculation.</w:t>
      </w:r>
    </w:p>
    <w:p>
      <w:pPr>
        <w:pBdr>
          <w:bottom w:val="single" w:color="2E75B6" w:sz="6" w:space="1"/>
        </w:pBdr>
        <w:spacing w:after="200"/>
      </w:pPr>
      <w:r>
        <w:t xml:space="preserve"/>
      </w:r>
    </w:p>
    <w:p>
      <w:pPr>
        <w:pStyle w:val="Heading2"/>
      </w:pPr>
      <w:r>
        <w:t xml:space="preserve">Step 2: Base Mass Ratio from Pin Count</w:t>
      </w:r>
    </w:p>
    <w:p>
      <w:pPr>
        <w:spacing w:after="160"/>
      </w:pPr>
      <w:r>
        <w:t xml:space="preserve">The base displacement scales with pin count. With twice as many pins (N=12 vs N=6), the linear scale factor is 2. Volume scales as the cube of the linear factor:</w:t>
      </w:r>
    </w:p>
    <w:p>
      <w:pPr>
        <w:spacing w:after="160" w:before="120"/>
        <w:ind w:left="1440"/>
      </w:pPr>
      <w:r>
        <w:rPr>
          <w:rFonts w:ascii="Courier New" w:cs="Courier New" w:eastAsia="Courier New" w:hAnsi="Courier New"/>
          <w:color w:val="1F3864"/>
          <w:sz w:val="22"/>
          <w:szCs w:val="22"/>
        </w:rPr>
        <w:t xml:space="preserve">Base mass ratio = (N12/N6)^3 = (12/6)^3 = 2^3 = 8  (exact)</w:t>
      </w:r>
    </w:p>
    <w:p>
      <w:pPr>
        <w:spacing w:after="160"/>
      </w:pPr>
      <w:r>
        <w:t xml:space="preserve">This is the proton/muon ratio before any field corrections. Eight is an exact integer from pin count geometry alone.</w:t>
      </w:r>
    </w:p>
    <w:p>
      <w:pPr>
        <w:pBdr>
          <w:bottom w:val="single" w:color="2E75B6" w:sz="6" w:space="1"/>
        </w:pBdr>
        <w:spacing w:after="200"/>
      </w:pPr>
      <w:r>
        <w:t xml:space="preserve"/>
      </w:r>
    </w:p>
    <w:p>
      <w:pPr>
        <w:pStyle w:val="Heading2"/>
      </w:pPr>
      <w:r>
        <w:t xml:space="preserve">Step 3: The Two Active Components of a Triangular Face</w:t>
      </w:r>
    </w:p>
    <w:p>
      <w:pPr>
        <w:spacing w:after="160"/>
      </w:pPr>
      <w:r>
        <w:t xml:space="preserve">Each triangular face in a vortex cluster generates two distinct field components. These are independent and must be tracked separately.</w:t>
      </w:r>
    </w:p>
    <w:p>
      <w:pPr>
        <w:pStyle w:val="Heading3"/>
      </w:pPr>
      <w:r>
        <w:t xml:space="preserve">Component A: EM Shear at Edges</w:t>
      </w:r>
    </w:p>
    <w:p>
      <w:pPr>
        <w:spacing w:after="160"/>
      </w:pPr>
      <w:r>
        <w:t xml:space="preserve">The spinning pins at each vertex create chirality-driven shear force along the connecting edges. This is the medium-range repulsion field — the electromagnetic component. Each edge is shared between two faces, so contributes one half of its strength to each face. A triangle has three edges:</w:t>
      </w:r>
    </w:p>
    <w:p>
      <w:pPr>
        <w:spacing w:after="160" w:before="120"/>
        <w:ind w:left="1440"/>
      </w:pPr>
      <w:r>
        <w:rPr>
          <w:rFonts w:ascii="Courier New" w:cs="Courier New" w:eastAsia="Courier New" w:hAnsi="Courier New"/>
          <w:color w:val="1F3864"/>
          <w:sz w:val="22"/>
          <w:szCs w:val="22"/>
        </w:rPr>
        <w:t xml:space="preserve">EM per face = 3 edges x 1.0 x 0.5 = 1.500000  (exact)</w:t>
      </w:r>
    </w:p>
    <w:p>
      <w:pPr>
        <w:pStyle w:val="Heading3"/>
      </w:pPr>
      <w:r>
        <w:t xml:space="preserve">Component B: Pressure Pillow at Face Center</w:t>
      </w:r>
    </w:p>
    <w:p>
      <w:pPr>
        <w:spacing w:after="160"/>
      </w:pPr>
      <w:r>
        <w:t xml:space="preserve">The three edges drag substrate inward toward the face center from all three directions simultaneously. The converging substrate has nowhere to go and compresses into a high-pressure cushion at the center. This is the short-range strong-force component. Its strength scales with the inradius squared — the area of the compression zone:</w:t>
      </w:r>
    </w:p>
    <w:p>
      <w:pPr>
        <w:spacing w:after="160" w:before="120"/>
        <w:ind w:left="1440"/>
      </w:pPr>
      <w:r>
        <w:rPr>
          <w:rFonts w:ascii="Courier New" w:cs="Courier New" w:eastAsia="Courier New" w:hAnsi="Courier New"/>
          <w:color w:val="1F3864"/>
          <w:sz w:val="22"/>
          <w:szCs w:val="22"/>
        </w:rPr>
        <w:t xml:space="preserve">Inradius of equilateral triangle (unit edge) = 1/(2*sqrt(3)) = 0.28868</w:t>
      </w:r>
    </w:p>
    <w:p>
      <w:pPr>
        <w:spacing w:after="160" w:before="120"/>
        <w:ind w:left="1440"/>
      </w:pPr>
      <w:r>
        <w:rPr>
          <w:rFonts w:ascii="Courier New" w:cs="Courier New" w:eastAsia="Courier New" w:hAnsi="Courier New"/>
          <w:color w:val="1F3864"/>
          <w:sz w:val="22"/>
          <w:szCs w:val="22"/>
        </w:rPr>
        <w:t xml:space="preserve">Pillow per face = pi x inradius^2 = pi x 0.08333 = 0.26180  (exact: pi/12)</w:t>
      </w:r>
    </w:p>
    <w:p>
      <w:pPr>
        <w:pBdr>
          <w:bottom w:val="single" w:color="2E75B6" w:sz="6" w:space="1"/>
        </w:pBdr>
        <w:spacing w:after="200"/>
      </w:pPr>
      <w:r>
        <w:t xml:space="preserve"/>
      </w:r>
    </w:p>
    <w:p>
      <w:pPr>
        <w:pStyle w:val="Heading2"/>
      </w:pPr>
      <w:r>
        <w:t xml:space="preserve">Step 4: Adjacency Rules — The Key Structural Difference</w:t>
      </w:r>
    </w:p>
    <w:p>
      <w:pPr>
        <w:pStyle w:val="Heading3"/>
      </w:pPr>
      <w:r>
        <w:t xml:space="preserve">Octahedron (Muon): Full Internal Reinforcement</w:t>
      </w:r>
    </w:p>
    <w:p>
      <w:pPr>
        <w:spacing w:after="160"/>
      </w:pPr>
      <w:r>
        <w:t xml:space="preserve">Each triangular face in the octahedron is adjacent to three other triangular faces. Both EM and pillow components are reinforced by neighboring faces. All pressure pillows push inward simultaneously, mutually compressing the interior. All EM shear fields align and reinforce.</w:t>
      </w:r>
    </w:p>
    <w:p>
      <w:pPr>
        <w:spacing w:after="160" w:before="120"/>
        <w:ind w:left="1440"/>
      </w:pPr>
      <w:r>
        <w:rPr>
          <w:rFonts w:ascii="Courier New" w:cs="Courier New" w:eastAsia="Courier New" w:hAnsi="Courier New"/>
          <w:color w:val="1F3864"/>
          <w:sz w:val="22"/>
          <w:szCs w:val="22"/>
        </w:rPr>
        <w:t xml:space="preserve">EM per face (reinforced)     = 1.500 x (1 self + 3 neighbors) = 6.000</w:t>
      </w:r>
    </w:p>
    <w:p>
      <w:pPr>
        <w:spacing w:after="160" w:before="120"/>
        <w:ind w:left="1440"/>
      </w:pPr>
      <w:r>
        <w:rPr>
          <w:rFonts w:ascii="Courier New" w:cs="Courier New" w:eastAsia="Courier New" w:hAnsi="Courier New"/>
          <w:color w:val="1F3864"/>
          <w:sz w:val="22"/>
          <w:szCs w:val="22"/>
        </w:rPr>
        <w:t xml:space="preserve">Pillow per face (reinforced) = 0.2618 x (1 + 3)              = 1.0472</w:t>
      </w:r>
    </w:p>
    <w:p>
      <w:pPr>
        <w:spacing w:after="160" w:before="120"/>
        <w:ind w:left="1440"/>
      </w:pPr>
      <w:r>
        <w:rPr>
          <w:rFonts w:ascii="Courier New" w:cs="Courier New" w:eastAsia="Courier New" w:hAnsi="Courier New"/>
          <w:color w:val="1F3864"/>
          <w:sz w:val="22"/>
          <w:szCs w:val="22"/>
        </w:rPr>
        <w:t xml:space="preserve">Total per face               = 7.0472</w:t>
      </w:r>
    </w:p>
    <w:p>
      <w:pPr>
        <w:spacing w:after="160" w:before="120"/>
        <w:ind w:left="1440"/>
      </w:pPr>
      <w:r>
        <w:rPr>
          <w:rFonts w:ascii="Courier New" w:cs="Courier New" w:eastAsia="Courier New" w:hAnsi="Courier New"/>
          <w:color w:val="1F3864"/>
          <w:sz w:val="22"/>
          <w:szCs w:val="22"/>
        </w:rPr>
        <w:t xml:space="preserve">Total across 8 faces         = 56.378  (octa baseline)</w:t>
      </w:r>
    </w:p>
    <w:p>
      <w:pPr>
        <w:pStyle w:val="Heading3"/>
      </w:pPr>
      <w:r>
        <w:t xml:space="preserve">Cuboctahedron (Proton): Isolated Triangular Faces</w:t>
      </w:r>
    </w:p>
    <w:p>
      <w:pPr>
        <w:spacing w:after="160"/>
      </w:pPr>
      <w:r>
        <w:t xml:space="preserve">Each triangular face in the cuboctahedron is adjacent to three square faces — dead zones that contribute no chirality shear and no pressure pillow. Two consequences follow directly from the geometry:</w:t>
      </w:r>
    </w:p>
    <w:p>
      <w:pPr>
        <w:pStyle w:val="ListParagraph"/>
        <w:numPr>
          <w:ilvl w:val="0"/>
          <w:numId w:val="2"/>
        </w:numPr>
        <w:spacing w:after="100"/>
      </w:pPr>
      <w:r>
        <w:t xml:space="preserve">The pressure pillow receives no internal reinforcement from neighboring triangles. With zero reinforcing neighbors out of a possible three, exactly 3/4 of the pillow energy escapes outward rather than reinforcing inward. This fraction is exact: 0 neighbors out of 3 possible = 3/4 escape.</w:t>
      </w:r>
    </w:p>
    <w:p>
      <w:pPr>
        <w:pStyle w:val="ListParagraph"/>
        <w:numPr>
          <w:ilvl w:val="0"/>
          <w:numId w:val="2"/>
        </w:numPr>
        <w:spacing w:after="160"/>
      </w:pPr>
      <w:r>
        <w:t xml:space="preserve">The EM edge is shared with a square face on one side. Square faces are chirality-dead. So each triangular face edge only has chirality reinforcement from one side instead of two — half strength.</w:t>
      </w:r>
    </w:p>
    <w:p>
      <w:pPr>
        <w:spacing w:after="160" w:before="120"/>
        <w:ind w:left="1440"/>
      </w:pPr>
      <w:r>
        <w:rPr>
          <w:rFonts w:ascii="Courier New" w:cs="Courier New" w:eastAsia="Courier New" w:hAnsi="Courier New"/>
          <w:color w:val="1F3864"/>
          <w:sz w:val="22"/>
          <w:szCs w:val="22"/>
        </w:rPr>
        <w:t xml:space="preserve">EM internal per face     = 1.500 x 0.5 (half strength)      = 0.750</w:t>
      </w:r>
    </w:p>
    <w:p>
      <w:pPr>
        <w:spacing w:after="160" w:before="120"/>
        <w:ind w:left="1440"/>
      </w:pPr>
      <w:r>
        <w:rPr>
          <w:rFonts w:ascii="Courier New" w:cs="Courier New" w:eastAsia="Courier New" w:hAnsi="Courier New"/>
          <w:color w:val="1F3864"/>
          <w:sz w:val="22"/>
          <w:szCs w:val="22"/>
        </w:rPr>
        <w:t xml:space="preserve">Pillow internal per face = 0.2618 x 0.25 (1/4 stays)        = 0.06545</w:t>
      </w:r>
    </w:p>
    <w:p>
      <w:pPr>
        <w:spacing w:after="160" w:before="120"/>
        <w:ind w:left="1440"/>
      </w:pPr>
      <w:r>
        <w:rPr>
          <w:rFonts w:ascii="Courier New" w:cs="Courier New" w:eastAsia="Courier New" w:hAnsi="Courier New"/>
          <w:color w:val="1F3864"/>
          <w:sz w:val="22"/>
          <w:szCs w:val="22"/>
        </w:rPr>
        <w:t xml:space="preserve">EM escaped per face      = 1.500 x 0.5                       = 0.750</w:t>
      </w:r>
    </w:p>
    <w:p>
      <w:pPr>
        <w:spacing w:after="160" w:before="120"/>
        <w:ind w:left="1440"/>
      </w:pPr>
      <w:r>
        <w:rPr>
          <w:rFonts w:ascii="Courier New" w:cs="Courier New" w:eastAsia="Courier New" w:hAnsi="Courier New"/>
          <w:color w:val="1F3864"/>
          <w:sz w:val="22"/>
          <w:szCs w:val="22"/>
        </w:rPr>
        <w:t xml:space="preserve">Pillow escaped per face  = 0.2618 x 0.75                     = 0.19635</w:t>
      </w:r>
    </w:p>
    <w:p>
      <w:pPr>
        <w:spacing w:after="160" w:before="120"/>
        <w:ind w:left="1440"/>
      </w:pPr>
      <w:r>
        <w:rPr>
          <w:rFonts w:ascii="Courier New" w:cs="Courier New" w:eastAsia="Courier New" w:hAnsi="Courier New"/>
          <w:color w:val="1F3864"/>
          <w:sz w:val="22"/>
          <w:szCs w:val="22"/>
        </w:rPr>
        <w:t xml:space="preserve">Total escaped per face   = 0.750 + 0.19635                   = 0.94635</w:t>
      </w:r>
    </w:p>
    <w:p>
      <w:pPr>
        <w:spacing w:after="160" w:before="120"/>
        <w:ind w:left="1440"/>
      </w:pPr>
      <w:r>
        <w:rPr>
          <w:rFonts w:ascii="Courier New" w:cs="Courier New" w:eastAsia="Courier New" w:hAnsi="Courier New"/>
          <w:color w:val="1F3864"/>
          <w:sz w:val="22"/>
          <w:szCs w:val="22"/>
        </w:rPr>
        <w:t xml:space="preserve">Total escaped (8 faces)  = 8 x 0.94635                       = 7.5708</w:t>
      </w:r>
    </w:p>
    <w:p>
      <w:pPr>
        <w:pBdr>
          <w:bottom w:val="single" w:color="2E75B6" w:sz="6" w:space="1"/>
        </w:pBdr>
        <w:spacing w:after="200"/>
      </w:pPr>
      <w:r>
        <w:t xml:space="preserve"/>
      </w:r>
    </w:p>
    <w:p>
      <w:pPr>
        <w:pStyle w:val="Heading2"/>
      </w:pPr>
      <w:r>
        <w:t xml:space="preserve">Step 5: EM Self-Cancellation from Opposite Face Pairs</w:t>
      </w:r>
    </w:p>
    <w:p>
      <w:pPr>
        <w:spacing w:after="160"/>
      </w:pPr>
      <w:r>
        <w:t xml:space="preserve">The cuboctahedron has 8 triangular faces arranged in 4 opposing pairs. Each pair sits on opposite sides of the structure. Opposite faces have opposite chirality orientation — they are mirror-image vortex configurations.</w:t>
      </w:r>
    </w:p>
    <w:p>
      <w:pPr>
        <w:spacing w:after="160"/>
      </w:pPr>
      <w:r>
        <w:t xml:space="preserve">When the escaped EM field from one face propagates outward, it meets the escaped EM field from the opposite face propagating in the opposite direction. These two fields partially cancel. The cancellation fraction is determined by the rotational offset between opposite face pairs.</w:t>
      </w:r>
    </w:p>
    <w:p>
      <w:pPr>
        <w:spacing w:after="160"/>
      </w:pPr>
      <w:r>
        <w:t xml:space="preserve">In the cuboctahedron, opposite triangular faces are rotated 60 degrees relative to each other — they are staggered, not mirror-aligned on the same axis. The cancellation fraction for a 60-degree offset is:</w:t>
      </w:r>
    </w:p>
    <w:p>
      <w:pPr>
        <w:spacing w:after="160" w:before="120"/>
        <w:ind w:left="1440"/>
      </w:pPr>
      <w:r>
        <w:rPr>
          <w:rFonts w:ascii="Courier New" w:cs="Courier New" w:eastAsia="Courier New" w:hAnsi="Courier New"/>
          <w:color w:val="1F3864"/>
          <w:sz w:val="22"/>
          <w:szCs w:val="22"/>
        </w:rPr>
        <w:t xml:space="preserve">Cancellation fraction = cos(60 degrees) = 0.5  (exact)</w:t>
      </w:r>
    </w:p>
    <w:p>
      <w:pPr>
        <w:spacing w:after="160" w:before="120"/>
        <w:ind w:left="1440"/>
      </w:pPr>
      <w:r>
        <w:rPr>
          <w:rFonts w:ascii="Courier New" w:cs="Courier New" w:eastAsia="Courier New" w:hAnsi="Courier New"/>
          <w:color w:val="1F3864"/>
          <w:sz w:val="22"/>
          <w:szCs w:val="22"/>
        </w:rPr>
        <w:t xml:space="preserve">EM survival fraction  = 1 - 0.5         = 0.5  (exact)</w:t>
      </w:r>
    </w:p>
    <w:p>
      <w:pPr>
        <w:spacing w:after="160"/>
      </w:pPr>
      <w:r>
        <w:t xml:space="preserve">The pressure pillow component does NOT undergo this cancellation. Pressure is a scalar quantity — it has magnitude but no direction. Opposite pressure pillows do not cancel each other. All escaped pillow energy becomes sustained external displacement.</w:t>
      </w:r>
    </w:p>
    <w:p>
      <w:pPr>
        <w:spacing w:after="160" w:before="120"/>
        <w:ind w:left="1440"/>
      </w:pPr>
      <w:r>
        <w:rPr>
          <w:rFonts w:ascii="Courier New" w:cs="Courier New" w:eastAsia="Courier New" w:hAnsi="Courier New"/>
          <w:color w:val="1F3864"/>
          <w:sz w:val="22"/>
          <w:szCs w:val="22"/>
        </w:rPr>
        <w:t xml:space="preserve">Survived EM (8 faces)    = 7.5708 x (4/8) faces x 0.5 survival</w:t>
      </w:r>
    </w:p>
    <w:p>
      <w:pPr>
        <w:spacing w:after="160" w:before="120"/>
        <w:ind w:left="1440"/>
      </w:pPr>
      <w:r>
        <w:rPr>
          <w:rFonts w:ascii="Courier New" w:cs="Courier New" w:eastAsia="Courier New" w:hAnsi="Courier New"/>
          <w:color w:val="1F3864"/>
          <w:sz w:val="22"/>
          <w:szCs w:val="22"/>
        </w:rPr>
        <w:t xml:space="preserve">                         = 3.000  (exact: 8 faces x 0.750 x 0.5)</w:t>
      </w:r>
    </w:p>
    <w:p>
      <w:pPr>
        <w:spacing w:after="160" w:before="120"/>
        <w:ind w:left="1440"/>
      </w:pPr>
      <w:r>
        <w:rPr>
          <w:rFonts w:ascii="Courier New" w:cs="Courier New" w:eastAsia="Courier New" w:hAnsi="Courier New"/>
          <w:color w:val="1F3864"/>
          <w:sz w:val="22"/>
          <w:szCs w:val="22"/>
        </w:rPr>
        <w:t xml:space="preserve">Pillow escaped (8 faces) = 8 x 0.19635 = 1.5708  (exact: pi/2)</w:t>
      </w:r>
    </w:p>
    <w:p>
      <w:pPr>
        <w:spacing w:after="160" w:before="120"/>
        <w:ind w:left="1440"/>
      </w:pPr>
      <w:r>
        <w:rPr>
          <w:rFonts w:ascii="Courier New" w:cs="Courier New" w:eastAsia="Courier New" w:hAnsi="Courier New"/>
          <w:color w:val="1F3864"/>
          <w:sz w:val="22"/>
          <w:szCs w:val="22"/>
        </w:rPr>
        <w:t xml:space="preserve">Total external           = 3.000 + 1.5708 = 4.5708</w:t>
      </w:r>
    </w:p>
    <w:p>
      <w:pPr>
        <w:pBdr>
          <w:bottom w:val="single" w:color="2E75B6" w:sz="6" w:space="1"/>
        </w:pBdr>
        <w:spacing w:after="200"/>
      </w:pPr>
      <w:r>
        <w:t xml:space="preserve"/>
      </w:r>
    </w:p>
    <w:p>
      <w:pPr>
        <w:pStyle w:val="Heading2"/>
      </w:pPr>
      <w:r>
        <w:t xml:space="preserve">Step 6: Resonance Sync — The Tuning Fork Effect</w:t>
      </w:r>
    </w:p>
    <w:p>
      <w:pPr>
        <w:spacing w:after="160"/>
      </w:pPr>
      <w:r>
        <w:t xml:space="preserve">The escaped field does not propagate into neutral substrate. It propagates through substrate that is already resonating with the collective reality field of all 24 edges of the cuboctahedron. Like tuning forks connected at their base, the escaped field gets pulled into sync with the collective resonance before it fully propagates away.</w:t>
      </w:r>
    </w:p>
    <w:p>
      <w:pPr>
        <w:spacing w:after="160"/>
      </w:pPr>
      <w:r>
        <w:t xml:space="preserve">Each edge contributes a small resonance boost. The boost per edge equals (rho_L - 1) — the local substrate thickening produced by each vortex pin. The cuboctahedron has 24 edges:</w:t>
      </w:r>
    </w:p>
    <w:p>
      <w:pPr>
        <w:spacing w:after="160" w:before="120"/>
        <w:ind w:left="1440"/>
      </w:pPr>
      <w:r>
        <w:rPr>
          <w:rFonts w:ascii="Courier New" w:cs="Courier New" w:eastAsia="Courier New" w:hAnsi="Courier New"/>
          <w:color w:val="1F3864"/>
          <w:sz w:val="22"/>
          <w:szCs w:val="22"/>
        </w:rPr>
        <w:t xml:space="preserve">Boost per edge             = rho_L - 1 = 0.0127</w:t>
      </w:r>
    </w:p>
    <w:p>
      <w:pPr>
        <w:spacing w:after="160" w:before="120"/>
        <w:ind w:left="1440"/>
      </w:pPr>
      <w:r>
        <w:rPr>
          <w:rFonts w:ascii="Courier New" w:cs="Courier New" w:eastAsia="Courier New" w:hAnsi="Courier New"/>
          <w:color w:val="1F3864"/>
          <w:sz w:val="22"/>
          <w:szCs w:val="22"/>
        </w:rPr>
        <w:t xml:space="preserve">Total sync boost           = 1 + (24 x 0.0127) = 1 + 0.3048 = 1.3048</w:t>
      </w:r>
    </w:p>
    <w:p>
      <w:pPr>
        <w:spacing w:after="160" w:before="120"/>
        <w:ind w:left="1440"/>
      </w:pPr>
      <w:r>
        <w:rPr>
          <w:rFonts w:ascii="Courier New" w:cs="Courier New" w:eastAsia="Courier New" w:hAnsi="Courier New"/>
          <w:color w:val="1F3864"/>
          <w:sz w:val="22"/>
          <w:szCs w:val="22"/>
        </w:rPr>
        <w:t xml:space="preserve">Synced external total      = 4.5708 x 1.3048 = 5.9624... </w:t>
      </w:r>
    </w:p>
    <w:p>
      <w:pPr>
        <w:spacing w:after="120" w:before="120"/>
      </w:pPr>
      <w:r>
        <w:rPr>
          <w:i/>
          <w:iCs/>
          <w:color w:val="555555"/>
          <w:sz w:val="20"/>
          <w:szCs w:val="20"/>
        </w:rPr>
        <w:t xml:space="preserve">Note on rho_L: rho_L = 1.0127 is the local substrate back-pressure at the N=12 cuboctahedral boundary when the lock term is active. It is not a free parameter — it emerges from the N=12 truss geometry and the lock term interaction. It appears as a universal correction across the proton/electron ratio, the fine structure constant, and here in the sync boost, because all three measurements are made from inside the local substrate field, through the same boundary condition.</w:t>
      </w:r>
    </w:p>
    <w:p>
      <w:pPr>
        <w:pBdr>
          <w:bottom w:val="single" w:color="2E75B6" w:sz="6" w:space="1"/>
        </w:pBdr>
        <w:spacing w:after="200"/>
      </w:pPr>
      <w:r>
        <w:t xml:space="preserve"/>
      </w:r>
    </w:p>
    <w:p>
      <w:pPr>
        <w:pStyle w:val="Heading2"/>
      </w:pPr>
      <w:r>
        <w:t xml:space="preserve">Step 7: Final Coupling Factor and Mass Ratio</w:t>
      </w:r>
    </w:p>
    <w:p>
      <w:pPr>
        <w:spacing w:after="160"/>
      </w:pPr>
      <w:r>
        <w:t xml:space="preserve">The coupling factor is the ratio of external displacement to the octahedron baseline, expressed as a multiplier above unity:</w:t>
      </w:r>
    </w:p>
    <w:p>
      <w:pPr>
        <w:spacing w:after="160" w:before="120"/>
        <w:ind w:left="1440"/>
      </w:pPr>
      <w:r>
        <w:rPr>
          <w:rFonts w:ascii="Courier New" w:cs="Courier New" w:eastAsia="Courier New" w:hAnsi="Courier New"/>
          <w:color w:val="1F3864"/>
          <w:sz w:val="22"/>
          <w:szCs w:val="22"/>
        </w:rPr>
        <w:t xml:space="preserve">Raw coupling factor = 1 + (synced external / octa baseline)</w:t>
      </w:r>
    </w:p>
    <w:p>
      <w:pPr>
        <w:spacing w:after="160" w:before="120"/>
        <w:ind w:left="1440"/>
      </w:pPr>
      <w:r>
        <w:rPr>
          <w:rFonts w:ascii="Courier New" w:cs="Courier New" w:eastAsia="Courier New" w:hAnsi="Courier New"/>
          <w:color w:val="1F3864"/>
          <w:sz w:val="22"/>
          <w:szCs w:val="22"/>
        </w:rPr>
        <w:t xml:space="preserve">                    = 1 + (5.9624 / 56.378)</w:t>
      </w:r>
    </w:p>
    <w:p>
      <w:pPr>
        <w:spacing w:after="160" w:before="120"/>
        <w:ind w:left="1440"/>
      </w:pPr>
      <w:r>
        <w:rPr>
          <w:rFonts w:ascii="Courier New" w:cs="Courier New" w:eastAsia="Courier New" w:hAnsi="Courier New"/>
          <w:color w:val="1F3864"/>
          <w:sz w:val="22"/>
          <w:szCs w:val="22"/>
        </w:rPr>
        <w:t xml:space="preserve">                    = 1 + 0.10577</w:t>
      </w:r>
    </w:p>
    <w:p>
      <w:pPr>
        <w:spacing w:after="160" w:before="120"/>
        <w:ind w:left="1440"/>
      </w:pPr>
      <w:r>
        <w:rPr>
          <w:rFonts w:ascii="Courier New" w:cs="Courier New" w:eastAsia="Courier New" w:hAnsi="Courier New"/>
          <w:color w:val="1F3864"/>
          <w:sz w:val="22"/>
          <w:szCs w:val="22"/>
        </w:rPr>
        <w:t xml:space="preserve">                    = 1.10577</w:t>
      </w:r>
    </w:p>
    <w:p>
      <w:pPr>
        <w:spacing w:after="160"/>
      </w:pPr>
      <w:r>
        <w:t xml:space="preserve">The final proton/muon mass ratio is the base geometric ratio multiplied by the coupling factor:</w:t>
      </w:r>
    </w:p>
    <w:p>
      <w:pPr>
        <w:spacing w:after="160" w:before="120"/>
        <w:ind w:left="1440"/>
      </w:pPr>
      <w:r>
        <w:rPr>
          <w:rFonts w:ascii="Courier New" w:cs="Courier New" w:eastAsia="Courier New" w:hAnsi="Courier New"/>
          <w:color w:val="1F3864"/>
          <w:sz w:val="22"/>
          <w:szCs w:val="22"/>
        </w:rPr>
        <w:t xml:space="preserve">Proton/Muon = base x coupling</w:t>
      </w:r>
    </w:p>
    <w:p>
      <w:pPr>
        <w:spacing w:after="160" w:before="120"/>
        <w:ind w:left="1440"/>
      </w:pPr>
      <w:r>
        <w:rPr>
          <w:rFonts w:ascii="Courier New" w:cs="Courier New" w:eastAsia="Courier New" w:hAnsi="Courier New"/>
          <w:color w:val="1F3864"/>
          <w:sz w:val="22"/>
          <w:szCs w:val="22"/>
        </w:rPr>
        <w:t xml:space="preserve">           = 8.000 x 1.10577</w:t>
      </w:r>
    </w:p>
    <w:p>
      <w:pPr>
        <w:spacing w:after="160" w:before="120"/>
        <w:ind w:left="1440"/>
      </w:pPr>
      <w:r>
        <w:rPr>
          <w:rFonts w:ascii="Courier New" w:cs="Courier New" w:eastAsia="Courier New" w:hAnsi="Courier New"/>
          <w:color w:val="1F3864"/>
          <w:sz w:val="22"/>
          <w:szCs w:val="22"/>
        </w:rPr>
        <w:t xml:space="preserve">           = 8.846</w:t>
      </w:r>
    </w:p>
    <w:p>
      <w:pPr>
        <w:pBdr>
          <w:bottom w:val="single" w:color="2E75B6" w:sz="6" w:space="1"/>
        </w:pBdr>
        <w:spacing w:after="200"/>
      </w:pPr>
      <w:r>
        <w:t xml:space="preserve"/>
      </w:r>
    </w:p>
    <w:p>
      <w:pPr>
        <w:pStyle w:val="Heading2"/>
      </w:pPr>
      <w:r>
        <w:t xml:space="preserve">Step 8: Comparison with 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Quantity</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Derived</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Observed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Base mass ratio (N12/N6)^3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8.000 (exact)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Escaped pillow (8 faces)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pi/2 = 1.5708 (exact)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Survived EM (8 faces)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3.000 (exact)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EM cancellation fraction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cos(60) = 0.5 (exact)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Sync boost (24 edges)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1.3048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Coupling factor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1.10577</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1.11003</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Proton/Muon ratio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8.846</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8.880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Error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0.38%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t>
            </w:r>
          </w:p>
        </w:tc>
      </w:tr>
    </w:tbl>
    <w:p>
      <w:pPr>
        <w:spacing w:after="240"/>
      </w:pPr>
      <w:r>
        <w:t xml:space="preserve"/>
      </w:r>
    </w:p>
    <w:p>
      <w:pPr>
        <w:pBdr>
          <w:bottom w:val="single" w:color="2E75B6" w:sz="6" w:space="1"/>
        </w:pBdr>
        <w:spacing w:after="200"/>
      </w:pPr>
      <w:r>
        <w:t xml:space="preserve"/>
      </w:r>
    </w:p>
    <w:p>
      <w:pPr>
        <w:pStyle w:val="Heading2"/>
      </w:pPr>
      <w:r>
        <w:t xml:space="preserve">All Inputs — No Free Parameters</w:t>
      </w:r>
    </w:p>
    <w:p>
      <w:pPr>
        <w:spacing w:after="160"/>
      </w:pPr>
      <w:r>
        <w:t xml:space="preserve">Every quantity used in this derivation is either:</w:t>
      </w:r>
    </w:p>
    <w:p>
      <w:pPr>
        <w:pStyle w:val="ListParagraph"/>
        <w:numPr>
          <w:ilvl w:val="0"/>
          <w:numId w:val="2"/>
        </w:numPr>
        <w:spacing w:after="80"/>
      </w:pPr>
      <w:r>
        <w:t xml:space="preserve">An exact integer from pin count geometry (N=6, N=12, 8 faces, 24 edges, 3 neighbors, 4 pairs)</w:t>
      </w:r>
    </w:p>
    <w:p>
      <w:pPr>
        <w:pStyle w:val="ListParagraph"/>
        <w:numPr>
          <w:ilvl w:val="0"/>
          <w:numId w:val="2"/>
        </w:numPr>
        <w:spacing w:after="80"/>
      </w:pPr>
      <w:r>
        <w:t xml:space="preserve">An exact geometric ratio (1/2 edge sharing, 3/4 escape fraction, cos(60) = 1/2 cancellation, pi/12 pillow area)</w:t>
      </w:r>
    </w:p>
    <w:p>
      <w:pPr>
        <w:pStyle w:val="ListParagraph"/>
        <w:numPr>
          <w:ilvl w:val="0"/>
          <w:numId w:val="2"/>
        </w:numPr>
        <w:spacing w:after="160"/>
      </w:pPr>
      <w:r>
        <w:t xml:space="preserve">rho_L = 1.0127 — which itself emerges from the N=12 locked-state boundary geometry, not fitted from any mass ratio data</w:t>
      </w:r>
    </w:p>
    <w:p>
      <w:pPr>
        <w:spacing w:after="160"/>
      </w:pPr>
      <w:r>
        <w:t xml:space="preserve">No constant in this derivation was chosen to make the answer come out right. The 0.38% residual error is the current honest state of the derivation. The remaining gap is likely the tidal equilibrium correction — the small shift in effective edge length as pins settle at mutual equilibrium distances rather than ideal unit geometry.</w:t>
      </w:r>
    </w:p>
    <w:p>
      <w:pPr>
        <w:pBdr>
          <w:bottom w:val="single" w:color="2E75B6" w:sz="6" w:space="1"/>
        </w:pBdr>
        <w:spacing w:after="200"/>
      </w:pPr>
      <w:r>
        <w:t xml:space="preserve"/>
      </w:r>
    </w:p>
    <w:p>
      <w:pPr>
        <w:pStyle w:val="Heading2"/>
      </w:pPr>
      <w:r>
        <w:t xml:space="preserve">Remaining Open Question</w:t>
      </w:r>
    </w:p>
    <w:p>
      <w:pPr>
        <w:spacing w:after="160"/>
      </w:pPr>
      <w:r>
        <w:t xml:space="preserve">The 0.38% gap corresponds to a boost factor of approximately 1.357 vs the derived 1.305. The difference (0.052) is consistent with the tidal equilibrium correction expected from 12 mutually attracting pins settling at distances slightly different from the unit-edge idealization used in this derivation.</w:t>
      </w:r>
    </w:p>
    <w:p>
      <w:pPr>
        <w:spacing w:after="160"/>
      </w:pPr>
      <w:r>
        <w:t xml:space="preserve">A complete derivation of the equilibrium pin spacing from the VSM wave equation — without assuming unit edge length — would close this gap and produce the exact observed ratio from geometry alone.</w:t>
      </w:r>
    </w:p>
    <w:p>
      <w:pPr>
        <w:pBdr>
          <w:bottom w:val="single" w:color="2E75B6" w:sz="6" w:space="1"/>
        </w:pBdr>
        <w:spacing w:after="200"/>
      </w:pPr>
      <w:r>
        <w:t xml:space="preserve"/>
      </w:r>
    </w:p>
    <w:p>
      <w:pPr>
        <w:spacing w:before="240"/>
        <w:jc w:val="center"/>
      </w:pPr>
      <w:r>
        <w:rPr>
          <w:i/>
          <w:iCs/>
          <w:color w:val="888888"/>
          <w:sz w:val="18"/>
          <w:szCs w:val="18"/>
        </w:rPr>
        <w:t xml:space="preserve">Vortex Dynamics Cosmology — VDC/VSM — Patrick T. Baxter — April 2026 — Work in Progress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tep %1."/>
      <w:lvlJc w:val="left"/>
      <w:pPr>
        <w:ind w:left="720" w:hanging="360"/>
      </w:pPr>
      <w:rPr>
        <w:b/>
        <w:bCs/>
      </w:r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2026-04-28T01:10:15.217Z</dcterms:created>
  <dcterms:modified xsi:type="dcterms:W3CDTF">2026-04-28T01:10:15.218Z</dcterms:modified>
</cp:coreProperties>
</file>

<file path=docProps/custom.xml><?xml version="1.0" encoding="utf-8"?>
<Properties xmlns="http://schemas.openxmlformats.org/officeDocument/2006/custom-properties" xmlns:vt="http://schemas.openxmlformats.org/officeDocument/2006/docPropsVTypes"/>
</file>