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VDC / VSM: The Reality Field</w:t>
      </w:r>
    </w:p>
    <w:p>
      <w:r>
        <w:rPr>
          <w:i/>
          <w:iCs/>
          <w:color w:val="555555"/>
        </w:rPr>
        <w:t xml:space="preserve">Vortex Dynamics Cosmology — Core Section: Field Emergence from Pin Geometry</w:t>
      </w:r>
    </w:p>
    <w:p>
      <w:r>
        <w:rPr>
          <w:b/>
          <w:bCs/>
        </w:rPr>
        <w:t xml:space="preserve">Patrick T. Baxter</w:t>
      </w:r>
    </w:p>
    <w:p>
      <w:r>
        <w:rPr>
          <w:color w:val="888888"/>
        </w:rPr>
        <w:t xml:space="preserve">Session notes compiled April 2026</w:t>
      </w:r>
    </w:p>
    <w:p>
      <w:pPr>
        <w:pBdr>
          <w:bottom w:val="single" w:color="2E75B6" w:sz="6" w:space="1"/>
        </w:pBdr>
      </w:pPr>
      <w:r>
        <w:t xml:space="preserve"/>
      </w:r>
    </w:p>
    <w:p>
      <w:pPr>
        <w:pStyle w:val="Heading2"/>
      </w:pPr>
      <w:r>
        <w:t xml:space="preserve">1. The Zero State</w:t>
      </w:r>
    </w:p>
    <w:p>
      <w:pPr>
        <w:spacing w:after="160"/>
      </w:pPr>
      <w:r>
        <w:t xml:space="preserve">The substrate field Psi at zero state has no measurable properties. No temperature, no friction, no energy, no time, no relationship between any two points. It is not nothing in the philosophical sense — it exists as pure potential — but it has no actuation. There is no motion, therefore no progression between states, therefore no time. There is no difference between any two points, therefore no energy gradient, therefore no force.</w:t>
      </w:r>
    </w:p>
    <w:p>
      <w:pPr>
        <w:spacing w:after="160"/>
      </w:pPr>
      <w:r>
        <w:t xml:space="preserve">This zero state is the substrate's preferred condition. Every vortex, every pin, every atom, every galaxy is the substrate failing to return to rest. The total energy content of the observable universe is simply the total magnitude of departure from zero.</w:t>
      </w:r>
    </w:p>
    <w:p>
      <w:pPr>
        <w:spacing w:after="240"/>
      </w:pPr>
      <w:r>
        <w:t xml:space="preserve">The surface tension parameter tau is not a property added to the substrate. It IS the substrate's resistance to being anything other than zero. Every stable vortex structure persists in constant tension against tau trying to collapse it back toward stillness.</w:t>
      </w:r>
    </w:p>
    <w:p>
      <w:pPr>
        <w:pBdr>
          <w:bottom w:val="single" w:color="2E75B6" w:sz="6" w:space="1"/>
        </w:pBdr>
      </w:pPr>
      <w:r>
        <w:t xml:space="preserve"/>
      </w:r>
    </w:p>
    <w:p>
      <w:pPr>
        <w:pStyle w:val="Heading2"/>
      </w:pPr>
      <w:r>
        <w:t xml:space="preserve">2. The Meon: Minimum Stable Vortex</w:t>
      </w:r>
    </w:p>
    <w:p>
      <w:pPr>
        <w:spacing w:after="160"/>
      </w:pPr>
      <w:r>
        <w:t xml:space="preserve">The meon is the smallest self-reinforcing vortex structure that can form in the substrate. It is not a particle in the classical sense — not a solid object with defined edges. It is a swirl. A stable loop of substrate in motion that persists because its own circulation pressure exactly balances tau pushing inward.</w:t>
      </w:r>
    </w:p>
    <w:p>
      <w:pPr>
        <w:spacing w:after="160"/>
      </w:pPr>
      <w:r>
        <w:t xml:space="preserve">Below the meon threshold, any disturbance collapses back to zero. At the meon threshold, the vortex's outward centrifugal pressure equals tau's inward restoring pressure. This balance point defines the meon's size and spin rate. Those two properties together determine how much substrate is displaced. That displacement IS the electron mass — not assigned, not fitted, but derived from the balance condition.</w:t>
      </w:r>
    </w:p>
    <w:p>
      <w:pPr>
        <w:spacing w:after="160"/>
      </w:pPr>
      <w:r>
        <w:t xml:space="preserve">The meon topology is toroidal, not spherical. A toroidal vortex has a defined axis and a circulation direction — chirality is not a property added to the meon, it is intrinsic to what a toroid is. This is why the electron has spin. Spin is not an abstract quantum number; it is the actual rotation direction of the substrate loop.</w:t>
      </w:r>
    </w:p>
    <w:p>
      <w:pPr>
        <w:spacing w:after="160"/>
      </w:pPr>
      <w:r>
        <w:t xml:space="preserve">A lone meon is marginally stable. Without any bracing — no triangular geometry, no neighboring pins — a single toroid has no resistance to deformation. Any perturbation can destabilize it. This is why free muons decay rapidly: a single vortex loop in isolation has no structural support against tau's continuous inward pressure. The muon is the meon in its simplest unbraced state.</w:t>
      </w:r>
    </w:p>
    <w:p>
      <w:pPr>
        <w:spacing w:after="240"/>
      </w:pPr>
      <w:r>
        <w:t xml:space="preserve">The neutrino occupies the same topological category as the meon but with no substrate caught in its interior — a matter-less loop. Same structure, no payload. This accounts for its near-zero interaction with other structures: it has no internal displacement to couple with, only the faint wake of the loop itself passing through.</w:t>
      </w:r>
    </w:p>
    <w:p>
      <w:pPr>
        <w:pBdr>
          <w:bottom w:val="single" w:color="2E75B6" w:sz="6" w:space="1"/>
        </w:pBdr>
      </w:pPr>
      <w:r>
        <w:t xml:space="preserve"/>
      </w:r>
    </w:p>
    <w:p>
      <w:pPr>
        <w:pStyle w:val="Heading2"/>
      </w:pPr>
      <w:r>
        <w:t xml:space="preserve">3. The Five-Zone Field Profile of a Triangular Face</w:t>
      </w:r>
    </w:p>
    <w:p>
      <w:pPr>
        <w:spacing w:after="160"/>
      </w:pPr>
      <w:r>
        <w:t xml:space="preserve">Every stable vortex cluster (atom) is built from triangular and square face geometries. The triangular faces are the active elements. Each triangular face generates a characteristic five-zone field profile moving from outside the structure inward:</w:t>
      </w:r>
    </w:p>
    <w:p>
      <w:pPr>
        <w:spacing w:after="80" w:before="120"/>
      </w:pPr>
      <w:r>
        <w:rPr>
          <w:b/>
          <w:bCs/>
        </w:rPr>
        <w:t xml:space="preserve">Zone 1 — Outer Resonance Field</w:t>
      </w:r>
    </w:p>
    <w:p>
      <w:pPr>
        <w:spacing w:after="120"/>
        <w:ind w:left="720"/>
      </w:pPr>
      <w:r>
        <w:t xml:space="preserve">The whole structure emits a substrate wave outward — a gentle periodic disturbance like a heartbeat. This is the long-range field we detect as electromagnetism at distance. Weak, omnidirectional, falling off with the geometry of space. Every pin contributes to this emission simply by existing as a stable vortex.</w:t>
      </w:r>
    </w:p>
    <w:p>
      <w:pPr>
        <w:spacing w:after="80" w:before="120"/>
      </w:pPr>
      <w:r>
        <w:rPr>
          <w:b/>
          <w:bCs/>
        </w:rPr>
        <w:t xml:space="preserve">Zone 2 — EM / Shear Repulsion at Edges</w:t>
      </w:r>
    </w:p>
    <w:p>
      <w:pPr>
        <w:spacing w:after="120"/>
        <w:ind w:left="720"/>
      </w:pPr>
      <w:r>
        <w:t xml:space="preserve">The triangle edges carry chirality-driven shear force. The spinning pins at each vertex create a field along the connecting edges that repels approaching structures. This is medium-range. Structures approaching from outside feel this as charge-like repulsion before anything else.</w:t>
      </w:r>
    </w:p>
    <w:p>
      <w:pPr>
        <w:spacing w:after="80" w:before="120"/>
      </w:pPr>
      <w:r>
        <w:rPr>
          <w:b/>
          <w:bCs/>
        </w:rPr>
        <w:t xml:space="preserve">Zone 3 — Neutral Boundary</w:t>
      </w:r>
    </w:p>
    <w:p>
      <w:pPr>
        <w:spacing w:after="120"/>
        <w:ind w:left="720"/>
      </w:pPr>
      <w:r>
        <w:t xml:space="preserve">The exact distance at which the outward resonance and inward suction cancel. Net force is zero here. This is the physical location of the lock threshold sigma — the boundary where an approaching structure transitions from being repelled to being attracted. The sigma parameter in the wave equation is not abstract: it is this specific geometric distance.</w:t>
      </w:r>
    </w:p>
    <w:p>
      <w:pPr>
        <w:spacing w:after="80" w:before="120"/>
      </w:pPr>
      <w:r>
        <w:rPr>
          <w:b/>
          <w:bCs/>
        </w:rPr>
        <w:t xml:space="preserve">Zone 4 — Negative Pressure / Suction</w:t>
      </w:r>
    </w:p>
    <w:p>
      <w:pPr>
        <w:spacing w:after="120"/>
        <w:ind w:left="720"/>
      </w:pPr>
      <w:r>
        <w:t xml:space="preserve">Inside the neutral boundary the inward pull dominates. The triangle edges are actively dragging substrate inward toward the face center. An approaching structure is now being pulled. Force increases toward the center. This is the attractive component of the strong force at short range.</w:t>
      </w:r>
    </w:p>
    <w:p>
      <w:pPr>
        <w:spacing w:after="80" w:before="120"/>
      </w:pPr>
      <w:r>
        <w:rPr>
          <w:b/>
          <w:bCs/>
        </w:rPr>
        <w:t xml:space="preserve">Zone 5 — Pressure Pillow at Face Center</w:t>
      </w:r>
    </w:p>
    <w:p>
      <w:pPr>
        <w:spacing w:after="240"/>
        <w:ind w:left="720"/>
      </w:pPr>
      <w:r>
        <w:t xml:space="preserve">Substrate being dragged inward from all three edges converges at the face center with nowhere to go. It compresses into a high-pressure cushion. This is the maximum lock zone. When two pressure pillows from adjacent structures meet and overlap, they merge into a shared cushion — this IS the covalent bond. The lock term activating in the wave equation corresponds exactly to two pressure pillows finding each other across the neutral boundary.</w:t>
      </w:r>
    </w:p>
    <w:p>
      <w:pPr>
        <w:pBdr>
          <w:bottom w:val="single" w:color="2E75B6" w:sz="6" w:space="1"/>
        </w:pBdr>
      </w:pPr>
      <w:r>
        <w:t xml:space="preserve"/>
      </w:r>
    </w:p>
    <w:p>
      <w:pPr>
        <w:pStyle w:val="Heading2"/>
      </w:pPr>
      <w:r>
        <w:t xml:space="preserve">4. Square Faces: Dead Zones and Alignment Surfaces</w:t>
      </w:r>
    </w:p>
    <w:p>
      <w:pPr>
        <w:spacing w:after="160"/>
      </w:pPr>
      <w:r>
        <w:t xml:space="preserve">Square faces do not contribute to the active five-zone field profile. They are geometric dead zones — the spaces left over when triangular faces pack together around a central void. Their 90-degree interior angles do not produce the same inward-converging edge tension that triangular faces generate.</w:t>
      </w:r>
    </w:p>
    <w:p>
      <w:pPr>
        <w:spacing w:after="160"/>
      </w:pPr>
      <w:r>
        <w:t xml:space="preserve">Square faces serve a different function: they are alignment surfaces. Their flat, open geometry presents a neutral face to approaching structures and guides the rotational alignment of the cluster during coupling. They tell the approaching structure which orientation is compatible before any triangular face locking occurs.</w:t>
      </w:r>
    </w:p>
    <w:p>
      <w:pPr>
        <w:spacing w:after="240"/>
      </w:pPr>
      <w:r>
        <w:t xml:space="preserve">In the cuboctahedron (N=12, the proton geometry) each triangular face is surrounded entirely by square faces — zero triangle-to-triangle adjacency. This means the pressure pillows from each triangular face receive no internal reinforcement from neighboring triangles. Three-quarters of the pillow energy escapes outward rather than reinforcing inward. This escaped energy creates an external substrate displacement halo around the structure — contributing to the proton's effective mass beyond the simple N-count volume.</w:t>
      </w:r>
    </w:p>
    <w:p>
      <w:pPr>
        <w:pBdr>
          <w:bottom w:val="single" w:color="2E75B6" w:sz="6" w:space="1"/>
        </w:pBdr>
      </w:pPr>
      <w:r>
        <w:t xml:space="preserve"/>
      </w:r>
    </w:p>
    <w:p>
      <w:pPr>
        <w:pStyle w:val="Heading2"/>
      </w:pPr>
      <w:r>
        <w:t xml:space="preserve">5. The Reality Field</w:t>
      </w:r>
    </w:p>
    <w:p>
      <w:pPr>
        <w:spacing w:after="160"/>
      </w:pPr>
      <w:r>
        <w:t xml:space="preserve">Every pin, by existing as a stable vortex in the substrate, disturbs the substrate. That disturbance propagates outward as a wave. This is not a special property of certain particles — it is the unavoidable consequence of any stable vortex in a medium. The substrate cannot accommodate a spinning vortex without that spin propagating as a wave into the surrounding field.</w:t>
      </w:r>
    </w:p>
    <w:p>
      <w:pPr>
        <w:spacing w:after="160"/>
      </w:pPr>
      <w:r>
        <w:t xml:space="preserve">This propagating disturbance is the reality field. It is one field. It is not four separate forces wearing the same coat. What we have historically measured and named as gravity, electromagnetism, the strong force, and the weak force are different aspects of the same disturbance viewed at different scales and through different instruments:</w:t>
      </w:r>
    </w:p>
    <w:p>
      <w:pPr>
        <w:spacing w:after="80" w:before="120"/>
        <w:ind w:left="720"/>
      </w:pPr>
      <w:r>
        <w:rPr>
          <w:b/>
          <w:bCs/>
        </w:rPr>
        <w:t xml:space="preserve">Gravity: </w:t>
      </w:r>
      <w:r>
        <w:t xml:space="preserve">The cumulative density gradient of many pins across large distances. Where more pins are present, the local substrate is more disturbed. The wave propagation rate changes in proportion to local pin density. Objects moving through the substrate follow paths determined by those propagation rate gradients. There is no separate gravitational force — there is only the substrate being more or less disturbed.</w:t>
      </w:r>
    </w:p>
    <w:p>
      <w:pPr>
        <w:spacing w:after="80" w:before="120"/>
        <w:ind w:left="720"/>
      </w:pPr>
      <w:r>
        <w:rPr>
          <w:b/>
          <w:bCs/>
        </w:rPr>
        <w:t xml:space="preserve">Time: </w:t>
      </w:r>
      <w:r>
        <w:t xml:space="preserve">The local propagation rate of the reality field wave. Time is not a dimension. It is the rate at which the substrate can carry the next state of a vortex from one moment to the next. In dense substrate (many pins, high reality field intensity) the wave propagates differently and clocks run at different rates. Time dilation is substrate density variation.</w:t>
      </w:r>
    </w:p>
    <w:p>
      <w:pPr>
        <w:spacing w:after="80" w:before="120"/>
        <w:ind w:left="720"/>
      </w:pPr>
      <w:r>
        <w:rPr>
          <w:b/>
          <w:bCs/>
        </w:rPr>
        <w:t xml:space="preserve">Electromagnetism: </w:t>
      </w:r>
      <w:r>
        <w:t xml:space="preserve">The chirality component of the reality field disturbance. Spin direction encoded in the outward wave. Like chirality attracts across the neutral boundary; opposite chirality repels. The distinction between electric and magnetic aspects reflects whether we are measuring the instantaneous field value or the curl of the propagating wave.</w:t>
      </w:r>
    </w:p>
    <w:p>
      <w:pPr>
        <w:spacing w:after="80" w:before="120"/>
        <w:ind w:left="720"/>
      </w:pPr>
      <w:r>
        <w:rPr>
          <w:b/>
          <w:bCs/>
        </w:rPr>
        <w:t xml:space="preserve">Strong Force: </w:t>
      </w:r>
      <w:r>
        <w:t xml:space="preserve">The pressure pillow lock. When two triangular face pillows merge across the neutral boundary, the substrate between them compresses hard. The lock term in the wave equation activates. This is short-range because the pillow only exists within Zone 4-5 of the face profile — it does not propagate to distance.</w:t>
      </w:r>
    </w:p>
    <w:p>
      <w:pPr>
        <w:spacing w:after="240" w:before="120"/>
        <w:ind w:left="720"/>
      </w:pPr>
      <w:r>
        <w:rPr>
          <w:b/>
          <w:bCs/>
        </w:rPr>
        <w:t xml:space="preserve">Weak Force: </w:t>
      </w:r>
      <w:r>
        <w:t xml:space="preserve">The marginal lock regime — states near but not quite at the sigma threshold. Unstable configurations that tunnel through the neutral boundary. Neutrino emission occurs when a vortex loop sheds its payload and reverts toward the matter-less smoke-ring topology.</w:t>
      </w:r>
    </w:p>
    <w:p>
      <w:pPr>
        <w:pBdr>
          <w:bottom w:val="single" w:color="2E75B6" w:sz="6" w:space="1"/>
        </w:pBdr>
      </w:pPr>
      <w:r>
        <w:t xml:space="preserve"/>
      </w:r>
    </w:p>
    <w:p>
      <w:pPr>
        <w:pStyle w:val="Heading2"/>
      </w:pPr>
      <w:r>
        <w:t xml:space="preserve">6. Field Merging and Chemistry</w:t>
      </w:r>
    </w:p>
    <w:p>
      <w:pPr>
        <w:spacing w:after="160"/>
      </w:pPr>
      <w:r>
        <w:t xml:space="preserve">When two vortex cluster reality fields encounter each other, three outcomes are possible depending on chirality alignment and approach angle:</w:t>
      </w:r>
    </w:p>
    <w:p>
      <w:pPr>
        <w:spacing w:after="80" w:before="120"/>
        <w:ind w:left="720"/>
      </w:pPr>
      <w:r>
        <w:rPr>
          <w:b/>
          <w:bCs/>
        </w:rPr>
        <w:t xml:space="preserve">Cancellation: </w:t>
      </w:r>
      <w:r>
        <w:t xml:space="preserve">Opposing chirality at matching angles. The two wakes null each other. The substrate locally returns toward zero. No sustained interaction.</w:t>
      </w:r>
    </w:p>
    <w:p>
      <w:pPr>
        <w:spacing w:after="80" w:before="120"/>
        <w:ind w:left="720"/>
      </w:pPr>
      <w:r>
        <w:rPr>
          <w:b/>
          <w:bCs/>
        </w:rPr>
        <w:t xml:space="preserve">Reinforcement: </w:t>
      </w:r>
      <w:r>
        <w:t xml:space="preserve">Matching chirality at matching angles. The two wakes amplify. Stronger combined field. Repulsion at distance, strong attraction at close range.</w:t>
      </w:r>
    </w:p>
    <w:p>
      <w:pPr>
        <w:spacing w:after="160" w:before="120"/>
        <w:ind w:left="720"/>
      </w:pPr>
      <w:r>
        <w:rPr>
          <w:b/>
          <w:bCs/>
        </w:rPr>
        <w:t xml:space="preserve">Merging: </w:t>
      </w:r>
      <w:r>
        <w:t xml:space="preserve">Compatible but not identical chirality and angle. The two fields find a shared harmonic — a third stable pattern that is neither of the originals alone. This is bonding. The atoms do not physically interlock first — their reality fields merge first and the geometry follows. The bond IS the shared field state.</w:t>
      </w:r>
    </w:p>
    <w:p>
      <w:pPr>
        <w:spacing w:after="160"/>
      </w:pPr>
      <w:r>
        <w:t xml:space="preserve">The face geometry of each element determines which of these outcomes is available to it:</w:t>
      </w:r>
    </w:p>
    <w:p>
      <w:pPr>
        <w:spacing w:after="80" w:before="120"/>
        <w:ind w:left="720"/>
      </w:pPr>
      <w:r>
        <w:rPr>
          <w:b/>
          <w:bCs/>
        </w:rPr>
        <w:t xml:space="preserve">High triangle ratio (e.g. Carbon, N=6 octahedron): </w:t>
      </w:r>
      <w:r>
        <w:t xml:space="preserve">Many exposed pressure pillows available for merging. Strong directional bonding. Diamond under pressure and heat — every triangular face locks to another, full three-dimensional interlock, maximum rigidity.</w:t>
      </w:r>
    </w:p>
    <w:p>
      <w:pPr>
        <w:spacing w:after="80" w:before="120"/>
        <w:ind w:left="720"/>
      </w:pPr>
      <w:r>
        <w:rPr>
          <w:b/>
          <w:bCs/>
        </w:rPr>
        <w:t xml:space="preserve">High square ratio (e.g. conductors): </w:t>
      </w:r>
      <w:r>
        <w:t xml:space="preserve">Square faces present neutral dead zones to approaching structures. Weak lock, easy flow. Substrate wakes pass through the square face channels without triggering the pillow merge. This is conductivity — the reality field flows through rather than locking.</w:t>
      </w:r>
    </w:p>
    <w:p>
      <w:pPr>
        <w:spacing w:after="240" w:before="120"/>
        <w:ind w:left="720"/>
      </w:pPr>
      <w:r>
        <w:rPr>
          <w:b/>
          <w:bCs/>
        </w:rPr>
        <w:t xml:space="preserve">Perfect dual-loop seal (Helium, N=2): </w:t>
      </w:r>
      <w:r>
        <w:t xml:space="preserve">No exposed triangular pillows at all. No face available for merging. The reality field emits outward uniformly with no directional coupling point. Complete chemical inertness. Noble gas behavior is not an electron shell phenomenon — it is a geometry with no available merge surfaces.</w:t>
      </w:r>
    </w:p>
    <w:p>
      <w:pPr>
        <w:pBdr>
          <w:bottom w:val="single" w:color="2E75B6" w:sz="6" w:space="1"/>
        </w:pBdr>
      </w:pPr>
      <w:r>
        <w:t xml:space="preserve"/>
      </w:r>
    </w:p>
    <w:p>
      <w:pPr>
        <w:pStyle w:val="Heading2"/>
      </w:pPr>
      <w:r>
        <w:t xml:space="preserve">7. Co-tuning and Atomic Stability</w:t>
      </w:r>
    </w:p>
    <w:p>
      <w:pPr>
        <w:spacing w:after="160"/>
      </w:pPr>
      <w:r>
        <w:t xml:space="preserve">The reality field strength of a vortex cluster is not simply the sum of its constituent pins. Each pin's outward disturbance propagates through the substrate and reaches every other pin in the cluster. The existing field slightly modifies the equilibrium position and spin rate of each pin. Those pins then emit a slightly modified wave. The cluster co-tunes — it settles into a collective oscillation state where every pin's reality field reinforces every other pin's reality field.</w:t>
      </w:r>
    </w:p>
    <w:p>
      <w:pPr>
        <w:spacing w:after="160"/>
      </w:pPr>
      <w:r>
        <w:t xml:space="preserve">A stable atom is therefore not simply a locked geometric structure. It is a geometry whose reality field is internally self-consistent — a standing wave pattern across all pins simultaneously. The lock geometry and the field resonance are the same thing expressed at different scales: the geometry determines which collective field states are possible, and only geometries that support a self-consistent field state are stable.</w:t>
      </w:r>
    </w:p>
    <w:p>
      <w:pPr>
        <w:spacing w:after="160"/>
      </w:pPr>
      <w:r>
        <w:t xml:space="preserve">This co-tuning is why atomic stability has sharp thresholds rather than gradual degradation. A stable atomic geometry either supports a self-consistent field resonance or it does not. There is no partial stability — only configurations that find the standing wave and configurations that cannot. Radioactive decay occurs when the internal geometry is close to but not quite supporting a self-consistent field state: the co-tuning is strained, the lock is imperfect, and eventually a fluctuation pushes the configuration past the sigma threshold.</w:t>
      </w:r>
    </w:p>
    <w:p>
      <w:pPr>
        <w:spacing w:after="240"/>
      </w:pPr>
      <w:r>
        <w:t xml:space="preserve">The periodic table, under this framework, is the complete enumeration of vortex cluster geometries that support self-consistent internal field resonances. Chemical behavior is the description of how those geometries interact through field merging at their exposed surfaces. No electron shells. No probabilistic orbitals. No separate force carriers. One substrate, one field, one wave equation.</w:t>
      </w:r>
    </w:p>
    <w:p>
      <w:pPr>
        <w:pBdr>
          <w:bottom w:val="single" w:color="2E75B6" w:sz="6" w:space="1"/>
        </w:pBdr>
      </w:pPr>
      <w:r>
        <w:t xml:space="preserve"/>
      </w:r>
    </w:p>
    <w:p>
      <w:pPr>
        <w:pStyle w:val="Heading2"/>
      </w:pPr>
      <w:r>
        <w:t xml:space="preserve">Status and Open Questions</w:t>
      </w:r>
    </w:p>
    <w:p>
      <w:pPr>
        <w:spacing w:after="120"/>
      </w:pPr>
      <w:r>
        <w:t xml:space="preserve">The conceptual framework above is internally consistent and derives chemistry, forces, and particle structure from a single substrate field with one wave equation. The following remain open for rigorous derivation:</w:t>
      </w:r>
    </w:p>
    <w:p>
      <w:pPr>
        <w:spacing w:after="80" w:before="80"/>
        <w:ind w:left="720"/>
      </w:pPr>
      <w:r>
        <w:t xml:space="preserve">1.  The absolute anchoring of tau to physical units (fm scale) from the meon balance condition alone.</w:t>
      </w:r>
    </w:p>
    <w:p>
      <w:pPr>
        <w:spacing w:after="80" w:before="80"/>
        <w:ind w:left="720"/>
      </w:pPr>
      <w:r>
        <w:t xml:space="preserve">2.  The exact cancellation fraction of escaped EM chirality (the alpha = 1/137 derivation from geometric self-cancellation of opposite-face pairs).</w:t>
      </w:r>
    </w:p>
    <w:p>
      <w:pPr>
        <w:spacing w:after="80" w:before="80"/>
        <w:ind w:left="720"/>
      </w:pPr>
      <w:r>
        <w:t xml:space="preserve">3.  The complete atomic weight formula: total displacement = sum(pin volumes) minus coupling cancellation(angles) plus wake interference(geometry) plus/minus tidal equilibrium correction.</w:t>
      </w:r>
    </w:p>
    <w:p>
      <w:pPr>
        <w:spacing w:after="240" w:before="80"/>
        <w:ind w:left="720"/>
      </w:pPr>
      <w:r>
        <w:t xml:space="preserve">4.  The three-generation lepton structure (why exactly three stable meon configurations exist before the muon topology).</w:t>
      </w:r>
    </w:p>
    <w:p>
      <w:pPr>
        <w:pBdr>
          <w:bottom w:val="single" w:color="2E75B6" w:sz="6" w:space="1"/>
        </w:pBdr>
      </w:pPr>
      <w:r>
        <w:t xml:space="preserve"/>
      </w:r>
    </w:p>
    <w:p>
      <w:pPr>
        <w:spacing w:before="240"/>
        <w:jc w:val="center"/>
      </w:pPr>
      <w:r>
        <w:rPr>
          <w:i/>
          <w:iCs/>
          <w:color w:val="888888"/>
          <w:sz w:val="20"/>
          <w:szCs w:val="20"/>
        </w:rPr>
        <w:t xml:space="preserve">Vortex Dynamics Cosmology — VDC/VSM — Patrick T. Baxter —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2026-04-27T20:39:56.524Z</dcterms:created>
  <dcterms:modified xsi:type="dcterms:W3CDTF">2026-04-27T20:39:56.525Z</dcterms:modified>
</cp:coreProperties>
</file>

<file path=docProps/custom.xml><?xml version="1.0" encoding="utf-8"?>
<Properties xmlns="http://schemas.openxmlformats.org/officeDocument/2006/custom-properties" xmlns:vt="http://schemas.openxmlformats.org/officeDocument/2006/docPropsVTypes"/>
</file>