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EC84B" w14:textId="7450EE7F" w:rsidR="007D2AA7" w:rsidRDefault="5755474F" w:rsidP="008F3005">
      <w:pPr>
        <w:pStyle w:val="Heading1"/>
        <w:rPr>
          <w:lang w:val="en-MY"/>
        </w:rPr>
      </w:pPr>
      <w:bookmarkStart w:id="0" w:name="_GoBack"/>
      <w:bookmarkEnd w:id="0"/>
      <w:r w:rsidRPr="5755474F">
        <w:rPr>
          <w:lang w:val="en-MY"/>
        </w:rPr>
        <w:t>Annex 7: Remediation and Compensation Concept Note Template</w:t>
      </w:r>
    </w:p>
    <w:p w14:paraId="7456AC33" w14:textId="73351F10" w:rsidR="00C13884" w:rsidRPr="004F5D3F" w:rsidRDefault="00C13884" w:rsidP="004F5D3F">
      <w:pPr>
        <w:rPr>
          <w:i/>
          <w:lang w:val="en-MY"/>
        </w:rPr>
      </w:pPr>
      <w:r w:rsidRPr="004F5D3F">
        <w:rPr>
          <w:i/>
          <w:lang w:val="en-MY"/>
        </w:rPr>
        <w:t xml:space="preserve">This template is designed to </w:t>
      </w:r>
      <w:r w:rsidR="001277B8">
        <w:rPr>
          <w:i/>
          <w:lang w:val="en-MY"/>
        </w:rPr>
        <w:t xml:space="preserve">guide </w:t>
      </w:r>
      <w:r w:rsidRPr="004F5D3F">
        <w:rPr>
          <w:i/>
          <w:lang w:val="en-MY"/>
        </w:rPr>
        <w:t xml:space="preserve">companies </w:t>
      </w:r>
      <w:r w:rsidR="001277B8">
        <w:rPr>
          <w:i/>
          <w:lang w:val="en-MY"/>
        </w:rPr>
        <w:t>through the completion of a</w:t>
      </w:r>
      <w:r w:rsidRPr="004F5D3F">
        <w:rPr>
          <w:i/>
          <w:lang w:val="en-MY"/>
        </w:rPr>
        <w:t xml:space="preserve"> remediation and compensation concept note</w:t>
      </w:r>
      <w:r>
        <w:rPr>
          <w:i/>
          <w:lang w:val="en-MY"/>
        </w:rPr>
        <w:t xml:space="preserve">. </w:t>
      </w:r>
      <w:r w:rsidR="001277B8">
        <w:rPr>
          <w:i/>
          <w:lang w:val="en-MY"/>
        </w:rPr>
        <w:t>Concept</w:t>
      </w:r>
      <w:r w:rsidR="00EF47F6">
        <w:rPr>
          <w:i/>
          <w:lang w:val="en-MY"/>
        </w:rPr>
        <w:t xml:space="preserve"> notes</w:t>
      </w:r>
      <w:r w:rsidR="001277B8">
        <w:rPr>
          <w:i/>
          <w:lang w:val="en-MY"/>
        </w:rPr>
        <w:t xml:space="preserve"> can be submitted</w:t>
      </w:r>
      <w:r w:rsidR="00EF47F6">
        <w:rPr>
          <w:i/>
          <w:lang w:val="en-MY"/>
        </w:rPr>
        <w:t xml:space="preserve"> </w:t>
      </w:r>
      <w:r w:rsidR="00EF47F6" w:rsidRPr="003D7BD3">
        <w:rPr>
          <w:i/>
          <w:u w:val="single"/>
          <w:lang w:val="en-MY"/>
        </w:rPr>
        <w:t>separately</w:t>
      </w:r>
      <w:r w:rsidR="00EF47F6">
        <w:rPr>
          <w:i/>
          <w:lang w:val="en-MY"/>
        </w:rPr>
        <w:t xml:space="preserve"> for each management unit or </w:t>
      </w:r>
      <w:r w:rsidR="001277B8" w:rsidRPr="003D7BD3">
        <w:rPr>
          <w:i/>
          <w:u w:val="single"/>
          <w:lang w:val="en-MY"/>
        </w:rPr>
        <w:t>collectively</w:t>
      </w:r>
      <w:r w:rsidR="001277B8">
        <w:rPr>
          <w:i/>
          <w:lang w:val="en-MY"/>
        </w:rPr>
        <w:t xml:space="preserve"> for</w:t>
      </w:r>
      <w:r w:rsidR="00EF47F6">
        <w:rPr>
          <w:i/>
          <w:lang w:val="en-MY"/>
        </w:rPr>
        <w:t xml:space="preserve"> all the management units. </w:t>
      </w:r>
    </w:p>
    <w:tbl>
      <w:tblPr>
        <w:tblStyle w:val="TableGrid"/>
        <w:tblW w:w="0" w:type="auto"/>
        <w:tblLook w:val="04A0" w:firstRow="1" w:lastRow="0" w:firstColumn="1" w:lastColumn="0" w:noHBand="0" w:noVBand="1"/>
      </w:tblPr>
      <w:tblGrid>
        <w:gridCol w:w="3397"/>
        <w:gridCol w:w="5619"/>
      </w:tblGrid>
      <w:tr w:rsidR="007D2AA7" w14:paraId="2930F3AD" w14:textId="77777777" w:rsidTr="002955AA">
        <w:tc>
          <w:tcPr>
            <w:tcW w:w="3397" w:type="dxa"/>
            <w:vAlign w:val="center"/>
          </w:tcPr>
          <w:p w14:paraId="3C192141" w14:textId="77777777" w:rsidR="00AA0ACD" w:rsidRDefault="000D6F6F" w:rsidP="002955AA">
            <w:pPr>
              <w:rPr>
                <w:lang w:val="en-MY"/>
              </w:rPr>
            </w:pPr>
            <w:r>
              <w:rPr>
                <w:lang w:val="en-MY"/>
              </w:rPr>
              <w:t>Name of RSPO member</w:t>
            </w:r>
          </w:p>
        </w:tc>
        <w:tc>
          <w:tcPr>
            <w:tcW w:w="5619" w:type="dxa"/>
            <w:vAlign w:val="center"/>
          </w:tcPr>
          <w:p w14:paraId="2B1D96DA" w14:textId="69141829" w:rsidR="005851FF" w:rsidRPr="00BD35EA" w:rsidRDefault="00FA1DC9" w:rsidP="002955AA">
            <w:pPr>
              <w:rPr>
                <w:color w:val="538135" w:themeColor="accent6" w:themeShade="BF"/>
                <w:lang w:val="en-MY"/>
              </w:rPr>
            </w:pPr>
            <w:proofErr w:type="spellStart"/>
            <w:r>
              <w:rPr>
                <w:color w:val="538135" w:themeColor="accent6" w:themeShade="BF"/>
                <w:lang w:val="en-MY"/>
              </w:rPr>
              <w:t>Wilmar</w:t>
            </w:r>
            <w:proofErr w:type="spellEnd"/>
            <w:r>
              <w:rPr>
                <w:color w:val="538135" w:themeColor="accent6" w:themeShade="BF"/>
                <w:lang w:val="en-MY"/>
              </w:rPr>
              <w:t xml:space="preserve"> International Ltd.</w:t>
            </w:r>
          </w:p>
        </w:tc>
      </w:tr>
      <w:tr w:rsidR="000D6F6F" w14:paraId="36D01936" w14:textId="77777777" w:rsidTr="002955AA">
        <w:tc>
          <w:tcPr>
            <w:tcW w:w="3397" w:type="dxa"/>
            <w:vAlign w:val="center"/>
          </w:tcPr>
          <w:p w14:paraId="5600FC74" w14:textId="77777777" w:rsidR="000D6F6F" w:rsidRDefault="000D6F6F" w:rsidP="002955AA">
            <w:pPr>
              <w:rPr>
                <w:lang w:val="en-MY"/>
              </w:rPr>
            </w:pPr>
            <w:r>
              <w:rPr>
                <w:lang w:val="en-MY"/>
              </w:rPr>
              <w:t>RSPO Membership number</w:t>
            </w:r>
          </w:p>
        </w:tc>
        <w:tc>
          <w:tcPr>
            <w:tcW w:w="5619" w:type="dxa"/>
            <w:vAlign w:val="center"/>
          </w:tcPr>
          <w:p w14:paraId="7EE1C85A" w14:textId="107791DC" w:rsidR="005851FF" w:rsidRPr="00FA1DC9" w:rsidRDefault="00FA1DC9" w:rsidP="00FA1DC9">
            <w:pPr>
              <w:rPr>
                <w:iCs/>
                <w:color w:val="538135" w:themeColor="accent6" w:themeShade="BF"/>
                <w:lang w:val="en-MY"/>
              </w:rPr>
            </w:pPr>
            <w:r>
              <w:rPr>
                <w:iCs/>
                <w:color w:val="538135" w:themeColor="accent6" w:themeShade="BF"/>
                <w:lang w:val="en-MY"/>
              </w:rPr>
              <w:t>2-0017-05-000-00</w:t>
            </w:r>
          </w:p>
        </w:tc>
      </w:tr>
      <w:tr w:rsidR="000D6F6F" w14:paraId="22692E5B" w14:textId="77777777" w:rsidTr="002955AA">
        <w:tc>
          <w:tcPr>
            <w:tcW w:w="3397" w:type="dxa"/>
            <w:vAlign w:val="center"/>
          </w:tcPr>
          <w:p w14:paraId="6863F179" w14:textId="77777777" w:rsidR="000D6F6F" w:rsidRDefault="000D6F6F" w:rsidP="002955AA">
            <w:pPr>
              <w:rPr>
                <w:lang w:val="en-MY"/>
              </w:rPr>
            </w:pPr>
            <w:r>
              <w:rPr>
                <w:lang w:val="en-MY"/>
              </w:rPr>
              <w:t>Membership category</w:t>
            </w:r>
          </w:p>
        </w:tc>
        <w:tc>
          <w:tcPr>
            <w:tcW w:w="5619" w:type="dxa"/>
            <w:vAlign w:val="center"/>
          </w:tcPr>
          <w:p w14:paraId="5D33AC63" w14:textId="3BCA2017" w:rsidR="005851FF" w:rsidRPr="00FA1DC9" w:rsidRDefault="00FA1DC9" w:rsidP="002955AA">
            <w:pPr>
              <w:rPr>
                <w:iCs/>
                <w:color w:val="538135" w:themeColor="accent6" w:themeShade="BF"/>
                <w:lang w:val="en-MY"/>
              </w:rPr>
            </w:pPr>
            <w:r>
              <w:rPr>
                <w:iCs/>
                <w:color w:val="538135" w:themeColor="accent6" w:themeShade="BF"/>
                <w:lang w:val="en-MY"/>
              </w:rPr>
              <w:t>Trader/processor</w:t>
            </w:r>
          </w:p>
        </w:tc>
      </w:tr>
      <w:tr w:rsidR="000D6F6F" w14:paraId="5F60AD84" w14:textId="77777777" w:rsidTr="002955AA">
        <w:tc>
          <w:tcPr>
            <w:tcW w:w="3397" w:type="dxa"/>
            <w:vAlign w:val="center"/>
          </w:tcPr>
          <w:p w14:paraId="38240B1D" w14:textId="77777777" w:rsidR="000D6F6F" w:rsidRDefault="000D6F6F" w:rsidP="002955AA">
            <w:pPr>
              <w:rPr>
                <w:lang w:val="en-MY"/>
              </w:rPr>
            </w:pPr>
            <w:r>
              <w:rPr>
                <w:lang w:val="en-MY"/>
              </w:rPr>
              <w:t>Date of joining RSPO</w:t>
            </w:r>
          </w:p>
        </w:tc>
        <w:tc>
          <w:tcPr>
            <w:tcW w:w="5619" w:type="dxa"/>
            <w:vAlign w:val="center"/>
          </w:tcPr>
          <w:p w14:paraId="59CB17E6" w14:textId="5B21C56B" w:rsidR="005851FF" w:rsidRPr="00FA1DC9" w:rsidRDefault="00FA1DC9" w:rsidP="002955AA">
            <w:pPr>
              <w:rPr>
                <w:iCs/>
                <w:color w:val="538135" w:themeColor="accent6" w:themeShade="BF"/>
                <w:lang w:val="en-MY"/>
              </w:rPr>
            </w:pPr>
            <w:r>
              <w:rPr>
                <w:iCs/>
                <w:color w:val="538135" w:themeColor="accent6" w:themeShade="BF"/>
                <w:lang w:val="en-MY"/>
              </w:rPr>
              <w:t>16/08/2005</w:t>
            </w:r>
          </w:p>
        </w:tc>
      </w:tr>
      <w:tr w:rsidR="000D6F6F" w14:paraId="3E77349D" w14:textId="77777777" w:rsidTr="002955AA">
        <w:tc>
          <w:tcPr>
            <w:tcW w:w="3397" w:type="dxa"/>
            <w:vAlign w:val="center"/>
          </w:tcPr>
          <w:p w14:paraId="1AED8E6D" w14:textId="77777777" w:rsidR="000D6F6F" w:rsidRDefault="000D6F6F" w:rsidP="002955AA">
            <w:pPr>
              <w:rPr>
                <w:lang w:val="en-MY"/>
              </w:rPr>
            </w:pPr>
            <w:r>
              <w:rPr>
                <w:lang w:val="en-MY"/>
              </w:rPr>
              <w:t>Date of first RSPO certification*</w:t>
            </w:r>
          </w:p>
        </w:tc>
        <w:tc>
          <w:tcPr>
            <w:tcW w:w="5619" w:type="dxa"/>
            <w:vAlign w:val="center"/>
          </w:tcPr>
          <w:p w14:paraId="267DAD89" w14:textId="538126AC" w:rsidR="005851FF" w:rsidRPr="00FA1DC9" w:rsidRDefault="00FA1DC9" w:rsidP="002955AA">
            <w:pPr>
              <w:rPr>
                <w:iCs/>
                <w:color w:val="538135" w:themeColor="accent6" w:themeShade="BF"/>
                <w:lang w:val="en-MY"/>
              </w:rPr>
            </w:pPr>
            <w:r>
              <w:rPr>
                <w:iCs/>
                <w:color w:val="538135" w:themeColor="accent6" w:themeShade="BF"/>
                <w:lang w:val="en-MY"/>
              </w:rPr>
              <w:t>11/08/2010</w:t>
            </w:r>
          </w:p>
        </w:tc>
      </w:tr>
      <w:tr w:rsidR="000D6F6F" w14:paraId="4B063080" w14:textId="77777777" w:rsidTr="002955AA">
        <w:tc>
          <w:tcPr>
            <w:tcW w:w="3397" w:type="dxa"/>
            <w:vAlign w:val="center"/>
          </w:tcPr>
          <w:p w14:paraId="7E2A4EB0" w14:textId="77777777" w:rsidR="000D6F6F" w:rsidRDefault="000D6F6F" w:rsidP="002955AA">
            <w:pPr>
              <w:rPr>
                <w:lang w:val="en-MY"/>
              </w:rPr>
            </w:pPr>
            <w:r>
              <w:rPr>
                <w:lang w:val="en-MY"/>
              </w:rPr>
              <w:t>Total number of certified management unit</w:t>
            </w:r>
            <w:r w:rsidR="002B565C">
              <w:rPr>
                <w:lang w:val="en-MY"/>
              </w:rPr>
              <w:t>s</w:t>
            </w:r>
            <w:r>
              <w:rPr>
                <w:lang w:val="en-MY"/>
              </w:rPr>
              <w:t>*</w:t>
            </w:r>
          </w:p>
        </w:tc>
        <w:tc>
          <w:tcPr>
            <w:tcW w:w="5619" w:type="dxa"/>
            <w:vAlign w:val="center"/>
          </w:tcPr>
          <w:p w14:paraId="128652FE" w14:textId="7F16C6D0" w:rsidR="000D6F6F" w:rsidRPr="00FA1DC9" w:rsidRDefault="00C723B9" w:rsidP="002955AA">
            <w:pPr>
              <w:rPr>
                <w:iCs/>
                <w:color w:val="538135" w:themeColor="accent6" w:themeShade="BF"/>
                <w:lang w:val="en-MY"/>
              </w:rPr>
            </w:pPr>
            <w:r>
              <w:rPr>
                <w:iCs/>
                <w:color w:val="538135" w:themeColor="accent6" w:themeShade="BF"/>
                <w:lang w:val="en-MY"/>
              </w:rPr>
              <w:t>13</w:t>
            </w:r>
          </w:p>
          <w:p w14:paraId="3819A61B" w14:textId="6F3BA955" w:rsidR="005851FF" w:rsidRPr="00BD35EA" w:rsidRDefault="005851FF" w:rsidP="002955AA">
            <w:pPr>
              <w:rPr>
                <w:i/>
                <w:color w:val="538135" w:themeColor="accent6" w:themeShade="BF"/>
                <w:lang w:val="en-MY"/>
              </w:rPr>
            </w:pPr>
          </w:p>
        </w:tc>
      </w:tr>
    </w:tbl>
    <w:p w14:paraId="477F7E68" w14:textId="598043A2" w:rsidR="006353E3" w:rsidRDefault="005851FF" w:rsidP="006257B6">
      <w:pPr>
        <w:pStyle w:val="Heading2"/>
      </w:pPr>
      <w:r>
        <w:br/>
      </w:r>
      <w:r w:rsidR="5755474F">
        <w:t xml:space="preserve">Environmental and Social Remediation </w:t>
      </w:r>
    </w:p>
    <w:tbl>
      <w:tblPr>
        <w:tblStyle w:val="TableGrid"/>
        <w:tblW w:w="0" w:type="auto"/>
        <w:tblLook w:val="04A0" w:firstRow="1" w:lastRow="0" w:firstColumn="1" w:lastColumn="0" w:noHBand="0" w:noVBand="1"/>
      </w:tblPr>
      <w:tblGrid>
        <w:gridCol w:w="3539"/>
        <w:gridCol w:w="5477"/>
      </w:tblGrid>
      <w:tr w:rsidR="00055461" w:rsidRPr="00FD790D" w14:paraId="74F2C553" w14:textId="77777777" w:rsidTr="002955AA">
        <w:tc>
          <w:tcPr>
            <w:tcW w:w="9016" w:type="dxa"/>
            <w:gridSpan w:val="2"/>
            <w:vAlign w:val="center"/>
          </w:tcPr>
          <w:p w14:paraId="012148CE" w14:textId="77777777" w:rsidR="00055461" w:rsidRPr="00EF39B1" w:rsidRDefault="00055461" w:rsidP="002955AA">
            <w:pPr>
              <w:rPr>
                <w:lang w:val="en-MY"/>
              </w:rPr>
            </w:pPr>
            <w:r w:rsidRPr="00EF39B1">
              <w:rPr>
                <w:lang w:val="en-MY"/>
              </w:rPr>
              <w:t>Remediation and social compensation (per management unit)</w:t>
            </w:r>
          </w:p>
        </w:tc>
      </w:tr>
      <w:tr w:rsidR="001F345D" w:rsidRPr="00FD790D" w14:paraId="76F8F8EC" w14:textId="77777777" w:rsidTr="00BB2049">
        <w:trPr>
          <w:trHeight w:val="212"/>
        </w:trPr>
        <w:tc>
          <w:tcPr>
            <w:tcW w:w="3539" w:type="dxa"/>
            <w:vAlign w:val="center"/>
          </w:tcPr>
          <w:p w14:paraId="2088EDBA" w14:textId="19F428F1" w:rsidR="001F345D" w:rsidRPr="00EF39B1" w:rsidRDefault="001F345D" w:rsidP="001F345D">
            <w:pPr>
              <w:rPr>
                <w:lang w:val="en-MY"/>
              </w:rPr>
            </w:pPr>
            <w:r w:rsidRPr="00EF39B1">
              <w:rPr>
                <w:lang w:val="en-MY"/>
              </w:rPr>
              <w:t>Name of management unit</w:t>
            </w:r>
          </w:p>
        </w:tc>
        <w:tc>
          <w:tcPr>
            <w:tcW w:w="5477" w:type="dxa"/>
            <w:vAlign w:val="center"/>
          </w:tcPr>
          <w:p w14:paraId="4014BF3A" w14:textId="38CC5CD3" w:rsidR="001F345D" w:rsidRPr="00C723B9" w:rsidRDefault="001F345D" w:rsidP="001F345D">
            <w:pPr>
              <w:rPr>
                <w:iCs/>
                <w:color w:val="538135" w:themeColor="accent6" w:themeShade="BF"/>
                <w:lang w:val="en-MY"/>
              </w:rPr>
            </w:pPr>
            <w:r>
              <w:rPr>
                <w:iCs/>
                <w:color w:val="538135" w:themeColor="accent6" w:themeShade="BF"/>
                <w:lang w:val="en-MY"/>
              </w:rPr>
              <w:t xml:space="preserve">PT </w:t>
            </w:r>
            <w:proofErr w:type="spellStart"/>
            <w:r w:rsidR="00B719A8">
              <w:rPr>
                <w:iCs/>
                <w:color w:val="538135" w:themeColor="accent6" w:themeShade="BF"/>
                <w:lang w:val="en-MY"/>
              </w:rPr>
              <w:t>Mentaya</w:t>
            </w:r>
            <w:proofErr w:type="spellEnd"/>
            <w:r w:rsidR="00B719A8">
              <w:rPr>
                <w:iCs/>
                <w:color w:val="538135" w:themeColor="accent6" w:themeShade="BF"/>
                <w:lang w:val="en-MY"/>
              </w:rPr>
              <w:t xml:space="preserve"> </w:t>
            </w:r>
            <w:proofErr w:type="spellStart"/>
            <w:r w:rsidR="00B719A8">
              <w:rPr>
                <w:iCs/>
                <w:color w:val="538135" w:themeColor="accent6" w:themeShade="BF"/>
                <w:lang w:val="en-MY"/>
              </w:rPr>
              <w:t>Sawit</w:t>
            </w:r>
            <w:proofErr w:type="spellEnd"/>
            <w:r w:rsidR="00B719A8">
              <w:rPr>
                <w:iCs/>
                <w:color w:val="538135" w:themeColor="accent6" w:themeShade="BF"/>
                <w:lang w:val="en-MY"/>
              </w:rPr>
              <w:t xml:space="preserve"> Mas (MSM)</w:t>
            </w:r>
          </w:p>
        </w:tc>
      </w:tr>
      <w:tr w:rsidR="001F345D" w:rsidRPr="00FD790D" w14:paraId="0AC7D6D5" w14:textId="77777777" w:rsidTr="00BB2049">
        <w:trPr>
          <w:trHeight w:val="211"/>
        </w:trPr>
        <w:tc>
          <w:tcPr>
            <w:tcW w:w="3539" w:type="dxa"/>
            <w:vAlign w:val="center"/>
          </w:tcPr>
          <w:p w14:paraId="4872624E" w14:textId="600A24AE" w:rsidR="001F345D" w:rsidRPr="00EF39B1" w:rsidRDefault="001F345D" w:rsidP="001F345D">
            <w:pPr>
              <w:rPr>
                <w:lang w:val="en-MY"/>
              </w:rPr>
            </w:pPr>
            <w:r w:rsidRPr="00EF39B1">
              <w:rPr>
                <w:lang w:val="en-MY"/>
              </w:rPr>
              <w:t>Location</w:t>
            </w:r>
            <w:r>
              <w:rPr>
                <w:lang w:val="en-MY"/>
              </w:rPr>
              <w:t xml:space="preserve"> (country, province and district</w:t>
            </w:r>
          </w:p>
        </w:tc>
        <w:tc>
          <w:tcPr>
            <w:tcW w:w="5477" w:type="dxa"/>
            <w:vAlign w:val="center"/>
          </w:tcPr>
          <w:p w14:paraId="67322BD1" w14:textId="0388B7C1" w:rsidR="001F345D" w:rsidRPr="00B82183" w:rsidRDefault="001F345D" w:rsidP="001F345D">
            <w:pPr>
              <w:rPr>
                <w:iCs/>
                <w:color w:val="538135" w:themeColor="accent6" w:themeShade="BF"/>
                <w:lang w:val="en-MY"/>
              </w:rPr>
            </w:pPr>
            <w:r>
              <w:rPr>
                <w:iCs/>
                <w:color w:val="538135" w:themeColor="accent6" w:themeShade="BF"/>
                <w:lang w:val="en-MY"/>
              </w:rPr>
              <w:t xml:space="preserve">Indonesia, Central Kalimantan, </w:t>
            </w:r>
            <w:proofErr w:type="spellStart"/>
            <w:r>
              <w:rPr>
                <w:iCs/>
                <w:color w:val="538135" w:themeColor="accent6" w:themeShade="BF"/>
                <w:lang w:val="en-MY"/>
              </w:rPr>
              <w:t>Kotawaringin</w:t>
            </w:r>
            <w:proofErr w:type="spellEnd"/>
            <w:r>
              <w:rPr>
                <w:iCs/>
                <w:color w:val="538135" w:themeColor="accent6" w:themeShade="BF"/>
                <w:lang w:val="en-MY"/>
              </w:rPr>
              <w:t xml:space="preserve"> </w:t>
            </w:r>
            <w:proofErr w:type="spellStart"/>
            <w:r>
              <w:rPr>
                <w:iCs/>
                <w:color w:val="538135" w:themeColor="accent6" w:themeShade="BF"/>
                <w:lang w:val="en-MY"/>
              </w:rPr>
              <w:t>Timur</w:t>
            </w:r>
            <w:proofErr w:type="spellEnd"/>
          </w:p>
        </w:tc>
      </w:tr>
      <w:tr w:rsidR="001F345D" w:rsidRPr="00FD790D" w14:paraId="0507C214" w14:textId="77777777" w:rsidTr="00BB2049">
        <w:trPr>
          <w:trHeight w:val="211"/>
        </w:trPr>
        <w:tc>
          <w:tcPr>
            <w:tcW w:w="3539" w:type="dxa"/>
            <w:vAlign w:val="center"/>
          </w:tcPr>
          <w:p w14:paraId="2F895E0E" w14:textId="67995884" w:rsidR="001F345D" w:rsidRPr="00EF39B1" w:rsidRDefault="001F345D" w:rsidP="001F345D">
            <w:pPr>
              <w:rPr>
                <w:lang w:val="en-MY"/>
              </w:rPr>
            </w:pPr>
            <w:r>
              <w:rPr>
                <w:lang w:val="en-MY"/>
              </w:rPr>
              <w:t>Total area of management unit (ha)</w:t>
            </w:r>
          </w:p>
        </w:tc>
        <w:tc>
          <w:tcPr>
            <w:tcW w:w="5477" w:type="dxa"/>
            <w:vAlign w:val="center"/>
          </w:tcPr>
          <w:p w14:paraId="43EA0D29" w14:textId="68F9D882" w:rsidR="001F345D" w:rsidRPr="00B82183" w:rsidRDefault="001F345D" w:rsidP="001F345D">
            <w:pPr>
              <w:rPr>
                <w:iCs/>
                <w:color w:val="538135" w:themeColor="accent6" w:themeShade="BF"/>
                <w:lang w:val="en-MY"/>
              </w:rPr>
            </w:pPr>
            <w:r>
              <w:rPr>
                <w:iCs/>
                <w:color w:val="538135" w:themeColor="accent6" w:themeShade="BF"/>
                <w:lang w:val="en-MY"/>
              </w:rPr>
              <w:t>1</w:t>
            </w:r>
            <w:r w:rsidR="008A39B2">
              <w:rPr>
                <w:iCs/>
                <w:color w:val="538135" w:themeColor="accent6" w:themeShade="BF"/>
                <w:lang w:val="en-MY"/>
              </w:rPr>
              <w:t>6,371</w:t>
            </w:r>
          </w:p>
        </w:tc>
      </w:tr>
      <w:tr w:rsidR="001F345D" w:rsidRPr="00FD790D" w14:paraId="2EC2B065" w14:textId="77777777" w:rsidTr="002955AA">
        <w:tc>
          <w:tcPr>
            <w:tcW w:w="9016" w:type="dxa"/>
            <w:gridSpan w:val="2"/>
            <w:vAlign w:val="center"/>
          </w:tcPr>
          <w:p w14:paraId="15AD2720" w14:textId="5D4C37B7" w:rsidR="001F345D" w:rsidRPr="00EF39B1" w:rsidRDefault="001F345D" w:rsidP="001F345D">
            <w:pPr>
              <w:rPr>
                <w:lang w:val="en-MY"/>
              </w:rPr>
            </w:pPr>
            <w:r w:rsidRPr="00EF39B1">
              <w:rPr>
                <w:lang w:val="en-MY"/>
              </w:rPr>
              <w:t>Description of impacts requiring remediation (e.g. riparian zones, steep slopes, areas prohibited by country-specific legislation)</w:t>
            </w:r>
          </w:p>
        </w:tc>
      </w:tr>
      <w:tr w:rsidR="001F345D" w:rsidRPr="002955AA" w14:paraId="55572F37" w14:textId="77777777" w:rsidTr="002955AA">
        <w:tc>
          <w:tcPr>
            <w:tcW w:w="9016" w:type="dxa"/>
            <w:gridSpan w:val="2"/>
            <w:vAlign w:val="center"/>
          </w:tcPr>
          <w:p w14:paraId="5EC20C1A" w14:textId="756C9043" w:rsidR="001F345D" w:rsidRPr="00AC3EDB" w:rsidRDefault="008A39B2" w:rsidP="001F345D">
            <w:pPr>
              <w:rPr>
                <w:iCs/>
                <w:color w:val="538135" w:themeColor="accent6" w:themeShade="BF"/>
                <w:lang w:val="en-MY"/>
              </w:rPr>
            </w:pPr>
            <w:r w:rsidRPr="008A39B2">
              <w:rPr>
                <w:iCs/>
                <w:color w:val="538135" w:themeColor="accent6" w:themeShade="BF"/>
                <w:lang w:val="en-MY"/>
              </w:rPr>
              <w:t>The LUCA report identified a total area of 494,66ha of riparian and 38,4ha of peat that needs remediation action.</w:t>
            </w:r>
          </w:p>
        </w:tc>
      </w:tr>
      <w:tr w:rsidR="001F345D" w:rsidRPr="00FD790D" w14:paraId="03FEE51C" w14:textId="77777777" w:rsidTr="002955AA">
        <w:tc>
          <w:tcPr>
            <w:tcW w:w="9016" w:type="dxa"/>
            <w:gridSpan w:val="2"/>
            <w:vAlign w:val="center"/>
          </w:tcPr>
          <w:p w14:paraId="0CBB2ECB" w14:textId="2D1AF556" w:rsidR="001F345D" w:rsidRPr="00EF39B1" w:rsidRDefault="001F345D" w:rsidP="001F345D">
            <w:pPr>
              <w:rPr>
                <w:lang w:val="en-MY"/>
              </w:rPr>
            </w:pPr>
            <w:r w:rsidRPr="00EF39B1">
              <w:rPr>
                <w:lang w:val="en-MY"/>
              </w:rPr>
              <w:t>Description of remediation activity to address impacts</w:t>
            </w:r>
          </w:p>
        </w:tc>
      </w:tr>
      <w:tr w:rsidR="001F345D" w:rsidRPr="002955AA" w14:paraId="0F4A9EF1" w14:textId="77777777" w:rsidTr="002955AA">
        <w:tc>
          <w:tcPr>
            <w:tcW w:w="9016" w:type="dxa"/>
            <w:gridSpan w:val="2"/>
            <w:vAlign w:val="center"/>
          </w:tcPr>
          <w:p w14:paraId="60D0C551" w14:textId="77777777" w:rsidR="001F345D" w:rsidRPr="00BF61B8" w:rsidRDefault="001F345D" w:rsidP="001F345D">
            <w:pPr>
              <w:rPr>
                <w:b/>
                <w:bCs/>
                <w:iCs/>
                <w:color w:val="538135" w:themeColor="accent6" w:themeShade="BF"/>
                <w:lang w:val="en-MY"/>
              </w:rPr>
            </w:pPr>
            <w:r w:rsidRPr="00BF61B8">
              <w:rPr>
                <w:b/>
                <w:bCs/>
                <w:iCs/>
                <w:color w:val="538135" w:themeColor="accent6" w:themeShade="BF"/>
                <w:lang w:val="en-MY"/>
              </w:rPr>
              <w:t>Riparian remediation</w:t>
            </w:r>
          </w:p>
          <w:p w14:paraId="115809B3" w14:textId="77777777" w:rsidR="007A13C9" w:rsidRPr="007A13C9" w:rsidRDefault="007A13C9" w:rsidP="007A13C9">
            <w:pPr>
              <w:rPr>
                <w:iCs/>
                <w:color w:val="538135" w:themeColor="accent6" w:themeShade="BF"/>
                <w:lang w:val="en-MY"/>
              </w:rPr>
            </w:pPr>
            <w:r w:rsidRPr="007A13C9">
              <w:rPr>
                <w:iCs/>
                <w:color w:val="538135" w:themeColor="accent6" w:themeShade="BF"/>
                <w:lang w:val="en-MY"/>
              </w:rPr>
              <w:t xml:space="preserve">A total of 494.66ha has been remediated. Continuous plan over 2 years to be left during replanting session as the oil palm planted is over 4 years old. </w:t>
            </w:r>
          </w:p>
          <w:p w14:paraId="23EC9D1A" w14:textId="7978DDC8" w:rsidR="007A13C9" w:rsidRDefault="007A13C9" w:rsidP="007A13C9">
            <w:pPr>
              <w:rPr>
                <w:iCs/>
                <w:color w:val="538135" w:themeColor="accent6" w:themeShade="BF"/>
                <w:lang w:val="en-MY"/>
              </w:rPr>
            </w:pPr>
            <w:r w:rsidRPr="007A13C9">
              <w:rPr>
                <w:iCs/>
                <w:color w:val="538135" w:themeColor="accent6" w:themeShade="BF"/>
                <w:lang w:val="en-MY"/>
              </w:rPr>
              <w:t>These areas are now demarcated up to 5 meters from the river bank, as described in a Standard Operating Procedure (SOP. 20/HCV/(3)/0418). The SOP also states that there is a prohibition of chemical application in the riparian area. The riparian boundaries are to be demarcated and signboards will be erected in specific areas. In some areas, restoration of riparian vegetation will be conducted. A team will conduct continuous monitoring and evaluation of on the compliance and implementation of the SOP</w:t>
            </w:r>
          </w:p>
          <w:p w14:paraId="3977C7F7" w14:textId="77777777" w:rsidR="001F345D" w:rsidRPr="00BF61B8" w:rsidRDefault="001F345D" w:rsidP="001F345D">
            <w:pPr>
              <w:rPr>
                <w:iCs/>
                <w:color w:val="538135" w:themeColor="accent6" w:themeShade="BF"/>
                <w:lang w:val="en-MY"/>
              </w:rPr>
            </w:pPr>
          </w:p>
          <w:p w14:paraId="433F263F" w14:textId="77777777" w:rsidR="001F345D" w:rsidRPr="00BF61B8" w:rsidRDefault="001F345D" w:rsidP="001F345D">
            <w:pPr>
              <w:rPr>
                <w:b/>
                <w:bCs/>
                <w:iCs/>
                <w:color w:val="538135" w:themeColor="accent6" w:themeShade="BF"/>
                <w:lang w:val="en-MY"/>
              </w:rPr>
            </w:pPr>
            <w:r w:rsidRPr="00BF61B8">
              <w:rPr>
                <w:b/>
                <w:bCs/>
                <w:iCs/>
                <w:color w:val="538135" w:themeColor="accent6" w:themeShade="BF"/>
                <w:lang w:val="en-MY"/>
              </w:rPr>
              <w:t>Peat remediation</w:t>
            </w:r>
          </w:p>
          <w:p w14:paraId="116DDB9F" w14:textId="77777777" w:rsidR="00322A70" w:rsidRPr="00322A70" w:rsidRDefault="00322A70" w:rsidP="00322A70">
            <w:pPr>
              <w:rPr>
                <w:iCs/>
                <w:color w:val="538135" w:themeColor="accent6" w:themeShade="BF"/>
                <w:lang w:val="en-MY"/>
              </w:rPr>
            </w:pPr>
            <w:r w:rsidRPr="00322A70">
              <w:rPr>
                <w:iCs/>
                <w:color w:val="538135" w:themeColor="accent6" w:themeShade="BF"/>
                <w:lang w:val="en-MY"/>
              </w:rPr>
              <w:t xml:space="preserve">Best management practices for peat are being implemented in the 38.4 ha of the area identified in the LUCA. We currently have 8 </w:t>
            </w:r>
            <w:proofErr w:type="spellStart"/>
            <w:r w:rsidRPr="00322A70">
              <w:rPr>
                <w:iCs/>
                <w:color w:val="538135" w:themeColor="accent6" w:themeShade="BF"/>
                <w:lang w:val="en-MY"/>
              </w:rPr>
              <w:t>wiers</w:t>
            </w:r>
            <w:proofErr w:type="spellEnd"/>
            <w:r w:rsidRPr="00322A70">
              <w:rPr>
                <w:iCs/>
                <w:color w:val="538135" w:themeColor="accent6" w:themeShade="BF"/>
                <w:lang w:val="en-MY"/>
              </w:rPr>
              <w:t>, for the purpose of controlling the water levels with 8 station to monitor water level and 9 stations to monitor peat subsidence</w:t>
            </w:r>
          </w:p>
          <w:p w14:paraId="03FCAB77" w14:textId="12FFFC24" w:rsidR="00322A70" w:rsidRPr="00322A70" w:rsidRDefault="00322A70" w:rsidP="001F345D">
            <w:pPr>
              <w:rPr>
                <w:iCs/>
                <w:color w:val="538135" w:themeColor="accent6" w:themeShade="BF"/>
                <w:lang w:val="en-MY"/>
              </w:rPr>
            </w:pPr>
            <w:r w:rsidRPr="00322A70">
              <w:rPr>
                <w:iCs/>
                <w:color w:val="538135" w:themeColor="accent6" w:themeShade="BF"/>
                <w:lang w:val="en-MY"/>
              </w:rPr>
              <w:t xml:space="preserve">The current area was planted in 2006 and 2007 at the period of </w:t>
            </w:r>
            <w:proofErr w:type="gramStart"/>
            <w:r w:rsidRPr="00322A70">
              <w:rPr>
                <w:iCs/>
                <w:color w:val="538135" w:themeColor="accent6" w:themeShade="BF"/>
                <w:lang w:val="en-MY"/>
              </w:rPr>
              <w:t>replanting,</w:t>
            </w:r>
            <w:proofErr w:type="gramEnd"/>
            <w:r w:rsidRPr="00322A70">
              <w:rPr>
                <w:iCs/>
                <w:color w:val="538135" w:themeColor="accent6" w:themeShade="BF"/>
                <w:lang w:val="en-MY"/>
              </w:rPr>
              <w:t xml:space="preserve"> a feasibility study will be conducted on the viability of the area to be restored.</w:t>
            </w:r>
          </w:p>
        </w:tc>
      </w:tr>
      <w:tr w:rsidR="001F345D" w:rsidRPr="00FD790D" w14:paraId="381F75C8" w14:textId="77777777" w:rsidTr="002955AA">
        <w:tc>
          <w:tcPr>
            <w:tcW w:w="9016" w:type="dxa"/>
            <w:gridSpan w:val="2"/>
            <w:vAlign w:val="center"/>
          </w:tcPr>
          <w:p w14:paraId="3CC04B8F" w14:textId="2DFD1775" w:rsidR="001F345D" w:rsidRPr="00EF39B1" w:rsidRDefault="001F345D" w:rsidP="001F345D">
            <w:pPr>
              <w:rPr>
                <w:lang w:val="en-MY"/>
              </w:rPr>
            </w:pPr>
            <w:r w:rsidRPr="00EF39B1">
              <w:rPr>
                <w:lang w:val="en-MY"/>
              </w:rPr>
              <w:t>Description of potential</w:t>
            </w:r>
            <w:r>
              <w:rPr>
                <w:lang w:val="en-MY"/>
              </w:rPr>
              <w:t xml:space="preserve"> social</w:t>
            </w:r>
            <w:r w:rsidRPr="00EF39B1">
              <w:rPr>
                <w:lang w:val="en-MY"/>
              </w:rPr>
              <w:t xml:space="preserve"> impacts (impacts on HCVs 4, 5 &amp; 6)</w:t>
            </w:r>
          </w:p>
        </w:tc>
      </w:tr>
      <w:tr w:rsidR="001F345D" w:rsidRPr="002955AA" w14:paraId="675E9E4B" w14:textId="77777777" w:rsidTr="002955AA">
        <w:tc>
          <w:tcPr>
            <w:tcW w:w="9016" w:type="dxa"/>
            <w:gridSpan w:val="2"/>
            <w:vAlign w:val="center"/>
          </w:tcPr>
          <w:p w14:paraId="29F6426A" w14:textId="0CD12871" w:rsidR="001F345D" w:rsidRPr="005851FF" w:rsidRDefault="001F345D" w:rsidP="001F345D">
            <w:pPr>
              <w:rPr>
                <w:i/>
                <w:color w:val="538135" w:themeColor="accent6" w:themeShade="BF"/>
                <w:lang w:val="en-MY"/>
              </w:rPr>
            </w:pPr>
            <w:r w:rsidRPr="00623ABF">
              <w:rPr>
                <w:iCs/>
                <w:color w:val="538135" w:themeColor="accent6" w:themeShade="BF"/>
                <w:lang w:val="en-MY"/>
              </w:rPr>
              <w:t xml:space="preserve">There was no social remediation required for PT </w:t>
            </w:r>
            <w:r w:rsidR="006B246D">
              <w:rPr>
                <w:iCs/>
                <w:color w:val="538135" w:themeColor="accent6" w:themeShade="BF"/>
                <w:lang w:val="en-MY"/>
              </w:rPr>
              <w:t>MSM.</w:t>
            </w:r>
          </w:p>
        </w:tc>
      </w:tr>
      <w:tr w:rsidR="001F345D" w:rsidRPr="00FD790D" w14:paraId="6EEDA6D9" w14:textId="77777777" w:rsidTr="002955AA">
        <w:tc>
          <w:tcPr>
            <w:tcW w:w="9016" w:type="dxa"/>
            <w:gridSpan w:val="2"/>
            <w:vAlign w:val="center"/>
          </w:tcPr>
          <w:p w14:paraId="33EB8F85" w14:textId="5880A483" w:rsidR="001F345D" w:rsidRPr="00EF39B1" w:rsidRDefault="001F345D" w:rsidP="001F345D">
            <w:pPr>
              <w:rPr>
                <w:lang w:val="en-MY"/>
              </w:rPr>
            </w:pPr>
            <w:r w:rsidRPr="00EF39B1">
              <w:rPr>
                <w:lang w:val="en-MY"/>
              </w:rPr>
              <w:t xml:space="preserve">Description of </w:t>
            </w:r>
            <w:r>
              <w:rPr>
                <w:lang w:val="en-MY"/>
              </w:rPr>
              <w:t>proposed activities to address impacts</w:t>
            </w:r>
          </w:p>
        </w:tc>
      </w:tr>
      <w:tr w:rsidR="001F345D" w:rsidRPr="002955AA" w14:paraId="79B99F3E" w14:textId="77777777" w:rsidTr="002955AA">
        <w:tc>
          <w:tcPr>
            <w:tcW w:w="9016" w:type="dxa"/>
            <w:gridSpan w:val="2"/>
            <w:vAlign w:val="center"/>
          </w:tcPr>
          <w:p w14:paraId="5F3B1C4D" w14:textId="1A85BD88" w:rsidR="001F345D" w:rsidRPr="00463C0D" w:rsidRDefault="001F345D" w:rsidP="001F345D">
            <w:pPr>
              <w:rPr>
                <w:i/>
                <w:color w:val="538135" w:themeColor="accent6" w:themeShade="BF"/>
                <w:lang w:val="en-MY"/>
              </w:rPr>
            </w:pPr>
            <w:r w:rsidRPr="00463C0D">
              <w:rPr>
                <w:iCs/>
                <w:color w:val="538135" w:themeColor="accent6" w:themeShade="BF"/>
                <w:lang w:val="en-MY"/>
              </w:rPr>
              <w:t>None required</w:t>
            </w:r>
          </w:p>
        </w:tc>
      </w:tr>
      <w:tr w:rsidR="0054300C" w:rsidRPr="00C723B9" w14:paraId="4AAA60FB" w14:textId="77777777" w:rsidTr="00BA37EE">
        <w:trPr>
          <w:trHeight w:val="212"/>
        </w:trPr>
        <w:tc>
          <w:tcPr>
            <w:tcW w:w="3539" w:type="dxa"/>
            <w:vAlign w:val="center"/>
          </w:tcPr>
          <w:p w14:paraId="3D2CF383" w14:textId="77777777" w:rsidR="0054300C" w:rsidRPr="00EF39B1" w:rsidRDefault="0054300C" w:rsidP="00BA37EE">
            <w:pPr>
              <w:rPr>
                <w:lang w:val="en-MY"/>
              </w:rPr>
            </w:pPr>
            <w:r w:rsidRPr="00EF39B1">
              <w:rPr>
                <w:lang w:val="en-MY"/>
              </w:rPr>
              <w:t>Name of management unit</w:t>
            </w:r>
          </w:p>
        </w:tc>
        <w:tc>
          <w:tcPr>
            <w:tcW w:w="5477" w:type="dxa"/>
            <w:vAlign w:val="center"/>
          </w:tcPr>
          <w:p w14:paraId="0086B3BF" w14:textId="4ECCD7A8" w:rsidR="0054300C" w:rsidRPr="00C723B9" w:rsidRDefault="0054300C" w:rsidP="00BA37EE">
            <w:pPr>
              <w:rPr>
                <w:iCs/>
                <w:color w:val="538135" w:themeColor="accent6" w:themeShade="BF"/>
                <w:lang w:val="en-MY"/>
              </w:rPr>
            </w:pPr>
            <w:r>
              <w:rPr>
                <w:iCs/>
                <w:color w:val="538135" w:themeColor="accent6" w:themeShade="BF"/>
                <w:lang w:val="en-MY"/>
              </w:rPr>
              <w:t xml:space="preserve">PT Kurnia </w:t>
            </w:r>
            <w:proofErr w:type="spellStart"/>
            <w:r>
              <w:rPr>
                <w:iCs/>
                <w:color w:val="538135" w:themeColor="accent6" w:themeShade="BF"/>
                <w:lang w:val="en-MY"/>
              </w:rPr>
              <w:t>Kencana</w:t>
            </w:r>
            <w:proofErr w:type="spellEnd"/>
            <w:r>
              <w:rPr>
                <w:iCs/>
                <w:color w:val="538135" w:themeColor="accent6" w:themeShade="BF"/>
                <w:lang w:val="en-MY"/>
              </w:rPr>
              <w:t xml:space="preserve"> </w:t>
            </w:r>
            <w:proofErr w:type="spellStart"/>
            <w:r>
              <w:rPr>
                <w:iCs/>
                <w:color w:val="538135" w:themeColor="accent6" w:themeShade="BF"/>
                <w:lang w:val="en-MY"/>
              </w:rPr>
              <w:t>Permaisejati</w:t>
            </w:r>
            <w:proofErr w:type="spellEnd"/>
            <w:r w:rsidR="00B719A8">
              <w:rPr>
                <w:iCs/>
                <w:color w:val="538135" w:themeColor="accent6" w:themeShade="BF"/>
                <w:lang w:val="en-MY"/>
              </w:rPr>
              <w:t xml:space="preserve"> (KKP)</w:t>
            </w:r>
          </w:p>
        </w:tc>
      </w:tr>
      <w:tr w:rsidR="0054300C" w:rsidRPr="00B82183" w14:paraId="09E63465" w14:textId="77777777" w:rsidTr="00BA37EE">
        <w:trPr>
          <w:trHeight w:val="211"/>
        </w:trPr>
        <w:tc>
          <w:tcPr>
            <w:tcW w:w="3539" w:type="dxa"/>
            <w:vAlign w:val="center"/>
          </w:tcPr>
          <w:p w14:paraId="055758AD" w14:textId="77777777" w:rsidR="0054300C" w:rsidRPr="00EF39B1" w:rsidRDefault="0054300C" w:rsidP="00BA37EE">
            <w:pPr>
              <w:rPr>
                <w:lang w:val="en-MY"/>
              </w:rPr>
            </w:pPr>
            <w:r w:rsidRPr="00EF39B1">
              <w:rPr>
                <w:lang w:val="en-MY"/>
              </w:rPr>
              <w:t>Location</w:t>
            </w:r>
            <w:r>
              <w:rPr>
                <w:lang w:val="en-MY"/>
              </w:rPr>
              <w:t xml:space="preserve"> (country, province and district</w:t>
            </w:r>
          </w:p>
        </w:tc>
        <w:tc>
          <w:tcPr>
            <w:tcW w:w="5477" w:type="dxa"/>
            <w:vAlign w:val="center"/>
          </w:tcPr>
          <w:p w14:paraId="02F19B79" w14:textId="77777777" w:rsidR="0054300C" w:rsidRPr="00B82183" w:rsidRDefault="0054300C" w:rsidP="00BA37EE">
            <w:pPr>
              <w:rPr>
                <w:iCs/>
                <w:color w:val="538135" w:themeColor="accent6" w:themeShade="BF"/>
                <w:lang w:val="en-MY"/>
              </w:rPr>
            </w:pPr>
            <w:r>
              <w:rPr>
                <w:iCs/>
                <w:color w:val="538135" w:themeColor="accent6" w:themeShade="BF"/>
                <w:lang w:val="en-MY"/>
              </w:rPr>
              <w:t xml:space="preserve">Indonesia, Central Kalimantan, </w:t>
            </w:r>
            <w:proofErr w:type="spellStart"/>
            <w:r>
              <w:rPr>
                <w:iCs/>
                <w:color w:val="538135" w:themeColor="accent6" w:themeShade="BF"/>
                <w:lang w:val="en-MY"/>
              </w:rPr>
              <w:t>Kotawaringin</w:t>
            </w:r>
            <w:proofErr w:type="spellEnd"/>
            <w:r>
              <w:rPr>
                <w:iCs/>
                <w:color w:val="538135" w:themeColor="accent6" w:themeShade="BF"/>
                <w:lang w:val="en-MY"/>
              </w:rPr>
              <w:t xml:space="preserve"> </w:t>
            </w:r>
            <w:proofErr w:type="spellStart"/>
            <w:r>
              <w:rPr>
                <w:iCs/>
                <w:color w:val="538135" w:themeColor="accent6" w:themeShade="BF"/>
                <w:lang w:val="en-MY"/>
              </w:rPr>
              <w:t>Timur</w:t>
            </w:r>
            <w:proofErr w:type="spellEnd"/>
          </w:p>
        </w:tc>
      </w:tr>
      <w:tr w:rsidR="0054300C" w:rsidRPr="00B82183" w14:paraId="5190813E" w14:textId="77777777" w:rsidTr="00BA37EE">
        <w:trPr>
          <w:trHeight w:val="211"/>
        </w:trPr>
        <w:tc>
          <w:tcPr>
            <w:tcW w:w="3539" w:type="dxa"/>
            <w:vAlign w:val="center"/>
          </w:tcPr>
          <w:p w14:paraId="5F74CC73" w14:textId="77777777" w:rsidR="0054300C" w:rsidRPr="00EF39B1" w:rsidRDefault="0054300C" w:rsidP="00BA37EE">
            <w:pPr>
              <w:rPr>
                <w:lang w:val="en-MY"/>
              </w:rPr>
            </w:pPr>
            <w:r>
              <w:rPr>
                <w:lang w:val="en-MY"/>
              </w:rPr>
              <w:t>Total area of management unit (ha)</w:t>
            </w:r>
          </w:p>
        </w:tc>
        <w:tc>
          <w:tcPr>
            <w:tcW w:w="5477" w:type="dxa"/>
            <w:vAlign w:val="center"/>
          </w:tcPr>
          <w:p w14:paraId="1ED44CBC" w14:textId="77777777" w:rsidR="0054300C" w:rsidRPr="00B82183" w:rsidRDefault="0054300C" w:rsidP="00BA37EE">
            <w:pPr>
              <w:rPr>
                <w:iCs/>
                <w:color w:val="538135" w:themeColor="accent6" w:themeShade="BF"/>
                <w:lang w:val="en-MY"/>
              </w:rPr>
            </w:pPr>
            <w:r>
              <w:rPr>
                <w:iCs/>
                <w:color w:val="538135" w:themeColor="accent6" w:themeShade="BF"/>
                <w:lang w:val="en-MY"/>
              </w:rPr>
              <w:t>19,650</w:t>
            </w:r>
          </w:p>
        </w:tc>
      </w:tr>
      <w:tr w:rsidR="0054300C" w:rsidRPr="00EF39B1" w14:paraId="34751B5B" w14:textId="77777777" w:rsidTr="00BA37EE">
        <w:tc>
          <w:tcPr>
            <w:tcW w:w="9016" w:type="dxa"/>
            <w:gridSpan w:val="2"/>
            <w:vAlign w:val="center"/>
          </w:tcPr>
          <w:p w14:paraId="2FBB0329" w14:textId="77777777" w:rsidR="0054300C" w:rsidRPr="00EF39B1" w:rsidRDefault="0054300C" w:rsidP="00BA37EE">
            <w:pPr>
              <w:rPr>
                <w:lang w:val="en-MY"/>
              </w:rPr>
            </w:pPr>
            <w:r w:rsidRPr="00EF39B1">
              <w:rPr>
                <w:lang w:val="en-MY"/>
              </w:rPr>
              <w:t>Description of impacts requiring remediation (e.g. riparian zones, steep slopes, areas prohibited by country-specific legislation)</w:t>
            </w:r>
          </w:p>
        </w:tc>
      </w:tr>
      <w:tr w:rsidR="0054300C" w:rsidRPr="00AC3EDB" w14:paraId="28B36F49" w14:textId="77777777" w:rsidTr="00BA37EE">
        <w:tc>
          <w:tcPr>
            <w:tcW w:w="9016" w:type="dxa"/>
            <w:gridSpan w:val="2"/>
            <w:vAlign w:val="center"/>
          </w:tcPr>
          <w:p w14:paraId="0BA73546" w14:textId="77777777" w:rsidR="0054300C" w:rsidRPr="00AC3EDB" w:rsidRDefault="0054300C" w:rsidP="00BA37EE">
            <w:pPr>
              <w:rPr>
                <w:iCs/>
                <w:color w:val="538135" w:themeColor="accent6" w:themeShade="BF"/>
                <w:lang w:val="en-MY"/>
              </w:rPr>
            </w:pPr>
            <w:r w:rsidRPr="00AC3EDB">
              <w:rPr>
                <w:iCs/>
                <w:color w:val="538135" w:themeColor="accent6" w:themeShade="BF"/>
                <w:lang w:val="en-MY"/>
              </w:rPr>
              <w:lastRenderedPageBreak/>
              <w:t>The LUCA report identified a total area of 71.42 ha of riparian and 242.96 ha of peat that needs remediation action.</w:t>
            </w:r>
          </w:p>
        </w:tc>
      </w:tr>
      <w:tr w:rsidR="0054300C" w:rsidRPr="00EF39B1" w14:paraId="3648C9DC" w14:textId="77777777" w:rsidTr="00BA37EE">
        <w:tc>
          <w:tcPr>
            <w:tcW w:w="9016" w:type="dxa"/>
            <w:gridSpan w:val="2"/>
            <w:vAlign w:val="center"/>
          </w:tcPr>
          <w:p w14:paraId="06C1077C" w14:textId="77777777" w:rsidR="0054300C" w:rsidRPr="00EF39B1" w:rsidRDefault="0054300C" w:rsidP="00BA37EE">
            <w:pPr>
              <w:rPr>
                <w:lang w:val="en-MY"/>
              </w:rPr>
            </w:pPr>
            <w:r w:rsidRPr="00EF39B1">
              <w:rPr>
                <w:lang w:val="en-MY"/>
              </w:rPr>
              <w:t>Description of remediation activity to address impacts</w:t>
            </w:r>
          </w:p>
        </w:tc>
      </w:tr>
      <w:tr w:rsidR="0054300C" w:rsidRPr="00BD35EA" w14:paraId="01170FC8" w14:textId="77777777" w:rsidTr="00BA37EE">
        <w:tc>
          <w:tcPr>
            <w:tcW w:w="9016" w:type="dxa"/>
            <w:gridSpan w:val="2"/>
            <w:vAlign w:val="center"/>
          </w:tcPr>
          <w:p w14:paraId="2174BE09" w14:textId="77777777" w:rsidR="0054300C" w:rsidRPr="00BF61B8" w:rsidRDefault="0054300C" w:rsidP="00BA37EE">
            <w:pPr>
              <w:rPr>
                <w:b/>
                <w:bCs/>
                <w:iCs/>
                <w:color w:val="538135" w:themeColor="accent6" w:themeShade="BF"/>
                <w:lang w:val="en-MY"/>
              </w:rPr>
            </w:pPr>
            <w:r w:rsidRPr="00BF61B8">
              <w:rPr>
                <w:b/>
                <w:bCs/>
                <w:iCs/>
                <w:color w:val="538135" w:themeColor="accent6" w:themeShade="BF"/>
                <w:lang w:val="en-MY"/>
              </w:rPr>
              <w:t>Riparian remediation</w:t>
            </w:r>
          </w:p>
          <w:p w14:paraId="16AB3331" w14:textId="77777777" w:rsidR="0054300C" w:rsidRPr="00BF61B8" w:rsidRDefault="0054300C" w:rsidP="00BA37EE">
            <w:pPr>
              <w:rPr>
                <w:iCs/>
                <w:color w:val="538135" w:themeColor="accent6" w:themeShade="BF"/>
                <w:lang w:val="en-MY"/>
              </w:rPr>
            </w:pPr>
            <w:r w:rsidRPr="00BF61B8">
              <w:rPr>
                <w:iCs/>
                <w:color w:val="538135" w:themeColor="accent6" w:themeShade="BF"/>
                <w:lang w:val="en-MY"/>
              </w:rPr>
              <w:t xml:space="preserve">A total of 71.42 ha </w:t>
            </w:r>
            <w:proofErr w:type="gramStart"/>
            <w:r w:rsidRPr="00BF61B8">
              <w:rPr>
                <w:iCs/>
                <w:color w:val="538135" w:themeColor="accent6" w:themeShade="BF"/>
                <w:lang w:val="en-MY"/>
              </w:rPr>
              <w:t>has</w:t>
            </w:r>
            <w:proofErr w:type="gramEnd"/>
            <w:r w:rsidRPr="00BF61B8">
              <w:rPr>
                <w:iCs/>
                <w:color w:val="538135" w:themeColor="accent6" w:themeShade="BF"/>
                <w:lang w:val="en-MY"/>
              </w:rPr>
              <w:t xml:space="preserve"> been remediated. Continuous plan over 2 years to be left during replanting session as the oil palm planted is over 4 years old. </w:t>
            </w:r>
          </w:p>
          <w:p w14:paraId="40D7A310" w14:textId="77777777" w:rsidR="0054300C" w:rsidRDefault="0054300C" w:rsidP="00BA37EE">
            <w:pPr>
              <w:rPr>
                <w:iCs/>
                <w:color w:val="538135" w:themeColor="accent6" w:themeShade="BF"/>
                <w:lang w:val="en-MY"/>
              </w:rPr>
            </w:pPr>
            <w:r w:rsidRPr="00BF61B8">
              <w:rPr>
                <w:iCs/>
                <w:color w:val="538135" w:themeColor="accent6" w:themeShade="BF"/>
                <w:lang w:val="en-MY"/>
              </w:rPr>
              <w:t xml:space="preserve">These areas are now demarcated up to 5 meters from the river bank, as described in a Standard Operating Procedure (SOP. 20/HCV/(3)/0418). The SOP also states that there is a prohibition of chemical application in the riparian area. The riparian boundaries are to be demarcated and signboards will be erected in specific areas. In some areas, restoration of riparian vegetation will be conducted. A team will conduct continuous monitoring and evaluation of on the compliance and implementation of the SOP. </w:t>
            </w:r>
          </w:p>
          <w:p w14:paraId="2B97627F" w14:textId="77777777" w:rsidR="0054300C" w:rsidRPr="00BF61B8" w:rsidRDefault="0054300C" w:rsidP="00BA37EE">
            <w:pPr>
              <w:rPr>
                <w:iCs/>
                <w:color w:val="538135" w:themeColor="accent6" w:themeShade="BF"/>
                <w:lang w:val="en-MY"/>
              </w:rPr>
            </w:pPr>
          </w:p>
          <w:p w14:paraId="69AA7920" w14:textId="77777777" w:rsidR="0054300C" w:rsidRPr="00BF61B8" w:rsidRDefault="0054300C" w:rsidP="00BA37EE">
            <w:pPr>
              <w:rPr>
                <w:b/>
                <w:bCs/>
                <w:iCs/>
                <w:color w:val="538135" w:themeColor="accent6" w:themeShade="BF"/>
                <w:lang w:val="en-MY"/>
              </w:rPr>
            </w:pPr>
            <w:r w:rsidRPr="00BF61B8">
              <w:rPr>
                <w:b/>
                <w:bCs/>
                <w:iCs/>
                <w:color w:val="538135" w:themeColor="accent6" w:themeShade="BF"/>
                <w:lang w:val="en-MY"/>
              </w:rPr>
              <w:t>Peat remediation</w:t>
            </w:r>
          </w:p>
          <w:p w14:paraId="4BF5BC68" w14:textId="77777777" w:rsidR="0054300C" w:rsidRPr="00BF61B8" w:rsidRDefault="0054300C" w:rsidP="00BA37EE">
            <w:pPr>
              <w:rPr>
                <w:iCs/>
                <w:color w:val="538135" w:themeColor="accent6" w:themeShade="BF"/>
                <w:lang w:val="en-MY"/>
              </w:rPr>
            </w:pPr>
            <w:r w:rsidRPr="00BF61B8">
              <w:rPr>
                <w:iCs/>
                <w:color w:val="538135" w:themeColor="accent6" w:themeShade="BF"/>
                <w:lang w:val="en-MY"/>
              </w:rPr>
              <w:t xml:space="preserve">Best management practices for peat are being implemented in the 242.96 ha of the area identified in the LUCA. We currently have 12 </w:t>
            </w:r>
            <w:proofErr w:type="spellStart"/>
            <w:r w:rsidRPr="00BF61B8">
              <w:rPr>
                <w:iCs/>
                <w:color w:val="538135" w:themeColor="accent6" w:themeShade="BF"/>
                <w:lang w:val="en-MY"/>
              </w:rPr>
              <w:t>wiers</w:t>
            </w:r>
            <w:proofErr w:type="spellEnd"/>
            <w:r w:rsidRPr="00BF61B8">
              <w:rPr>
                <w:iCs/>
                <w:color w:val="538135" w:themeColor="accent6" w:themeShade="BF"/>
                <w:lang w:val="en-MY"/>
              </w:rPr>
              <w:t xml:space="preserve"> for the purpose of controlling the water levels with 12 stations to monitor water level and 12 stations to monitor peat subsidence. </w:t>
            </w:r>
          </w:p>
          <w:p w14:paraId="2D49BE52" w14:textId="77777777" w:rsidR="0054300C" w:rsidRPr="00BD35EA" w:rsidRDefault="0054300C" w:rsidP="00BA37EE">
            <w:pPr>
              <w:rPr>
                <w:i/>
                <w:color w:val="538135" w:themeColor="accent6" w:themeShade="BF"/>
                <w:lang w:val="en-MY"/>
              </w:rPr>
            </w:pPr>
            <w:r w:rsidRPr="00BF61B8">
              <w:rPr>
                <w:iCs/>
                <w:color w:val="538135" w:themeColor="accent6" w:themeShade="BF"/>
                <w:lang w:val="en-MY"/>
              </w:rPr>
              <w:t xml:space="preserve">The current area was planted in 2006 and 2007 at the period of </w:t>
            </w:r>
            <w:proofErr w:type="gramStart"/>
            <w:r w:rsidRPr="00BF61B8">
              <w:rPr>
                <w:iCs/>
                <w:color w:val="538135" w:themeColor="accent6" w:themeShade="BF"/>
                <w:lang w:val="en-MY"/>
              </w:rPr>
              <w:t>replanting,</w:t>
            </w:r>
            <w:proofErr w:type="gramEnd"/>
            <w:r w:rsidRPr="00BF61B8">
              <w:rPr>
                <w:iCs/>
                <w:color w:val="538135" w:themeColor="accent6" w:themeShade="BF"/>
                <w:lang w:val="en-MY"/>
              </w:rPr>
              <w:t xml:space="preserve"> a feasibility study will be conducted on the viability of the area to be restored.</w:t>
            </w:r>
          </w:p>
        </w:tc>
      </w:tr>
      <w:tr w:rsidR="00636E12" w:rsidRPr="00EF39B1" w14:paraId="193653C7" w14:textId="77777777" w:rsidTr="00636E12">
        <w:tc>
          <w:tcPr>
            <w:tcW w:w="9016" w:type="dxa"/>
            <w:gridSpan w:val="2"/>
          </w:tcPr>
          <w:p w14:paraId="20207BB3" w14:textId="77777777" w:rsidR="00636E12" w:rsidRPr="00EF39B1" w:rsidRDefault="00636E12" w:rsidP="00A838FC">
            <w:pPr>
              <w:rPr>
                <w:lang w:val="en-MY"/>
              </w:rPr>
            </w:pPr>
            <w:r w:rsidRPr="00EF39B1">
              <w:rPr>
                <w:lang w:val="en-MY"/>
              </w:rPr>
              <w:t>Description of potential</w:t>
            </w:r>
            <w:r>
              <w:rPr>
                <w:lang w:val="en-MY"/>
              </w:rPr>
              <w:t xml:space="preserve"> social</w:t>
            </w:r>
            <w:r w:rsidRPr="00EF39B1">
              <w:rPr>
                <w:lang w:val="en-MY"/>
              </w:rPr>
              <w:t xml:space="preserve"> impacts (impacts on HCVs 4, 5 &amp; 6)</w:t>
            </w:r>
          </w:p>
        </w:tc>
      </w:tr>
      <w:tr w:rsidR="00636E12" w:rsidRPr="005851FF" w14:paraId="1E42E7FD" w14:textId="77777777" w:rsidTr="00636E12">
        <w:tc>
          <w:tcPr>
            <w:tcW w:w="9016" w:type="dxa"/>
            <w:gridSpan w:val="2"/>
          </w:tcPr>
          <w:p w14:paraId="5438B349" w14:textId="77777777" w:rsidR="00636E12" w:rsidRPr="005851FF" w:rsidRDefault="00636E12" w:rsidP="00A838FC">
            <w:pPr>
              <w:rPr>
                <w:i/>
                <w:color w:val="538135" w:themeColor="accent6" w:themeShade="BF"/>
                <w:lang w:val="en-MY"/>
              </w:rPr>
            </w:pPr>
            <w:r w:rsidRPr="00623ABF">
              <w:rPr>
                <w:iCs/>
                <w:color w:val="538135" w:themeColor="accent6" w:themeShade="BF"/>
                <w:lang w:val="en-MY"/>
              </w:rPr>
              <w:t xml:space="preserve">There was no social remediation required for PT </w:t>
            </w:r>
            <w:r>
              <w:rPr>
                <w:iCs/>
                <w:color w:val="538135" w:themeColor="accent6" w:themeShade="BF"/>
                <w:lang w:val="en-MY"/>
              </w:rPr>
              <w:t>MSM.</w:t>
            </w:r>
          </w:p>
        </w:tc>
      </w:tr>
      <w:tr w:rsidR="00636E12" w:rsidRPr="00EF39B1" w14:paraId="0390C518" w14:textId="77777777" w:rsidTr="00636E12">
        <w:tc>
          <w:tcPr>
            <w:tcW w:w="9016" w:type="dxa"/>
            <w:gridSpan w:val="2"/>
          </w:tcPr>
          <w:p w14:paraId="07CAA10B" w14:textId="77777777" w:rsidR="00636E12" w:rsidRPr="00EF39B1" w:rsidRDefault="00636E12" w:rsidP="00A838FC">
            <w:pPr>
              <w:rPr>
                <w:lang w:val="en-MY"/>
              </w:rPr>
            </w:pPr>
            <w:r w:rsidRPr="00EF39B1">
              <w:rPr>
                <w:lang w:val="en-MY"/>
              </w:rPr>
              <w:t xml:space="preserve">Description of </w:t>
            </w:r>
            <w:r>
              <w:rPr>
                <w:lang w:val="en-MY"/>
              </w:rPr>
              <w:t>proposed activities to address impacts</w:t>
            </w:r>
          </w:p>
        </w:tc>
      </w:tr>
      <w:tr w:rsidR="0034143E" w:rsidRPr="00463C0D" w14:paraId="075D98A6" w14:textId="77777777" w:rsidTr="0034143E">
        <w:tc>
          <w:tcPr>
            <w:tcW w:w="9016" w:type="dxa"/>
            <w:gridSpan w:val="2"/>
          </w:tcPr>
          <w:p w14:paraId="02761704" w14:textId="77777777" w:rsidR="0034143E" w:rsidRPr="00463C0D" w:rsidRDefault="0034143E" w:rsidP="00A838FC">
            <w:pPr>
              <w:rPr>
                <w:i/>
                <w:color w:val="538135" w:themeColor="accent6" w:themeShade="BF"/>
                <w:lang w:val="en-MY"/>
              </w:rPr>
            </w:pPr>
            <w:r w:rsidRPr="00463C0D">
              <w:rPr>
                <w:iCs/>
                <w:color w:val="538135" w:themeColor="accent6" w:themeShade="BF"/>
                <w:lang w:val="en-MY"/>
              </w:rPr>
              <w:t>None required</w:t>
            </w:r>
          </w:p>
        </w:tc>
      </w:tr>
    </w:tbl>
    <w:p w14:paraId="1E9E7271" w14:textId="5EC35E6F" w:rsidR="006257B6" w:rsidRPr="009A64BF" w:rsidRDefault="006257B6" w:rsidP="006257B6">
      <w:pPr>
        <w:jc w:val="both"/>
        <w:rPr>
          <w:lang w:val="en-MY"/>
        </w:rPr>
      </w:pPr>
      <w:r>
        <w:rPr>
          <w:lang w:val="en-MY"/>
        </w:rPr>
        <w:t>*where applicable</w:t>
      </w:r>
    </w:p>
    <w:p w14:paraId="2FF35249" w14:textId="79C391AD" w:rsidR="00C31A11" w:rsidRPr="00C31A11" w:rsidRDefault="006353E3" w:rsidP="000B7A88">
      <w:pPr>
        <w:pStyle w:val="Heading2"/>
      </w:pPr>
      <w:r>
        <w:t>Conservation Compensation</w:t>
      </w:r>
    </w:p>
    <w:tbl>
      <w:tblPr>
        <w:tblStyle w:val="TableGrid"/>
        <w:tblW w:w="0" w:type="auto"/>
        <w:tblLook w:val="04A0" w:firstRow="1" w:lastRow="0" w:firstColumn="1" w:lastColumn="0" w:noHBand="0" w:noVBand="1"/>
      </w:tblPr>
      <w:tblGrid>
        <w:gridCol w:w="421"/>
        <w:gridCol w:w="4087"/>
        <w:gridCol w:w="449"/>
        <w:gridCol w:w="4059"/>
      </w:tblGrid>
      <w:tr w:rsidR="00305B33" w14:paraId="2DB9433C" w14:textId="77777777" w:rsidTr="004F5D3F">
        <w:trPr>
          <w:trHeight w:val="234"/>
        </w:trPr>
        <w:tc>
          <w:tcPr>
            <w:tcW w:w="421" w:type="dxa"/>
            <w:vAlign w:val="center"/>
          </w:tcPr>
          <w:p w14:paraId="0542D4C7" w14:textId="77777777" w:rsidR="00305B33" w:rsidRDefault="00305B33" w:rsidP="002955AA">
            <w:pPr>
              <w:rPr>
                <w:lang w:val="en-MY"/>
              </w:rPr>
            </w:pPr>
          </w:p>
        </w:tc>
        <w:tc>
          <w:tcPr>
            <w:tcW w:w="4087" w:type="dxa"/>
            <w:vAlign w:val="center"/>
          </w:tcPr>
          <w:p w14:paraId="6FE98379" w14:textId="77777777" w:rsidR="00305B33" w:rsidRDefault="00305B33">
            <w:pPr>
              <w:rPr>
                <w:lang w:val="en-MY"/>
              </w:rPr>
            </w:pPr>
            <w:r>
              <w:rPr>
                <w:lang w:val="en-MY"/>
              </w:rPr>
              <w:t xml:space="preserve">Liability being compensated per </w:t>
            </w:r>
            <w:r w:rsidR="00206155">
              <w:rPr>
                <w:lang w:val="en-MY"/>
              </w:rPr>
              <w:t xml:space="preserve">individual </w:t>
            </w:r>
            <w:r>
              <w:rPr>
                <w:lang w:val="en-MY"/>
              </w:rPr>
              <w:t>management unit</w:t>
            </w:r>
          </w:p>
        </w:tc>
        <w:tc>
          <w:tcPr>
            <w:tcW w:w="449" w:type="dxa"/>
            <w:vAlign w:val="center"/>
          </w:tcPr>
          <w:p w14:paraId="6C65A719" w14:textId="0567E056" w:rsidR="00305B33" w:rsidRPr="00BD35EA" w:rsidRDefault="00877887" w:rsidP="002955AA">
            <w:pPr>
              <w:rPr>
                <w:color w:val="538135" w:themeColor="accent6" w:themeShade="BF"/>
                <w:lang w:val="en-MY"/>
              </w:rPr>
            </w:pPr>
            <w:r w:rsidRPr="00AC53BB">
              <w:rPr>
                <w:sz w:val="40"/>
                <w:szCs w:val="40"/>
              </w:rPr>
              <w:t>√</w:t>
            </w:r>
          </w:p>
        </w:tc>
        <w:tc>
          <w:tcPr>
            <w:tcW w:w="4059" w:type="dxa"/>
            <w:vAlign w:val="center"/>
          </w:tcPr>
          <w:p w14:paraId="12C86AE3" w14:textId="77777777" w:rsidR="00305B33" w:rsidRDefault="00305B33" w:rsidP="002955AA">
            <w:pPr>
              <w:rPr>
                <w:lang w:val="en-MY"/>
              </w:rPr>
            </w:pPr>
            <w:r>
              <w:rPr>
                <w:lang w:val="en-MY"/>
              </w:rPr>
              <w:t xml:space="preserve">Liability being compensated collectively across </w:t>
            </w:r>
            <w:r w:rsidR="00206155">
              <w:rPr>
                <w:lang w:val="en-MY"/>
              </w:rPr>
              <w:t xml:space="preserve">two or more </w:t>
            </w:r>
            <w:r>
              <w:rPr>
                <w:lang w:val="en-MY"/>
              </w:rPr>
              <w:t>management unit</w:t>
            </w:r>
            <w:r w:rsidR="00206155">
              <w:rPr>
                <w:lang w:val="en-MY"/>
              </w:rPr>
              <w:t>s</w:t>
            </w:r>
          </w:p>
        </w:tc>
      </w:tr>
      <w:tr w:rsidR="00305B33" w14:paraId="5CB9FD84" w14:textId="77777777" w:rsidTr="004F5D3F">
        <w:trPr>
          <w:trHeight w:val="233"/>
        </w:trPr>
        <w:tc>
          <w:tcPr>
            <w:tcW w:w="421" w:type="dxa"/>
            <w:vAlign w:val="center"/>
          </w:tcPr>
          <w:p w14:paraId="37551430" w14:textId="77777777" w:rsidR="00305B33" w:rsidRDefault="00305B33" w:rsidP="002955AA">
            <w:pPr>
              <w:rPr>
                <w:lang w:val="en-MY"/>
              </w:rPr>
            </w:pPr>
          </w:p>
        </w:tc>
        <w:tc>
          <w:tcPr>
            <w:tcW w:w="4087" w:type="dxa"/>
            <w:vAlign w:val="center"/>
          </w:tcPr>
          <w:p w14:paraId="55F4428A" w14:textId="77777777" w:rsidR="00305B33" w:rsidRDefault="00206155">
            <w:pPr>
              <w:rPr>
                <w:lang w:val="en-MY"/>
              </w:rPr>
            </w:pPr>
            <w:r>
              <w:rPr>
                <w:lang w:val="en-MY"/>
              </w:rPr>
              <w:t xml:space="preserve">Area- based </w:t>
            </w:r>
            <w:r w:rsidR="00305B33">
              <w:rPr>
                <w:lang w:val="en-MY"/>
              </w:rPr>
              <w:t>compensation</w:t>
            </w:r>
          </w:p>
        </w:tc>
        <w:tc>
          <w:tcPr>
            <w:tcW w:w="449" w:type="dxa"/>
            <w:vAlign w:val="center"/>
          </w:tcPr>
          <w:p w14:paraId="16A97E74" w14:textId="41AD85D9" w:rsidR="00305B33" w:rsidRPr="00BD35EA" w:rsidRDefault="00877887" w:rsidP="002955AA">
            <w:pPr>
              <w:rPr>
                <w:color w:val="538135" w:themeColor="accent6" w:themeShade="BF"/>
                <w:lang w:val="en-MY"/>
              </w:rPr>
            </w:pPr>
            <w:r w:rsidRPr="00AC53BB">
              <w:rPr>
                <w:sz w:val="40"/>
                <w:szCs w:val="40"/>
              </w:rPr>
              <w:t>√</w:t>
            </w:r>
          </w:p>
        </w:tc>
        <w:tc>
          <w:tcPr>
            <w:tcW w:w="4059" w:type="dxa"/>
            <w:vAlign w:val="center"/>
          </w:tcPr>
          <w:p w14:paraId="6684CF9B" w14:textId="77777777" w:rsidR="00305B33" w:rsidRDefault="00206155" w:rsidP="002955AA">
            <w:pPr>
              <w:rPr>
                <w:lang w:val="en-MY"/>
              </w:rPr>
            </w:pPr>
            <w:r>
              <w:rPr>
                <w:lang w:val="en-MY"/>
              </w:rPr>
              <w:t>Monetary equivalent</w:t>
            </w:r>
            <w:r w:rsidR="00305B33">
              <w:rPr>
                <w:lang w:val="en-MY"/>
              </w:rPr>
              <w:t xml:space="preserve"> compensation</w:t>
            </w:r>
          </w:p>
          <w:p w14:paraId="7F64E534" w14:textId="77777777" w:rsidR="00C31A11" w:rsidRDefault="00C31A11" w:rsidP="002955AA">
            <w:pPr>
              <w:rPr>
                <w:lang w:val="en-MY"/>
              </w:rPr>
            </w:pPr>
          </w:p>
        </w:tc>
      </w:tr>
    </w:tbl>
    <w:p w14:paraId="61DB92DF" w14:textId="09EF9B8D" w:rsidR="009A64BF" w:rsidRDefault="007E39D5" w:rsidP="006257B6">
      <w:pPr>
        <w:jc w:val="both"/>
        <w:rPr>
          <w:i/>
          <w:sz w:val="14"/>
        </w:rPr>
      </w:pPr>
      <w:r w:rsidRPr="009C4238">
        <w:rPr>
          <w:i/>
          <w:sz w:val="14"/>
        </w:rPr>
        <w:t xml:space="preserve">Note: </w:t>
      </w:r>
      <w:r w:rsidR="00C31A11" w:rsidRPr="009C4238">
        <w:rPr>
          <w:i/>
          <w:sz w:val="14"/>
        </w:rPr>
        <w:t>Please tick at least one box</w:t>
      </w:r>
    </w:p>
    <w:p w14:paraId="24B2481A" w14:textId="77777777" w:rsidR="00C31A11" w:rsidRPr="00C31A11" w:rsidRDefault="00C31A11" w:rsidP="006257B6">
      <w:pPr>
        <w:jc w:val="both"/>
        <w:rPr>
          <w:i/>
          <w:sz w:val="14"/>
          <w:lang w:val="en-MY"/>
        </w:rPr>
      </w:pPr>
    </w:p>
    <w:tbl>
      <w:tblPr>
        <w:tblStyle w:val="TableGrid"/>
        <w:tblW w:w="0" w:type="auto"/>
        <w:tblLook w:val="04A0" w:firstRow="1" w:lastRow="0" w:firstColumn="1" w:lastColumn="0" w:noHBand="0" w:noVBand="1"/>
      </w:tblPr>
      <w:tblGrid>
        <w:gridCol w:w="3325"/>
        <w:gridCol w:w="5917"/>
      </w:tblGrid>
      <w:tr w:rsidR="00C31A11" w14:paraId="4EDEE888" w14:textId="77777777" w:rsidTr="00F14D77">
        <w:tc>
          <w:tcPr>
            <w:tcW w:w="9016" w:type="dxa"/>
            <w:gridSpan w:val="2"/>
            <w:vAlign w:val="center"/>
          </w:tcPr>
          <w:p w14:paraId="04691889" w14:textId="77777777" w:rsidR="00C31A11" w:rsidRDefault="00C31A11" w:rsidP="00F14D77">
            <w:pPr>
              <w:rPr>
                <w:lang w:val="en-MY"/>
              </w:rPr>
            </w:pPr>
            <w:r>
              <w:rPr>
                <w:lang w:val="en-MY"/>
              </w:rPr>
              <w:t xml:space="preserve">Summary of final </w:t>
            </w:r>
            <w:r w:rsidRPr="00CC7F39">
              <w:rPr>
                <w:b/>
                <w:lang w:val="en-MY"/>
              </w:rPr>
              <w:t xml:space="preserve">compensation </w:t>
            </w:r>
            <w:r>
              <w:rPr>
                <w:lang w:val="en-MY"/>
              </w:rPr>
              <w:t>liability (per management unit or collectively)</w:t>
            </w:r>
          </w:p>
        </w:tc>
      </w:tr>
      <w:tr w:rsidR="00C31A11" w14:paraId="73BEF070" w14:textId="77777777" w:rsidTr="00F14D77">
        <w:tc>
          <w:tcPr>
            <w:tcW w:w="9016" w:type="dxa"/>
            <w:gridSpan w:val="2"/>
            <w:vAlign w:val="center"/>
          </w:tcPr>
          <w:p w14:paraId="352569B7" w14:textId="615A236B" w:rsidR="00A41368" w:rsidRDefault="00214BEB" w:rsidP="000F42F3">
            <w:pPr>
              <w:rPr>
                <w:iCs/>
                <w:color w:val="538135" w:themeColor="accent6" w:themeShade="BF"/>
                <w:lang w:val="en-MY"/>
              </w:rPr>
            </w:pPr>
            <w:r w:rsidRPr="00214BEB">
              <w:rPr>
                <w:iCs/>
                <w:color w:val="538135" w:themeColor="accent6" w:themeShade="BF"/>
                <w:lang w:val="en-MY"/>
              </w:rPr>
              <w:t xml:space="preserve">The total liabilities of </w:t>
            </w:r>
            <w:proofErr w:type="spellStart"/>
            <w:r>
              <w:rPr>
                <w:iCs/>
                <w:color w:val="538135" w:themeColor="accent6" w:themeShade="BF"/>
                <w:lang w:val="en-MY"/>
              </w:rPr>
              <w:t>Wilmar</w:t>
            </w:r>
            <w:proofErr w:type="spellEnd"/>
            <w:r>
              <w:rPr>
                <w:iCs/>
                <w:color w:val="538135" w:themeColor="accent6" w:themeShade="BF"/>
                <w:lang w:val="en-MY"/>
              </w:rPr>
              <w:t xml:space="preserve"> International Ltd. </w:t>
            </w:r>
            <w:r w:rsidRPr="00214BEB">
              <w:rPr>
                <w:iCs/>
                <w:color w:val="538135" w:themeColor="accent6" w:themeShade="BF"/>
                <w:lang w:val="en-MY"/>
              </w:rPr>
              <w:t>group under the RSPO compensation mechanism are 1</w:t>
            </w:r>
            <w:r w:rsidR="000B7CE6">
              <w:rPr>
                <w:iCs/>
                <w:color w:val="538135" w:themeColor="accent6" w:themeShade="BF"/>
                <w:lang w:val="en-MY"/>
              </w:rPr>
              <w:t>37.93</w:t>
            </w:r>
            <w:r w:rsidRPr="00214BEB">
              <w:rPr>
                <w:iCs/>
                <w:color w:val="538135" w:themeColor="accent6" w:themeShade="BF"/>
                <w:lang w:val="en-MY"/>
              </w:rPr>
              <w:t xml:space="preserve"> ha or equal to USD 3</w:t>
            </w:r>
            <w:r w:rsidR="000B7CE6">
              <w:rPr>
                <w:iCs/>
                <w:color w:val="538135" w:themeColor="accent6" w:themeShade="BF"/>
                <w:lang w:val="en-MY"/>
              </w:rPr>
              <w:t>44,825</w:t>
            </w:r>
            <w:r w:rsidRPr="00214BEB">
              <w:rPr>
                <w:iCs/>
                <w:color w:val="538135" w:themeColor="accent6" w:themeShade="BF"/>
                <w:lang w:val="en-MY"/>
              </w:rPr>
              <w:t xml:space="preserve">. These liabilities cover </w:t>
            </w:r>
            <w:r w:rsidR="00CA2A14">
              <w:rPr>
                <w:iCs/>
                <w:color w:val="538135" w:themeColor="accent6" w:themeShade="BF"/>
                <w:lang w:val="en-MY"/>
              </w:rPr>
              <w:t xml:space="preserve">two </w:t>
            </w:r>
            <w:r w:rsidRPr="00214BEB">
              <w:rPr>
                <w:iCs/>
                <w:color w:val="538135" w:themeColor="accent6" w:themeShade="BF"/>
                <w:lang w:val="en-MY"/>
              </w:rPr>
              <w:t>companies, which are:</w:t>
            </w:r>
          </w:p>
          <w:p w14:paraId="134BCE62" w14:textId="77777777" w:rsidR="00A41368" w:rsidRDefault="00214BEB" w:rsidP="000F42F3">
            <w:pPr>
              <w:rPr>
                <w:iCs/>
                <w:color w:val="538135" w:themeColor="accent6" w:themeShade="BF"/>
                <w:lang w:val="en-MY"/>
              </w:rPr>
            </w:pPr>
            <w:r w:rsidRPr="00214BEB">
              <w:rPr>
                <w:iCs/>
                <w:color w:val="538135" w:themeColor="accent6" w:themeShade="BF"/>
                <w:lang w:val="en-MY"/>
              </w:rPr>
              <w:t>1.</w:t>
            </w:r>
            <w:r w:rsidR="00A41368">
              <w:rPr>
                <w:iCs/>
                <w:color w:val="538135" w:themeColor="accent6" w:themeShade="BF"/>
                <w:lang w:val="en-MY"/>
              </w:rPr>
              <w:t xml:space="preserve"> </w:t>
            </w:r>
            <w:r w:rsidRPr="00214BEB">
              <w:rPr>
                <w:iCs/>
                <w:color w:val="538135" w:themeColor="accent6" w:themeShade="BF"/>
                <w:lang w:val="en-MY"/>
              </w:rPr>
              <w:t>PT</w:t>
            </w:r>
            <w:r w:rsidR="00A41368">
              <w:rPr>
                <w:iCs/>
                <w:color w:val="538135" w:themeColor="accent6" w:themeShade="BF"/>
                <w:lang w:val="en-MY"/>
              </w:rPr>
              <w:t xml:space="preserve"> </w:t>
            </w:r>
            <w:proofErr w:type="spellStart"/>
            <w:r w:rsidR="00A41368">
              <w:rPr>
                <w:iCs/>
                <w:color w:val="538135" w:themeColor="accent6" w:themeShade="BF"/>
                <w:lang w:val="en-MY"/>
              </w:rPr>
              <w:t>Mentaya</w:t>
            </w:r>
            <w:proofErr w:type="spellEnd"/>
            <w:r w:rsidR="00A41368">
              <w:rPr>
                <w:iCs/>
                <w:color w:val="538135" w:themeColor="accent6" w:themeShade="BF"/>
                <w:lang w:val="en-MY"/>
              </w:rPr>
              <w:t xml:space="preserve"> </w:t>
            </w:r>
            <w:proofErr w:type="spellStart"/>
            <w:r w:rsidR="00A41368">
              <w:rPr>
                <w:iCs/>
                <w:color w:val="538135" w:themeColor="accent6" w:themeShade="BF"/>
                <w:lang w:val="en-MY"/>
              </w:rPr>
              <w:t>Sawit</w:t>
            </w:r>
            <w:proofErr w:type="spellEnd"/>
            <w:r w:rsidR="00A41368">
              <w:rPr>
                <w:iCs/>
                <w:color w:val="538135" w:themeColor="accent6" w:themeShade="BF"/>
                <w:lang w:val="en-MY"/>
              </w:rPr>
              <w:t xml:space="preserve"> Mas </w:t>
            </w:r>
            <w:r w:rsidRPr="00214BEB">
              <w:rPr>
                <w:iCs/>
                <w:color w:val="538135" w:themeColor="accent6" w:themeShade="BF"/>
                <w:lang w:val="en-MY"/>
              </w:rPr>
              <w:t>(</w:t>
            </w:r>
            <w:r w:rsidR="00C86CA5">
              <w:rPr>
                <w:iCs/>
                <w:color w:val="538135" w:themeColor="accent6" w:themeShade="BF"/>
                <w:lang w:val="en-MY"/>
              </w:rPr>
              <w:t>79</w:t>
            </w:r>
            <w:r w:rsidRPr="00214BEB">
              <w:rPr>
                <w:iCs/>
                <w:color w:val="538135" w:themeColor="accent6" w:themeShade="BF"/>
                <w:lang w:val="en-MY"/>
              </w:rPr>
              <w:t>.</w:t>
            </w:r>
            <w:r w:rsidR="00C86CA5">
              <w:rPr>
                <w:iCs/>
                <w:color w:val="538135" w:themeColor="accent6" w:themeShade="BF"/>
                <w:lang w:val="en-MY"/>
              </w:rPr>
              <w:t>13</w:t>
            </w:r>
            <w:r w:rsidRPr="00214BEB">
              <w:rPr>
                <w:iCs/>
                <w:color w:val="538135" w:themeColor="accent6" w:themeShade="BF"/>
                <w:lang w:val="en-MY"/>
              </w:rPr>
              <w:t xml:space="preserve"> ha)</w:t>
            </w:r>
          </w:p>
          <w:p w14:paraId="27DD66D6" w14:textId="457DEB3B" w:rsidR="00C31A11" w:rsidRPr="007321D8" w:rsidRDefault="00214BEB" w:rsidP="007321D8">
            <w:pPr>
              <w:rPr>
                <w:iCs/>
                <w:color w:val="538135" w:themeColor="accent6" w:themeShade="BF"/>
                <w:lang w:val="en-MY"/>
              </w:rPr>
            </w:pPr>
            <w:r w:rsidRPr="00214BEB">
              <w:rPr>
                <w:iCs/>
                <w:color w:val="538135" w:themeColor="accent6" w:themeShade="BF"/>
                <w:lang w:val="en-MY"/>
              </w:rPr>
              <w:t>2.</w:t>
            </w:r>
            <w:r w:rsidR="00A41368">
              <w:rPr>
                <w:iCs/>
                <w:color w:val="538135" w:themeColor="accent6" w:themeShade="BF"/>
                <w:lang w:val="en-MY"/>
              </w:rPr>
              <w:t xml:space="preserve"> </w:t>
            </w:r>
            <w:r w:rsidRPr="00214BEB">
              <w:rPr>
                <w:iCs/>
                <w:color w:val="538135" w:themeColor="accent6" w:themeShade="BF"/>
                <w:lang w:val="en-MY"/>
              </w:rPr>
              <w:t>PT</w:t>
            </w:r>
            <w:r w:rsidR="00A41368">
              <w:rPr>
                <w:iCs/>
                <w:color w:val="538135" w:themeColor="accent6" w:themeShade="BF"/>
                <w:lang w:val="en-MY"/>
              </w:rPr>
              <w:t xml:space="preserve"> Kurnia </w:t>
            </w:r>
            <w:proofErr w:type="spellStart"/>
            <w:r w:rsidR="00A41368">
              <w:rPr>
                <w:iCs/>
                <w:color w:val="538135" w:themeColor="accent6" w:themeShade="BF"/>
                <w:lang w:val="en-MY"/>
              </w:rPr>
              <w:t>Kencana</w:t>
            </w:r>
            <w:proofErr w:type="spellEnd"/>
            <w:r w:rsidR="00A41368">
              <w:rPr>
                <w:iCs/>
                <w:color w:val="538135" w:themeColor="accent6" w:themeShade="BF"/>
                <w:lang w:val="en-MY"/>
              </w:rPr>
              <w:t xml:space="preserve"> </w:t>
            </w:r>
            <w:proofErr w:type="spellStart"/>
            <w:r w:rsidR="00A41368">
              <w:rPr>
                <w:iCs/>
                <w:color w:val="538135" w:themeColor="accent6" w:themeShade="BF"/>
                <w:lang w:val="en-MY"/>
              </w:rPr>
              <w:t>Permaisejati</w:t>
            </w:r>
            <w:proofErr w:type="spellEnd"/>
            <w:r w:rsidR="00A41368">
              <w:rPr>
                <w:iCs/>
                <w:color w:val="538135" w:themeColor="accent6" w:themeShade="BF"/>
                <w:lang w:val="en-MY"/>
              </w:rPr>
              <w:t xml:space="preserve"> </w:t>
            </w:r>
            <w:r w:rsidRPr="00214BEB">
              <w:rPr>
                <w:iCs/>
                <w:color w:val="538135" w:themeColor="accent6" w:themeShade="BF"/>
                <w:lang w:val="en-MY"/>
              </w:rPr>
              <w:t>(</w:t>
            </w:r>
            <w:r w:rsidR="00A41368">
              <w:rPr>
                <w:iCs/>
                <w:color w:val="538135" w:themeColor="accent6" w:themeShade="BF"/>
                <w:lang w:val="en-MY"/>
              </w:rPr>
              <w:t>58</w:t>
            </w:r>
            <w:r w:rsidRPr="00214BEB">
              <w:rPr>
                <w:iCs/>
                <w:color w:val="538135" w:themeColor="accent6" w:themeShade="BF"/>
                <w:lang w:val="en-MY"/>
              </w:rPr>
              <w:t>.</w:t>
            </w:r>
            <w:r w:rsidR="00A41368">
              <w:rPr>
                <w:iCs/>
                <w:color w:val="538135" w:themeColor="accent6" w:themeShade="BF"/>
                <w:lang w:val="en-MY"/>
              </w:rPr>
              <w:t>8</w:t>
            </w:r>
            <w:r w:rsidRPr="00214BEB">
              <w:rPr>
                <w:iCs/>
                <w:color w:val="538135" w:themeColor="accent6" w:themeShade="BF"/>
                <w:lang w:val="en-MY"/>
              </w:rPr>
              <w:t xml:space="preserve"> ha)</w:t>
            </w:r>
          </w:p>
        </w:tc>
      </w:tr>
      <w:tr w:rsidR="00C31A11" w14:paraId="46A60D33" w14:textId="77777777" w:rsidTr="00F14D77">
        <w:tc>
          <w:tcPr>
            <w:tcW w:w="9016" w:type="dxa"/>
            <w:gridSpan w:val="2"/>
            <w:vAlign w:val="cente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37FE2" w:rsidRPr="00737FE2" w14:paraId="1BC274B0" w14:textId="77777777" w:rsidTr="00737FE2">
              <w:tc>
                <w:tcPr>
                  <w:tcW w:w="0" w:type="auto"/>
                  <w:shd w:val="clear" w:color="auto" w:fill="FFFFFF"/>
                  <w:vAlign w:val="center"/>
                  <w:hideMark/>
                </w:tcPr>
                <w:p w14:paraId="3DFC868C" w14:textId="0715112E" w:rsidR="00737FE2" w:rsidRPr="00737FE2" w:rsidRDefault="00737FE2" w:rsidP="00737FE2">
                  <w:pPr>
                    <w:spacing w:after="0" w:line="216" w:lineRule="atLeast"/>
                    <w:rPr>
                      <w:rFonts w:ascii="Arial" w:eastAsia="Times New Roman" w:hAnsi="Arial" w:cs="Arial"/>
                      <w:color w:val="222222"/>
                      <w:lang w:val="en-MY" w:eastAsia="en-MY"/>
                    </w:rPr>
                  </w:pPr>
                </w:p>
              </w:tc>
            </w:tr>
            <w:tr w:rsidR="00737FE2" w:rsidRPr="00737FE2" w14:paraId="3128F8DD" w14:textId="77777777" w:rsidTr="00737FE2">
              <w:tc>
                <w:tcPr>
                  <w:tcW w:w="0" w:type="auto"/>
                  <w:shd w:val="clear" w:color="auto" w:fill="FFFFFF"/>
                  <w:vAlign w:val="center"/>
                  <w:hideMark/>
                </w:tcPr>
                <w:p w14:paraId="0E0356E3" w14:textId="5DE0EB81" w:rsidR="00737FE2" w:rsidRPr="00737FE2" w:rsidRDefault="00737FE2" w:rsidP="00737FE2">
                  <w:pPr>
                    <w:spacing w:after="0" w:line="216" w:lineRule="atLeast"/>
                    <w:rPr>
                      <w:rFonts w:eastAsia="Times New Roman" w:cs="Arial"/>
                      <w:color w:val="222222"/>
                      <w:lang w:val="en-MY" w:eastAsia="en-MY"/>
                    </w:rPr>
                  </w:pPr>
                  <w:r w:rsidRPr="00737FE2">
                    <w:rPr>
                      <w:rFonts w:eastAsia="Times New Roman" w:cs="Arial"/>
                      <w:color w:val="222222"/>
                      <w:lang w:val="en-MY" w:eastAsia="en-MY"/>
                    </w:rPr>
                    <w:t xml:space="preserve">Annotated map(s) showing the proposed compensation project </w:t>
                  </w:r>
                  <w:r w:rsidR="003F2B8A" w:rsidRPr="00737FE2">
                    <w:rPr>
                      <w:rFonts w:eastAsia="Times New Roman" w:cs="Arial"/>
                      <w:color w:val="222222"/>
                      <w:lang w:val="en-MY" w:eastAsia="en-MY"/>
                    </w:rPr>
                    <w:t>area including</w:t>
                  </w:r>
                  <w:r w:rsidRPr="00737FE2">
                    <w:rPr>
                      <w:rFonts w:eastAsia="Times New Roman" w:cs="Arial"/>
                      <w:color w:val="222222"/>
                      <w:lang w:val="en-MY" w:eastAsia="en-MY"/>
                    </w:rPr>
                    <w:t xml:space="preserve"> sites and features mentioned in the text</w:t>
                  </w:r>
                </w:p>
              </w:tc>
            </w:tr>
          </w:tbl>
          <w:p w14:paraId="7F1AEA93" w14:textId="1AC62169" w:rsidR="00C31A11" w:rsidRPr="000B7A88" w:rsidRDefault="00C31A11" w:rsidP="00F14D77">
            <w:pPr>
              <w:rPr>
                <w:highlight w:val="yellow"/>
                <w:lang w:val="en-MY"/>
              </w:rPr>
            </w:pPr>
          </w:p>
        </w:tc>
      </w:tr>
      <w:tr w:rsidR="00C31A11" w14:paraId="615E55CA" w14:textId="77777777" w:rsidTr="00F14D77">
        <w:tc>
          <w:tcPr>
            <w:tcW w:w="9016" w:type="dxa"/>
            <w:gridSpan w:val="2"/>
            <w:vAlign w:val="center"/>
          </w:tcPr>
          <w:p w14:paraId="6B554AD8" w14:textId="77777777" w:rsidR="00C31A11" w:rsidRDefault="00C31A11" w:rsidP="00F14D77">
            <w:pPr>
              <w:rPr>
                <w:lang w:val="en-MY"/>
              </w:rPr>
            </w:pPr>
          </w:p>
          <w:p w14:paraId="42254132" w14:textId="3F1087A0" w:rsidR="00C31A11" w:rsidRDefault="009944EA" w:rsidP="00F14D77">
            <w:pPr>
              <w:rPr>
                <w:lang w:val="en-MY"/>
              </w:rPr>
            </w:pPr>
            <w:r w:rsidRPr="009B131F">
              <w:rPr>
                <w:rFonts w:cstheme="minorHAnsi"/>
                <w:noProof/>
                <w:sz w:val="24"/>
                <w:lang w:val="en-US"/>
              </w:rPr>
              <w:lastRenderedPageBreak/>
              <w:drawing>
                <wp:inline distT="0" distB="0" distL="0" distR="0" wp14:anchorId="782FDD8A" wp14:editId="5F52DDDC">
                  <wp:extent cx="5870448" cy="4133088"/>
                  <wp:effectExtent l="0" t="0" r="0" b="1270"/>
                  <wp:docPr id="33" name="Picture 33" descr="D:\01_Folder Pertahun\Folder 2017\umum\data campuran\Puter\HD\Hutan Desa Telaga\Peta Hutan Desa Telaga Revisi kecil komp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01_Folder Pertahun\Folder 2017\umum\data campuran\Puter\HD\Hutan Desa Telaga\Peta Hutan Desa Telaga Revisi kecil kompr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0448" cy="4133088"/>
                          </a:xfrm>
                          <a:prstGeom prst="rect">
                            <a:avLst/>
                          </a:prstGeom>
                          <a:noFill/>
                          <a:ln>
                            <a:noFill/>
                          </a:ln>
                        </pic:spPr>
                      </pic:pic>
                    </a:graphicData>
                  </a:graphic>
                </wp:inline>
              </w:drawing>
            </w:r>
          </w:p>
          <w:p w14:paraId="1AFA26C4" w14:textId="08CA5AC1" w:rsidR="005A410A" w:rsidRDefault="00BA742E" w:rsidP="000C4AE9">
            <w:pPr>
              <w:rPr>
                <w:iCs/>
                <w:color w:val="538135" w:themeColor="accent6" w:themeShade="BF"/>
                <w:lang w:val="en-MY"/>
              </w:rPr>
            </w:pPr>
            <w:r>
              <w:rPr>
                <w:iCs/>
                <w:color w:val="538135" w:themeColor="accent6" w:themeShade="BF"/>
                <w:lang w:val="en-MY"/>
              </w:rPr>
              <w:t>The p</w:t>
            </w:r>
            <w:r w:rsidRPr="00BA742E">
              <w:rPr>
                <w:iCs/>
                <w:color w:val="538135" w:themeColor="accent6" w:themeShade="BF"/>
                <w:lang w:val="en-MY"/>
              </w:rPr>
              <w:t>roposed</w:t>
            </w:r>
            <w:r w:rsidR="0082694C">
              <w:rPr>
                <w:iCs/>
                <w:color w:val="538135" w:themeColor="accent6" w:themeShade="BF"/>
                <w:lang w:val="en-MY"/>
              </w:rPr>
              <w:t xml:space="preserve"> compensation area </w:t>
            </w:r>
            <w:r w:rsidR="005F69E3">
              <w:rPr>
                <w:iCs/>
                <w:color w:val="538135" w:themeColor="accent6" w:themeShade="BF"/>
                <w:lang w:val="en-MY"/>
              </w:rPr>
              <w:t xml:space="preserve">is </w:t>
            </w:r>
            <w:proofErr w:type="spellStart"/>
            <w:r w:rsidR="005F69E3">
              <w:rPr>
                <w:iCs/>
                <w:color w:val="538135" w:themeColor="accent6" w:themeShade="BF"/>
                <w:lang w:val="en-MY"/>
              </w:rPr>
              <w:t>Telaga</w:t>
            </w:r>
            <w:proofErr w:type="spellEnd"/>
            <w:r w:rsidR="005F69E3">
              <w:rPr>
                <w:iCs/>
                <w:color w:val="538135" w:themeColor="accent6" w:themeShade="BF"/>
                <w:lang w:val="en-MY"/>
              </w:rPr>
              <w:t xml:space="preserve"> Village Forest or HD (</w:t>
            </w:r>
            <w:proofErr w:type="spellStart"/>
            <w:r w:rsidR="005F69E3" w:rsidRPr="005F69E3">
              <w:rPr>
                <w:i/>
                <w:color w:val="538135" w:themeColor="accent6" w:themeShade="BF"/>
                <w:lang w:val="en-MY"/>
              </w:rPr>
              <w:t>Hutan</w:t>
            </w:r>
            <w:proofErr w:type="spellEnd"/>
            <w:r w:rsidR="005F69E3" w:rsidRPr="005F69E3">
              <w:rPr>
                <w:i/>
                <w:color w:val="538135" w:themeColor="accent6" w:themeShade="BF"/>
                <w:lang w:val="en-MY"/>
              </w:rPr>
              <w:t xml:space="preserve"> </w:t>
            </w:r>
            <w:proofErr w:type="spellStart"/>
            <w:r w:rsidR="005F69E3" w:rsidRPr="005F69E3">
              <w:rPr>
                <w:i/>
                <w:color w:val="538135" w:themeColor="accent6" w:themeShade="BF"/>
                <w:lang w:val="en-MY"/>
              </w:rPr>
              <w:t>Desa</w:t>
            </w:r>
            <w:proofErr w:type="spellEnd"/>
            <w:r w:rsidR="005F69E3">
              <w:rPr>
                <w:iCs/>
                <w:color w:val="538135" w:themeColor="accent6" w:themeShade="BF"/>
                <w:lang w:val="en-MY"/>
              </w:rPr>
              <w:t xml:space="preserve">) </w:t>
            </w:r>
            <w:proofErr w:type="spellStart"/>
            <w:r w:rsidR="000E3DCC">
              <w:rPr>
                <w:iCs/>
                <w:color w:val="538135" w:themeColor="accent6" w:themeShade="BF"/>
                <w:lang w:val="en-MY"/>
              </w:rPr>
              <w:t>Telaga</w:t>
            </w:r>
            <w:proofErr w:type="spellEnd"/>
            <w:r w:rsidR="000E3DCC">
              <w:rPr>
                <w:iCs/>
                <w:color w:val="538135" w:themeColor="accent6" w:themeShade="BF"/>
                <w:lang w:val="en-MY"/>
              </w:rPr>
              <w:t xml:space="preserve"> that holds permit from the Government under the </w:t>
            </w:r>
            <w:r w:rsidR="000E3DCC" w:rsidRPr="000E3DCC">
              <w:rPr>
                <w:iCs/>
                <w:color w:val="538135" w:themeColor="accent6" w:themeShade="BF"/>
                <w:lang w:val="en-MY"/>
              </w:rPr>
              <w:t>SK.1228/MENLHKPSKL/PKPS/PSL.0/3/2018</w:t>
            </w:r>
            <w:r w:rsidR="009502FB">
              <w:rPr>
                <w:iCs/>
                <w:color w:val="538135" w:themeColor="accent6" w:themeShade="BF"/>
                <w:lang w:val="en-MY"/>
              </w:rPr>
              <w:t xml:space="preserve"> with a total size of 2,758 ha</w:t>
            </w:r>
            <w:r w:rsidR="000E3DCC">
              <w:rPr>
                <w:iCs/>
                <w:color w:val="538135" w:themeColor="accent6" w:themeShade="BF"/>
                <w:lang w:val="en-MY"/>
              </w:rPr>
              <w:t xml:space="preserve">. </w:t>
            </w:r>
            <w:r w:rsidR="005F69E3">
              <w:rPr>
                <w:iCs/>
                <w:color w:val="538135" w:themeColor="accent6" w:themeShade="BF"/>
                <w:lang w:val="en-MY"/>
              </w:rPr>
              <w:t xml:space="preserve">HD </w:t>
            </w:r>
            <w:proofErr w:type="spellStart"/>
            <w:r w:rsidR="005F69E3">
              <w:rPr>
                <w:iCs/>
                <w:color w:val="538135" w:themeColor="accent6" w:themeShade="BF"/>
                <w:lang w:val="en-MY"/>
              </w:rPr>
              <w:t>Telaga</w:t>
            </w:r>
            <w:proofErr w:type="spellEnd"/>
            <w:r w:rsidR="005F69E3">
              <w:rPr>
                <w:iCs/>
                <w:color w:val="538135" w:themeColor="accent6" w:themeShade="BF"/>
                <w:lang w:val="en-MY"/>
              </w:rPr>
              <w:t xml:space="preserve"> located on </w:t>
            </w:r>
            <w:proofErr w:type="spellStart"/>
            <w:r w:rsidR="005F69E3">
              <w:rPr>
                <w:iCs/>
                <w:color w:val="538135" w:themeColor="accent6" w:themeShade="BF"/>
                <w:lang w:val="en-MY"/>
              </w:rPr>
              <w:t>Telaga</w:t>
            </w:r>
            <w:proofErr w:type="spellEnd"/>
            <w:r w:rsidR="005F69E3">
              <w:rPr>
                <w:iCs/>
                <w:color w:val="538135" w:themeColor="accent6" w:themeShade="BF"/>
                <w:lang w:val="en-MY"/>
              </w:rPr>
              <w:t xml:space="preserve"> Village, </w:t>
            </w:r>
            <w:proofErr w:type="spellStart"/>
            <w:r w:rsidR="005F69E3">
              <w:rPr>
                <w:iCs/>
                <w:color w:val="538135" w:themeColor="accent6" w:themeShade="BF"/>
                <w:lang w:val="en-MY"/>
              </w:rPr>
              <w:t>Kamipang</w:t>
            </w:r>
            <w:proofErr w:type="spellEnd"/>
            <w:r w:rsidR="005F69E3">
              <w:rPr>
                <w:iCs/>
                <w:color w:val="538135" w:themeColor="accent6" w:themeShade="BF"/>
                <w:lang w:val="en-MY"/>
              </w:rPr>
              <w:t xml:space="preserve"> Sub-district, </w:t>
            </w:r>
            <w:proofErr w:type="spellStart"/>
            <w:r w:rsidR="005F69E3">
              <w:rPr>
                <w:iCs/>
                <w:color w:val="538135" w:themeColor="accent6" w:themeShade="BF"/>
                <w:lang w:val="en-MY"/>
              </w:rPr>
              <w:t>Katingan</w:t>
            </w:r>
            <w:proofErr w:type="spellEnd"/>
            <w:r w:rsidR="005F69E3">
              <w:rPr>
                <w:iCs/>
                <w:color w:val="538135" w:themeColor="accent6" w:themeShade="BF"/>
                <w:lang w:val="en-MY"/>
              </w:rPr>
              <w:t xml:space="preserve"> District, </w:t>
            </w:r>
            <w:proofErr w:type="gramStart"/>
            <w:r w:rsidR="005F69E3">
              <w:rPr>
                <w:iCs/>
                <w:color w:val="538135" w:themeColor="accent6" w:themeShade="BF"/>
                <w:lang w:val="en-MY"/>
              </w:rPr>
              <w:t>Central</w:t>
            </w:r>
            <w:proofErr w:type="gramEnd"/>
            <w:r w:rsidR="005F69E3">
              <w:rPr>
                <w:iCs/>
                <w:color w:val="538135" w:themeColor="accent6" w:themeShade="BF"/>
                <w:lang w:val="en-MY"/>
              </w:rPr>
              <w:t xml:space="preserve"> Kalimantan Province.</w:t>
            </w:r>
            <w:r w:rsidR="009C636F">
              <w:rPr>
                <w:iCs/>
                <w:color w:val="538135" w:themeColor="accent6" w:themeShade="BF"/>
                <w:lang w:val="en-MY"/>
              </w:rPr>
              <w:t xml:space="preserve"> </w:t>
            </w:r>
            <w:r w:rsidR="00347F26">
              <w:rPr>
                <w:iCs/>
                <w:color w:val="538135" w:themeColor="accent6" w:themeShade="BF"/>
                <w:lang w:val="en-MY"/>
              </w:rPr>
              <w:t xml:space="preserve">The forest cover is </w:t>
            </w:r>
            <w:r w:rsidR="003C5529">
              <w:rPr>
                <w:iCs/>
                <w:color w:val="538135" w:themeColor="accent6" w:themeShade="BF"/>
                <w:lang w:val="en-MY"/>
              </w:rPr>
              <w:t xml:space="preserve">secondary </w:t>
            </w:r>
            <w:r w:rsidR="00347F26">
              <w:rPr>
                <w:iCs/>
                <w:color w:val="538135" w:themeColor="accent6" w:themeShade="BF"/>
                <w:lang w:val="en-MY"/>
              </w:rPr>
              <w:t xml:space="preserve">peat swamp forest with an average of 7m peat depth with a mix of heath forest on the </w:t>
            </w:r>
            <w:r w:rsidR="00820F87">
              <w:rPr>
                <w:iCs/>
                <w:color w:val="538135" w:themeColor="accent6" w:themeShade="BF"/>
                <w:lang w:val="en-MY"/>
              </w:rPr>
              <w:t xml:space="preserve">edge of the peat land. </w:t>
            </w:r>
            <w:r w:rsidR="0036150D">
              <w:rPr>
                <w:iCs/>
                <w:color w:val="538135" w:themeColor="accent6" w:themeShade="BF"/>
                <w:lang w:val="en-MY"/>
              </w:rPr>
              <w:t xml:space="preserve">The project will contribute to the protection of </w:t>
            </w:r>
            <w:r w:rsidR="009502FB">
              <w:rPr>
                <w:iCs/>
                <w:color w:val="538135" w:themeColor="accent6" w:themeShade="BF"/>
                <w:lang w:val="en-MY"/>
              </w:rPr>
              <w:t>2</w:t>
            </w:r>
            <w:r w:rsidR="0036150D">
              <w:rPr>
                <w:iCs/>
                <w:color w:val="538135" w:themeColor="accent6" w:themeShade="BF"/>
                <w:lang w:val="en-MY"/>
              </w:rPr>
              <w:t>,</w:t>
            </w:r>
            <w:r w:rsidR="009502FB">
              <w:rPr>
                <w:iCs/>
                <w:color w:val="538135" w:themeColor="accent6" w:themeShade="BF"/>
                <w:lang w:val="en-MY"/>
              </w:rPr>
              <w:t>195</w:t>
            </w:r>
            <w:r w:rsidR="0036150D">
              <w:rPr>
                <w:iCs/>
                <w:color w:val="538135" w:themeColor="accent6" w:themeShade="BF"/>
                <w:lang w:val="en-MY"/>
              </w:rPr>
              <w:t xml:space="preserve"> ha of peat swamp forest, and rehabilitation of 563 ha degraded areas in </w:t>
            </w:r>
            <w:proofErr w:type="spellStart"/>
            <w:r w:rsidR="0036150D">
              <w:rPr>
                <w:iCs/>
                <w:color w:val="538135" w:themeColor="accent6" w:themeShade="BF"/>
                <w:lang w:val="en-MY"/>
              </w:rPr>
              <w:t>Telaga</w:t>
            </w:r>
            <w:proofErr w:type="spellEnd"/>
            <w:r w:rsidR="0036150D">
              <w:rPr>
                <w:iCs/>
                <w:color w:val="538135" w:themeColor="accent6" w:themeShade="BF"/>
                <w:lang w:val="en-MY"/>
              </w:rPr>
              <w:t xml:space="preserve"> Village Forest.</w:t>
            </w:r>
          </w:p>
          <w:p w14:paraId="47F371B7" w14:textId="646893C7" w:rsidR="00C31A11" w:rsidRPr="000C4AE9" w:rsidRDefault="00DD7207" w:rsidP="000C4AE9">
            <w:pPr>
              <w:rPr>
                <w:iCs/>
                <w:color w:val="538135" w:themeColor="accent6" w:themeShade="BF"/>
                <w:lang w:val="en-MY"/>
              </w:rPr>
            </w:pPr>
            <w:r>
              <w:rPr>
                <w:iCs/>
                <w:color w:val="538135" w:themeColor="accent6" w:themeShade="BF"/>
                <w:lang w:val="en-MY"/>
              </w:rPr>
              <w:t xml:space="preserve">To access HD </w:t>
            </w:r>
            <w:proofErr w:type="spellStart"/>
            <w:r>
              <w:rPr>
                <w:iCs/>
                <w:color w:val="538135" w:themeColor="accent6" w:themeShade="BF"/>
                <w:lang w:val="en-MY"/>
              </w:rPr>
              <w:t>Telaga</w:t>
            </w:r>
            <w:proofErr w:type="spellEnd"/>
            <w:r>
              <w:rPr>
                <w:iCs/>
                <w:color w:val="538135" w:themeColor="accent6" w:themeShade="BF"/>
                <w:lang w:val="en-MY"/>
              </w:rPr>
              <w:t xml:space="preserve">, </w:t>
            </w:r>
            <w:proofErr w:type="gramStart"/>
            <w:r>
              <w:rPr>
                <w:iCs/>
                <w:color w:val="538135" w:themeColor="accent6" w:themeShade="BF"/>
                <w:lang w:val="en-MY"/>
              </w:rPr>
              <w:t>mix of transportation means are</w:t>
            </w:r>
            <w:proofErr w:type="gramEnd"/>
            <w:r>
              <w:rPr>
                <w:iCs/>
                <w:color w:val="538135" w:themeColor="accent6" w:themeShade="BF"/>
                <w:lang w:val="en-MY"/>
              </w:rPr>
              <w:t xml:space="preserve"> used. It takes 1.5 hours’ drive from the District Capital to the Sub-district Capital, and another two hours using boat to get to the </w:t>
            </w:r>
            <w:proofErr w:type="spellStart"/>
            <w:r>
              <w:rPr>
                <w:iCs/>
                <w:color w:val="538135" w:themeColor="accent6" w:themeShade="BF"/>
                <w:lang w:val="en-MY"/>
              </w:rPr>
              <w:t>Telaga</w:t>
            </w:r>
            <w:proofErr w:type="spellEnd"/>
            <w:r>
              <w:rPr>
                <w:iCs/>
                <w:color w:val="538135" w:themeColor="accent6" w:themeShade="BF"/>
                <w:lang w:val="en-MY"/>
              </w:rPr>
              <w:t xml:space="preserve"> Village. From the village, it takes one hour to reach the nearest village forest border or two hours to reach the farthest village forest border.</w:t>
            </w:r>
          </w:p>
        </w:tc>
      </w:tr>
      <w:tr w:rsidR="00C31A11" w14:paraId="5F89430B" w14:textId="77777777" w:rsidTr="00F14D77">
        <w:tc>
          <w:tcPr>
            <w:tcW w:w="9016" w:type="dxa"/>
            <w:gridSpan w:val="2"/>
            <w:vAlign w:val="center"/>
          </w:tcPr>
          <w:p w14:paraId="7B0E1E31" w14:textId="77777777" w:rsidR="00C31A11" w:rsidRDefault="00C31A11" w:rsidP="00F14D77">
            <w:pPr>
              <w:rPr>
                <w:lang w:val="en-MY"/>
              </w:rPr>
            </w:pPr>
            <w:r>
              <w:rPr>
                <w:lang w:val="en-MY"/>
              </w:rPr>
              <w:lastRenderedPageBreak/>
              <w:t xml:space="preserve">Outline of proposed </w:t>
            </w:r>
            <w:r w:rsidRPr="00FD790D">
              <w:rPr>
                <w:b/>
                <w:lang w:val="en-MY"/>
              </w:rPr>
              <w:t>conservation</w:t>
            </w:r>
            <w:r>
              <w:rPr>
                <w:lang w:val="en-MY"/>
              </w:rPr>
              <w:t xml:space="preserve"> </w:t>
            </w:r>
            <w:r w:rsidRPr="00FD790D">
              <w:rPr>
                <w:b/>
                <w:lang w:val="en-MY"/>
              </w:rPr>
              <w:t>compensation</w:t>
            </w:r>
            <w:r>
              <w:rPr>
                <w:lang w:val="en-MY"/>
              </w:rPr>
              <w:t xml:space="preserve"> activities &amp; outcomes</w:t>
            </w:r>
          </w:p>
          <w:p w14:paraId="67A928A5" w14:textId="77777777" w:rsidR="00C31A11" w:rsidRDefault="00C31A11" w:rsidP="00F14D77">
            <w:pPr>
              <w:rPr>
                <w:lang w:val="en-MY"/>
              </w:rPr>
            </w:pPr>
            <w:r>
              <w:rPr>
                <w:lang w:val="en-MY"/>
              </w:rPr>
              <w:t>[Maximum 200 words]</w:t>
            </w:r>
          </w:p>
        </w:tc>
      </w:tr>
      <w:tr w:rsidR="00C31A11" w:rsidRPr="006353E3" w14:paraId="4DF12F0C" w14:textId="77777777" w:rsidTr="00F14D77">
        <w:tc>
          <w:tcPr>
            <w:tcW w:w="9016" w:type="dxa"/>
            <w:gridSpan w:val="2"/>
            <w:vAlign w:val="center"/>
          </w:tcPr>
          <w:p w14:paraId="58C1CA0F" w14:textId="7A91C71C" w:rsidR="001F7531" w:rsidRDefault="00E94762" w:rsidP="00E94762">
            <w:pPr>
              <w:rPr>
                <w:iCs/>
                <w:color w:val="538135" w:themeColor="accent6" w:themeShade="BF"/>
                <w:lang w:val="en-US"/>
              </w:rPr>
            </w:pPr>
            <w:r w:rsidRPr="00E94762">
              <w:rPr>
                <w:iCs/>
                <w:color w:val="538135" w:themeColor="accent6" w:themeShade="BF"/>
                <w:lang w:val="en-US"/>
              </w:rPr>
              <w:t xml:space="preserve">The goal for the compensation actions is </w:t>
            </w:r>
            <w:r w:rsidR="00ED110C">
              <w:rPr>
                <w:iCs/>
                <w:color w:val="538135" w:themeColor="accent6" w:themeShade="BF"/>
                <w:lang w:val="en-US"/>
              </w:rPr>
              <w:t>to contribute in the d</w:t>
            </w:r>
            <w:r w:rsidR="009502FB">
              <w:rPr>
                <w:iCs/>
                <w:color w:val="538135" w:themeColor="accent6" w:themeShade="BF"/>
                <w:lang w:val="en-US"/>
              </w:rPr>
              <w:t>evelop</w:t>
            </w:r>
            <w:r w:rsidR="00ED110C">
              <w:rPr>
                <w:iCs/>
                <w:color w:val="538135" w:themeColor="accent6" w:themeShade="BF"/>
                <w:lang w:val="en-US"/>
              </w:rPr>
              <w:t>ment of</w:t>
            </w:r>
            <w:r w:rsidR="009502FB">
              <w:rPr>
                <w:iCs/>
                <w:color w:val="538135" w:themeColor="accent6" w:themeShade="BF"/>
                <w:lang w:val="en-US"/>
              </w:rPr>
              <w:t xml:space="preserve"> an effective conservation and livelihood improvement </w:t>
            </w:r>
            <w:r w:rsidR="00151E65">
              <w:rPr>
                <w:iCs/>
                <w:color w:val="538135" w:themeColor="accent6" w:themeShade="BF"/>
                <w:lang w:val="en-US"/>
              </w:rPr>
              <w:t xml:space="preserve">in HD </w:t>
            </w:r>
            <w:proofErr w:type="spellStart"/>
            <w:r w:rsidR="00151E65">
              <w:rPr>
                <w:iCs/>
                <w:color w:val="538135" w:themeColor="accent6" w:themeShade="BF"/>
                <w:lang w:val="en-US"/>
              </w:rPr>
              <w:t>Telaga</w:t>
            </w:r>
            <w:proofErr w:type="spellEnd"/>
            <w:r w:rsidR="00151E65">
              <w:rPr>
                <w:iCs/>
                <w:color w:val="538135" w:themeColor="accent6" w:themeShade="BF"/>
                <w:lang w:val="en-US"/>
              </w:rPr>
              <w:t xml:space="preserve">, Central Kalimantan. </w:t>
            </w:r>
            <w:r w:rsidRPr="00E94762">
              <w:rPr>
                <w:iCs/>
                <w:color w:val="538135" w:themeColor="accent6" w:themeShade="BF"/>
                <w:lang w:val="en-US"/>
              </w:rPr>
              <w:t xml:space="preserve">Two objectives are </w:t>
            </w:r>
            <w:r w:rsidR="001110E3">
              <w:rPr>
                <w:iCs/>
                <w:color w:val="538135" w:themeColor="accent6" w:themeShade="BF"/>
                <w:lang w:val="en-US"/>
              </w:rPr>
              <w:t xml:space="preserve">targeted </w:t>
            </w:r>
            <w:r w:rsidRPr="00E94762">
              <w:rPr>
                <w:iCs/>
                <w:color w:val="538135" w:themeColor="accent6" w:themeShade="BF"/>
                <w:lang w:val="en-US"/>
              </w:rPr>
              <w:t xml:space="preserve">in achieving the goal: (1) The protection of high conservation </w:t>
            </w:r>
            <w:r w:rsidR="001110E3">
              <w:rPr>
                <w:iCs/>
                <w:color w:val="538135" w:themeColor="accent6" w:themeShade="BF"/>
                <w:lang w:val="en-US"/>
              </w:rPr>
              <w:t xml:space="preserve">and carbon dense areas </w:t>
            </w:r>
            <w:r w:rsidRPr="00E94762">
              <w:rPr>
                <w:iCs/>
                <w:color w:val="538135" w:themeColor="accent6" w:themeShade="BF"/>
                <w:lang w:val="en-US"/>
              </w:rPr>
              <w:t xml:space="preserve">through sustainable community-based forest management in </w:t>
            </w:r>
            <w:proofErr w:type="spellStart"/>
            <w:r>
              <w:rPr>
                <w:iCs/>
                <w:color w:val="538135" w:themeColor="accent6" w:themeShade="BF"/>
                <w:lang w:val="en-US"/>
              </w:rPr>
              <w:t>Telaga</w:t>
            </w:r>
            <w:proofErr w:type="spellEnd"/>
            <w:r>
              <w:rPr>
                <w:iCs/>
                <w:color w:val="538135" w:themeColor="accent6" w:themeShade="BF"/>
                <w:lang w:val="en-US"/>
              </w:rPr>
              <w:t xml:space="preserve"> </w:t>
            </w:r>
            <w:r w:rsidRPr="00E94762">
              <w:rPr>
                <w:iCs/>
                <w:color w:val="538135" w:themeColor="accent6" w:themeShade="BF"/>
                <w:lang w:val="en-US"/>
              </w:rPr>
              <w:t xml:space="preserve">Village Forest, and (2) The </w:t>
            </w:r>
            <w:r w:rsidR="001110E3">
              <w:rPr>
                <w:iCs/>
                <w:color w:val="538135" w:themeColor="accent6" w:themeShade="BF"/>
                <w:lang w:val="en-US"/>
              </w:rPr>
              <w:t>i</w:t>
            </w:r>
            <w:r w:rsidR="001110E3" w:rsidRPr="001110E3">
              <w:rPr>
                <w:iCs/>
                <w:color w:val="538135" w:themeColor="accent6" w:themeShade="BF"/>
                <w:lang w:val="en-US"/>
              </w:rPr>
              <w:t xml:space="preserve">mprovement of community livelihoods through sustainable agriculture and NTFP in </w:t>
            </w:r>
            <w:proofErr w:type="spellStart"/>
            <w:r w:rsidR="001110E3" w:rsidRPr="001110E3">
              <w:rPr>
                <w:iCs/>
                <w:color w:val="538135" w:themeColor="accent6" w:themeShade="BF"/>
                <w:lang w:val="en-US"/>
              </w:rPr>
              <w:t>Telaga</w:t>
            </w:r>
            <w:proofErr w:type="spellEnd"/>
            <w:r w:rsidR="001110E3" w:rsidRPr="001110E3">
              <w:rPr>
                <w:iCs/>
                <w:color w:val="538135" w:themeColor="accent6" w:themeShade="BF"/>
                <w:lang w:val="en-US"/>
              </w:rPr>
              <w:t xml:space="preserve"> Village Forest</w:t>
            </w:r>
            <w:r w:rsidR="00BA5F10">
              <w:rPr>
                <w:iCs/>
                <w:color w:val="538135" w:themeColor="accent6" w:themeShade="BF"/>
                <w:lang w:val="en-US"/>
              </w:rPr>
              <w:t xml:space="preserve">. </w:t>
            </w:r>
            <w:r w:rsidR="001F7531">
              <w:rPr>
                <w:iCs/>
                <w:color w:val="538135" w:themeColor="accent6" w:themeShade="BF"/>
                <w:lang w:val="en-US"/>
              </w:rPr>
              <w:t>Th</w:t>
            </w:r>
            <w:r w:rsidR="00172A5F">
              <w:rPr>
                <w:iCs/>
                <w:color w:val="538135" w:themeColor="accent6" w:themeShade="BF"/>
                <w:lang w:val="en-US"/>
              </w:rPr>
              <w:t>is project is not a stand</w:t>
            </w:r>
            <w:r w:rsidR="002A63A7">
              <w:rPr>
                <w:iCs/>
                <w:color w:val="538135" w:themeColor="accent6" w:themeShade="BF"/>
                <w:lang w:val="en-US"/>
              </w:rPr>
              <w:t>-</w:t>
            </w:r>
            <w:r w:rsidR="00172A5F">
              <w:rPr>
                <w:iCs/>
                <w:color w:val="538135" w:themeColor="accent6" w:themeShade="BF"/>
                <w:lang w:val="en-US"/>
              </w:rPr>
              <w:t>alone compensation project, but a joint project where the compensation from PT MSM &amp; PT KKP adds a significant value to the achievement of conservation goal in the area.</w:t>
            </w:r>
          </w:p>
          <w:p w14:paraId="171E5571" w14:textId="5CAB757C" w:rsidR="00F672D2" w:rsidRDefault="00E94762" w:rsidP="00F672D2">
            <w:pPr>
              <w:rPr>
                <w:iCs/>
                <w:color w:val="538135" w:themeColor="accent6" w:themeShade="BF"/>
                <w:lang w:val="en-US"/>
              </w:rPr>
            </w:pPr>
            <w:r w:rsidRPr="00E94762">
              <w:rPr>
                <w:iCs/>
                <w:color w:val="538135" w:themeColor="accent6" w:themeShade="BF"/>
                <w:lang w:val="en-US"/>
              </w:rPr>
              <w:t>The scope of compensation plan is collectively for the total conservation liabilities.</w:t>
            </w:r>
            <w:r w:rsidR="002B3931">
              <w:rPr>
                <w:iCs/>
                <w:color w:val="538135" w:themeColor="accent6" w:themeShade="BF"/>
                <w:lang w:val="en-US"/>
              </w:rPr>
              <w:t xml:space="preserve"> </w:t>
            </w:r>
            <w:r w:rsidR="00F672D2">
              <w:rPr>
                <w:iCs/>
                <w:color w:val="538135" w:themeColor="accent6" w:themeShade="BF"/>
                <w:lang w:val="en-US"/>
              </w:rPr>
              <w:t>Th</w:t>
            </w:r>
            <w:r w:rsidR="006E7B05">
              <w:rPr>
                <w:iCs/>
                <w:color w:val="538135" w:themeColor="accent6" w:themeShade="BF"/>
                <w:lang w:val="en-US"/>
              </w:rPr>
              <w:t xml:space="preserve">e compensation will contribute to the protection of </w:t>
            </w:r>
            <w:r w:rsidR="00F672D2">
              <w:rPr>
                <w:iCs/>
                <w:color w:val="538135" w:themeColor="accent6" w:themeShade="BF"/>
                <w:lang w:val="en-US"/>
              </w:rPr>
              <w:t>2,758 ha of deep-peat forest</w:t>
            </w:r>
            <w:r w:rsidR="006E7B05">
              <w:rPr>
                <w:iCs/>
                <w:color w:val="538135" w:themeColor="accent6" w:themeShade="BF"/>
                <w:lang w:val="en-US"/>
              </w:rPr>
              <w:t>, rehabilitation of 5</w:t>
            </w:r>
            <w:proofErr w:type="gramStart"/>
            <w:r w:rsidR="006E7B05">
              <w:rPr>
                <w:iCs/>
                <w:color w:val="538135" w:themeColor="accent6" w:themeShade="BF"/>
                <w:lang w:val="en-US"/>
              </w:rPr>
              <w:t>,63</w:t>
            </w:r>
            <w:proofErr w:type="gramEnd"/>
            <w:r w:rsidR="006E7B05">
              <w:rPr>
                <w:iCs/>
                <w:color w:val="538135" w:themeColor="accent6" w:themeShade="BF"/>
                <w:lang w:val="en-US"/>
              </w:rPr>
              <w:t xml:space="preserve"> ha areas, </w:t>
            </w:r>
            <w:r w:rsidR="00052285">
              <w:rPr>
                <w:iCs/>
                <w:color w:val="538135" w:themeColor="accent6" w:themeShade="BF"/>
                <w:lang w:val="en-US"/>
              </w:rPr>
              <w:t xml:space="preserve">livelihood improvement </w:t>
            </w:r>
            <w:r w:rsidR="00D60AFA">
              <w:rPr>
                <w:iCs/>
                <w:color w:val="538135" w:themeColor="accent6" w:themeShade="BF"/>
                <w:lang w:val="en-US"/>
              </w:rPr>
              <w:t xml:space="preserve">of </w:t>
            </w:r>
            <w:r w:rsidR="00114ABF">
              <w:rPr>
                <w:iCs/>
                <w:color w:val="538135" w:themeColor="accent6" w:themeShade="BF"/>
                <w:lang w:val="en-US"/>
              </w:rPr>
              <w:t xml:space="preserve">229 community </w:t>
            </w:r>
            <w:r w:rsidR="00052285">
              <w:rPr>
                <w:iCs/>
                <w:color w:val="538135" w:themeColor="accent6" w:themeShade="BF"/>
                <w:lang w:val="en-US"/>
              </w:rPr>
              <w:t>(</w:t>
            </w:r>
            <w:r w:rsidR="00114ABF">
              <w:rPr>
                <w:iCs/>
                <w:color w:val="538135" w:themeColor="accent6" w:themeShade="BF"/>
                <w:lang w:val="en-US"/>
              </w:rPr>
              <w:t>68 women</w:t>
            </w:r>
            <w:r w:rsidR="00052285">
              <w:rPr>
                <w:iCs/>
                <w:color w:val="538135" w:themeColor="accent6" w:themeShade="BF"/>
                <w:lang w:val="en-US"/>
              </w:rPr>
              <w:t xml:space="preserve">) through sustainable agriculture and NTFP improvement, and institutional capacity development in fire prevention and forest patrol through SMART (Spatially Monitoring and Reporting Tools). </w:t>
            </w:r>
            <w:r w:rsidR="00306814">
              <w:rPr>
                <w:iCs/>
                <w:color w:val="538135" w:themeColor="accent6" w:themeShade="BF"/>
                <w:lang w:val="en-US"/>
              </w:rPr>
              <w:t xml:space="preserve">This is </w:t>
            </w:r>
            <w:r w:rsidR="00131403">
              <w:rPr>
                <w:iCs/>
                <w:color w:val="538135" w:themeColor="accent6" w:themeShade="BF"/>
                <w:lang w:val="en-US"/>
              </w:rPr>
              <w:t>aligned</w:t>
            </w:r>
            <w:r w:rsidR="00306814">
              <w:rPr>
                <w:iCs/>
                <w:color w:val="538135" w:themeColor="accent6" w:themeShade="BF"/>
                <w:lang w:val="en-US"/>
              </w:rPr>
              <w:t xml:space="preserve"> with the </w:t>
            </w:r>
            <w:r w:rsidR="00131403">
              <w:rPr>
                <w:iCs/>
                <w:color w:val="538135" w:themeColor="accent6" w:themeShade="BF"/>
                <w:lang w:val="en-US"/>
              </w:rPr>
              <w:t>HD management plan</w:t>
            </w:r>
            <w:r w:rsidR="005702D7">
              <w:rPr>
                <w:iCs/>
                <w:color w:val="538135" w:themeColor="accent6" w:themeShade="BF"/>
                <w:lang w:val="en-US"/>
              </w:rPr>
              <w:t xml:space="preserve"> but the activities </w:t>
            </w:r>
            <w:r w:rsidR="00F35BF7">
              <w:rPr>
                <w:iCs/>
                <w:color w:val="538135" w:themeColor="accent6" w:themeShade="BF"/>
                <w:lang w:val="en-US"/>
              </w:rPr>
              <w:t>have</w:t>
            </w:r>
            <w:r w:rsidR="005702D7">
              <w:rPr>
                <w:iCs/>
                <w:color w:val="538135" w:themeColor="accent6" w:themeShade="BF"/>
                <w:lang w:val="en-US"/>
              </w:rPr>
              <w:t xml:space="preserve"> not secured funding support. </w:t>
            </w:r>
          </w:p>
          <w:p w14:paraId="4327DD74" w14:textId="7719A072" w:rsidR="00E027D8" w:rsidRDefault="005A5B08" w:rsidP="00F672D2">
            <w:pPr>
              <w:rPr>
                <w:iCs/>
                <w:color w:val="538135" w:themeColor="accent6" w:themeShade="BF"/>
                <w:lang w:val="en-US"/>
              </w:rPr>
            </w:pPr>
            <w:r>
              <w:rPr>
                <w:iCs/>
                <w:color w:val="538135" w:themeColor="accent6" w:themeShade="BF"/>
                <w:lang w:val="en-US"/>
              </w:rPr>
              <w:t xml:space="preserve">The management unit </w:t>
            </w:r>
            <w:r w:rsidR="00353218">
              <w:rPr>
                <w:iCs/>
                <w:color w:val="538135" w:themeColor="accent6" w:themeShade="BF"/>
                <w:lang w:val="en-US"/>
              </w:rPr>
              <w:t xml:space="preserve">bears the responsibilities </w:t>
            </w:r>
            <w:r w:rsidR="00B22B8C">
              <w:rPr>
                <w:iCs/>
                <w:color w:val="538135" w:themeColor="accent6" w:themeShade="BF"/>
                <w:lang w:val="en-US"/>
              </w:rPr>
              <w:t xml:space="preserve">in the project implementation. The management unit will provide ongoing support </w:t>
            </w:r>
            <w:r w:rsidR="00FD2E61">
              <w:rPr>
                <w:iCs/>
                <w:color w:val="538135" w:themeColor="accent6" w:themeShade="BF"/>
                <w:lang w:val="en-US"/>
              </w:rPr>
              <w:t xml:space="preserve">for LPHD </w:t>
            </w:r>
            <w:r w:rsidR="00B22B8C">
              <w:rPr>
                <w:iCs/>
                <w:color w:val="538135" w:themeColor="accent6" w:themeShade="BF"/>
                <w:lang w:val="en-US"/>
              </w:rPr>
              <w:t xml:space="preserve">in capacity development, project management, and </w:t>
            </w:r>
            <w:r w:rsidR="00B22B8C">
              <w:rPr>
                <w:iCs/>
                <w:color w:val="538135" w:themeColor="accent6" w:themeShade="BF"/>
                <w:lang w:val="en-US"/>
              </w:rPr>
              <w:lastRenderedPageBreak/>
              <w:t xml:space="preserve">monitoring </w:t>
            </w:r>
            <w:r w:rsidR="00FD2E61">
              <w:rPr>
                <w:iCs/>
                <w:color w:val="538135" w:themeColor="accent6" w:themeShade="BF"/>
                <w:lang w:val="en-US"/>
              </w:rPr>
              <w:t xml:space="preserve">&amp; evaluating the project during the project period. </w:t>
            </w:r>
          </w:p>
          <w:p w14:paraId="0FDDE043" w14:textId="6CA2DC70" w:rsidR="00063BD0" w:rsidRPr="00223E4A" w:rsidRDefault="00A32451" w:rsidP="00223E4A">
            <w:pPr>
              <w:rPr>
                <w:iCs/>
                <w:color w:val="538135" w:themeColor="accent6" w:themeShade="BF"/>
                <w:lang w:val="en-US"/>
              </w:rPr>
            </w:pPr>
            <w:r>
              <w:rPr>
                <w:iCs/>
                <w:color w:val="538135" w:themeColor="accent6" w:themeShade="BF"/>
                <w:lang w:val="en-US"/>
              </w:rPr>
              <w:t>The compensati</w:t>
            </w:r>
            <w:r w:rsidR="004E253A">
              <w:rPr>
                <w:iCs/>
                <w:color w:val="538135" w:themeColor="accent6" w:themeShade="BF"/>
                <w:lang w:val="en-US"/>
              </w:rPr>
              <w:t>on</w:t>
            </w:r>
            <w:r>
              <w:rPr>
                <w:iCs/>
                <w:color w:val="538135" w:themeColor="accent6" w:themeShade="BF"/>
                <w:lang w:val="en-US"/>
              </w:rPr>
              <w:t xml:space="preserve"> fund will be used to fund training</w:t>
            </w:r>
            <w:r w:rsidR="00BE2746">
              <w:rPr>
                <w:iCs/>
                <w:color w:val="538135" w:themeColor="accent6" w:themeShade="BF"/>
                <w:lang w:val="en-US"/>
              </w:rPr>
              <w:t>s</w:t>
            </w:r>
            <w:r>
              <w:rPr>
                <w:iCs/>
                <w:color w:val="538135" w:themeColor="accent6" w:themeShade="BF"/>
                <w:lang w:val="en-US"/>
              </w:rPr>
              <w:t xml:space="preserve"> on community patrol,</w:t>
            </w:r>
            <w:r w:rsidR="00DE52E7">
              <w:rPr>
                <w:iCs/>
                <w:color w:val="538135" w:themeColor="accent6" w:themeShade="BF"/>
                <w:lang w:val="en-US"/>
              </w:rPr>
              <w:t xml:space="preserve"> trainings on fire prevention and SMART patrol, monitoring patrols, </w:t>
            </w:r>
            <w:r>
              <w:rPr>
                <w:iCs/>
                <w:color w:val="538135" w:themeColor="accent6" w:themeShade="BF"/>
                <w:lang w:val="en-US"/>
              </w:rPr>
              <w:t>rehabilitation activities</w:t>
            </w:r>
            <w:r w:rsidR="00F37FAC">
              <w:rPr>
                <w:iCs/>
                <w:color w:val="538135" w:themeColor="accent6" w:themeShade="BF"/>
                <w:lang w:val="en-US"/>
              </w:rPr>
              <w:t>,</w:t>
            </w:r>
            <w:r w:rsidR="00DE52E7">
              <w:rPr>
                <w:iCs/>
                <w:color w:val="538135" w:themeColor="accent6" w:themeShade="BF"/>
                <w:lang w:val="en-US"/>
              </w:rPr>
              <w:t xml:space="preserve"> and training</w:t>
            </w:r>
            <w:r w:rsidR="00587E0F">
              <w:rPr>
                <w:iCs/>
                <w:color w:val="538135" w:themeColor="accent6" w:themeShade="BF"/>
                <w:lang w:val="en-US"/>
              </w:rPr>
              <w:t xml:space="preserve">s </w:t>
            </w:r>
            <w:r w:rsidR="00F15128">
              <w:rPr>
                <w:iCs/>
                <w:color w:val="538135" w:themeColor="accent6" w:themeShade="BF"/>
                <w:lang w:val="en-US"/>
              </w:rPr>
              <w:t>on sustainable agriculture and NTFP improvement</w:t>
            </w:r>
            <w:r w:rsidR="00D848CC">
              <w:rPr>
                <w:iCs/>
                <w:color w:val="538135" w:themeColor="accent6" w:themeShade="BF"/>
                <w:lang w:val="en-US"/>
              </w:rPr>
              <w:t xml:space="preserve"> (</w:t>
            </w:r>
            <w:r w:rsidR="00E37D5E">
              <w:rPr>
                <w:iCs/>
                <w:color w:val="538135" w:themeColor="accent6" w:themeShade="BF"/>
                <w:lang w:val="en-US"/>
              </w:rPr>
              <w:t>i.e. honey).</w:t>
            </w:r>
          </w:p>
        </w:tc>
      </w:tr>
      <w:tr w:rsidR="00C31A11" w14:paraId="725A65D2" w14:textId="77777777" w:rsidTr="00F14D77">
        <w:tc>
          <w:tcPr>
            <w:tcW w:w="9016" w:type="dxa"/>
            <w:gridSpan w:val="2"/>
            <w:vAlign w:val="center"/>
          </w:tcPr>
          <w:p w14:paraId="38A6CEDA" w14:textId="77777777" w:rsidR="00C31A11" w:rsidRDefault="00C31A11" w:rsidP="00F14D77">
            <w:pPr>
              <w:rPr>
                <w:lang w:val="en-MY"/>
              </w:rPr>
            </w:pPr>
            <w:r>
              <w:rPr>
                <w:lang w:val="en-MY"/>
              </w:rPr>
              <w:lastRenderedPageBreak/>
              <w:t>How do the compensation outcomes address the following key criteria:</w:t>
            </w:r>
          </w:p>
        </w:tc>
      </w:tr>
      <w:tr w:rsidR="00C31A11" w14:paraId="744E3C58" w14:textId="77777777" w:rsidTr="00F14D77">
        <w:tc>
          <w:tcPr>
            <w:tcW w:w="9016" w:type="dxa"/>
            <w:gridSpan w:val="2"/>
            <w:vAlign w:val="center"/>
          </w:tcPr>
          <w:p w14:paraId="11012752" w14:textId="77777777" w:rsidR="00C31A11" w:rsidRPr="007B313B" w:rsidRDefault="00C31A11" w:rsidP="00F14D77">
            <w:pPr>
              <w:pStyle w:val="ListParagraph"/>
              <w:numPr>
                <w:ilvl w:val="0"/>
                <w:numId w:val="26"/>
              </w:numPr>
              <w:rPr>
                <w:lang w:val="en-MY"/>
              </w:rPr>
            </w:pPr>
            <w:r w:rsidRPr="007B313B">
              <w:rPr>
                <w:lang w:val="en-MY"/>
              </w:rPr>
              <w:t>Additionally</w:t>
            </w:r>
            <w:r>
              <w:rPr>
                <w:lang w:val="en-MY"/>
              </w:rPr>
              <w:t xml:space="preserve"> [Max 100 words]</w:t>
            </w:r>
          </w:p>
        </w:tc>
      </w:tr>
      <w:tr w:rsidR="00C31A11" w:rsidRPr="006353E3" w14:paraId="2B5F391D" w14:textId="77777777" w:rsidTr="00F14D77">
        <w:tc>
          <w:tcPr>
            <w:tcW w:w="9016" w:type="dxa"/>
            <w:gridSpan w:val="2"/>
            <w:vAlign w:val="center"/>
          </w:tcPr>
          <w:p w14:paraId="786DE7B6" w14:textId="6ADA6E2D" w:rsidR="005567B8" w:rsidRPr="00B8781D" w:rsidRDefault="00C816ED" w:rsidP="004B3E30">
            <w:pPr>
              <w:rPr>
                <w:iCs/>
                <w:color w:val="538135" w:themeColor="accent6" w:themeShade="BF"/>
                <w:lang w:val="en-US"/>
              </w:rPr>
            </w:pPr>
            <w:r>
              <w:rPr>
                <w:iCs/>
                <w:color w:val="538135" w:themeColor="accent6" w:themeShade="BF"/>
                <w:lang w:val="en-US"/>
              </w:rPr>
              <w:t xml:space="preserve">HD </w:t>
            </w:r>
            <w:proofErr w:type="spellStart"/>
            <w:r>
              <w:rPr>
                <w:iCs/>
                <w:color w:val="538135" w:themeColor="accent6" w:themeShade="BF"/>
                <w:lang w:val="en-US"/>
              </w:rPr>
              <w:t>Telaga</w:t>
            </w:r>
            <w:proofErr w:type="spellEnd"/>
            <w:r>
              <w:rPr>
                <w:iCs/>
                <w:color w:val="538135" w:themeColor="accent6" w:themeShade="BF"/>
                <w:lang w:val="en-US"/>
              </w:rPr>
              <w:t xml:space="preserve"> is </w:t>
            </w:r>
            <w:r w:rsidR="000F6ECC">
              <w:rPr>
                <w:iCs/>
                <w:color w:val="538135" w:themeColor="accent6" w:themeShade="BF"/>
                <w:lang w:val="en-US"/>
              </w:rPr>
              <w:t xml:space="preserve">a </w:t>
            </w:r>
            <w:r>
              <w:rPr>
                <w:iCs/>
                <w:color w:val="538135" w:themeColor="accent6" w:themeShade="BF"/>
                <w:lang w:val="en-US"/>
              </w:rPr>
              <w:t>peat swamp forest within palm oil plantations landscape</w:t>
            </w:r>
            <w:r w:rsidR="00A214BD">
              <w:rPr>
                <w:iCs/>
                <w:color w:val="538135" w:themeColor="accent6" w:themeShade="BF"/>
                <w:lang w:val="en-US"/>
              </w:rPr>
              <w:t xml:space="preserve">, and continuous </w:t>
            </w:r>
            <w:r>
              <w:rPr>
                <w:iCs/>
                <w:color w:val="538135" w:themeColor="accent6" w:themeShade="BF"/>
                <w:lang w:val="en-US"/>
              </w:rPr>
              <w:t xml:space="preserve">conservation effort in such fragile </w:t>
            </w:r>
            <w:r w:rsidR="00A214BD">
              <w:rPr>
                <w:iCs/>
                <w:color w:val="538135" w:themeColor="accent6" w:themeShade="BF"/>
                <w:lang w:val="en-US"/>
              </w:rPr>
              <w:t xml:space="preserve">ecosystem </w:t>
            </w:r>
            <w:r>
              <w:rPr>
                <w:iCs/>
                <w:color w:val="538135" w:themeColor="accent6" w:themeShade="BF"/>
                <w:lang w:val="en-US"/>
              </w:rPr>
              <w:t xml:space="preserve">is vital. </w:t>
            </w:r>
            <w:r w:rsidR="004E48C8" w:rsidRPr="004E48C8">
              <w:rPr>
                <w:iCs/>
                <w:color w:val="538135" w:themeColor="accent6" w:themeShade="BF"/>
                <w:lang w:val="en-US"/>
              </w:rPr>
              <w:t xml:space="preserve">This project is additional </w:t>
            </w:r>
            <w:r w:rsidR="00D24281">
              <w:rPr>
                <w:iCs/>
                <w:color w:val="538135" w:themeColor="accent6" w:themeShade="BF"/>
                <w:lang w:val="en-US"/>
              </w:rPr>
              <w:t xml:space="preserve">due to the </w:t>
            </w:r>
            <w:r w:rsidR="004E48C8" w:rsidRPr="004E48C8">
              <w:rPr>
                <w:iCs/>
                <w:color w:val="538135" w:themeColor="accent6" w:themeShade="BF"/>
                <w:lang w:val="en-US"/>
              </w:rPr>
              <w:t>urgently needed funding for the</w:t>
            </w:r>
            <w:r w:rsidR="00D847E8">
              <w:rPr>
                <w:iCs/>
                <w:color w:val="538135" w:themeColor="accent6" w:themeShade="BF"/>
                <w:lang w:val="en-US"/>
              </w:rPr>
              <w:t xml:space="preserve"> </w:t>
            </w:r>
            <w:r w:rsidR="00DD1737">
              <w:rPr>
                <w:iCs/>
                <w:color w:val="538135" w:themeColor="accent6" w:themeShade="BF"/>
                <w:lang w:val="en-US"/>
              </w:rPr>
              <w:t xml:space="preserve">peat forest </w:t>
            </w:r>
            <w:r w:rsidR="004E48C8" w:rsidRPr="004E48C8">
              <w:rPr>
                <w:iCs/>
                <w:color w:val="538135" w:themeColor="accent6" w:themeShade="BF"/>
                <w:lang w:val="en-US"/>
              </w:rPr>
              <w:t>protection</w:t>
            </w:r>
            <w:r w:rsidR="004B3E30">
              <w:rPr>
                <w:iCs/>
                <w:color w:val="538135" w:themeColor="accent6" w:themeShade="BF"/>
                <w:lang w:val="en-US"/>
              </w:rPr>
              <w:t>.</w:t>
            </w:r>
            <w:r w:rsidR="00340E24">
              <w:rPr>
                <w:iCs/>
                <w:color w:val="538135" w:themeColor="accent6" w:themeShade="BF"/>
                <w:lang w:val="en-US"/>
              </w:rPr>
              <w:t xml:space="preserve"> </w:t>
            </w:r>
            <w:r w:rsidR="004B3E30">
              <w:rPr>
                <w:iCs/>
                <w:color w:val="538135" w:themeColor="accent6" w:themeShade="BF"/>
                <w:lang w:val="en-US"/>
              </w:rPr>
              <w:t xml:space="preserve">This project will </w:t>
            </w:r>
            <w:r w:rsidR="004E48C8" w:rsidRPr="004E48C8">
              <w:rPr>
                <w:iCs/>
                <w:color w:val="538135" w:themeColor="accent6" w:themeShade="BF"/>
                <w:lang w:val="en-US"/>
              </w:rPr>
              <w:t>capitalize</w:t>
            </w:r>
            <w:r w:rsidR="00372296">
              <w:rPr>
                <w:iCs/>
                <w:color w:val="538135" w:themeColor="accent6" w:themeShade="BF"/>
                <w:lang w:val="en-US"/>
              </w:rPr>
              <w:t xml:space="preserve"> the</w:t>
            </w:r>
            <w:r w:rsidR="004E48C8" w:rsidRPr="004E48C8">
              <w:rPr>
                <w:iCs/>
                <w:color w:val="538135" w:themeColor="accent6" w:themeShade="BF"/>
                <w:lang w:val="en-US"/>
              </w:rPr>
              <w:t xml:space="preserve"> past conservation efforts</w:t>
            </w:r>
            <w:r w:rsidR="005F401C">
              <w:rPr>
                <w:iCs/>
                <w:color w:val="538135" w:themeColor="accent6" w:themeShade="BF"/>
                <w:lang w:val="en-US"/>
              </w:rPr>
              <w:t xml:space="preserve"> whom secured </w:t>
            </w:r>
            <w:r w:rsidR="00D6201E">
              <w:rPr>
                <w:iCs/>
                <w:color w:val="538135" w:themeColor="accent6" w:themeShade="BF"/>
                <w:lang w:val="en-US"/>
              </w:rPr>
              <w:t>the land tenure</w:t>
            </w:r>
            <w:r w:rsidR="00372296">
              <w:rPr>
                <w:iCs/>
                <w:color w:val="538135" w:themeColor="accent6" w:themeShade="BF"/>
                <w:lang w:val="en-US"/>
              </w:rPr>
              <w:t xml:space="preserve"> and granted the HD permit, </w:t>
            </w:r>
            <w:r w:rsidR="00090FC0">
              <w:rPr>
                <w:iCs/>
                <w:color w:val="538135" w:themeColor="accent6" w:themeShade="BF"/>
                <w:lang w:val="en-US"/>
              </w:rPr>
              <w:t xml:space="preserve">therefore </w:t>
            </w:r>
            <w:r w:rsidR="00372296">
              <w:rPr>
                <w:iCs/>
                <w:color w:val="538135" w:themeColor="accent6" w:themeShade="BF"/>
                <w:lang w:val="en-US"/>
              </w:rPr>
              <w:t xml:space="preserve">remove </w:t>
            </w:r>
            <w:r w:rsidR="00A9344F">
              <w:rPr>
                <w:iCs/>
                <w:color w:val="538135" w:themeColor="accent6" w:themeShade="BF"/>
                <w:lang w:val="en-US"/>
              </w:rPr>
              <w:t xml:space="preserve">the </w:t>
            </w:r>
            <w:r w:rsidR="00090FC0">
              <w:rPr>
                <w:iCs/>
                <w:color w:val="538135" w:themeColor="accent6" w:themeShade="BF"/>
                <w:lang w:val="en-US"/>
              </w:rPr>
              <w:t>legal threats</w:t>
            </w:r>
            <w:r w:rsidR="00D6201E">
              <w:rPr>
                <w:iCs/>
                <w:color w:val="538135" w:themeColor="accent6" w:themeShade="BF"/>
                <w:lang w:val="en-US"/>
              </w:rPr>
              <w:t xml:space="preserve"> </w:t>
            </w:r>
            <w:r w:rsidR="00372296">
              <w:rPr>
                <w:iCs/>
                <w:color w:val="538135" w:themeColor="accent6" w:themeShade="BF"/>
                <w:lang w:val="en-US"/>
              </w:rPr>
              <w:t xml:space="preserve">of land conversion into </w:t>
            </w:r>
            <w:r w:rsidR="002C5392">
              <w:rPr>
                <w:iCs/>
                <w:color w:val="538135" w:themeColor="accent6" w:themeShade="BF"/>
                <w:lang w:val="en-US"/>
              </w:rPr>
              <w:t xml:space="preserve">oil </w:t>
            </w:r>
            <w:r w:rsidR="00D6201E">
              <w:rPr>
                <w:iCs/>
                <w:color w:val="538135" w:themeColor="accent6" w:themeShade="BF"/>
                <w:lang w:val="en-US"/>
              </w:rPr>
              <w:t xml:space="preserve">palm </w:t>
            </w:r>
            <w:r w:rsidR="00372296">
              <w:rPr>
                <w:iCs/>
                <w:color w:val="538135" w:themeColor="accent6" w:themeShade="BF"/>
                <w:lang w:val="en-US"/>
              </w:rPr>
              <w:t>plantation</w:t>
            </w:r>
            <w:r w:rsidR="00562823">
              <w:rPr>
                <w:iCs/>
                <w:color w:val="538135" w:themeColor="accent6" w:themeShade="BF"/>
                <w:lang w:val="en-US"/>
              </w:rPr>
              <w:t xml:space="preserve"> albeit</w:t>
            </w:r>
            <w:r w:rsidR="00EB3C98">
              <w:rPr>
                <w:iCs/>
                <w:color w:val="538135" w:themeColor="accent6" w:themeShade="BF"/>
                <w:lang w:val="en-US"/>
              </w:rPr>
              <w:t xml:space="preserve"> the smallholder </w:t>
            </w:r>
            <w:r w:rsidR="00562823">
              <w:rPr>
                <w:iCs/>
                <w:color w:val="538135" w:themeColor="accent6" w:themeShade="BF"/>
                <w:lang w:val="en-US"/>
              </w:rPr>
              <w:t>oil palm threat remains</w:t>
            </w:r>
            <w:r w:rsidR="00EB3C98">
              <w:rPr>
                <w:iCs/>
                <w:color w:val="538135" w:themeColor="accent6" w:themeShade="BF"/>
                <w:lang w:val="en-US"/>
              </w:rPr>
              <w:t xml:space="preserve">. </w:t>
            </w:r>
            <w:r w:rsidR="00D6201E">
              <w:rPr>
                <w:iCs/>
                <w:color w:val="538135" w:themeColor="accent6" w:themeShade="BF"/>
                <w:lang w:val="en-US"/>
              </w:rPr>
              <w:t xml:space="preserve">The </w:t>
            </w:r>
            <w:r w:rsidR="00972D08">
              <w:rPr>
                <w:iCs/>
                <w:color w:val="538135" w:themeColor="accent6" w:themeShade="BF"/>
                <w:lang w:val="en-US"/>
              </w:rPr>
              <w:t xml:space="preserve">planned </w:t>
            </w:r>
            <w:r w:rsidR="00D6201E">
              <w:rPr>
                <w:iCs/>
                <w:color w:val="538135" w:themeColor="accent6" w:themeShade="BF"/>
                <w:lang w:val="en-US"/>
              </w:rPr>
              <w:t>conservation action</w:t>
            </w:r>
            <w:r w:rsidR="00B05593">
              <w:rPr>
                <w:iCs/>
                <w:color w:val="538135" w:themeColor="accent6" w:themeShade="BF"/>
                <w:lang w:val="en-US"/>
              </w:rPr>
              <w:t>s</w:t>
            </w:r>
            <w:r w:rsidR="00D6201E">
              <w:rPr>
                <w:iCs/>
                <w:color w:val="538135" w:themeColor="accent6" w:themeShade="BF"/>
                <w:lang w:val="en-US"/>
              </w:rPr>
              <w:t xml:space="preserve"> </w:t>
            </w:r>
            <w:r w:rsidR="00B05593">
              <w:rPr>
                <w:iCs/>
                <w:color w:val="538135" w:themeColor="accent6" w:themeShade="BF"/>
                <w:lang w:val="en-US"/>
              </w:rPr>
              <w:t xml:space="preserve">beyond </w:t>
            </w:r>
            <w:r w:rsidR="00972D08">
              <w:rPr>
                <w:iCs/>
                <w:color w:val="538135" w:themeColor="accent6" w:themeShade="BF"/>
                <w:lang w:val="en-US"/>
              </w:rPr>
              <w:t xml:space="preserve">the </w:t>
            </w:r>
            <w:r w:rsidR="00B05593">
              <w:rPr>
                <w:iCs/>
                <w:color w:val="538135" w:themeColor="accent6" w:themeShade="BF"/>
                <w:lang w:val="en-US"/>
              </w:rPr>
              <w:t xml:space="preserve">legal </w:t>
            </w:r>
            <w:r w:rsidR="00972D08">
              <w:rPr>
                <w:iCs/>
                <w:color w:val="538135" w:themeColor="accent6" w:themeShade="BF"/>
                <w:lang w:val="en-US"/>
              </w:rPr>
              <w:t xml:space="preserve">permit </w:t>
            </w:r>
            <w:r w:rsidR="00B05593">
              <w:rPr>
                <w:iCs/>
                <w:color w:val="538135" w:themeColor="accent6" w:themeShade="BF"/>
                <w:lang w:val="en-US"/>
              </w:rPr>
              <w:t xml:space="preserve">are </w:t>
            </w:r>
            <w:r w:rsidR="00D6201E">
              <w:rPr>
                <w:iCs/>
                <w:color w:val="538135" w:themeColor="accent6" w:themeShade="BF"/>
                <w:lang w:val="en-US"/>
              </w:rPr>
              <w:t>strengthen</w:t>
            </w:r>
            <w:r w:rsidR="00B05593">
              <w:rPr>
                <w:iCs/>
                <w:color w:val="538135" w:themeColor="accent6" w:themeShade="BF"/>
                <w:lang w:val="en-US"/>
              </w:rPr>
              <w:t>ing</w:t>
            </w:r>
            <w:r w:rsidR="00D6201E">
              <w:rPr>
                <w:iCs/>
                <w:color w:val="538135" w:themeColor="accent6" w:themeShade="BF"/>
                <w:lang w:val="en-US"/>
              </w:rPr>
              <w:t xml:space="preserve"> the HD </w:t>
            </w:r>
            <w:r w:rsidR="00B05593">
              <w:rPr>
                <w:iCs/>
                <w:color w:val="538135" w:themeColor="accent6" w:themeShade="BF"/>
                <w:lang w:val="en-US"/>
              </w:rPr>
              <w:t>institution, supports on forest protection, and livelihood improvement activities.</w:t>
            </w:r>
            <w:r w:rsidR="00340E24">
              <w:rPr>
                <w:iCs/>
                <w:color w:val="538135" w:themeColor="accent6" w:themeShade="BF"/>
                <w:lang w:val="en-US"/>
              </w:rPr>
              <w:t xml:space="preserve"> </w:t>
            </w:r>
            <w:r w:rsidR="00340E24" w:rsidRPr="00340E24">
              <w:rPr>
                <w:iCs/>
                <w:color w:val="538135" w:themeColor="accent6" w:themeShade="BF"/>
                <w:lang w:val="en-US"/>
              </w:rPr>
              <w:t xml:space="preserve">The compensation </w:t>
            </w:r>
            <w:r w:rsidR="00340E24">
              <w:rPr>
                <w:iCs/>
                <w:color w:val="538135" w:themeColor="accent6" w:themeShade="BF"/>
                <w:lang w:val="en-US"/>
              </w:rPr>
              <w:t xml:space="preserve">plan </w:t>
            </w:r>
            <w:r w:rsidR="00340E24" w:rsidRPr="00340E24">
              <w:rPr>
                <w:iCs/>
                <w:color w:val="538135" w:themeColor="accent6" w:themeShade="BF"/>
                <w:lang w:val="en-US"/>
              </w:rPr>
              <w:t xml:space="preserve">is </w:t>
            </w:r>
            <w:r w:rsidR="00F10310" w:rsidRPr="00340E24">
              <w:rPr>
                <w:iCs/>
                <w:color w:val="538135" w:themeColor="accent6" w:themeShade="BF"/>
                <w:lang w:val="en-US"/>
              </w:rPr>
              <w:t>aligned</w:t>
            </w:r>
            <w:r w:rsidR="00340E24" w:rsidRPr="00340E24">
              <w:rPr>
                <w:iCs/>
                <w:color w:val="538135" w:themeColor="accent6" w:themeShade="BF"/>
                <w:lang w:val="en-US"/>
              </w:rPr>
              <w:t xml:space="preserve"> with </w:t>
            </w:r>
            <w:r w:rsidR="001429FF">
              <w:rPr>
                <w:iCs/>
                <w:color w:val="538135" w:themeColor="accent6" w:themeShade="BF"/>
                <w:lang w:val="en-US"/>
              </w:rPr>
              <w:t xml:space="preserve">but beyond than </w:t>
            </w:r>
            <w:r w:rsidR="00340E24" w:rsidRPr="00340E24">
              <w:rPr>
                <w:iCs/>
                <w:color w:val="538135" w:themeColor="accent6" w:themeShade="BF"/>
                <w:lang w:val="en-US"/>
              </w:rPr>
              <w:t xml:space="preserve">the </w:t>
            </w:r>
            <w:r w:rsidR="001429FF">
              <w:rPr>
                <w:iCs/>
                <w:color w:val="538135" w:themeColor="accent6" w:themeShade="BF"/>
                <w:lang w:val="en-US"/>
              </w:rPr>
              <w:t xml:space="preserve">HD </w:t>
            </w:r>
            <w:r w:rsidR="00340E24" w:rsidRPr="00340E24">
              <w:rPr>
                <w:iCs/>
                <w:color w:val="538135" w:themeColor="accent6" w:themeShade="BF"/>
                <w:lang w:val="en-US"/>
              </w:rPr>
              <w:t xml:space="preserve">plan, thus no funding is secured to support </w:t>
            </w:r>
            <w:r w:rsidR="001429FF">
              <w:rPr>
                <w:iCs/>
                <w:color w:val="538135" w:themeColor="accent6" w:themeShade="BF"/>
                <w:lang w:val="en-US"/>
              </w:rPr>
              <w:t>the activities</w:t>
            </w:r>
            <w:r w:rsidR="00647B23">
              <w:rPr>
                <w:iCs/>
                <w:color w:val="538135" w:themeColor="accent6" w:themeShade="BF"/>
                <w:lang w:val="en-US"/>
              </w:rPr>
              <w:t xml:space="preserve"> as it</w:t>
            </w:r>
            <w:r w:rsidR="00562823">
              <w:rPr>
                <w:iCs/>
                <w:color w:val="538135" w:themeColor="accent6" w:themeShade="BF"/>
                <w:lang w:val="en-US"/>
              </w:rPr>
              <w:t xml:space="preserve"> is designed to reduce the </w:t>
            </w:r>
            <w:r w:rsidR="00213533">
              <w:rPr>
                <w:iCs/>
                <w:color w:val="538135" w:themeColor="accent6" w:themeShade="BF"/>
                <w:lang w:val="en-US"/>
              </w:rPr>
              <w:t>d</w:t>
            </w:r>
            <w:r w:rsidR="005424C0">
              <w:rPr>
                <w:iCs/>
                <w:color w:val="538135" w:themeColor="accent6" w:themeShade="BF"/>
                <w:lang w:val="en-US"/>
              </w:rPr>
              <w:t>eforestation threats from illegal logging, and forest degradation from illegal mining</w:t>
            </w:r>
            <w:r w:rsidR="00213533">
              <w:rPr>
                <w:iCs/>
                <w:color w:val="538135" w:themeColor="accent6" w:themeShade="BF"/>
                <w:lang w:val="en-US"/>
              </w:rPr>
              <w:t>.</w:t>
            </w:r>
            <w:r w:rsidR="00B603C3">
              <w:rPr>
                <w:iCs/>
                <w:color w:val="538135" w:themeColor="accent6" w:themeShade="BF"/>
                <w:lang w:val="en-US"/>
              </w:rPr>
              <w:t xml:space="preserve"> This compensation plan is also designed to avoid the risk of reversal from the Village Forest land use into other land use. This is possible due to the common practice in the area, where the forest threats (i.e. illegal mining, logging, palm oil) will be happened </w:t>
            </w:r>
            <w:r w:rsidR="00562823">
              <w:rPr>
                <w:iCs/>
                <w:color w:val="538135" w:themeColor="accent6" w:themeShade="BF"/>
                <w:lang w:val="en-US"/>
              </w:rPr>
              <w:t xml:space="preserve">to an area </w:t>
            </w:r>
            <w:r w:rsidR="0008140F">
              <w:rPr>
                <w:iCs/>
                <w:color w:val="538135" w:themeColor="accent6" w:themeShade="BF"/>
                <w:lang w:val="en-US"/>
              </w:rPr>
              <w:t>with</w:t>
            </w:r>
            <w:r w:rsidR="00B603C3">
              <w:rPr>
                <w:iCs/>
                <w:color w:val="538135" w:themeColor="accent6" w:themeShade="BF"/>
                <w:lang w:val="en-US"/>
              </w:rPr>
              <w:t xml:space="preserve"> no management activities.</w:t>
            </w:r>
            <w:r w:rsidR="00CD633A">
              <w:rPr>
                <w:iCs/>
                <w:color w:val="538135" w:themeColor="accent6" w:themeShade="BF"/>
                <w:lang w:val="en-US"/>
              </w:rPr>
              <w:t xml:space="preserve"> Imagine a conservation area (that should have been conserved) </w:t>
            </w:r>
            <w:r w:rsidR="004E5C2C">
              <w:rPr>
                <w:iCs/>
                <w:color w:val="538135" w:themeColor="accent6" w:themeShade="BF"/>
                <w:lang w:val="en-US"/>
              </w:rPr>
              <w:t xml:space="preserve">is still </w:t>
            </w:r>
            <w:r w:rsidR="00CD633A">
              <w:rPr>
                <w:iCs/>
                <w:color w:val="538135" w:themeColor="accent6" w:themeShade="BF"/>
                <w:lang w:val="en-US"/>
              </w:rPr>
              <w:t>experienc</w:t>
            </w:r>
            <w:r w:rsidR="004E5C2C">
              <w:rPr>
                <w:iCs/>
                <w:color w:val="538135" w:themeColor="accent6" w:themeShade="BF"/>
                <w:lang w:val="en-US"/>
              </w:rPr>
              <w:t xml:space="preserve">ing </w:t>
            </w:r>
            <w:r w:rsidR="00CD633A">
              <w:rPr>
                <w:iCs/>
                <w:color w:val="538135" w:themeColor="accent6" w:themeShade="BF"/>
                <w:lang w:val="en-US"/>
              </w:rPr>
              <w:t>illegal logging activities.</w:t>
            </w:r>
            <w:r w:rsidR="008B262C">
              <w:rPr>
                <w:iCs/>
                <w:color w:val="538135" w:themeColor="accent6" w:themeShade="BF"/>
                <w:lang w:val="en-US"/>
              </w:rPr>
              <w:t xml:space="preserve"> </w:t>
            </w:r>
            <w:r w:rsidR="008B262C" w:rsidRPr="008B262C">
              <w:rPr>
                <w:iCs/>
                <w:color w:val="538135" w:themeColor="accent6" w:themeShade="BF"/>
                <w:lang w:val="en-US"/>
              </w:rPr>
              <w:t xml:space="preserve">HD </w:t>
            </w:r>
            <w:proofErr w:type="spellStart"/>
            <w:r w:rsidR="008B262C">
              <w:rPr>
                <w:iCs/>
                <w:color w:val="538135" w:themeColor="accent6" w:themeShade="BF"/>
                <w:lang w:val="en-US"/>
              </w:rPr>
              <w:t>Telaga</w:t>
            </w:r>
            <w:proofErr w:type="spellEnd"/>
            <w:r w:rsidR="008B262C">
              <w:rPr>
                <w:iCs/>
                <w:color w:val="538135" w:themeColor="accent6" w:themeShade="BF"/>
                <w:lang w:val="en-US"/>
              </w:rPr>
              <w:t xml:space="preserve"> </w:t>
            </w:r>
            <w:r w:rsidR="00693218">
              <w:rPr>
                <w:iCs/>
                <w:color w:val="538135" w:themeColor="accent6" w:themeShade="BF"/>
                <w:lang w:val="en-US"/>
              </w:rPr>
              <w:t xml:space="preserve">can </w:t>
            </w:r>
            <w:r w:rsidR="008B262C" w:rsidRPr="008B262C">
              <w:rPr>
                <w:iCs/>
                <w:color w:val="538135" w:themeColor="accent6" w:themeShade="BF"/>
                <w:lang w:val="en-US"/>
              </w:rPr>
              <w:t xml:space="preserve">be protected, if </w:t>
            </w:r>
            <w:r w:rsidR="00693218">
              <w:rPr>
                <w:iCs/>
                <w:color w:val="538135" w:themeColor="accent6" w:themeShade="BF"/>
                <w:lang w:val="en-US"/>
              </w:rPr>
              <w:t xml:space="preserve">only </w:t>
            </w:r>
            <w:r w:rsidR="008B262C" w:rsidRPr="008B262C">
              <w:rPr>
                <w:iCs/>
                <w:color w:val="538135" w:themeColor="accent6" w:themeShade="BF"/>
                <w:lang w:val="en-US"/>
              </w:rPr>
              <w:t xml:space="preserve">we can </w:t>
            </w:r>
            <w:r w:rsidR="00693218">
              <w:rPr>
                <w:iCs/>
                <w:color w:val="538135" w:themeColor="accent6" w:themeShade="BF"/>
                <w:lang w:val="en-US"/>
              </w:rPr>
              <w:t xml:space="preserve">demonstrate </w:t>
            </w:r>
            <w:r w:rsidR="008B262C" w:rsidRPr="008B262C">
              <w:rPr>
                <w:iCs/>
                <w:color w:val="538135" w:themeColor="accent6" w:themeShade="BF"/>
                <w:lang w:val="en-US"/>
              </w:rPr>
              <w:t xml:space="preserve">that HD is </w:t>
            </w:r>
            <w:r w:rsidR="00693218">
              <w:rPr>
                <w:iCs/>
                <w:color w:val="538135" w:themeColor="accent6" w:themeShade="BF"/>
                <w:lang w:val="en-US"/>
              </w:rPr>
              <w:t xml:space="preserve">a </w:t>
            </w:r>
            <w:r w:rsidR="008B262C" w:rsidRPr="008B262C">
              <w:rPr>
                <w:iCs/>
                <w:color w:val="538135" w:themeColor="accent6" w:themeShade="BF"/>
                <w:lang w:val="en-US"/>
              </w:rPr>
              <w:t xml:space="preserve">better way </w:t>
            </w:r>
            <w:r w:rsidR="00693218">
              <w:rPr>
                <w:iCs/>
                <w:color w:val="538135" w:themeColor="accent6" w:themeShade="BF"/>
                <w:lang w:val="en-US"/>
              </w:rPr>
              <w:t xml:space="preserve">in forest conservation, as it also </w:t>
            </w:r>
            <w:r w:rsidR="008B262C" w:rsidRPr="008B262C">
              <w:rPr>
                <w:iCs/>
                <w:color w:val="538135" w:themeColor="accent6" w:themeShade="BF"/>
                <w:lang w:val="en-US"/>
              </w:rPr>
              <w:t>adds benefit to the community.</w:t>
            </w:r>
            <w:r w:rsidR="00984A38">
              <w:rPr>
                <w:iCs/>
                <w:color w:val="538135" w:themeColor="accent6" w:themeShade="BF"/>
                <w:lang w:val="en-US"/>
              </w:rPr>
              <w:t xml:space="preserve"> Other donor (US Forest and Wildlife Services) </w:t>
            </w:r>
            <w:r w:rsidR="00B1591B">
              <w:rPr>
                <w:iCs/>
                <w:color w:val="538135" w:themeColor="accent6" w:themeShade="BF"/>
                <w:lang w:val="en-US"/>
              </w:rPr>
              <w:t xml:space="preserve">support </w:t>
            </w:r>
            <w:r w:rsidR="00672B07">
              <w:rPr>
                <w:iCs/>
                <w:color w:val="538135" w:themeColor="accent6" w:themeShade="BF"/>
                <w:lang w:val="en-US"/>
              </w:rPr>
              <w:t xml:space="preserve">already secured to strengthen the HD institution, </w:t>
            </w:r>
            <w:r w:rsidR="00B1591B">
              <w:rPr>
                <w:iCs/>
                <w:color w:val="538135" w:themeColor="accent6" w:themeShade="BF"/>
                <w:lang w:val="en-US"/>
              </w:rPr>
              <w:t xml:space="preserve">while </w:t>
            </w:r>
            <w:r w:rsidR="00672B07">
              <w:rPr>
                <w:iCs/>
                <w:color w:val="538135" w:themeColor="accent6" w:themeShade="BF"/>
                <w:lang w:val="en-US"/>
              </w:rPr>
              <w:t xml:space="preserve">this </w:t>
            </w:r>
            <w:r w:rsidR="00B1591B">
              <w:rPr>
                <w:iCs/>
                <w:color w:val="538135" w:themeColor="accent6" w:themeShade="BF"/>
                <w:lang w:val="en-US"/>
              </w:rPr>
              <w:t xml:space="preserve">project </w:t>
            </w:r>
            <w:r w:rsidR="00672B07">
              <w:rPr>
                <w:iCs/>
                <w:color w:val="538135" w:themeColor="accent6" w:themeShade="BF"/>
                <w:lang w:val="en-US"/>
              </w:rPr>
              <w:t>is expected to support the other conservation action</w:t>
            </w:r>
            <w:r w:rsidR="00090FC0">
              <w:rPr>
                <w:iCs/>
                <w:color w:val="538135" w:themeColor="accent6" w:themeShade="BF"/>
                <w:lang w:val="en-US"/>
              </w:rPr>
              <w:t>s</w:t>
            </w:r>
            <w:r w:rsidR="00672B07">
              <w:rPr>
                <w:iCs/>
                <w:color w:val="538135" w:themeColor="accent6" w:themeShade="BF"/>
                <w:lang w:val="en-US"/>
              </w:rPr>
              <w:t xml:space="preserve"> like forest protection and livelihood improvement.</w:t>
            </w:r>
          </w:p>
        </w:tc>
      </w:tr>
      <w:tr w:rsidR="00C31A11" w14:paraId="5DC7B4C1" w14:textId="77777777" w:rsidTr="00F14D77">
        <w:tc>
          <w:tcPr>
            <w:tcW w:w="9016" w:type="dxa"/>
            <w:gridSpan w:val="2"/>
            <w:vAlign w:val="center"/>
          </w:tcPr>
          <w:p w14:paraId="7F1EDB15" w14:textId="77777777" w:rsidR="00C31A11" w:rsidRPr="007B313B" w:rsidRDefault="00C31A11" w:rsidP="00F14D77">
            <w:pPr>
              <w:pStyle w:val="ListParagraph"/>
              <w:numPr>
                <w:ilvl w:val="0"/>
                <w:numId w:val="26"/>
              </w:numPr>
              <w:rPr>
                <w:lang w:val="en-MY"/>
              </w:rPr>
            </w:pPr>
            <w:r w:rsidRPr="007B313B">
              <w:rPr>
                <w:lang w:val="en-MY"/>
              </w:rPr>
              <w:t>Long-lasting</w:t>
            </w:r>
            <w:r>
              <w:rPr>
                <w:lang w:val="en-MY"/>
              </w:rPr>
              <w:t xml:space="preserve"> (Max 100 words]</w:t>
            </w:r>
          </w:p>
        </w:tc>
      </w:tr>
      <w:tr w:rsidR="00C31A11" w:rsidRPr="006353E3" w14:paraId="0DCD1EF7" w14:textId="77777777" w:rsidTr="00F14D77">
        <w:tc>
          <w:tcPr>
            <w:tcW w:w="9016" w:type="dxa"/>
            <w:gridSpan w:val="2"/>
            <w:vAlign w:val="center"/>
          </w:tcPr>
          <w:p w14:paraId="188C1A2D" w14:textId="6A73272B" w:rsidR="000169CF" w:rsidRDefault="000169CF" w:rsidP="000169CF">
            <w:pPr>
              <w:rPr>
                <w:iCs/>
                <w:color w:val="538135" w:themeColor="accent6" w:themeShade="BF"/>
                <w:lang w:val="en-US"/>
              </w:rPr>
            </w:pPr>
            <w:r>
              <w:rPr>
                <w:iCs/>
                <w:color w:val="538135" w:themeColor="accent6" w:themeShade="BF"/>
                <w:lang w:val="en-US"/>
              </w:rPr>
              <w:t xml:space="preserve">With the available compensation fund, the project will not able to fund conservation activities to protect the fragile ecosystem for 25 years or more. However, the project might provide an assurance and set a foundation that entice potential buyers/donors in the future (including the government), which demonstrate social forestry as an </w:t>
            </w:r>
            <w:r w:rsidRPr="00BA51D8">
              <w:rPr>
                <w:iCs/>
                <w:color w:val="538135" w:themeColor="accent6" w:themeShade="BF"/>
                <w:lang w:val="en-US"/>
              </w:rPr>
              <w:t>effective and sustainable scheme in conservation and livelihood improvement</w:t>
            </w:r>
            <w:r>
              <w:rPr>
                <w:iCs/>
                <w:color w:val="538135" w:themeColor="accent6" w:themeShade="BF"/>
                <w:lang w:val="en-US"/>
              </w:rPr>
              <w:t>.</w:t>
            </w:r>
            <w:r w:rsidR="00025283">
              <w:rPr>
                <w:iCs/>
                <w:color w:val="538135" w:themeColor="accent6" w:themeShade="BF"/>
                <w:lang w:val="en-US"/>
              </w:rPr>
              <w:t xml:space="preserve"> </w:t>
            </w:r>
            <w:r w:rsidR="002B2C34">
              <w:rPr>
                <w:iCs/>
                <w:color w:val="538135" w:themeColor="accent6" w:themeShade="BF"/>
                <w:lang w:val="en-US"/>
              </w:rPr>
              <w:t>Only b</w:t>
            </w:r>
            <w:r w:rsidR="00025283">
              <w:rPr>
                <w:iCs/>
                <w:color w:val="538135" w:themeColor="accent6" w:themeShade="BF"/>
                <w:lang w:val="en-US"/>
              </w:rPr>
              <w:t xml:space="preserve">y then, </w:t>
            </w:r>
            <w:r w:rsidR="003513AB">
              <w:rPr>
                <w:iCs/>
                <w:color w:val="538135" w:themeColor="accent6" w:themeShade="BF"/>
                <w:lang w:val="en-US"/>
              </w:rPr>
              <w:t xml:space="preserve">the </w:t>
            </w:r>
            <w:r>
              <w:rPr>
                <w:iCs/>
                <w:color w:val="538135" w:themeColor="accent6" w:themeShade="BF"/>
                <w:lang w:val="en-US"/>
              </w:rPr>
              <w:t xml:space="preserve">project impact will </w:t>
            </w:r>
            <w:r w:rsidR="00FC0A9C">
              <w:rPr>
                <w:iCs/>
                <w:color w:val="538135" w:themeColor="accent6" w:themeShade="BF"/>
                <w:lang w:val="en-US"/>
              </w:rPr>
              <w:t xml:space="preserve">able to </w:t>
            </w:r>
            <w:r>
              <w:rPr>
                <w:iCs/>
                <w:color w:val="538135" w:themeColor="accent6" w:themeShade="BF"/>
                <w:lang w:val="en-US"/>
              </w:rPr>
              <w:t>last for 25 years or even more.</w:t>
            </w:r>
          </w:p>
          <w:p w14:paraId="50C70F3F" w14:textId="29CCCAA4" w:rsidR="00BA51D8" w:rsidRDefault="0094058C" w:rsidP="0094058C">
            <w:pPr>
              <w:rPr>
                <w:iCs/>
                <w:color w:val="538135" w:themeColor="accent6" w:themeShade="BF"/>
                <w:lang w:val="en-US"/>
              </w:rPr>
            </w:pPr>
            <w:r>
              <w:rPr>
                <w:iCs/>
                <w:color w:val="538135" w:themeColor="accent6" w:themeShade="BF"/>
                <w:lang w:val="en-US"/>
              </w:rPr>
              <w:t xml:space="preserve">This project </w:t>
            </w:r>
            <w:r w:rsidR="000169CF">
              <w:rPr>
                <w:iCs/>
                <w:color w:val="538135" w:themeColor="accent6" w:themeShade="BF"/>
                <w:lang w:val="en-US"/>
              </w:rPr>
              <w:t xml:space="preserve">will be </w:t>
            </w:r>
            <w:r>
              <w:rPr>
                <w:iCs/>
                <w:color w:val="538135" w:themeColor="accent6" w:themeShade="BF"/>
                <w:lang w:val="en-US"/>
              </w:rPr>
              <w:t xml:space="preserve">implemented on a 35 years (renewable) community-based forest </w:t>
            </w:r>
            <w:r w:rsidR="00DD3F53">
              <w:rPr>
                <w:iCs/>
                <w:color w:val="538135" w:themeColor="accent6" w:themeShade="BF"/>
                <w:lang w:val="en-US"/>
              </w:rPr>
              <w:t>management</w:t>
            </w:r>
            <w:r w:rsidR="00175E66">
              <w:rPr>
                <w:iCs/>
                <w:color w:val="538135" w:themeColor="accent6" w:themeShade="BF"/>
                <w:lang w:val="en-US"/>
              </w:rPr>
              <w:t xml:space="preserve"> under the social forestry scheme</w:t>
            </w:r>
            <w:r w:rsidR="00DD3F53">
              <w:rPr>
                <w:iCs/>
                <w:color w:val="538135" w:themeColor="accent6" w:themeShade="BF"/>
                <w:lang w:val="en-US"/>
              </w:rPr>
              <w:t>.</w:t>
            </w:r>
            <w:r w:rsidR="000D2D85">
              <w:rPr>
                <w:iCs/>
                <w:color w:val="538135" w:themeColor="accent6" w:themeShade="BF"/>
                <w:lang w:val="en-US"/>
              </w:rPr>
              <w:t xml:space="preserve"> </w:t>
            </w:r>
            <w:r w:rsidR="009C7AC7">
              <w:rPr>
                <w:iCs/>
                <w:color w:val="538135" w:themeColor="accent6" w:themeShade="BF"/>
                <w:lang w:val="en-US"/>
              </w:rPr>
              <w:t xml:space="preserve">By demonstrating this, the </w:t>
            </w:r>
            <w:r w:rsidR="00DE5192">
              <w:rPr>
                <w:iCs/>
                <w:color w:val="538135" w:themeColor="accent6" w:themeShade="BF"/>
                <w:lang w:val="en-US"/>
              </w:rPr>
              <w:t xml:space="preserve">long-term conservation actions planned </w:t>
            </w:r>
            <w:r w:rsidR="009C7AC7">
              <w:rPr>
                <w:iCs/>
                <w:color w:val="538135" w:themeColor="accent6" w:themeShade="BF"/>
                <w:lang w:val="en-US"/>
              </w:rPr>
              <w:t xml:space="preserve">in HD </w:t>
            </w:r>
            <w:proofErr w:type="spellStart"/>
            <w:r w:rsidR="009C7AC7">
              <w:rPr>
                <w:iCs/>
                <w:color w:val="538135" w:themeColor="accent6" w:themeShade="BF"/>
                <w:lang w:val="en-US"/>
              </w:rPr>
              <w:t>Telaga</w:t>
            </w:r>
            <w:proofErr w:type="spellEnd"/>
            <w:r w:rsidR="009C7AC7">
              <w:rPr>
                <w:iCs/>
                <w:color w:val="538135" w:themeColor="accent6" w:themeShade="BF"/>
                <w:lang w:val="en-US"/>
              </w:rPr>
              <w:t xml:space="preserve"> can be </w:t>
            </w:r>
            <w:r w:rsidR="00DE5192">
              <w:rPr>
                <w:iCs/>
                <w:color w:val="538135" w:themeColor="accent6" w:themeShade="BF"/>
                <w:lang w:val="en-US"/>
              </w:rPr>
              <w:t xml:space="preserve">implemented and budgeted on </w:t>
            </w:r>
            <w:r w:rsidR="009C7AC7">
              <w:rPr>
                <w:iCs/>
                <w:color w:val="538135" w:themeColor="accent6" w:themeShade="BF"/>
                <w:lang w:val="en-US"/>
              </w:rPr>
              <w:t xml:space="preserve">the village budget </w:t>
            </w:r>
            <w:r w:rsidR="00BB40A8">
              <w:rPr>
                <w:iCs/>
                <w:color w:val="538135" w:themeColor="accent6" w:themeShade="BF"/>
                <w:lang w:val="en-US"/>
              </w:rPr>
              <w:t>(</w:t>
            </w:r>
            <w:proofErr w:type="spellStart"/>
            <w:r w:rsidR="00BB40A8">
              <w:rPr>
                <w:iCs/>
                <w:color w:val="538135" w:themeColor="accent6" w:themeShade="BF"/>
                <w:lang w:val="en-US"/>
              </w:rPr>
              <w:t>APBDes</w:t>
            </w:r>
            <w:proofErr w:type="spellEnd"/>
            <w:r w:rsidR="00BB40A8">
              <w:rPr>
                <w:iCs/>
                <w:color w:val="538135" w:themeColor="accent6" w:themeShade="BF"/>
                <w:lang w:val="en-US"/>
              </w:rPr>
              <w:t xml:space="preserve">) </w:t>
            </w:r>
            <w:r w:rsidR="00DE5192">
              <w:rPr>
                <w:iCs/>
                <w:color w:val="538135" w:themeColor="accent6" w:themeShade="BF"/>
                <w:lang w:val="en-US"/>
              </w:rPr>
              <w:t xml:space="preserve">which will </w:t>
            </w:r>
            <w:r w:rsidR="009C7AC7">
              <w:rPr>
                <w:iCs/>
                <w:color w:val="538135" w:themeColor="accent6" w:themeShade="BF"/>
                <w:lang w:val="en-US"/>
              </w:rPr>
              <w:t xml:space="preserve">receive continuous </w:t>
            </w:r>
            <w:r w:rsidR="00DE5192">
              <w:rPr>
                <w:iCs/>
                <w:color w:val="538135" w:themeColor="accent6" w:themeShade="BF"/>
                <w:lang w:val="en-US"/>
              </w:rPr>
              <w:t>budget-</w:t>
            </w:r>
            <w:r w:rsidR="009C7AC7">
              <w:rPr>
                <w:iCs/>
                <w:color w:val="538135" w:themeColor="accent6" w:themeShade="BF"/>
                <w:lang w:val="en-US"/>
              </w:rPr>
              <w:t xml:space="preserve">support from </w:t>
            </w:r>
            <w:r w:rsidR="00BB40A8">
              <w:rPr>
                <w:iCs/>
                <w:color w:val="538135" w:themeColor="accent6" w:themeShade="BF"/>
                <w:lang w:val="en-US"/>
              </w:rPr>
              <w:t>the national budget (APBN)</w:t>
            </w:r>
            <w:r w:rsidR="00DE5192">
              <w:rPr>
                <w:iCs/>
                <w:color w:val="538135" w:themeColor="accent6" w:themeShade="BF"/>
                <w:lang w:val="en-US"/>
              </w:rPr>
              <w:t xml:space="preserve"> and ensure the long-lasting project impact.</w:t>
            </w:r>
          </w:p>
          <w:p w14:paraId="516E4154" w14:textId="419104CF" w:rsidR="00D257C2" w:rsidRPr="00B8781D" w:rsidRDefault="00B73819" w:rsidP="00AC614C">
            <w:pPr>
              <w:rPr>
                <w:iCs/>
                <w:color w:val="538135" w:themeColor="accent6" w:themeShade="BF"/>
                <w:lang w:val="en-US"/>
              </w:rPr>
            </w:pPr>
            <w:r>
              <w:rPr>
                <w:iCs/>
                <w:color w:val="538135" w:themeColor="accent6" w:themeShade="BF"/>
                <w:lang w:val="en-US"/>
              </w:rPr>
              <w:t xml:space="preserve">This </w:t>
            </w:r>
            <w:r w:rsidR="00E024B4">
              <w:rPr>
                <w:iCs/>
                <w:color w:val="538135" w:themeColor="accent6" w:themeShade="BF"/>
                <w:lang w:val="en-US"/>
              </w:rPr>
              <w:t>project will help community to demonstrate their capabilities in protecting their forest and simultaneously improving their livelihood through better governance and natural resource management.</w:t>
            </w:r>
            <w:r w:rsidR="00010304">
              <w:rPr>
                <w:iCs/>
                <w:color w:val="538135" w:themeColor="accent6" w:themeShade="BF"/>
                <w:lang w:val="en-US"/>
              </w:rPr>
              <w:t xml:space="preserve"> This project </w:t>
            </w:r>
            <w:r w:rsidR="006F4B6D">
              <w:rPr>
                <w:iCs/>
                <w:color w:val="538135" w:themeColor="accent6" w:themeShade="BF"/>
                <w:lang w:val="en-US"/>
              </w:rPr>
              <w:t xml:space="preserve">will </w:t>
            </w:r>
            <w:r w:rsidR="00B30B73">
              <w:rPr>
                <w:iCs/>
                <w:color w:val="538135" w:themeColor="accent6" w:themeShade="BF"/>
                <w:lang w:val="en-US"/>
              </w:rPr>
              <w:t xml:space="preserve">provide 5 years support to </w:t>
            </w:r>
            <w:r w:rsidR="00AB4FC5">
              <w:rPr>
                <w:iCs/>
                <w:color w:val="538135" w:themeColor="accent6" w:themeShade="BF"/>
                <w:lang w:val="en-US"/>
              </w:rPr>
              <w:t xml:space="preserve">demonstrate the HD </w:t>
            </w:r>
            <w:proofErr w:type="gramStart"/>
            <w:r w:rsidR="00AB4FC5">
              <w:rPr>
                <w:iCs/>
                <w:color w:val="538135" w:themeColor="accent6" w:themeShade="BF"/>
                <w:lang w:val="en-US"/>
              </w:rPr>
              <w:t>capabilities,</w:t>
            </w:r>
            <w:proofErr w:type="gramEnd"/>
            <w:r w:rsidR="00AB4FC5">
              <w:rPr>
                <w:iCs/>
                <w:color w:val="538135" w:themeColor="accent6" w:themeShade="BF"/>
                <w:lang w:val="en-US"/>
              </w:rPr>
              <w:t xml:space="preserve"> afterwards </w:t>
            </w:r>
            <w:r w:rsidR="006338F4">
              <w:rPr>
                <w:iCs/>
                <w:color w:val="538135" w:themeColor="accent6" w:themeShade="BF"/>
                <w:lang w:val="en-US"/>
              </w:rPr>
              <w:t xml:space="preserve">the HD </w:t>
            </w:r>
            <w:r w:rsidR="00AB4FC5">
              <w:rPr>
                <w:iCs/>
                <w:color w:val="538135" w:themeColor="accent6" w:themeShade="BF"/>
                <w:lang w:val="en-US"/>
              </w:rPr>
              <w:t xml:space="preserve">will receive further support from the village budget </w:t>
            </w:r>
            <w:r w:rsidR="006338F4">
              <w:rPr>
                <w:iCs/>
                <w:color w:val="538135" w:themeColor="accent6" w:themeShade="BF"/>
                <w:lang w:val="en-US"/>
              </w:rPr>
              <w:t xml:space="preserve">as the HD will have proven </w:t>
            </w:r>
            <w:r w:rsidR="00D43DB5">
              <w:rPr>
                <w:iCs/>
                <w:color w:val="538135" w:themeColor="accent6" w:themeShade="BF"/>
                <w:lang w:val="en-US"/>
              </w:rPr>
              <w:t xml:space="preserve">their </w:t>
            </w:r>
            <w:r w:rsidR="006338F4">
              <w:rPr>
                <w:iCs/>
                <w:color w:val="538135" w:themeColor="accent6" w:themeShade="BF"/>
                <w:lang w:val="en-US"/>
              </w:rPr>
              <w:t>track record in forest</w:t>
            </w:r>
            <w:r w:rsidR="001467A1">
              <w:rPr>
                <w:iCs/>
                <w:color w:val="538135" w:themeColor="accent6" w:themeShade="BF"/>
                <w:lang w:val="en-US"/>
              </w:rPr>
              <w:t xml:space="preserve"> management</w:t>
            </w:r>
            <w:r w:rsidR="00AB4FC5">
              <w:rPr>
                <w:iCs/>
                <w:color w:val="538135" w:themeColor="accent6" w:themeShade="BF"/>
                <w:lang w:val="en-US"/>
              </w:rPr>
              <w:t>.</w:t>
            </w:r>
          </w:p>
        </w:tc>
      </w:tr>
      <w:tr w:rsidR="00C31A11" w14:paraId="07386CA2" w14:textId="77777777" w:rsidTr="00F14D77">
        <w:tc>
          <w:tcPr>
            <w:tcW w:w="9016" w:type="dxa"/>
            <w:gridSpan w:val="2"/>
            <w:vAlign w:val="center"/>
          </w:tcPr>
          <w:p w14:paraId="1129AF58" w14:textId="77777777" w:rsidR="00C31A11" w:rsidRPr="007B313B" w:rsidRDefault="00C31A11" w:rsidP="00F14D77">
            <w:pPr>
              <w:pStyle w:val="ListParagraph"/>
              <w:numPr>
                <w:ilvl w:val="0"/>
                <w:numId w:val="26"/>
              </w:numPr>
              <w:rPr>
                <w:lang w:val="en-MY"/>
              </w:rPr>
            </w:pPr>
            <w:r w:rsidRPr="007B313B">
              <w:rPr>
                <w:lang w:val="en-MY"/>
              </w:rPr>
              <w:t>Equitable</w:t>
            </w:r>
            <w:r>
              <w:rPr>
                <w:lang w:val="en-MY"/>
              </w:rPr>
              <w:t xml:space="preserve"> [Max 100 words]</w:t>
            </w:r>
          </w:p>
        </w:tc>
      </w:tr>
      <w:tr w:rsidR="00C31A11" w:rsidRPr="006353E3" w14:paraId="5BA186B4" w14:textId="77777777" w:rsidTr="00F14D77">
        <w:tc>
          <w:tcPr>
            <w:tcW w:w="9016" w:type="dxa"/>
            <w:gridSpan w:val="2"/>
            <w:vAlign w:val="center"/>
          </w:tcPr>
          <w:p w14:paraId="1AAC3608" w14:textId="01304F51" w:rsidR="008F575C" w:rsidRPr="00067532" w:rsidRDefault="00CC2C4D" w:rsidP="00CD1CB3">
            <w:pPr>
              <w:rPr>
                <w:iCs/>
                <w:color w:val="538135" w:themeColor="accent6" w:themeShade="BF"/>
                <w:lang w:val="en-US"/>
              </w:rPr>
            </w:pPr>
            <w:r>
              <w:rPr>
                <w:iCs/>
                <w:color w:val="538135" w:themeColor="accent6" w:themeShade="BF"/>
                <w:lang w:val="en-US"/>
              </w:rPr>
              <w:t>We are targeting an international certification from Plan Vivo Standard for acknowledging community performance in managing their forest. Consequently, i</w:t>
            </w:r>
            <w:r w:rsidR="007649AA">
              <w:rPr>
                <w:iCs/>
                <w:color w:val="538135" w:themeColor="accent6" w:themeShade="BF"/>
                <w:lang w:val="en-US"/>
              </w:rPr>
              <w:t>n implementing this project</w:t>
            </w:r>
            <w:r>
              <w:rPr>
                <w:iCs/>
                <w:color w:val="538135" w:themeColor="accent6" w:themeShade="BF"/>
                <w:lang w:val="en-US"/>
              </w:rPr>
              <w:t xml:space="preserve">, </w:t>
            </w:r>
            <w:r w:rsidR="007649AA">
              <w:rPr>
                <w:iCs/>
                <w:color w:val="538135" w:themeColor="accent6" w:themeShade="BF"/>
                <w:lang w:val="en-US"/>
              </w:rPr>
              <w:t xml:space="preserve">we followed the IFC Performance Standard (2012) which requires </w:t>
            </w:r>
            <w:r w:rsidR="00A67034">
              <w:rPr>
                <w:iCs/>
                <w:color w:val="538135" w:themeColor="accent6" w:themeShade="BF"/>
                <w:lang w:val="en-US"/>
              </w:rPr>
              <w:t xml:space="preserve">the use of FPIC process in every process including project planning, monitoring, reporting, </w:t>
            </w:r>
            <w:r w:rsidR="00236AC8">
              <w:rPr>
                <w:iCs/>
                <w:color w:val="538135" w:themeColor="accent6" w:themeShade="BF"/>
                <w:lang w:val="en-US"/>
              </w:rPr>
              <w:t xml:space="preserve">benefit sharing, </w:t>
            </w:r>
            <w:r w:rsidR="00A67034">
              <w:rPr>
                <w:iCs/>
                <w:color w:val="538135" w:themeColor="accent6" w:themeShade="BF"/>
                <w:lang w:val="en-US"/>
              </w:rPr>
              <w:t>and decision-making.</w:t>
            </w:r>
            <w:r w:rsidR="009F3C04">
              <w:rPr>
                <w:iCs/>
                <w:color w:val="538135" w:themeColor="accent6" w:themeShade="BF"/>
                <w:lang w:val="en-US"/>
              </w:rPr>
              <w:t xml:space="preserve"> </w:t>
            </w:r>
            <w:r w:rsidR="00483252">
              <w:rPr>
                <w:iCs/>
                <w:color w:val="538135" w:themeColor="accent6" w:themeShade="BF"/>
                <w:lang w:val="en-US"/>
              </w:rPr>
              <w:t xml:space="preserve">Moreover, there will be a consultative meeting between </w:t>
            </w:r>
            <w:proofErr w:type="spellStart"/>
            <w:r w:rsidR="00483252">
              <w:rPr>
                <w:iCs/>
                <w:color w:val="538135" w:themeColor="accent6" w:themeShade="BF"/>
                <w:lang w:val="en-US"/>
              </w:rPr>
              <w:t>Wilmar</w:t>
            </w:r>
            <w:proofErr w:type="spellEnd"/>
            <w:r w:rsidR="00483252">
              <w:rPr>
                <w:iCs/>
                <w:color w:val="538135" w:themeColor="accent6" w:themeShade="BF"/>
                <w:lang w:val="en-US"/>
              </w:rPr>
              <w:t xml:space="preserve"> groups with the community to ensure that the community </w:t>
            </w:r>
            <w:r w:rsidR="00AC614C">
              <w:rPr>
                <w:iCs/>
                <w:color w:val="538135" w:themeColor="accent6" w:themeShade="BF"/>
                <w:lang w:val="en-US"/>
              </w:rPr>
              <w:t xml:space="preserve">willing to work with the </w:t>
            </w:r>
            <w:proofErr w:type="gramStart"/>
            <w:r w:rsidR="00AC614C">
              <w:rPr>
                <w:iCs/>
                <w:color w:val="538135" w:themeColor="accent6" w:themeShade="BF"/>
                <w:lang w:val="en-US"/>
              </w:rPr>
              <w:t>company</w:t>
            </w:r>
            <w:r w:rsidR="008E39D4">
              <w:rPr>
                <w:iCs/>
                <w:color w:val="538135" w:themeColor="accent6" w:themeShade="BF"/>
                <w:lang w:val="en-US"/>
              </w:rPr>
              <w:t>,</w:t>
            </w:r>
            <w:proofErr w:type="gramEnd"/>
            <w:r w:rsidR="008E39D4">
              <w:rPr>
                <w:iCs/>
                <w:color w:val="538135" w:themeColor="accent6" w:themeShade="BF"/>
                <w:lang w:val="en-US"/>
              </w:rPr>
              <w:t xml:space="preserve"> and afterward to design the development of the full com</w:t>
            </w:r>
            <w:r w:rsidR="005B069D">
              <w:rPr>
                <w:iCs/>
                <w:color w:val="538135" w:themeColor="accent6" w:themeShade="BF"/>
                <w:lang w:val="en-US"/>
              </w:rPr>
              <w:t>p</w:t>
            </w:r>
            <w:r w:rsidR="008E39D4">
              <w:rPr>
                <w:iCs/>
                <w:color w:val="538135" w:themeColor="accent6" w:themeShade="BF"/>
                <w:lang w:val="en-US"/>
              </w:rPr>
              <w:t xml:space="preserve">ensation </w:t>
            </w:r>
            <w:r w:rsidR="005B069D">
              <w:rPr>
                <w:iCs/>
                <w:color w:val="538135" w:themeColor="accent6" w:themeShade="BF"/>
                <w:lang w:val="en-US"/>
              </w:rPr>
              <w:t>p</w:t>
            </w:r>
            <w:r w:rsidR="008E39D4">
              <w:rPr>
                <w:iCs/>
                <w:color w:val="538135" w:themeColor="accent6" w:themeShade="BF"/>
                <w:lang w:val="en-US"/>
              </w:rPr>
              <w:t>lan</w:t>
            </w:r>
            <w:r w:rsidR="00EA763D">
              <w:rPr>
                <w:iCs/>
                <w:color w:val="538135" w:themeColor="accent6" w:themeShade="BF"/>
                <w:lang w:val="en-US"/>
              </w:rPr>
              <w:t xml:space="preserve">. </w:t>
            </w:r>
            <w:r w:rsidR="00483252">
              <w:rPr>
                <w:iCs/>
                <w:color w:val="538135" w:themeColor="accent6" w:themeShade="BF"/>
                <w:lang w:val="en-US"/>
              </w:rPr>
              <w:t>Furthermore,</w:t>
            </w:r>
            <w:r w:rsidR="002651C2">
              <w:rPr>
                <w:iCs/>
                <w:color w:val="538135" w:themeColor="accent6" w:themeShade="BF"/>
                <w:lang w:val="en-US"/>
              </w:rPr>
              <w:t xml:space="preserve"> </w:t>
            </w:r>
            <w:r w:rsidR="00C777F5">
              <w:rPr>
                <w:iCs/>
                <w:color w:val="538135" w:themeColor="accent6" w:themeShade="BF"/>
                <w:lang w:val="en-US"/>
              </w:rPr>
              <w:t xml:space="preserve">we will encourage women participation in decision-making process, and </w:t>
            </w:r>
            <w:r w:rsidR="00C551FF">
              <w:rPr>
                <w:iCs/>
                <w:color w:val="538135" w:themeColor="accent6" w:themeShade="BF"/>
                <w:lang w:val="en-US"/>
              </w:rPr>
              <w:t xml:space="preserve">targeting </w:t>
            </w:r>
            <w:r w:rsidR="00C777F5">
              <w:rPr>
                <w:iCs/>
                <w:color w:val="538135" w:themeColor="accent6" w:themeShade="BF"/>
                <w:lang w:val="en-US"/>
              </w:rPr>
              <w:t xml:space="preserve">vulnerable </w:t>
            </w:r>
            <w:r w:rsidR="00C551FF">
              <w:rPr>
                <w:iCs/>
                <w:color w:val="538135" w:themeColor="accent6" w:themeShade="BF"/>
                <w:lang w:val="en-US"/>
              </w:rPr>
              <w:t xml:space="preserve">people </w:t>
            </w:r>
            <w:r w:rsidR="00C777F5">
              <w:rPr>
                <w:iCs/>
                <w:color w:val="538135" w:themeColor="accent6" w:themeShade="BF"/>
                <w:lang w:val="en-US"/>
              </w:rPr>
              <w:t xml:space="preserve">in accessing potential benefit from the project. </w:t>
            </w:r>
          </w:p>
        </w:tc>
      </w:tr>
      <w:tr w:rsidR="00C31A11" w14:paraId="1006AA6F" w14:textId="77777777" w:rsidTr="00F14D77">
        <w:tc>
          <w:tcPr>
            <w:tcW w:w="9016" w:type="dxa"/>
            <w:gridSpan w:val="2"/>
            <w:vAlign w:val="center"/>
          </w:tcPr>
          <w:p w14:paraId="5EB99143" w14:textId="77777777" w:rsidR="00C31A11" w:rsidRPr="007B313B" w:rsidRDefault="00C31A11" w:rsidP="00F14D77">
            <w:pPr>
              <w:pStyle w:val="ListParagraph"/>
              <w:numPr>
                <w:ilvl w:val="0"/>
                <w:numId w:val="26"/>
              </w:numPr>
              <w:rPr>
                <w:lang w:val="en-MY"/>
              </w:rPr>
            </w:pPr>
            <w:r w:rsidRPr="007B313B">
              <w:rPr>
                <w:lang w:val="en-MY"/>
              </w:rPr>
              <w:t>Knowledge-based</w:t>
            </w:r>
            <w:r>
              <w:rPr>
                <w:lang w:val="en-MY"/>
              </w:rPr>
              <w:t xml:space="preserve"> [Max 100 words]</w:t>
            </w:r>
          </w:p>
        </w:tc>
      </w:tr>
      <w:tr w:rsidR="00C31A11" w:rsidRPr="006353E3" w14:paraId="262EE525" w14:textId="77777777" w:rsidTr="00F14D77">
        <w:tc>
          <w:tcPr>
            <w:tcW w:w="9016" w:type="dxa"/>
            <w:gridSpan w:val="2"/>
            <w:vAlign w:val="center"/>
          </w:tcPr>
          <w:p w14:paraId="6AC517CC" w14:textId="19903BA7" w:rsidR="004D7567" w:rsidRPr="00FF34C3" w:rsidRDefault="00F52988" w:rsidP="00FF34C3">
            <w:pPr>
              <w:rPr>
                <w:iCs/>
                <w:color w:val="538135" w:themeColor="accent6" w:themeShade="BF"/>
                <w:lang w:val="en-US"/>
              </w:rPr>
            </w:pPr>
            <w:r>
              <w:rPr>
                <w:iCs/>
                <w:color w:val="538135" w:themeColor="accent6" w:themeShade="BF"/>
                <w:lang w:val="en-US"/>
              </w:rPr>
              <w:t xml:space="preserve">As one of the </w:t>
            </w:r>
            <w:r w:rsidR="00FF34C3">
              <w:rPr>
                <w:iCs/>
                <w:color w:val="538135" w:themeColor="accent6" w:themeShade="BF"/>
                <w:lang w:val="en-US"/>
              </w:rPr>
              <w:t>strategies</w:t>
            </w:r>
            <w:r w:rsidR="003247A6">
              <w:rPr>
                <w:iCs/>
                <w:color w:val="538135" w:themeColor="accent6" w:themeShade="BF"/>
                <w:lang w:val="en-US"/>
              </w:rPr>
              <w:t xml:space="preserve"> for </w:t>
            </w:r>
            <w:r w:rsidR="00FD2F68">
              <w:rPr>
                <w:iCs/>
                <w:color w:val="538135" w:themeColor="accent6" w:themeShade="BF"/>
                <w:lang w:val="en-US"/>
              </w:rPr>
              <w:t xml:space="preserve">long-term </w:t>
            </w:r>
            <w:r w:rsidR="003247A6">
              <w:rPr>
                <w:iCs/>
                <w:color w:val="538135" w:themeColor="accent6" w:themeShade="BF"/>
                <w:lang w:val="en-US"/>
              </w:rPr>
              <w:t xml:space="preserve">sustainable financing is to access global </w:t>
            </w:r>
            <w:r w:rsidR="005A18E5">
              <w:rPr>
                <w:iCs/>
                <w:color w:val="538135" w:themeColor="accent6" w:themeShade="BF"/>
                <w:lang w:val="en-US"/>
              </w:rPr>
              <w:t xml:space="preserve">and national ecosystem-service </w:t>
            </w:r>
            <w:r w:rsidR="003247A6">
              <w:rPr>
                <w:iCs/>
                <w:color w:val="538135" w:themeColor="accent6" w:themeShade="BF"/>
                <w:lang w:val="en-US"/>
              </w:rPr>
              <w:t>market</w:t>
            </w:r>
            <w:r w:rsidR="000316B8">
              <w:rPr>
                <w:iCs/>
                <w:color w:val="538135" w:themeColor="accent6" w:themeShade="BF"/>
                <w:lang w:val="en-US"/>
              </w:rPr>
              <w:t>s,</w:t>
            </w:r>
            <w:r w:rsidR="003247A6">
              <w:rPr>
                <w:iCs/>
                <w:color w:val="538135" w:themeColor="accent6" w:themeShade="BF"/>
                <w:lang w:val="en-US"/>
              </w:rPr>
              <w:t xml:space="preserve"> </w:t>
            </w:r>
            <w:r w:rsidR="00FD2F68">
              <w:rPr>
                <w:iCs/>
                <w:color w:val="538135" w:themeColor="accent6" w:themeShade="BF"/>
                <w:lang w:val="en-US"/>
              </w:rPr>
              <w:t xml:space="preserve">we will </w:t>
            </w:r>
            <w:r w:rsidR="005A18E5">
              <w:rPr>
                <w:iCs/>
                <w:color w:val="538135" w:themeColor="accent6" w:themeShade="BF"/>
                <w:lang w:val="en-US"/>
              </w:rPr>
              <w:t xml:space="preserve">register this </w:t>
            </w:r>
            <w:r w:rsidR="000316B8">
              <w:rPr>
                <w:iCs/>
                <w:color w:val="538135" w:themeColor="accent6" w:themeShade="BF"/>
                <w:lang w:val="en-US"/>
              </w:rPr>
              <w:t xml:space="preserve">HD </w:t>
            </w:r>
            <w:proofErr w:type="spellStart"/>
            <w:r w:rsidR="000316B8">
              <w:rPr>
                <w:iCs/>
                <w:color w:val="538135" w:themeColor="accent6" w:themeShade="BF"/>
                <w:lang w:val="en-US"/>
              </w:rPr>
              <w:t>Telaga</w:t>
            </w:r>
            <w:proofErr w:type="spellEnd"/>
            <w:r w:rsidR="000316B8">
              <w:rPr>
                <w:iCs/>
                <w:color w:val="538135" w:themeColor="accent6" w:themeShade="BF"/>
                <w:lang w:val="en-US"/>
              </w:rPr>
              <w:t xml:space="preserve"> in </w:t>
            </w:r>
            <w:r>
              <w:rPr>
                <w:iCs/>
                <w:color w:val="538135" w:themeColor="accent6" w:themeShade="BF"/>
                <w:lang w:val="en-US"/>
              </w:rPr>
              <w:t>the Indonesia National R</w:t>
            </w:r>
            <w:r w:rsidR="000316B8">
              <w:rPr>
                <w:iCs/>
                <w:color w:val="538135" w:themeColor="accent6" w:themeShade="BF"/>
                <w:lang w:val="en-US"/>
              </w:rPr>
              <w:t xml:space="preserve">egistry </w:t>
            </w:r>
            <w:r>
              <w:rPr>
                <w:iCs/>
                <w:color w:val="538135" w:themeColor="accent6" w:themeShade="BF"/>
                <w:lang w:val="en-US"/>
              </w:rPr>
              <w:t>S</w:t>
            </w:r>
            <w:r w:rsidR="000316B8">
              <w:rPr>
                <w:iCs/>
                <w:color w:val="538135" w:themeColor="accent6" w:themeShade="BF"/>
                <w:lang w:val="en-US"/>
              </w:rPr>
              <w:t xml:space="preserve">ystem (SRN) and certify </w:t>
            </w:r>
            <w:r>
              <w:rPr>
                <w:iCs/>
                <w:color w:val="538135" w:themeColor="accent6" w:themeShade="BF"/>
                <w:lang w:val="en-US"/>
              </w:rPr>
              <w:t xml:space="preserve">HD </w:t>
            </w:r>
            <w:r w:rsidR="000316B8">
              <w:rPr>
                <w:iCs/>
                <w:color w:val="538135" w:themeColor="accent6" w:themeShade="BF"/>
                <w:lang w:val="en-US"/>
              </w:rPr>
              <w:t>performance under the Plan Vivo Standard.</w:t>
            </w:r>
            <w:r w:rsidR="0086499E">
              <w:rPr>
                <w:iCs/>
                <w:color w:val="538135" w:themeColor="accent6" w:themeShade="BF"/>
                <w:lang w:val="en-US"/>
              </w:rPr>
              <w:t xml:space="preserve"> We will apply a robust yet </w:t>
            </w:r>
            <w:r w:rsidR="0086499E">
              <w:rPr>
                <w:iCs/>
                <w:color w:val="538135" w:themeColor="accent6" w:themeShade="BF"/>
                <w:lang w:val="en-US"/>
              </w:rPr>
              <w:lastRenderedPageBreak/>
              <w:t xml:space="preserve">implementable methodology in registering and certifying HD </w:t>
            </w:r>
            <w:proofErr w:type="spellStart"/>
            <w:r w:rsidR="0086499E">
              <w:rPr>
                <w:iCs/>
                <w:color w:val="538135" w:themeColor="accent6" w:themeShade="BF"/>
                <w:lang w:val="en-US"/>
              </w:rPr>
              <w:t>Telaga</w:t>
            </w:r>
            <w:proofErr w:type="spellEnd"/>
            <w:r w:rsidR="0086499E">
              <w:rPr>
                <w:iCs/>
                <w:color w:val="538135" w:themeColor="accent6" w:themeShade="BF"/>
                <w:lang w:val="en-US"/>
              </w:rPr>
              <w:t xml:space="preserve"> in SRN (using Indonesian National Standard) and Plan Vivo (using Plan Vivo Methodology Framewo</w:t>
            </w:r>
            <w:r>
              <w:rPr>
                <w:iCs/>
                <w:color w:val="538135" w:themeColor="accent6" w:themeShade="BF"/>
                <w:lang w:val="en-US"/>
              </w:rPr>
              <w:t>r</w:t>
            </w:r>
            <w:r w:rsidR="0086499E">
              <w:rPr>
                <w:iCs/>
                <w:color w:val="538135" w:themeColor="accent6" w:themeShade="BF"/>
                <w:lang w:val="en-US"/>
              </w:rPr>
              <w:t>k</w:t>
            </w:r>
            <w:r>
              <w:rPr>
                <w:iCs/>
                <w:color w:val="538135" w:themeColor="accent6" w:themeShade="BF"/>
                <w:lang w:val="en-US"/>
              </w:rPr>
              <w:t xml:space="preserve">). </w:t>
            </w:r>
            <w:r w:rsidR="00D21653">
              <w:rPr>
                <w:iCs/>
                <w:color w:val="538135" w:themeColor="accent6" w:themeShade="BF"/>
                <w:lang w:val="en-US"/>
              </w:rPr>
              <w:t xml:space="preserve">We will </w:t>
            </w:r>
            <w:r>
              <w:rPr>
                <w:iCs/>
                <w:color w:val="538135" w:themeColor="accent6" w:themeShade="BF"/>
                <w:lang w:val="en-US"/>
              </w:rPr>
              <w:t xml:space="preserve">also </w:t>
            </w:r>
            <w:r w:rsidR="00D21653">
              <w:rPr>
                <w:iCs/>
                <w:color w:val="538135" w:themeColor="accent6" w:themeShade="BF"/>
                <w:lang w:val="en-US"/>
              </w:rPr>
              <w:t xml:space="preserve">provide </w:t>
            </w:r>
            <w:r w:rsidR="00247E31">
              <w:rPr>
                <w:iCs/>
                <w:color w:val="538135" w:themeColor="accent6" w:themeShade="BF"/>
                <w:lang w:val="en-US"/>
              </w:rPr>
              <w:t>annual report</w:t>
            </w:r>
            <w:r>
              <w:rPr>
                <w:iCs/>
                <w:color w:val="538135" w:themeColor="accent6" w:themeShade="BF"/>
                <w:lang w:val="en-US"/>
              </w:rPr>
              <w:t>s</w:t>
            </w:r>
            <w:r w:rsidR="00247E31">
              <w:rPr>
                <w:iCs/>
                <w:color w:val="538135" w:themeColor="accent6" w:themeShade="BF"/>
                <w:lang w:val="en-US"/>
              </w:rPr>
              <w:t xml:space="preserve"> to both SRN and Plan Vivo </w:t>
            </w:r>
            <w:r>
              <w:rPr>
                <w:iCs/>
                <w:color w:val="538135" w:themeColor="accent6" w:themeShade="BF"/>
                <w:lang w:val="en-US"/>
              </w:rPr>
              <w:t xml:space="preserve">to update </w:t>
            </w:r>
            <w:r w:rsidR="00AA7E3A">
              <w:rPr>
                <w:iCs/>
                <w:color w:val="538135" w:themeColor="accent6" w:themeShade="BF"/>
                <w:lang w:val="en-US"/>
              </w:rPr>
              <w:t xml:space="preserve">information </w:t>
            </w:r>
            <w:r w:rsidR="00247E31">
              <w:rPr>
                <w:iCs/>
                <w:color w:val="538135" w:themeColor="accent6" w:themeShade="BF"/>
                <w:lang w:val="en-US"/>
              </w:rPr>
              <w:t xml:space="preserve">on community performance in reducing deforestation (against baseline), hectares of rehabilitated </w:t>
            </w:r>
            <w:proofErr w:type="spellStart"/>
            <w:r w:rsidR="00247E31">
              <w:rPr>
                <w:iCs/>
                <w:color w:val="538135" w:themeColor="accent6" w:themeShade="BF"/>
                <w:lang w:val="en-US"/>
              </w:rPr>
              <w:t>peatland</w:t>
            </w:r>
            <w:proofErr w:type="spellEnd"/>
            <w:r w:rsidR="00247E31">
              <w:rPr>
                <w:iCs/>
                <w:color w:val="538135" w:themeColor="accent6" w:themeShade="BF"/>
                <w:lang w:val="en-US"/>
              </w:rPr>
              <w:t xml:space="preserve">, </w:t>
            </w:r>
            <w:proofErr w:type="gramStart"/>
            <w:r w:rsidR="00247E31">
              <w:rPr>
                <w:iCs/>
                <w:color w:val="538135" w:themeColor="accent6" w:themeShade="BF"/>
                <w:lang w:val="en-US"/>
              </w:rPr>
              <w:t>number</w:t>
            </w:r>
            <w:r w:rsidR="00300DB8">
              <w:rPr>
                <w:iCs/>
                <w:color w:val="538135" w:themeColor="accent6" w:themeShade="BF"/>
                <w:lang w:val="en-US"/>
              </w:rPr>
              <w:t>s</w:t>
            </w:r>
            <w:proofErr w:type="gramEnd"/>
            <w:r w:rsidR="00247E31">
              <w:rPr>
                <w:iCs/>
                <w:color w:val="538135" w:themeColor="accent6" w:themeShade="BF"/>
                <w:lang w:val="en-US"/>
              </w:rPr>
              <w:t xml:space="preserve"> of </w:t>
            </w:r>
            <w:r w:rsidR="002830C0">
              <w:rPr>
                <w:iCs/>
                <w:color w:val="538135" w:themeColor="accent6" w:themeShade="BF"/>
                <w:lang w:val="en-US"/>
              </w:rPr>
              <w:t>positively impacted</w:t>
            </w:r>
            <w:r w:rsidR="00247E31">
              <w:rPr>
                <w:iCs/>
                <w:color w:val="538135" w:themeColor="accent6" w:themeShade="BF"/>
                <w:lang w:val="en-US"/>
              </w:rPr>
              <w:t xml:space="preserve"> communities and </w:t>
            </w:r>
            <w:r w:rsidR="004E04C8">
              <w:rPr>
                <w:iCs/>
                <w:color w:val="538135" w:themeColor="accent6" w:themeShade="BF"/>
                <w:lang w:val="en-US"/>
              </w:rPr>
              <w:t>the use of received funding</w:t>
            </w:r>
            <w:r w:rsidR="002830C0">
              <w:rPr>
                <w:iCs/>
                <w:color w:val="538135" w:themeColor="accent6" w:themeShade="BF"/>
                <w:lang w:val="en-US"/>
              </w:rPr>
              <w:t>.</w:t>
            </w:r>
            <w:r w:rsidR="00F8576A">
              <w:rPr>
                <w:iCs/>
                <w:color w:val="538135" w:themeColor="accent6" w:themeShade="BF"/>
                <w:lang w:val="en-US"/>
              </w:rPr>
              <w:t xml:space="preserve"> </w:t>
            </w:r>
            <w:r w:rsidR="00A5247F">
              <w:rPr>
                <w:iCs/>
                <w:color w:val="538135" w:themeColor="accent6" w:themeShade="BF"/>
                <w:lang w:val="en-US"/>
              </w:rPr>
              <w:t xml:space="preserve">Once approve, </w:t>
            </w:r>
            <w:r w:rsidR="00FF34C3">
              <w:rPr>
                <w:iCs/>
                <w:color w:val="538135" w:themeColor="accent6" w:themeShade="BF"/>
                <w:lang w:val="en-US"/>
              </w:rPr>
              <w:t>that information</w:t>
            </w:r>
            <w:r w:rsidR="00A5247F">
              <w:rPr>
                <w:iCs/>
                <w:color w:val="538135" w:themeColor="accent6" w:themeShade="BF"/>
                <w:lang w:val="en-US"/>
              </w:rPr>
              <w:t xml:space="preserve"> will be posted on </w:t>
            </w:r>
            <w:r>
              <w:rPr>
                <w:iCs/>
                <w:color w:val="538135" w:themeColor="accent6" w:themeShade="BF"/>
                <w:lang w:val="en-US"/>
              </w:rPr>
              <w:t>the SRN and Plan Vivo website</w:t>
            </w:r>
            <w:r w:rsidR="00A5247F">
              <w:rPr>
                <w:iCs/>
                <w:color w:val="538135" w:themeColor="accent6" w:themeShade="BF"/>
                <w:lang w:val="en-US"/>
              </w:rPr>
              <w:t xml:space="preserve">s to demonstrate </w:t>
            </w:r>
            <w:r w:rsidR="00BE16E6">
              <w:rPr>
                <w:iCs/>
                <w:color w:val="538135" w:themeColor="accent6" w:themeShade="BF"/>
                <w:lang w:val="en-US"/>
              </w:rPr>
              <w:t xml:space="preserve">community management </w:t>
            </w:r>
            <w:r w:rsidR="00A24BD7">
              <w:rPr>
                <w:iCs/>
                <w:color w:val="538135" w:themeColor="accent6" w:themeShade="BF"/>
                <w:lang w:val="en-US"/>
              </w:rPr>
              <w:t>transparency</w:t>
            </w:r>
            <w:r w:rsidR="00A5247F">
              <w:rPr>
                <w:iCs/>
                <w:color w:val="538135" w:themeColor="accent6" w:themeShade="BF"/>
                <w:lang w:val="en-US"/>
              </w:rPr>
              <w:t xml:space="preserve"> in</w:t>
            </w:r>
            <w:r w:rsidR="00BE16E6">
              <w:rPr>
                <w:iCs/>
                <w:color w:val="538135" w:themeColor="accent6" w:themeShade="BF"/>
                <w:lang w:val="en-US"/>
              </w:rPr>
              <w:t xml:space="preserve"> HD </w:t>
            </w:r>
            <w:proofErr w:type="spellStart"/>
            <w:r w:rsidR="00BE16E6">
              <w:rPr>
                <w:iCs/>
                <w:color w:val="538135" w:themeColor="accent6" w:themeShade="BF"/>
                <w:lang w:val="en-US"/>
              </w:rPr>
              <w:t>Telaga</w:t>
            </w:r>
            <w:proofErr w:type="spellEnd"/>
            <w:r w:rsidR="00BE16E6">
              <w:rPr>
                <w:iCs/>
                <w:color w:val="538135" w:themeColor="accent6" w:themeShade="BF"/>
                <w:lang w:val="en-US"/>
              </w:rPr>
              <w:t>.</w:t>
            </w:r>
          </w:p>
        </w:tc>
      </w:tr>
      <w:tr w:rsidR="00C31A11" w14:paraId="209B9A59" w14:textId="77777777" w:rsidTr="00F14D77">
        <w:tc>
          <w:tcPr>
            <w:tcW w:w="9016" w:type="dxa"/>
            <w:gridSpan w:val="2"/>
            <w:vAlign w:val="center"/>
          </w:tcPr>
          <w:p w14:paraId="701995FA" w14:textId="77777777" w:rsidR="00C31A11" w:rsidRDefault="00C31A11" w:rsidP="00F14D77">
            <w:pPr>
              <w:rPr>
                <w:lang w:val="en-MY"/>
              </w:rPr>
            </w:pPr>
            <w:r>
              <w:rPr>
                <w:lang w:val="en-MY"/>
              </w:rPr>
              <w:lastRenderedPageBreak/>
              <w:t xml:space="preserve">What organisation(s) will be managing/delivering the </w:t>
            </w:r>
            <w:r w:rsidRPr="00094603">
              <w:rPr>
                <w:b/>
                <w:lang w:val="en-MY"/>
              </w:rPr>
              <w:t>remediation</w:t>
            </w:r>
            <w:r>
              <w:rPr>
                <w:lang w:val="en-MY"/>
              </w:rPr>
              <w:t xml:space="preserve"> &amp; </w:t>
            </w:r>
            <w:r w:rsidRPr="00094603">
              <w:rPr>
                <w:b/>
                <w:lang w:val="en-MY"/>
              </w:rPr>
              <w:t>compensation</w:t>
            </w:r>
            <w:r>
              <w:rPr>
                <w:lang w:val="en-MY"/>
              </w:rPr>
              <w:t xml:space="preserve"> project?</w:t>
            </w:r>
          </w:p>
        </w:tc>
      </w:tr>
      <w:tr w:rsidR="00C31A11" w:rsidRPr="006353E3" w14:paraId="3441E9F0" w14:textId="77777777" w:rsidTr="00F14D77">
        <w:tc>
          <w:tcPr>
            <w:tcW w:w="9016" w:type="dxa"/>
            <w:gridSpan w:val="2"/>
            <w:vAlign w:val="center"/>
          </w:tcPr>
          <w:p w14:paraId="56CF309A" w14:textId="77777777" w:rsidR="00C31A11" w:rsidRDefault="00A17902" w:rsidP="00861506">
            <w:pPr>
              <w:rPr>
                <w:iCs/>
                <w:color w:val="538135" w:themeColor="accent6" w:themeShade="BF"/>
                <w:lang w:val="en-US"/>
              </w:rPr>
            </w:pPr>
            <w:r>
              <w:rPr>
                <w:iCs/>
                <w:color w:val="538135" w:themeColor="accent6" w:themeShade="BF"/>
                <w:lang w:val="en-US"/>
              </w:rPr>
              <w:t>Community Forest Ecosystem Services (CFES) will be managing the compensation project.</w:t>
            </w:r>
          </w:p>
          <w:p w14:paraId="0C7D0BFF" w14:textId="5B3E9A68" w:rsidR="00C75901" w:rsidRPr="00B10FC0" w:rsidRDefault="00C75901" w:rsidP="00861506">
            <w:pPr>
              <w:rPr>
                <w:iCs/>
                <w:color w:val="538135" w:themeColor="accent6" w:themeShade="BF"/>
                <w:lang w:val="en-US"/>
              </w:rPr>
            </w:pPr>
            <w:r w:rsidRPr="00C75901">
              <w:rPr>
                <w:iCs/>
                <w:color w:val="538135" w:themeColor="accent6" w:themeShade="BF"/>
                <w:highlight w:val="yellow"/>
                <w:lang w:val="en-US"/>
              </w:rPr>
              <w:t xml:space="preserve">The Remediation will be managed </w:t>
            </w:r>
            <w:proofErr w:type="gramStart"/>
            <w:r w:rsidRPr="00C75901">
              <w:rPr>
                <w:iCs/>
                <w:color w:val="538135" w:themeColor="accent6" w:themeShade="BF"/>
                <w:highlight w:val="yellow"/>
                <w:lang w:val="en-US"/>
              </w:rPr>
              <w:t>by ?</w:t>
            </w:r>
            <w:proofErr w:type="gramEnd"/>
          </w:p>
        </w:tc>
      </w:tr>
      <w:tr w:rsidR="00C31A11" w14:paraId="01F78B70" w14:textId="77777777" w:rsidTr="008F3362">
        <w:trPr>
          <w:trHeight w:val="570"/>
        </w:trPr>
        <w:tc>
          <w:tcPr>
            <w:tcW w:w="9016" w:type="dxa"/>
            <w:gridSpan w:val="2"/>
            <w:tcBorders>
              <w:bottom w:val="single" w:sz="4" w:space="0" w:color="000000"/>
            </w:tcBorders>
            <w:vAlign w:val="center"/>
          </w:tcPr>
          <w:p w14:paraId="7CC3E365" w14:textId="74FAA40B" w:rsidR="00C31A11" w:rsidRPr="001B1C5E" w:rsidRDefault="00C31A11" w:rsidP="00524D35">
            <w:pPr>
              <w:rPr>
                <w:lang w:val="en-MY"/>
              </w:rPr>
            </w:pPr>
            <w:r>
              <w:rPr>
                <w:lang w:val="en-MY"/>
              </w:rPr>
              <w:t>Please indicate a proposed timeline for delivery of a) remediation and b) compensation activities and starting dates for interventions</w:t>
            </w:r>
          </w:p>
        </w:tc>
      </w:tr>
      <w:tr w:rsidR="008F3362" w14:paraId="31DC627A" w14:textId="77777777" w:rsidTr="00B40EEB">
        <w:trPr>
          <w:trHeight w:val="1043"/>
        </w:trPr>
        <w:tc>
          <w:tcPr>
            <w:tcW w:w="9016" w:type="dxa"/>
            <w:gridSpan w:val="2"/>
            <w:tcBorders>
              <w:top w:val="single" w:sz="4" w:space="0" w:color="000000"/>
            </w:tcBorders>
          </w:tcPr>
          <w:p w14:paraId="0DFF19E8" w14:textId="5537705E" w:rsidR="008F3362" w:rsidRDefault="008F3362" w:rsidP="00B40EEB">
            <w:pPr>
              <w:rPr>
                <w:iCs/>
                <w:color w:val="538135" w:themeColor="accent6" w:themeShade="BF"/>
                <w:lang w:val="en-US"/>
              </w:rPr>
            </w:pPr>
            <w:r>
              <w:rPr>
                <w:iCs/>
                <w:color w:val="538135" w:themeColor="accent6" w:themeShade="BF"/>
                <w:lang w:val="en-US"/>
              </w:rPr>
              <w:t xml:space="preserve">The proposed </w:t>
            </w:r>
            <w:r w:rsidRPr="00CE5895">
              <w:rPr>
                <w:iCs/>
                <w:color w:val="538135" w:themeColor="accent6" w:themeShade="BF"/>
                <w:lang w:val="en-US"/>
              </w:rPr>
              <w:t xml:space="preserve">starting date for compensation activities in this project is </w:t>
            </w:r>
            <w:r>
              <w:rPr>
                <w:iCs/>
                <w:color w:val="538135" w:themeColor="accent6" w:themeShade="BF"/>
                <w:lang w:val="en-US"/>
              </w:rPr>
              <w:t xml:space="preserve">January 2020. </w:t>
            </w:r>
            <w:r w:rsidRPr="00CE5895">
              <w:rPr>
                <w:iCs/>
                <w:color w:val="538135" w:themeColor="accent6" w:themeShade="BF"/>
                <w:lang w:val="en-US"/>
              </w:rPr>
              <w:t xml:space="preserve">The payment for compensation activities to the village forest and the project manager is designed for </w:t>
            </w:r>
            <w:r w:rsidR="006116EE">
              <w:rPr>
                <w:iCs/>
                <w:color w:val="538135" w:themeColor="accent6" w:themeShade="BF"/>
                <w:lang w:val="en-US"/>
              </w:rPr>
              <w:t>8</w:t>
            </w:r>
            <w:r w:rsidRPr="00CE5895">
              <w:rPr>
                <w:iCs/>
                <w:color w:val="538135" w:themeColor="accent6" w:themeShade="BF"/>
                <w:lang w:val="en-US"/>
              </w:rPr>
              <w:t xml:space="preserve"> year-contract to bind their commitment to protect the village forest for </w:t>
            </w:r>
            <w:r w:rsidR="00BF4088">
              <w:rPr>
                <w:iCs/>
                <w:color w:val="538135" w:themeColor="accent6" w:themeShade="BF"/>
                <w:lang w:val="en-US"/>
              </w:rPr>
              <w:t>3</w:t>
            </w:r>
            <w:r w:rsidRPr="00CE5895">
              <w:rPr>
                <w:iCs/>
                <w:color w:val="538135" w:themeColor="accent6" w:themeShade="BF"/>
                <w:lang w:val="en-US"/>
              </w:rPr>
              <w:t>5 years.</w:t>
            </w:r>
            <w:r w:rsidR="00E44F1E">
              <w:rPr>
                <w:iCs/>
                <w:color w:val="538135" w:themeColor="accent6" w:themeShade="BF"/>
                <w:lang w:val="en-US"/>
              </w:rPr>
              <w:t xml:space="preserve"> The first three years will be focused in strengthening the local institution and implementing forest protection activities, and the other five years will test the local institution capabilities in managing their forest independently, with result-based payment</w:t>
            </w:r>
            <w:r w:rsidR="009D45B4">
              <w:rPr>
                <w:iCs/>
                <w:color w:val="538135" w:themeColor="accent6" w:themeShade="BF"/>
                <w:lang w:val="en-US"/>
              </w:rPr>
              <w:t>s</w:t>
            </w:r>
            <w:r w:rsidR="00E44F1E">
              <w:rPr>
                <w:iCs/>
                <w:color w:val="538135" w:themeColor="accent6" w:themeShade="BF"/>
                <w:lang w:val="en-US"/>
              </w:rPr>
              <w:t xml:space="preserve"> provided whenever the indicator</w:t>
            </w:r>
            <w:r w:rsidR="00EA2482">
              <w:rPr>
                <w:iCs/>
                <w:color w:val="538135" w:themeColor="accent6" w:themeShade="BF"/>
                <w:lang w:val="en-US"/>
              </w:rPr>
              <w:t>s</w:t>
            </w:r>
            <w:r w:rsidR="00E44F1E">
              <w:rPr>
                <w:iCs/>
                <w:color w:val="538135" w:themeColor="accent6" w:themeShade="BF"/>
                <w:lang w:val="en-US"/>
              </w:rPr>
              <w:t xml:space="preserve"> of forest protection and livelihood improvement are delivered.</w:t>
            </w:r>
          </w:p>
          <w:p w14:paraId="39A4E1D6" w14:textId="173FF4CD" w:rsidR="008B5B86" w:rsidRDefault="007E6124" w:rsidP="00B40EEB">
            <w:pPr>
              <w:rPr>
                <w:iCs/>
                <w:color w:val="538135" w:themeColor="accent6" w:themeShade="BF"/>
                <w:lang w:val="en-US"/>
              </w:rPr>
            </w:pPr>
            <w:r>
              <w:rPr>
                <w:iCs/>
                <w:color w:val="538135" w:themeColor="accent6" w:themeShade="BF"/>
                <w:lang w:val="en-US"/>
              </w:rPr>
              <w:t xml:space="preserve">The </w:t>
            </w:r>
            <w:r w:rsidR="00C75901">
              <w:rPr>
                <w:iCs/>
                <w:color w:val="538135" w:themeColor="accent6" w:themeShade="BF"/>
                <w:lang w:val="en-US"/>
              </w:rPr>
              <w:t xml:space="preserve">compensation </w:t>
            </w:r>
            <w:r>
              <w:rPr>
                <w:iCs/>
                <w:color w:val="538135" w:themeColor="accent6" w:themeShade="BF"/>
                <w:lang w:val="en-US"/>
              </w:rPr>
              <w:t>project will start from January 20</w:t>
            </w:r>
            <w:r w:rsidR="007B72A0">
              <w:rPr>
                <w:iCs/>
                <w:color w:val="538135" w:themeColor="accent6" w:themeShade="BF"/>
                <w:lang w:val="en-US"/>
              </w:rPr>
              <w:t>20</w:t>
            </w:r>
            <w:r>
              <w:rPr>
                <w:iCs/>
                <w:color w:val="538135" w:themeColor="accent6" w:themeShade="BF"/>
                <w:lang w:val="en-US"/>
              </w:rPr>
              <w:t xml:space="preserve"> until </w:t>
            </w:r>
            <w:r w:rsidR="00CE49F4">
              <w:rPr>
                <w:iCs/>
                <w:color w:val="538135" w:themeColor="accent6" w:themeShade="BF"/>
                <w:lang w:val="en-US"/>
              </w:rPr>
              <w:t>December 202</w:t>
            </w:r>
            <w:r w:rsidR="003968AB">
              <w:rPr>
                <w:iCs/>
                <w:color w:val="538135" w:themeColor="accent6" w:themeShade="BF"/>
                <w:lang w:val="en-US"/>
              </w:rPr>
              <w:t>7</w:t>
            </w:r>
            <w:r w:rsidR="00CE49F4">
              <w:rPr>
                <w:iCs/>
                <w:color w:val="538135" w:themeColor="accent6" w:themeShade="BF"/>
                <w:lang w:val="en-US"/>
              </w:rPr>
              <w:t>.</w:t>
            </w:r>
            <w:r w:rsidR="00A73922">
              <w:rPr>
                <w:iCs/>
                <w:color w:val="538135" w:themeColor="accent6" w:themeShade="BF"/>
                <w:lang w:val="en-US"/>
              </w:rPr>
              <w:t xml:space="preserve"> </w:t>
            </w:r>
            <w:r w:rsidR="008B5B86">
              <w:rPr>
                <w:iCs/>
                <w:color w:val="538135" w:themeColor="accent6" w:themeShade="BF"/>
                <w:lang w:val="en-US"/>
              </w:rPr>
              <w:t>The compensation fund will be used to fund trainings on community patrol, trainings on fire prevention and SMART patrol, monitoring patrols, rehabilitation activities, and trainings on sustainable agriculture and NTFP improvement.</w:t>
            </w:r>
            <w:r w:rsidR="00A73922">
              <w:rPr>
                <w:iCs/>
                <w:color w:val="538135" w:themeColor="accent6" w:themeShade="BF"/>
                <w:lang w:val="en-US"/>
              </w:rPr>
              <w:t xml:space="preserve"> Details of activities will be presented in the proposal stage of the Compensation Plan.</w:t>
            </w:r>
          </w:p>
          <w:p w14:paraId="722F1157" w14:textId="186970AB" w:rsidR="00590272" w:rsidRDefault="00590272" w:rsidP="00B40EEB">
            <w:pPr>
              <w:rPr>
                <w:iCs/>
                <w:color w:val="538135" w:themeColor="accent6" w:themeShade="BF"/>
                <w:lang w:val="en-US"/>
              </w:rPr>
            </w:pPr>
            <w:r>
              <w:rPr>
                <w:iCs/>
                <w:color w:val="538135" w:themeColor="accent6" w:themeShade="BF"/>
                <w:lang w:val="en-US"/>
              </w:rPr>
              <w:t>In general, the timeframe for project outcomes and output is below:</w:t>
            </w:r>
          </w:p>
          <w:p w14:paraId="20140027" w14:textId="593B5070" w:rsidR="00590272" w:rsidRDefault="00281D65" w:rsidP="00B40EEB">
            <w:pPr>
              <w:rPr>
                <w:iCs/>
                <w:color w:val="538135" w:themeColor="accent6" w:themeShade="BF"/>
                <w:lang w:val="en-US"/>
              </w:rPr>
            </w:pPr>
            <w:r w:rsidRPr="00281D65">
              <w:rPr>
                <w:noProof/>
                <w:lang w:val="en-US"/>
              </w:rPr>
              <w:drawing>
                <wp:inline distT="0" distB="0" distL="0" distR="0" wp14:anchorId="5389CF5F" wp14:editId="68E564EC">
                  <wp:extent cx="5731510" cy="22713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71395"/>
                          </a:xfrm>
                          <a:prstGeom prst="rect">
                            <a:avLst/>
                          </a:prstGeom>
                          <a:noFill/>
                          <a:ln>
                            <a:noFill/>
                          </a:ln>
                        </pic:spPr>
                      </pic:pic>
                    </a:graphicData>
                  </a:graphic>
                </wp:inline>
              </w:drawing>
            </w:r>
          </w:p>
          <w:p w14:paraId="6408B115" w14:textId="3C7E65DF" w:rsidR="00590272" w:rsidRDefault="00590272" w:rsidP="00B40EEB">
            <w:pPr>
              <w:rPr>
                <w:iCs/>
                <w:color w:val="538135" w:themeColor="accent6" w:themeShade="BF"/>
                <w:lang w:val="en-US"/>
              </w:rPr>
            </w:pPr>
          </w:p>
          <w:p w14:paraId="6E618737" w14:textId="5CA2F4E8" w:rsidR="00C75901" w:rsidRDefault="00C75901" w:rsidP="00B40EEB">
            <w:pPr>
              <w:rPr>
                <w:iCs/>
                <w:color w:val="538135" w:themeColor="accent6" w:themeShade="BF"/>
                <w:lang w:val="en-US"/>
              </w:rPr>
            </w:pPr>
            <w:r w:rsidRPr="00C75901">
              <w:rPr>
                <w:iCs/>
                <w:color w:val="538135" w:themeColor="accent6" w:themeShade="BF"/>
                <w:highlight w:val="yellow"/>
                <w:lang w:val="en-US"/>
              </w:rPr>
              <w:t>The remediation project will start from?</w:t>
            </w:r>
          </w:p>
          <w:p w14:paraId="2D4B03C5" w14:textId="5CB0DEAF" w:rsidR="007E6124" w:rsidRDefault="007E6124" w:rsidP="00B40EEB">
            <w:pPr>
              <w:rPr>
                <w:lang w:val="en-MY"/>
              </w:rPr>
            </w:pPr>
          </w:p>
        </w:tc>
      </w:tr>
      <w:tr w:rsidR="00C31A11" w14:paraId="440198B9" w14:textId="77777777" w:rsidTr="00B40EEB">
        <w:tc>
          <w:tcPr>
            <w:tcW w:w="3397" w:type="dxa"/>
          </w:tcPr>
          <w:p w14:paraId="10ACF0FA" w14:textId="77777777" w:rsidR="00C31A11" w:rsidRDefault="00C31A11" w:rsidP="00B40EEB">
            <w:pPr>
              <w:rPr>
                <w:lang w:val="en-MY"/>
              </w:rPr>
            </w:pPr>
            <w:r>
              <w:rPr>
                <w:lang w:val="en-MY"/>
              </w:rPr>
              <w:t xml:space="preserve">Contact person in your organisation </w:t>
            </w:r>
          </w:p>
        </w:tc>
        <w:tc>
          <w:tcPr>
            <w:tcW w:w="5619" w:type="dxa"/>
            <w:vAlign w:val="center"/>
          </w:tcPr>
          <w:p w14:paraId="4321CF45" w14:textId="7578FC16" w:rsidR="00BD466E" w:rsidRDefault="00F85FD2" w:rsidP="00F14D77">
            <w:pPr>
              <w:rPr>
                <w:iCs/>
                <w:color w:val="538135" w:themeColor="accent6" w:themeShade="BF"/>
                <w:lang w:val="en-US"/>
              </w:rPr>
            </w:pPr>
            <w:proofErr w:type="spellStart"/>
            <w:r>
              <w:rPr>
                <w:iCs/>
                <w:color w:val="538135" w:themeColor="accent6" w:themeShade="BF"/>
                <w:lang w:val="en-US"/>
              </w:rPr>
              <w:t>Syahrial</w:t>
            </w:r>
            <w:proofErr w:type="spellEnd"/>
            <w:r>
              <w:rPr>
                <w:iCs/>
                <w:color w:val="538135" w:themeColor="accent6" w:themeShade="BF"/>
                <w:lang w:val="en-US"/>
              </w:rPr>
              <w:t xml:space="preserve"> </w:t>
            </w:r>
            <w:proofErr w:type="spellStart"/>
            <w:r>
              <w:rPr>
                <w:iCs/>
                <w:color w:val="538135" w:themeColor="accent6" w:themeShade="BF"/>
                <w:lang w:val="en-US"/>
              </w:rPr>
              <w:t>Anhar</w:t>
            </w:r>
            <w:proofErr w:type="spellEnd"/>
            <w:r>
              <w:rPr>
                <w:iCs/>
                <w:color w:val="538135" w:themeColor="accent6" w:themeShade="BF"/>
                <w:lang w:val="en-US"/>
              </w:rPr>
              <w:t xml:space="preserve"> </w:t>
            </w:r>
            <w:proofErr w:type="spellStart"/>
            <w:r>
              <w:rPr>
                <w:iCs/>
                <w:color w:val="538135" w:themeColor="accent6" w:themeShade="BF"/>
                <w:lang w:val="en-US"/>
              </w:rPr>
              <w:t>Harahap</w:t>
            </w:r>
            <w:proofErr w:type="spellEnd"/>
          </w:p>
          <w:p w14:paraId="2ED8280E" w14:textId="35857D8C" w:rsidR="00BD466E" w:rsidRDefault="00BD466E" w:rsidP="00F14D77">
            <w:pPr>
              <w:rPr>
                <w:iCs/>
                <w:color w:val="538135" w:themeColor="accent6" w:themeShade="BF"/>
                <w:lang w:val="en-US"/>
              </w:rPr>
            </w:pPr>
          </w:p>
          <w:p w14:paraId="5D2E433E" w14:textId="15A1F6FB" w:rsidR="00BD466E" w:rsidRDefault="00BD466E" w:rsidP="00F14D77">
            <w:pPr>
              <w:rPr>
                <w:iCs/>
                <w:color w:val="538135" w:themeColor="accent6" w:themeShade="BF"/>
                <w:lang w:val="en-US"/>
              </w:rPr>
            </w:pPr>
            <w:r>
              <w:rPr>
                <w:iCs/>
                <w:color w:val="538135" w:themeColor="accent6" w:themeShade="BF"/>
                <w:lang w:val="en-US"/>
              </w:rPr>
              <w:t xml:space="preserve">Email: </w:t>
            </w:r>
            <w:r w:rsidR="00F85FD2">
              <w:rPr>
                <w:iCs/>
                <w:color w:val="538135" w:themeColor="accent6" w:themeShade="BF"/>
                <w:lang w:val="en-US"/>
              </w:rPr>
              <w:t xml:space="preserve">syahrial.harahap@id.wilmar-intl.com </w:t>
            </w:r>
          </w:p>
          <w:p w14:paraId="0DAAD458" w14:textId="61DE1BDA" w:rsidR="00F85FD2" w:rsidRDefault="00E571CF" w:rsidP="00E571CF">
            <w:pPr>
              <w:rPr>
                <w:iCs/>
                <w:color w:val="538135" w:themeColor="accent6" w:themeShade="BF"/>
                <w:lang w:val="en-US"/>
              </w:rPr>
            </w:pPr>
            <w:r>
              <w:rPr>
                <w:iCs/>
                <w:color w:val="538135" w:themeColor="accent6" w:themeShade="BF"/>
                <w:lang w:val="en-US"/>
              </w:rPr>
              <w:t xml:space="preserve">Address: </w:t>
            </w:r>
            <w:proofErr w:type="spellStart"/>
            <w:r w:rsidR="00F85FD2">
              <w:rPr>
                <w:iCs/>
                <w:color w:val="538135" w:themeColor="accent6" w:themeShade="BF"/>
                <w:lang w:val="en-US"/>
              </w:rPr>
              <w:t>Multivision</w:t>
            </w:r>
            <w:proofErr w:type="spellEnd"/>
            <w:r w:rsidR="00F85FD2">
              <w:rPr>
                <w:iCs/>
                <w:color w:val="538135" w:themeColor="accent6" w:themeShade="BF"/>
                <w:lang w:val="en-US"/>
              </w:rPr>
              <w:t xml:space="preserve"> Tower, level 15.</w:t>
            </w:r>
          </w:p>
          <w:p w14:paraId="6AF53208" w14:textId="77777777" w:rsidR="00F85FD2" w:rsidRDefault="00E571CF" w:rsidP="00E571CF">
            <w:pPr>
              <w:rPr>
                <w:iCs/>
                <w:color w:val="538135" w:themeColor="accent6" w:themeShade="BF"/>
                <w:lang w:val="en-US"/>
              </w:rPr>
            </w:pPr>
            <w:r>
              <w:rPr>
                <w:iCs/>
                <w:color w:val="538135" w:themeColor="accent6" w:themeShade="BF"/>
                <w:lang w:val="en-US"/>
              </w:rPr>
              <w:t xml:space="preserve">Jl. </w:t>
            </w:r>
            <w:proofErr w:type="spellStart"/>
            <w:r w:rsidR="00F85FD2">
              <w:rPr>
                <w:iCs/>
                <w:color w:val="538135" w:themeColor="accent6" w:themeShade="BF"/>
                <w:lang w:val="en-US"/>
              </w:rPr>
              <w:t>Kuningan</w:t>
            </w:r>
            <w:proofErr w:type="spellEnd"/>
            <w:r w:rsidR="00F85FD2">
              <w:rPr>
                <w:iCs/>
                <w:color w:val="538135" w:themeColor="accent6" w:themeShade="BF"/>
                <w:lang w:val="en-US"/>
              </w:rPr>
              <w:t xml:space="preserve"> </w:t>
            </w:r>
            <w:proofErr w:type="spellStart"/>
            <w:r w:rsidR="00F85FD2">
              <w:rPr>
                <w:iCs/>
                <w:color w:val="538135" w:themeColor="accent6" w:themeShade="BF"/>
                <w:lang w:val="en-US"/>
              </w:rPr>
              <w:t>Mulia</w:t>
            </w:r>
            <w:proofErr w:type="spellEnd"/>
            <w:r w:rsidR="00F85FD2">
              <w:rPr>
                <w:iCs/>
                <w:color w:val="538135" w:themeColor="accent6" w:themeShade="BF"/>
                <w:lang w:val="en-US"/>
              </w:rPr>
              <w:t xml:space="preserve"> </w:t>
            </w:r>
            <w:proofErr w:type="spellStart"/>
            <w:r w:rsidR="00F85FD2">
              <w:rPr>
                <w:iCs/>
                <w:color w:val="538135" w:themeColor="accent6" w:themeShade="BF"/>
                <w:lang w:val="en-US"/>
              </w:rPr>
              <w:t>Kav</w:t>
            </w:r>
            <w:proofErr w:type="spellEnd"/>
            <w:r w:rsidR="00F85FD2">
              <w:rPr>
                <w:iCs/>
                <w:color w:val="538135" w:themeColor="accent6" w:themeShade="BF"/>
                <w:lang w:val="en-US"/>
              </w:rPr>
              <w:t>. IX-B Jakarta Selatan. 12980</w:t>
            </w:r>
          </w:p>
          <w:p w14:paraId="55A55D85" w14:textId="43D6A8C7" w:rsidR="003368F6" w:rsidRPr="00F85FD2" w:rsidRDefault="003368F6" w:rsidP="00E571CF">
            <w:pPr>
              <w:rPr>
                <w:iCs/>
                <w:color w:val="538135" w:themeColor="accent6" w:themeShade="BF"/>
                <w:lang w:val="en-US"/>
              </w:rPr>
            </w:pPr>
            <w:r>
              <w:rPr>
                <w:iCs/>
                <w:color w:val="538135" w:themeColor="accent6" w:themeShade="BF"/>
                <w:lang w:val="en-US"/>
              </w:rPr>
              <w:t>Phone: +62 21 293 80 777 Ext.306</w:t>
            </w:r>
          </w:p>
        </w:tc>
      </w:tr>
    </w:tbl>
    <w:p w14:paraId="0C4CD025" w14:textId="77777777" w:rsidR="00C31A11" w:rsidRDefault="00C31A11" w:rsidP="00C31A11">
      <w:pPr>
        <w:jc w:val="both"/>
        <w:rPr>
          <w:lang w:val="en-MY"/>
        </w:rPr>
      </w:pPr>
    </w:p>
    <w:p w14:paraId="79D9D43C" w14:textId="71E8D2F6" w:rsidR="00C31A11" w:rsidRDefault="00C31A11" w:rsidP="00C31A11">
      <w:pPr>
        <w:jc w:val="both"/>
        <w:rPr>
          <w:lang w:val="en-MY"/>
        </w:rPr>
      </w:pPr>
    </w:p>
    <w:p w14:paraId="5AC90049" w14:textId="16799478" w:rsidR="005960DE" w:rsidRDefault="005960DE" w:rsidP="00C31A11">
      <w:pPr>
        <w:jc w:val="both"/>
        <w:rPr>
          <w:lang w:val="en-MY"/>
        </w:rPr>
      </w:pPr>
    </w:p>
    <w:sectPr w:rsidR="005960DE" w:rsidSect="007D2AA7">
      <w:headerReference w:type="default" r:id="rId11"/>
      <w:footerReference w:type="default" r:id="rId12"/>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1C4D45" w14:textId="77777777" w:rsidR="00EF4057" w:rsidRDefault="00EF4057" w:rsidP="006257B6">
      <w:pPr>
        <w:spacing w:after="0" w:line="240" w:lineRule="auto"/>
      </w:pPr>
      <w:r>
        <w:separator/>
      </w:r>
    </w:p>
  </w:endnote>
  <w:endnote w:type="continuationSeparator" w:id="0">
    <w:p w14:paraId="2173857D" w14:textId="77777777" w:rsidR="00EF4057" w:rsidRDefault="00EF4057" w:rsidP="00625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Narrow" w:hAnsi="Arial Narrow"/>
        <w:sz w:val="16"/>
        <w:szCs w:val="16"/>
      </w:rPr>
      <w:id w:val="73950587"/>
      <w:docPartObj>
        <w:docPartGallery w:val="Page Numbers (Bottom of Page)"/>
        <w:docPartUnique/>
      </w:docPartObj>
    </w:sdtPr>
    <w:sdtEndPr/>
    <w:sdtContent>
      <w:sdt>
        <w:sdtPr>
          <w:rPr>
            <w:rFonts w:ascii="Arial Narrow" w:hAnsi="Arial Narrow"/>
            <w:sz w:val="16"/>
            <w:szCs w:val="16"/>
          </w:rPr>
          <w:id w:val="1728636285"/>
          <w:docPartObj>
            <w:docPartGallery w:val="Page Numbers (Top of Page)"/>
            <w:docPartUnique/>
          </w:docPartObj>
        </w:sdtPr>
        <w:sdtEndPr/>
        <w:sdtContent>
          <w:p w14:paraId="332DFABB" w14:textId="77777777" w:rsidR="001277B8" w:rsidRPr="006257B6" w:rsidRDefault="001277B8" w:rsidP="006257B6">
            <w:pPr>
              <w:pStyle w:val="Footer"/>
              <w:pBdr>
                <w:top w:val="single" w:sz="4" w:space="1" w:color="auto"/>
              </w:pBdr>
              <w:jc w:val="center"/>
              <w:rPr>
                <w:rFonts w:ascii="Arial Narrow" w:hAnsi="Arial Narrow"/>
                <w:sz w:val="16"/>
                <w:szCs w:val="16"/>
              </w:rPr>
            </w:pPr>
            <w:r w:rsidRPr="006257B6">
              <w:rPr>
                <w:rFonts w:ascii="Arial Narrow" w:hAnsi="Arial Narrow"/>
                <w:sz w:val="16"/>
                <w:szCs w:val="16"/>
              </w:rPr>
              <w:t xml:space="preserve">Page </w:t>
            </w:r>
            <w:r w:rsidRPr="006257B6">
              <w:rPr>
                <w:rFonts w:ascii="Arial Narrow" w:hAnsi="Arial Narrow"/>
                <w:b/>
                <w:bCs/>
                <w:sz w:val="16"/>
                <w:szCs w:val="16"/>
              </w:rPr>
              <w:fldChar w:fldCharType="begin"/>
            </w:r>
            <w:r w:rsidRPr="006257B6">
              <w:rPr>
                <w:rFonts w:ascii="Arial Narrow" w:hAnsi="Arial Narrow"/>
                <w:b/>
                <w:bCs/>
                <w:sz w:val="16"/>
                <w:szCs w:val="16"/>
              </w:rPr>
              <w:instrText xml:space="preserve"> PAGE </w:instrText>
            </w:r>
            <w:r w:rsidRPr="006257B6">
              <w:rPr>
                <w:rFonts w:ascii="Arial Narrow" w:hAnsi="Arial Narrow"/>
                <w:b/>
                <w:bCs/>
                <w:sz w:val="16"/>
                <w:szCs w:val="16"/>
              </w:rPr>
              <w:fldChar w:fldCharType="separate"/>
            </w:r>
            <w:r w:rsidR="00E13C26">
              <w:rPr>
                <w:rFonts w:ascii="Arial Narrow" w:hAnsi="Arial Narrow"/>
                <w:b/>
                <w:bCs/>
                <w:noProof/>
                <w:sz w:val="16"/>
                <w:szCs w:val="16"/>
              </w:rPr>
              <w:t>3</w:t>
            </w:r>
            <w:r w:rsidRPr="006257B6">
              <w:rPr>
                <w:rFonts w:ascii="Arial Narrow" w:hAnsi="Arial Narrow"/>
                <w:b/>
                <w:bCs/>
                <w:sz w:val="16"/>
                <w:szCs w:val="16"/>
              </w:rPr>
              <w:fldChar w:fldCharType="end"/>
            </w:r>
            <w:r w:rsidRPr="006257B6">
              <w:rPr>
                <w:rFonts w:ascii="Arial Narrow" w:hAnsi="Arial Narrow"/>
                <w:sz w:val="16"/>
                <w:szCs w:val="16"/>
              </w:rPr>
              <w:t xml:space="preserve"> of </w:t>
            </w:r>
            <w:r w:rsidRPr="006257B6">
              <w:rPr>
                <w:rFonts w:ascii="Arial Narrow" w:hAnsi="Arial Narrow"/>
                <w:b/>
                <w:bCs/>
                <w:sz w:val="16"/>
                <w:szCs w:val="16"/>
              </w:rPr>
              <w:fldChar w:fldCharType="begin"/>
            </w:r>
            <w:r w:rsidRPr="006257B6">
              <w:rPr>
                <w:rFonts w:ascii="Arial Narrow" w:hAnsi="Arial Narrow"/>
                <w:b/>
                <w:bCs/>
                <w:sz w:val="16"/>
                <w:szCs w:val="16"/>
              </w:rPr>
              <w:instrText xml:space="preserve"> NUMPAGES  </w:instrText>
            </w:r>
            <w:r w:rsidRPr="006257B6">
              <w:rPr>
                <w:rFonts w:ascii="Arial Narrow" w:hAnsi="Arial Narrow"/>
                <w:b/>
                <w:bCs/>
                <w:sz w:val="16"/>
                <w:szCs w:val="16"/>
              </w:rPr>
              <w:fldChar w:fldCharType="separate"/>
            </w:r>
            <w:r w:rsidR="00E13C26">
              <w:rPr>
                <w:rFonts w:ascii="Arial Narrow" w:hAnsi="Arial Narrow"/>
                <w:b/>
                <w:bCs/>
                <w:noProof/>
                <w:sz w:val="16"/>
                <w:szCs w:val="16"/>
              </w:rPr>
              <w:t>5</w:t>
            </w:r>
            <w:r w:rsidRPr="006257B6">
              <w:rPr>
                <w:rFonts w:ascii="Arial Narrow" w:hAnsi="Arial Narrow"/>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94D6F" w14:textId="77777777" w:rsidR="00EF4057" w:rsidRDefault="00EF4057" w:rsidP="006257B6">
      <w:pPr>
        <w:spacing w:after="0" w:line="240" w:lineRule="auto"/>
      </w:pPr>
      <w:r>
        <w:separator/>
      </w:r>
    </w:p>
  </w:footnote>
  <w:footnote w:type="continuationSeparator" w:id="0">
    <w:p w14:paraId="3ECE7789" w14:textId="77777777" w:rsidR="00EF4057" w:rsidRDefault="00EF4057" w:rsidP="006257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1E57D" w14:textId="77777777" w:rsidR="001277B8" w:rsidRPr="006257B6" w:rsidRDefault="003E36D6" w:rsidP="003E36D6">
    <w:pPr>
      <w:rPr>
        <w:sz w:val="16"/>
      </w:rPr>
    </w:pPr>
    <w:r>
      <w:rPr>
        <w:noProof/>
        <w:lang w:val="en-US"/>
      </w:rPr>
      <w:drawing>
        <wp:anchor distT="0" distB="0" distL="114300" distR="114300" simplePos="0" relativeHeight="251659264" behindDoc="1" locked="0" layoutInCell="1" allowOverlap="1" wp14:anchorId="5D8E4F63" wp14:editId="378877DC">
          <wp:simplePos x="0" y="0"/>
          <wp:positionH relativeFrom="margin">
            <wp:posOffset>1744345</wp:posOffset>
          </wp:positionH>
          <wp:positionV relativeFrom="margin">
            <wp:posOffset>-880110</wp:posOffset>
          </wp:positionV>
          <wp:extent cx="2190750" cy="812800"/>
          <wp:effectExtent l="0" t="0" r="0" b="6350"/>
          <wp:wrapSquare wrapText="bothSides"/>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0750" cy="81280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6DC"/>
    <w:multiLevelType w:val="hybridMultilevel"/>
    <w:tmpl w:val="BADE623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nsid w:val="02383C3D"/>
    <w:multiLevelType w:val="multilevel"/>
    <w:tmpl w:val="C32C27F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80501C"/>
    <w:multiLevelType w:val="hybridMultilevel"/>
    <w:tmpl w:val="12E8C14C"/>
    <w:lvl w:ilvl="0" w:tplc="7D860C74">
      <w:start w:val="1"/>
      <w:numFmt w:val="decimal"/>
      <w:lvlText w:val="%1.3"/>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49C0B50"/>
    <w:multiLevelType w:val="hybridMultilevel"/>
    <w:tmpl w:val="491657EC"/>
    <w:lvl w:ilvl="0" w:tplc="08090001">
      <w:start w:val="1"/>
      <w:numFmt w:val="bullet"/>
      <w:lvlText w:val=""/>
      <w:lvlJc w:val="left"/>
      <w:pPr>
        <w:ind w:left="2160" w:hanging="720"/>
      </w:pPr>
      <w:rPr>
        <w:rFonts w:ascii="Symbol" w:hAnsi="Symbol"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4">
    <w:nsid w:val="0573490E"/>
    <w:multiLevelType w:val="hybridMultilevel"/>
    <w:tmpl w:val="D84C758C"/>
    <w:lvl w:ilvl="0" w:tplc="CDF4A420">
      <w:start w:val="1"/>
      <w:numFmt w:val="bullet"/>
      <w:lvlText w:val="-"/>
      <w:lvlJc w:val="left"/>
      <w:pPr>
        <w:ind w:left="1080" w:hanging="360"/>
      </w:pPr>
      <w:rPr>
        <w:rFonts w:ascii="Calibri" w:eastAsiaTheme="minorHAnsi" w:hAnsi="Calibri" w:cstheme="minorBidi"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nsid w:val="06B5086E"/>
    <w:multiLevelType w:val="hybridMultilevel"/>
    <w:tmpl w:val="2B26B2FE"/>
    <w:lvl w:ilvl="0" w:tplc="4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0912230D"/>
    <w:multiLevelType w:val="hybridMultilevel"/>
    <w:tmpl w:val="CE12265E"/>
    <w:lvl w:ilvl="0" w:tplc="C41E3636">
      <w:start w:val="2"/>
      <w:numFmt w:val="decimal"/>
      <w:lvlText w:val="%1.2"/>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0DD846D7"/>
    <w:multiLevelType w:val="hybridMultilevel"/>
    <w:tmpl w:val="C83E6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B90CBB"/>
    <w:multiLevelType w:val="hybridMultilevel"/>
    <w:tmpl w:val="6A30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6E0A28"/>
    <w:multiLevelType w:val="hybridMultilevel"/>
    <w:tmpl w:val="95AC77A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0">
    <w:nsid w:val="179037B6"/>
    <w:multiLevelType w:val="hybridMultilevel"/>
    <w:tmpl w:val="1B04AD00"/>
    <w:lvl w:ilvl="0" w:tplc="C41E3636">
      <w:start w:val="2"/>
      <w:numFmt w:val="decimal"/>
      <w:lvlText w:val="%1.2"/>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1E670F45"/>
    <w:multiLevelType w:val="hybridMultilevel"/>
    <w:tmpl w:val="0B0402E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2">
    <w:nsid w:val="21130A5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21CF4B22"/>
    <w:multiLevelType w:val="hybridMultilevel"/>
    <w:tmpl w:val="3F2850CC"/>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4">
    <w:nsid w:val="224A289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B6A4D84"/>
    <w:multiLevelType w:val="hybridMultilevel"/>
    <w:tmpl w:val="ED1E4C1A"/>
    <w:lvl w:ilvl="0" w:tplc="8974ACBC">
      <w:start w:val="5"/>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FFE5161"/>
    <w:multiLevelType w:val="multilevel"/>
    <w:tmpl w:val="35E8512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7613BFE"/>
    <w:multiLevelType w:val="multilevel"/>
    <w:tmpl w:val="35E8512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8A54A10"/>
    <w:multiLevelType w:val="hybridMultilevel"/>
    <w:tmpl w:val="8FF097D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9">
    <w:nsid w:val="39651F95"/>
    <w:multiLevelType w:val="hybridMultilevel"/>
    <w:tmpl w:val="9070BBCC"/>
    <w:lvl w:ilvl="0" w:tplc="C41E3636">
      <w:start w:val="2"/>
      <w:numFmt w:val="decimal"/>
      <w:lvlText w:val="%1.2"/>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46ED3417"/>
    <w:multiLevelType w:val="hybridMultilevel"/>
    <w:tmpl w:val="D480A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8D4500"/>
    <w:multiLevelType w:val="multilevel"/>
    <w:tmpl w:val="C32C27F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2FF37D2"/>
    <w:multiLevelType w:val="hybridMultilevel"/>
    <w:tmpl w:val="61D6E9A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3">
    <w:nsid w:val="57C864C0"/>
    <w:multiLevelType w:val="hybridMultilevel"/>
    <w:tmpl w:val="DB88AF0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4">
    <w:nsid w:val="580A37CF"/>
    <w:multiLevelType w:val="hybridMultilevel"/>
    <w:tmpl w:val="A1EC80FA"/>
    <w:lvl w:ilvl="0" w:tplc="7D860C74">
      <w:start w:val="1"/>
      <w:numFmt w:val="decimal"/>
      <w:lvlText w:val="%1.3"/>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5C1F4E19"/>
    <w:multiLevelType w:val="hybridMultilevel"/>
    <w:tmpl w:val="A41C620E"/>
    <w:lvl w:ilvl="0" w:tplc="F3689AD6">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nsid w:val="65D97163"/>
    <w:multiLevelType w:val="hybridMultilevel"/>
    <w:tmpl w:val="0F1E71A8"/>
    <w:lvl w:ilvl="0" w:tplc="D448494C">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669F3ACB"/>
    <w:multiLevelType w:val="multilevel"/>
    <w:tmpl w:val="35E8512E"/>
    <w:lvl w:ilvl="0">
      <w:start w:val="1"/>
      <w:numFmt w:val="decimal"/>
      <w:lvlText w:val="%1."/>
      <w:lvlJc w:val="left"/>
      <w:pPr>
        <w:ind w:left="720" w:hanging="360"/>
      </w:pPr>
    </w:lvl>
    <w:lvl w:ilvl="1">
      <w:start w:val="1"/>
      <w:numFmt w:val="decimal"/>
      <w:lvlText w:val="%1.%2."/>
      <w:lvlJc w:val="left"/>
      <w:pPr>
        <w:ind w:left="1152" w:hanging="432"/>
      </w:pPr>
      <w:rPr>
        <w:b/>
      </w:rPr>
    </w:lvl>
    <w:lvl w:ilvl="2">
      <w:start w:val="1"/>
      <w:numFmt w:val="decimal"/>
      <w:lvlText w:val="%1.%2.%3."/>
      <w:lvlJc w:val="left"/>
      <w:pPr>
        <w:ind w:left="1584" w:hanging="504"/>
      </w:pPr>
      <w:rPr>
        <w:b/>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nsid w:val="67B9653B"/>
    <w:multiLevelType w:val="hybridMultilevel"/>
    <w:tmpl w:val="4210CB3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9">
    <w:nsid w:val="69291E88"/>
    <w:multiLevelType w:val="hybridMultilevel"/>
    <w:tmpl w:val="89D4017A"/>
    <w:lvl w:ilvl="0" w:tplc="945C3C08">
      <w:start w:val="4"/>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nsid w:val="6E0034EE"/>
    <w:multiLevelType w:val="multilevel"/>
    <w:tmpl w:val="C32C27F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32D4A26"/>
    <w:multiLevelType w:val="hybridMultilevel"/>
    <w:tmpl w:val="BC8AA798"/>
    <w:lvl w:ilvl="0" w:tplc="08090001">
      <w:start w:val="1"/>
      <w:numFmt w:val="bullet"/>
      <w:lvlText w:val=""/>
      <w:lvlJc w:val="left"/>
      <w:pPr>
        <w:ind w:left="1080" w:hanging="360"/>
      </w:pPr>
      <w:rPr>
        <w:rFonts w:ascii="Symbol" w:hAnsi="Symbol" w:hint="default"/>
      </w:rPr>
    </w:lvl>
    <w:lvl w:ilvl="1" w:tplc="44090019">
      <w:start w:val="1"/>
      <w:numFmt w:val="lowerLetter"/>
      <w:lvlText w:val="%2."/>
      <w:lvlJc w:val="left"/>
      <w:pPr>
        <w:ind w:left="1800" w:hanging="360"/>
      </w:pPr>
    </w:lvl>
    <w:lvl w:ilvl="2" w:tplc="4409001B">
      <w:start w:val="1"/>
      <w:numFmt w:val="lowerRoman"/>
      <w:lvlText w:val="%3."/>
      <w:lvlJc w:val="right"/>
      <w:pPr>
        <w:ind w:left="2520" w:hanging="180"/>
      </w:pPr>
    </w:lvl>
    <w:lvl w:ilvl="3" w:tplc="08090001">
      <w:start w:val="1"/>
      <w:numFmt w:val="bullet"/>
      <w:lvlText w:val=""/>
      <w:lvlJc w:val="left"/>
      <w:pPr>
        <w:ind w:left="3240" w:hanging="360"/>
      </w:pPr>
      <w:rPr>
        <w:rFonts w:ascii="Symbol" w:hAnsi="Symbol" w:hint="default"/>
      </w:r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2">
    <w:nsid w:val="7390306A"/>
    <w:multiLevelType w:val="hybridMultilevel"/>
    <w:tmpl w:val="0C72F33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3">
    <w:nsid w:val="75200D36"/>
    <w:multiLevelType w:val="hybridMultilevel"/>
    <w:tmpl w:val="B7223700"/>
    <w:lvl w:ilvl="0" w:tplc="3B881F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B46265"/>
    <w:multiLevelType w:val="multilevel"/>
    <w:tmpl w:val="35E8512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AB675E7"/>
    <w:multiLevelType w:val="hybridMultilevel"/>
    <w:tmpl w:val="01B02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4"/>
  </w:num>
  <w:num w:numId="4">
    <w:abstractNumId w:val="29"/>
  </w:num>
  <w:num w:numId="5">
    <w:abstractNumId w:val="26"/>
  </w:num>
  <w:num w:numId="6">
    <w:abstractNumId w:val="31"/>
  </w:num>
  <w:num w:numId="7">
    <w:abstractNumId w:val="15"/>
  </w:num>
  <w:num w:numId="8">
    <w:abstractNumId w:val="3"/>
  </w:num>
  <w:num w:numId="9">
    <w:abstractNumId w:val="35"/>
  </w:num>
  <w:num w:numId="10">
    <w:abstractNumId w:val="33"/>
  </w:num>
  <w:num w:numId="11">
    <w:abstractNumId w:val="30"/>
  </w:num>
  <w:num w:numId="12">
    <w:abstractNumId w:val="12"/>
  </w:num>
  <w:num w:numId="13">
    <w:abstractNumId w:val="14"/>
  </w:num>
  <w:num w:numId="14">
    <w:abstractNumId w:val="17"/>
  </w:num>
  <w:num w:numId="15">
    <w:abstractNumId w:val="27"/>
  </w:num>
  <w:num w:numId="16">
    <w:abstractNumId w:val="16"/>
  </w:num>
  <w:num w:numId="17">
    <w:abstractNumId w:val="34"/>
  </w:num>
  <w:num w:numId="18">
    <w:abstractNumId w:val="1"/>
  </w:num>
  <w:num w:numId="19">
    <w:abstractNumId w:val="6"/>
  </w:num>
  <w:num w:numId="20">
    <w:abstractNumId w:val="19"/>
  </w:num>
  <w:num w:numId="21">
    <w:abstractNumId w:val="10"/>
  </w:num>
  <w:num w:numId="22">
    <w:abstractNumId w:val="21"/>
  </w:num>
  <w:num w:numId="23">
    <w:abstractNumId w:val="2"/>
  </w:num>
  <w:num w:numId="24">
    <w:abstractNumId w:val="24"/>
  </w:num>
  <w:num w:numId="25">
    <w:abstractNumId w:val="32"/>
  </w:num>
  <w:num w:numId="26">
    <w:abstractNumId w:val="18"/>
  </w:num>
  <w:num w:numId="27">
    <w:abstractNumId w:val="9"/>
  </w:num>
  <w:num w:numId="28">
    <w:abstractNumId w:val="0"/>
  </w:num>
  <w:num w:numId="29">
    <w:abstractNumId w:val="13"/>
  </w:num>
  <w:num w:numId="30">
    <w:abstractNumId w:val="28"/>
  </w:num>
  <w:num w:numId="31">
    <w:abstractNumId w:val="23"/>
  </w:num>
  <w:num w:numId="32">
    <w:abstractNumId w:val="22"/>
  </w:num>
  <w:num w:numId="33">
    <w:abstractNumId w:val="11"/>
  </w:num>
  <w:num w:numId="34">
    <w:abstractNumId w:val="8"/>
  </w:num>
  <w:num w:numId="35">
    <w:abstractNumId w:val="20"/>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CxNDOysDABYkMTYyUdpeDU4uLM/DyQAqNaAM60egcsAAAA"/>
  </w:docVars>
  <w:rsids>
    <w:rsidRoot w:val="007E5229"/>
    <w:rsid w:val="00000DB4"/>
    <w:rsid w:val="000067E1"/>
    <w:rsid w:val="00010304"/>
    <w:rsid w:val="00012D47"/>
    <w:rsid w:val="000169CF"/>
    <w:rsid w:val="00024FC8"/>
    <w:rsid w:val="00025283"/>
    <w:rsid w:val="000316B8"/>
    <w:rsid w:val="000361A7"/>
    <w:rsid w:val="00050BB7"/>
    <w:rsid w:val="00052285"/>
    <w:rsid w:val="00054935"/>
    <w:rsid w:val="00055461"/>
    <w:rsid w:val="00063BD0"/>
    <w:rsid w:val="00067532"/>
    <w:rsid w:val="000675CB"/>
    <w:rsid w:val="000738A6"/>
    <w:rsid w:val="0008140F"/>
    <w:rsid w:val="00090FC0"/>
    <w:rsid w:val="000916A2"/>
    <w:rsid w:val="000923E3"/>
    <w:rsid w:val="00094603"/>
    <w:rsid w:val="000A1E23"/>
    <w:rsid w:val="000A7272"/>
    <w:rsid w:val="000B3EBB"/>
    <w:rsid w:val="000B7A88"/>
    <w:rsid w:val="000B7CE6"/>
    <w:rsid w:val="000C1EFE"/>
    <w:rsid w:val="000C4889"/>
    <w:rsid w:val="000C4AE9"/>
    <w:rsid w:val="000D2D85"/>
    <w:rsid w:val="000D6F6F"/>
    <w:rsid w:val="000E3DCC"/>
    <w:rsid w:val="000E7E67"/>
    <w:rsid w:val="000F42F3"/>
    <w:rsid w:val="000F6C68"/>
    <w:rsid w:val="000F6ECC"/>
    <w:rsid w:val="0010548A"/>
    <w:rsid w:val="001069CB"/>
    <w:rsid w:val="001110E3"/>
    <w:rsid w:val="00112E12"/>
    <w:rsid w:val="00114ABF"/>
    <w:rsid w:val="0012416E"/>
    <w:rsid w:val="001277B8"/>
    <w:rsid w:val="00130082"/>
    <w:rsid w:val="00131403"/>
    <w:rsid w:val="00133475"/>
    <w:rsid w:val="0014212B"/>
    <w:rsid w:val="001429FF"/>
    <w:rsid w:val="00142C24"/>
    <w:rsid w:val="001467A1"/>
    <w:rsid w:val="00147818"/>
    <w:rsid w:val="00151E65"/>
    <w:rsid w:val="00172A5F"/>
    <w:rsid w:val="00175E66"/>
    <w:rsid w:val="00177450"/>
    <w:rsid w:val="00180C2E"/>
    <w:rsid w:val="00181907"/>
    <w:rsid w:val="001A22D2"/>
    <w:rsid w:val="001A470B"/>
    <w:rsid w:val="001B0E2E"/>
    <w:rsid w:val="001B1C5E"/>
    <w:rsid w:val="001B55F9"/>
    <w:rsid w:val="001B7837"/>
    <w:rsid w:val="001C02DD"/>
    <w:rsid w:val="001C68E6"/>
    <w:rsid w:val="001D1CDF"/>
    <w:rsid w:val="001D1F3F"/>
    <w:rsid w:val="001E4A13"/>
    <w:rsid w:val="001F345D"/>
    <w:rsid w:val="001F4A10"/>
    <w:rsid w:val="001F5ACF"/>
    <w:rsid w:val="001F6E24"/>
    <w:rsid w:val="001F7063"/>
    <w:rsid w:val="001F7531"/>
    <w:rsid w:val="002044F5"/>
    <w:rsid w:val="00206155"/>
    <w:rsid w:val="00207F07"/>
    <w:rsid w:val="00210569"/>
    <w:rsid w:val="00213533"/>
    <w:rsid w:val="00214BEB"/>
    <w:rsid w:val="00214C8A"/>
    <w:rsid w:val="00216723"/>
    <w:rsid w:val="00223E4A"/>
    <w:rsid w:val="00224298"/>
    <w:rsid w:val="00225E7E"/>
    <w:rsid w:val="00226286"/>
    <w:rsid w:val="00232371"/>
    <w:rsid w:val="002328A4"/>
    <w:rsid w:val="002332B9"/>
    <w:rsid w:val="0023652B"/>
    <w:rsid w:val="00236AC8"/>
    <w:rsid w:val="00243BC8"/>
    <w:rsid w:val="00247E31"/>
    <w:rsid w:val="002561E1"/>
    <w:rsid w:val="002651C2"/>
    <w:rsid w:val="00275188"/>
    <w:rsid w:val="00281D65"/>
    <w:rsid w:val="002830C0"/>
    <w:rsid w:val="00285F06"/>
    <w:rsid w:val="00290E90"/>
    <w:rsid w:val="002955AA"/>
    <w:rsid w:val="002A63A7"/>
    <w:rsid w:val="002B08B5"/>
    <w:rsid w:val="002B2C34"/>
    <w:rsid w:val="002B3931"/>
    <w:rsid w:val="002B4F68"/>
    <w:rsid w:val="002B565C"/>
    <w:rsid w:val="002C18B3"/>
    <w:rsid w:val="002C5392"/>
    <w:rsid w:val="002D3CBE"/>
    <w:rsid w:val="002D5C41"/>
    <w:rsid w:val="002D6E4F"/>
    <w:rsid w:val="002E3B88"/>
    <w:rsid w:val="002F45A3"/>
    <w:rsid w:val="002F47E5"/>
    <w:rsid w:val="00300DB8"/>
    <w:rsid w:val="00305B33"/>
    <w:rsid w:val="00306814"/>
    <w:rsid w:val="00316416"/>
    <w:rsid w:val="00320BCC"/>
    <w:rsid w:val="00322A70"/>
    <w:rsid w:val="003247A6"/>
    <w:rsid w:val="003368F6"/>
    <w:rsid w:val="00337332"/>
    <w:rsid w:val="00340E24"/>
    <w:rsid w:val="0034143E"/>
    <w:rsid w:val="00343723"/>
    <w:rsid w:val="00345866"/>
    <w:rsid w:val="003467C2"/>
    <w:rsid w:val="00347625"/>
    <w:rsid w:val="00347F26"/>
    <w:rsid w:val="00350B12"/>
    <w:rsid w:val="003513AB"/>
    <w:rsid w:val="00352D95"/>
    <w:rsid w:val="00353218"/>
    <w:rsid w:val="0035592E"/>
    <w:rsid w:val="003573A7"/>
    <w:rsid w:val="0036150D"/>
    <w:rsid w:val="00372296"/>
    <w:rsid w:val="00373E11"/>
    <w:rsid w:val="00390A35"/>
    <w:rsid w:val="00391521"/>
    <w:rsid w:val="003968AB"/>
    <w:rsid w:val="003A6C7D"/>
    <w:rsid w:val="003B3A28"/>
    <w:rsid w:val="003B7075"/>
    <w:rsid w:val="003C0443"/>
    <w:rsid w:val="003C0B80"/>
    <w:rsid w:val="003C5529"/>
    <w:rsid w:val="003C6FF5"/>
    <w:rsid w:val="003D128A"/>
    <w:rsid w:val="003D32EB"/>
    <w:rsid w:val="003D7BD3"/>
    <w:rsid w:val="003E36D6"/>
    <w:rsid w:val="003F2B8A"/>
    <w:rsid w:val="003F3F3A"/>
    <w:rsid w:val="003F61E3"/>
    <w:rsid w:val="00413955"/>
    <w:rsid w:val="00415C81"/>
    <w:rsid w:val="00422E47"/>
    <w:rsid w:val="00427019"/>
    <w:rsid w:val="00427545"/>
    <w:rsid w:val="00435FAB"/>
    <w:rsid w:val="0043727E"/>
    <w:rsid w:val="00457939"/>
    <w:rsid w:val="004637A9"/>
    <w:rsid w:val="00463C0D"/>
    <w:rsid w:val="00465898"/>
    <w:rsid w:val="004739FD"/>
    <w:rsid w:val="0048121A"/>
    <w:rsid w:val="00483252"/>
    <w:rsid w:val="004845EC"/>
    <w:rsid w:val="004A37E1"/>
    <w:rsid w:val="004B0861"/>
    <w:rsid w:val="004B3E30"/>
    <w:rsid w:val="004B50B4"/>
    <w:rsid w:val="004B77BF"/>
    <w:rsid w:val="004C1E67"/>
    <w:rsid w:val="004D5F29"/>
    <w:rsid w:val="004D7567"/>
    <w:rsid w:val="004E04C8"/>
    <w:rsid w:val="004E253A"/>
    <w:rsid w:val="004E48C8"/>
    <w:rsid w:val="004E5284"/>
    <w:rsid w:val="004E5C2C"/>
    <w:rsid w:val="004E7322"/>
    <w:rsid w:val="004F4514"/>
    <w:rsid w:val="004F5D3F"/>
    <w:rsid w:val="004F687E"/>
    <w:rsid w:val="005203D1"/>
    <w:rsid w:val="00524D35"/>
    <w:rsid w:val="00527DB2"/>
    <w:rsid w:val="00530B97"/>
    <w:rsid w:val="00536834"/>
    <w:rsid w:val="00542152"/>
    <w:rsid w:val="005424C0"/>
    <w:rsid w:val="0054300C"/>
    <w:rsid w:val="00543EA0"/>
    <w:rsid w:val="00545649"/>
    <w:rsid w:val="00545A78"/>
    <w:rsid w:val="005567B8"/>
    <w:rsid w:val="00562823"/>
    <w:rsid w:val="0056406A"/>
    <w:rsid w:val="0056685D"/>
    <w:rsid w:val="00567371"/>
    <w:rsid w:val="005702D7"/>
    <w:rsid w:val="005723C5"/>
    <w:rsid w:val="005755E7"/>
    <w:rsid w:val="005851FF"/>
    <w:rsid w:val="00587E0F"/>
    <w:rsid w:val="00590272"/>
    <w:rsid w:val="005960DE"/>
    <w:rsid w:val="005A18E5"/>
    <w:rsid w:val="005A410A"/>
    <w:rsid w:val="005A5B08"/>
    <w:rsid w:val="005A7D81"/>
    <w:rsid w:val="005B069D"/>
    <w:rsid w:val="005C17CF"/>
    <w:rsid w:val="005D6D2D"/>
    <w:rsid w:val="005E66A5"/>
    <w:rsid w:val="005F29FC"/>
    <w:rsid w:val="005F401C"/>
    <w:rsid w:val="005F69E3"/>
    <w:rsid w:val="005F742E"/>
    <w:rsid w:val="005F7A4F"/>
    <w:rsid w:val="006002EC"/>
    <w:rsid w:val="00605888"/>
    <w:rsid w:val="006116EE"/>
    <w:rsid w:val="00616B90"/>
    <w:rsid w:val="00620C9A"/>
    <w:rsid w:val="00622AA6"/>
    <w:rsid w:val="00623ABF"/>
    <w:rsid w:val="00624A9A"/>
    <w:rsid w:val="006257B6"/>
    <w:rsid w:val="0062598C"/>
    <w:rsid w:val="00627F5A"/>
    <w:rsid w:val="00630BCB"/>
    <w:rsid w:val="006322D7"/>
    <w:rsid w:val="006338F4"/>
    <w:rsid w:val="006353E3"/>
    <w:rsid w:val="00636E12"/>
    <w:rsid w:val="00637A38"/>
    <w:rsid w:val="00644B3D"/>
    <w:rsid w:val="00647B23"/>
    <w:rsid w:val="006508EF"/>
    <w:rsid w:val="006509AE"/>
    <w:rsid w:val="00651B45"/>
    <w:rsid w:val="00664575"/>
    <w:rsid w:val="00667276"/>
    <w:rsid w:val="00667920"/>
    <w:rsid w:val="00672B07"/>
    <w:rsid w:val="006744ED"/>
    <w:rsid w:val="00683DAE"/>
    <w:rsid w:val="00690BC7"/>
    <w:rsid w:val="006925EA"/>
    <w:rsid w:val="00693218"/>
    <w:rsid w:val="006A0F69"/>
    <w:rsid w:val="006A5461"/>
    <w:rsid w:val="006B246D"/>
    <w:rsid w:val="006B3DE2"/>
    <w:rsid w:val="006C2F96"/>
    <w:rsid w:val="006C5E05"/>
    <w:rsid w:val="006D6F0F"/>
    <w:rsid w:val="006E2710"/>
    <w:rsid w:val="006E7B05"/>
    <w:rsid w:val="006F15AD"/>
    <w:rsid w:val="006F4B6D"/>
    <w:rsid w:val="007018A7"/>
    <w:rsid w:val="00710CE5"/>
    <w:rsid w:val="00715715"/>
    <w:rsid w:val="0072237B"/>
    <w:rsid w:val="00723485"/>
    <w:rsid w:val="00726ED7"/>
    <w:rsid w:val="007321D8"/>
    <w:rsid w:val="00732BC3"/>
    <w:rsid w:val="007370B7"/>
    <w:rsid w:val="00737FE2"/>
    <w:rsid w:val="007411E2"/>
    <w:rsid w:val="007466B0"/>
    <w:rsid w:val="00756703"/>
    <w:rsid w:val="00757184"/>
    <w:rsid w:val="00763DD0"/>
    <w:rsid w:val="007649AA"/>
    <w:rsid w:val="00766448"/>
    <w:rsid w:val="00775EFC"/>
    <w:rsid w:val="00783902"/>
    <w:rsid w:val="00784516"/>
    <w:rsid w:val="00794454"/>
    <w:rsid w:val="00795386"/>
    <w:rsid w:val="00795D86"/>
    <w:rsid w:val="007A0CB4"/>
    <w:rsid w:val="007A13C9"/>
    <w:rsid w:val="007A3EC3"/>
    <w:rsid w:val="007A7A1A"/>
    <w:rsid w:val="007B313B"/>
    <w:rsid w:val="007B72A0"/>
    <w:rsid w:val="007C32CB"/>
    <w:rsid w:val="007D0052"/>
    <w:rsid w:val="007D0145"/>
    <w:rsid w:val="007D2AA7"/>
    <w:rsid w:val="007E39D5"/>
    <w:rsid w:val="007E4E92"/>
    <w:rsid w:val="007E5229"/>
    <w:rsid w:val="007E6124"/>
    <w:rsid w:val="007F6797"/>
    <w:rsid w:val="00803F8E"/>
    <w:rsid w:val="008107BF"/>
    <w:rsid w:val="008137AD"/>
    <w:rsid w:val="008152DE"/>
    <w:rsid w:val="0081735A"/>
    <w:rsid w:val="00820F87"/>
    <w:rsid w:val="00825768"/>
    <w:rsid w:val="0082694C"/>
    <w:rsid w:val="00837045"/>
    <w:rsid w:val="0084609D"/>
    <w:rsid w:val="00846A3C"/>
    <w:rsid w:val="008538AB"/>
    <w:rsid w:val="00856CF0"/>
    <w:rsid w:val="00860909"/>
    <w:rsid w:val="00861506"/>
    <w:rsid w:val="008619E0"/>
    <w:rsid w:val="0086499E"/>
    <w:rsid w:val="0086625A"/>
    <w:rsid w:val="0087607B"/>
    <w:rsid w:val="00877887"/>
    <w:rsid w:val="00880114"/>
    <w:rsid w:val="00886A37"/>
    <w:rsid w:val="00892917"/>
    <w:rsid w:val="00893856"/>
    <w:rsid w:val="008A39B2"/>
    <w:rsid w:val="008A4D4A"/>
    <w:rsid w:val="008A53DA"/>
    <w:rsid w:val="008B1EDF"/>
    <w:rsid w:val="008B262C"/>
    <w:rsid w:val="008B5B86"/>
    <w:rsid w:val="008D228E"/>
    <w:rsid w:val="008E0F13"/>
    <w:rsid w:val="008E27E0"/>
    <w:rsid w:val="008E39D4"/>
    <w:rsid w:val="008E5AD4"/>
    <w:rsid w:val="008F1A29"/>
    <w:rsid w:val="008F3005"/>
    <w:rsid w:val="008F3362"/>
    <w:rsid w:val="008F575C"/>
    <w:rsid w:val="00900C30"/>
    <w:rsid w:val="00901E1A"/>
    <w:rsid w:val="00916359"/>
    <w:rsid w:val="00925D1D"/>
    <w:rsid w:val="0094058C"/>
    <w:rsid w:val="00941550"/>
    <w:rsid w:val="00944DA6"/>
    <w:rsid w:val="009477F7"/>
    <w:rsid w:val="009502FB"/>
    <w:rsid w:val="00950F2F"/>
    <w:rsid w:val="00952705"/>
    <w:rsid w:val="00954A7B"/>
    <w:rsid w:val="00960709"/>
    <w:rsid w:val="009619A1"/>
    <w:rsid w:val="00964FBF"/>
    <w:rsid w:val="00972D08"/>
    <w:rsid w:val="00973B72"/>
    <w:rsid w:val="00984A38"/>
    <w:rsid w:val="00985B42"/>
    <w:rsid w:val="00990991"/>
    <w:rsid w:val="00991A5E"/>
    <w:rsid w:val="00991B96"/>
    <w:rsid w:val="009944EA"/>
    <w:rsid w:val="009A31F5"/>
    <w:rsid w:val="009A64BF"/>
    <w:rsid w:val="009B1F5E"/>
    <w:rsid w:val="009B63C7"/>
    <w:rsid w:val="009C294F"/>
    <w:rsid w:val="009C4238"/>
    <w:rsid w:val="009C47AE"/>
    <w:rsid w:val="009C636F"/>
    <w:rsid w:val="009C7AC7"/>
    <w:rsid w:val="009D3F96"/>
    <w:rsid w:val="009D45B4"/>
    <w:rsid w:val="009D57F5"/>
    <w:rsid w:val="009F18AD"/>
    <w:rsid w:val="009F3C04"/>
    <w:rsid w:val="009F4828"/>
    <w:rsid w:val="00A00B06"/>
    <w:rsid w:val="00A00D68"/>
    <w:rsid w:val="00A04CFA"/>
    <w:rsid w:val="00A132D4"/>
    <w:rsid w:val="00A17902"/>
    <w:rsid w:val="00A214BD"/>
    <w:rsid w:val="00A24BD7"/>
    <w:rsid w:val="00A25BBC"/>
    <w:rsid w:val="00A27E40"/>
    <w:rsid w:val="00A30578"/>
    <w:rsid w:val="00A32451"/>
    <w:rsid w:val="00A41368"/>
    <w:rsid w:val="00A45F2A"/>
    <w:rsid w:val="00A5247F"/>
    <w:rsid w:val="00A629A4"/>
    <w:rsid w:val="00A67034"/>
    <w:rsid w:val="00A722E1"/>
    <w:rsid w:val="00A73922"/>
    <w:rsid w:val="00A7719A"/>
    <w:rsid w:val="00A853D2"/>
    <w:rsid w:val="00A9344F"/>
    <w:rsid w:val="00AA0ACD"/>
    <w:rsid w:val="00AA7E3A"/>
    <w:rsid w:val="00AB4FC5"/>
    <w:rsid w:val="00AC2FAE"/>
    <w:rsid w:val="00AC3EDB"/>
    <w:rsid w:val="00AC614C"/>
    <w:rsid w:val="00AD4841"/>
    <w:rsid w:val="00AD5ACD"/>
    <w:rsid w:val="00AD74F4"/>
    <w:rsid w:val="00AE59E0"/>
    <w:rsid w:val="00AF0123"/>
    <w:rsid w:val="00AF45CC"/>
    <w:rsid w:val="00AF4FDE"/>
    <w:rsid w:val="00B05593"/>
    <w:rsid w:val="00B10FC0"/>
    <w:rsid w:val="00B11937"/>
    <w:rsid w:val="00B1591B"/>
    <w:rsid w:val="00B22B8C"/>
    <w:rsid w:val="00B25481"/>
    <w:rsid w:val="00B30B73"/>
    <w:rsid w:val="00B32B44"/>
    <w:rsid w:val="00B40E38"/>
    <w:rsid w:val="00B40EEB"/>
    <w:rsid w:val="00B41A26"/>
    <w:rsid w:val="00B42C48"/>
    <w:rsid w:val="00B53DA4"/>
    <w:rsid w:val="00B56957"/>
    <w:rsid w:val="00B603C3"/>
    <w:rsid w:val="00B63532"/>
    <w:rsid w:val="00B63CB5"/>
    <w:rsid w:val="00B719A8"/>
    <w:rsid w:val="00B73819"/>
    <w:rsid w:val="00B73F68"/>
    <w:rsid w:val="00B82183"/>
    <w:rsid w:val="00B83ADD"/>
    <w:rsid w:val="00B845A5"/>
    <w:rsid w:val="00B84751"/>
    <w:rsid w:val="00B8781D"/>
    <w:rsid w:val="00B948F9"/>
    <w:rsid w:val="00B94CEE"/>
    <w:rsid w:val="00BA1A81"/>
    <w:rsid w:val="00BA36C7"/>
    <w:rsid w:val="00BA51D8"/>
    <w:rsid w:val="00BA5F10"/>
    <w:rsid w:val="00BA742E"/>
    <w:rsid w:val="00BB0D0D"/>
    <w:rsid w:val="00BB2049"/>
    <w:rsid w:val="00BB40A8"/>
    <w:rsid w:val="00BD35EA"/>
    <w:rsid w:val="00BD466E"/>
    <w:rsid w:val="00BD6B40"/>
    <w:rsid w:val="00BE16E6"/>
    <w:rsid w:val="00BE2746"/>
    <w:rsid w:val="00BE5489"/>
    <w:rsid w:val="00BF0B65"/>
    <w:rsid w:val="00BF1DBD"/>
    <w:rsid w:val="00BF20F9"/>
    <w:rsid w:val="00BF4088"/>
    <w:rsid w:val="00BF49A1"/>
    <w:rsid w:val="00BF61B8"/>
    <w:rsid w:val="00C06B92"/>
    <w:rsid w:val="00C12B97"/>
    <w:rsid w:val="00C12FE2"/>
    <w:rsid w:val="00C1376A"/>
    <w:rsid w:val="00C13884"/>
    <w:rsid w:val="00C13D62"/>
    <w:rsid w:val="00C23C2B"/>
    <w:rsid w:val="00C254DD"/>
    <w:rsid w:val="00C31A11"/>
    <w:rsid w:val="00C35CBA"/>
    <w:rsid w:val="00C412EE"/>
    <w:rsid w:val="00C41CE1"/>
    <w:rsid w:val="00C52554"/>
    <w:rsid w:val="00C5339E"/>
    <w:rsid w:val="00C551FF"/>
    <w:rsid w:val="00C63211"/>
    <w:rsid w:val="00C6388E"/>
    <w:rsid w:val="00C65DDD"/>
    <w:rsid w:val="00C65DFB"/>
    <w:rsid w:val="00C65EE8"/>
    <w:rsid w:val="00C70CDB"/>
    <w:rsid w:val="00C723B9"/>
    <w:rsid w:val="00C75901"/>
    <w:rsid w:val="00C777F5"/>
    <w:rsid w:val="00C8051B"/>
    <w:rsid w:val="00C816ED"/>
    <w:rsid w:val="00C838DE"/>
    <w:rsid w:val="00C86CA5"/>
    <w:rsid w:val="00C92EE7"/>
    <w:rsid w:val="00CA0B05"/>
    <w:rsid w:val="00CA2A14"/>
    <w:rsid w:val="00CC2C4D"/>
    <w:rsid w:val="00CC5C6E"/>
    <w:rsid w:val="00CC71BF"/>
    <w:rsid w:val="00CC7F39"/>
    <w:rsid w:val="00CD0924"/>
    <w:rsid w:val="00CD0AFE"/>
    <w:rsid w:val="00CD1CB3"/>
    <w:rsid w:val="00CD58AE"/>
    <w:rsid w:val="00CD633A"/>
    <w:rsid w:val="00CD6896"/>
    <w:rsid w:val="00CD6D39"/>
    <w:rsid w:val="00CD76EA"/>
    <w:rsid w:val="00CE49F4"/>
    <w:rsid w:val="00CE5895"/>
    <w:rsid w:val="00CF074E"/>
    <w:rsid w:val="00CF3294"/>
    <w:rsid w:val="00D010C9"/>
    <w:rsid w:val="00D1399C"/>
    <w:rsid w:val="00D14002"/>
    <w:rsid w:val="00D14249"/>
    <w:rsid w:val="00D15A7B"/>
    <w:rsid w:val="00D16657"/>
    <w:rsid w:val="00D21653"/>
    <w:rsid w:val="00D24281"/>
    <w:rsid w:val="00D257C2"/>
    <w:rsid w:val="00D345BF"/>
    <w:rsid w:val="00D3790B"/>
    <w:rsid w:val="00D37A84"/>
    <w:rsid w:val="00D43DB5"/>
    <w:rsid w:val="00D47821"/>
    <w:rsid w:val="00D5085B"/>
    <w:rsid w:val="00D53EC9"/>
    <w:rsid w:val="00D57992"/>
    <w:rsid w:val="00D60AFA"/>
    <w:rsid w:val="00D6201E"/>
    <w:rsid w:val="00D63482"/>
    <w:rsid w:val="00D658E7"/>
    <w:rsid w:val="00D847E8"/>
    <w:rsid w:val="00D848CC"/>
    <w:rsid w:val="00D8617A"/>
    <w:rsid w:val="00D933AD"/>
    <w:rsid w:val="00D95E3C"/>
    <w:rsid w:val="00DA5C8A"/>
    <w:rsid w:val="00DA758A"/>
    <w:rsid w:val="00DB26D8"/>
    <w:rsid w:val="00DB2F30"/>
    <w:rsid w:val="00DC025A"/>
    <w:rsid w:val="00DC34CA"/>
    <w:rsid w:val="00DC3897"/>
    <w:rsid w:val="00DC7FF8"/>
    <w:rsid w:val="00DD1737"/>
    <w:rsid w:val="00DD240F"/>
    <w:rsid w:val="00DD3F53"/>
    <w:rsid w:val="00DD7207"/>
    <w:rsid w:val="00DE085D"/>
    <w:rsid w:val="00DE4032"/>
    <w:rsid w:val="00DE5192"/>
    <w:rsid w:val="00DE52E7"/>
    <w:rsid w:val="00DF3F3F"/>
    <w:rsid w:val="00E006B7"/>
    <w:rsid w:val="00E024B4"/>
    <w:rsid w:val="00E027D8"/>
    <w:rsid w:val="00E02F4A"/>
    <w:rsid w:val="00E13C26"/>
    <w:rsid w:val="00E26E74"/>
    <w:rsid w:val="00E35F70"/>
    <w:rsid w:val="00E37D5E"/>
    <w:rsid w:val="00E44F1E"/>
    <w:rsid w:val="00E571CF"/>
    <w:rsid w:val="00E658E8"/>
    <w:rsid w:val="00E65D6C"/>
    <w:rsid w:val="00E7709D"/>
    <w:rsid w:val="00E81AB0"/>
    <w:rsid w:val="00E87AA5"/>
    <w:rsid w:val="00E92E41"/>
    <w:rsid w:val="00E93528"/>
    <w:rsid w:val="00E94762"/>
    <w:rsid w:val="00EA2482"/>
    <w:rsid w:val="00EA763D"/>
    <w:rsid w:val="00EB1310"/>
    <w:rsid w:val="00EB3C98"/>
    <w:rsid w:val="00EC2E0C"/>
    <w:rsid w:val="00EC3E6C"/>
    <w:rsid w:val="00EC598D"/>
    <w:rsid w:val="00EC657B"/>
    <w:rsid w:val="00ED0569"/>
    <w:rsid w:val="00ED110C"/>
    <w:rsid w:val="00ED293F"/>
    <w:rsid w:val="00ED5E45"/>
    <w:rsid w:val="00ED7B11"/>
    <w:rsid w:val="00EE6139"/>
    <w:rsid w:val="00EF39B1"/>
    <w:rsid w:val="00EF4057"/>
    <w:rsid w:val="00EF47F6"/>
    <w:rsid w:val="00F10310"/>
    <w:rsid w:val="00F15128"/>
    <w:rsid w:val="00F23EA9"/>
    <w:rsid w:val="00F26734"/>
    <w:rsid w:val="00F301C2"/>
    <w:rsid w:val="00F35BF7"/>
    <w:rsid w:val="00F37FAC"/>
    <w:rsid w:val="00F43A86"/>
    <w:rsid w:val="00F43EB8"/>
    <w:rsid w:val="00F52988"/>
    <w:rsid w:val="00F61AD2"/>
    <w:rsid w:val="00F672D2"/>
    <w:rsid w:val="00F74211"/>
    <w:rsid w:val="00F83AFF"/>
    <w:rsid w:val="00F8576A"/>
    <w:rsid w:val="00F85FD2"/>
    <w:rsid w:val="00FA0F1B"/>
    <w:rsid w:val="00FA1DC9"/>
    <w:rsid w:val="00FA2981"/>
    <w:rsid w:val="00FC0A9C"/>
    <w:rsid w:val="00FD2E61"/>
    <w:rsid w:val="00FD2EBE"/>
    <w:rsid w:val="00FD2F68"/>
    <w:rsid w:val="00FD5C34"/>
    <w:rsid w:val="00FD790D"/>
    <w:rsid w:val="00FE39CC"/>
    <w:rsid w:val="00FE5C97"/>
    <w:rsid w:val="00FF34C3"/>
    <w:rsid w:val="00FF77EE"/>
    <w:rsid w:val="5755474F"/>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D8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00B06"/>
    <w:pPr>
      <w:keepNext/>
      <w:keepLines/>
      <w:spacing w:before="120" w:after="12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4A9A"/>
    <w:pPr>
      <w:keepNext/>
      <w:keepLines/>
      <w:spacing w:before="80" w:after="8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_utama,Citation List,Graphic,List Paragraph1,Table of contents numbered,List Paragraph (bulleted list),Bullet 1 List,kepala"/>
    <w:basedOn w:val="Normal"/>
    <w:link w:val="ListParagraphChar"/>
    <w:uiPriority w:val="34"/>
    <w:qFormat/>
    <w:rsid w:val="00F83AFF"/>
    <w:pPr>
      <w:ind w:left="720"/>
      <w:contextualSpacing/>
    </w:pPr>
  </w:style>
  <w:style w:type="character" w:styleId="CommentReference">
    <w:name w:val="annotation reference"/>
    <w:basedOn w:val="DefaultParagraphFont"/>
    <w:uiPriority w:val="99"/>
    <w:semiHidden/>
    <w:unhideWhenUsed/>
    <w:rsid w:val="00AC2FAE"/>
    <w:rPr>
      <w:sz w:val="16"/>
      <w:szCs w:val="16"/>
    </w:rPr>
  </w:style>
  <w:style w:type="paragraph" w:styleId="CommentText">
    <w:name w:val="annotation text"/>
    <w:basedOn w:val="Normal"/>
    <w:link w:val="CommentTextChar"/>
    <w:uiPriority w:val="99"/>
    <w:semiHidden/>
    <w:unhideWhenUsed/>
    <w:rsid w:val="00AC2FAE"/>
    <w:pPr>
      <w:spacing w:line="240" w:lineRule="auto"/>
    </w:pPr>
    <w:rPr>
      <w:sz w:val="20"/>
      <w:szCs w:val="20"/>
    </w:rPr>
  </w:style>
  <w:style w:type="character" w:customStyle="1" w:styleId="CommentTextChar">
    <w:name w:val="Comment Text Char"/>
    <w:basedOn w:val="DefaultParagraphFont"/>
    <w:link w:val="CommentText"/>
    <w:uiPriority w:val="99"/>
    <w:semiHidden/>
    <w:rsid w:val="00AC2FAE"/>
    <w:rPr>
      <w:sz w:val="20"/>
      <w:szCs w:val="20"/>
      <w:lang w:val="en-GB"/>
    </w:rPr>
  </w:style>
  <w:style w:type="paragraph" w:styleId="CommentSubject">
    <w:name w:val="annotation subject"/>
    <w:basedOn w:val="CommentText"/>
    <w:next w:val="CommentText"/>
    <w:link w:val="CommentSubjectChar"/>
    <w:uiPriority w:val="99"/>
    <w:semiHidden/>
    <w:unhideWhenUsed/>
    <w:rsid w:val="00AC2FAE"/>
    <w:rPr>
      <w:b/>
      <w:bCs/>
    </w:rPr>
  </w:style>
  <w:style w:type="character" w:customStyle="1" w:styleId="CommentSubjectChar">
    <w:name w:val="Comment Subject Char"/>
    <w:basedOn w:val="CommentTextChar"/>
    <w:link w:val="CommentSubject"/>
    <w:uiPriority w:val="99"/>
    <w:semiHidden/>
    <w:rsid w:val="00AC2FAE"/>
    <w:rPr>
      <w:b/>
      <w:bCs/>
      <w:sz w:val="20"/>
      <w:szCs w:val="20"/>
      <w:lang w:val="en-GB"/>
    </w:rPr>
  </w:style>
  <w:style w:type="paragraph" w:styleId="BalloonText">
    <w:name w:val="Balloon Text"/>
    <w:basedOn w:val="Normal"/>
    <w:link w:val="BalloonTextChar"/>
    <w:uiPriority w:val="99"/>
    <w:semiHidden/>
    <w:unhideWhenUsed/>
    <w:rsid w:val="00AC2F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FAE"/>
    <w:rPr>
      <w:rFonts w:ascii="Segoe UI" w:hAnsi="Segoe UI" w:cs="Segoe UI"/>
      <w:sz w:val="18"/>
      <w:szCs w:val="18"/>
      <w:lang w:val="en-GB"/>
    </w:rPr>
  </w:style>
  <w:style w:type="paragraph" w:styleId="Revision">
    <w:name w:val="Revision"/>
    <w:hidden/>
    <w:uiPriority w:val="99"/>
    <w:semiHidden/>
    <w:rsid w:val="00ED0569"/>
    <w:pPr>
      <w:spacing w:after="0" w:line="240" w:lineRule="auto"/>
    </w:pPr>
    <w:rPr>
      <w:lang w:val="en-GB"/>
    </w:rPr>
  </w:style>
  <w:style w:type="table" w:styleId="TableGrid">
    <w:name w:val="Table Grid"/>
    <w:basedOn w:val="TableNormal"/>
    <w:uiPriority w:val="39"/>
    <w:rsid w:val="00866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6625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00B06"/>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624A9A"/>
    <w:rPr>
      <w:rFonts w:asciiTheme="majorHAnsi" w:eastAsiaTheme="majorEastAsia" w:hAnsiTheme="majorHAnsi" w:cstheme="majorBidi"/>
      <w:color w:val="2E74B5" w:themeColor="accent1" w:themeShade="BF"/>
      <w:sz w:val="26"/>
      <w:szCs w:val="26"/>
      <w:lang w:val="en-GB"/>
    </w:rPr>
  </w:style>
  <w:style w:type="character" w:styleId="Hyperlink">
    <w:name w:val="Hyperlink"/>
    <w:basedOn w:val="DefaultParagraphFont"/>
    <w:uiPriority w:val="99"/>
    <w:unhideWhenUsed/>
    <w:rsid w:val="006353E3"/>
    <w:rPr>
      <w:color w:val="0563C1" w:themeColor="hyperlink"/>
      <w:u w:val="single"/>
    </w:rPr>
  </w:style>
  <w:style w:type="paragraph" w:styleId="Header">
    <w:name w:val="header"/>
    <w:basedOn w:val="Normal"/>
    <w:link w:val="HeaderChar"/>
    <w:uiPriority w:val="99"/>
    <w:unhideWhenUsed/>
    <w:rsid w:val="00625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7B6"/>
    <w:rPr>
      <w:lang w:val="en-GB"/>
    </w:rPr>
  </w:style>
  <w:style w:type="paragraph" w:styleId="Footer">
    <w:name w:val="footer"/>
    <w:basedOn w:val="Normal"/>
    <w:link w:val="FooterChar"/>
    <w:uiPriority w:val="99"/>
    <w:unhideWhenUsed/>
    <w:rsid w:val="00625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7B6"/>
    <w:rPr>
      <w:lang w:val="en-GB"/>
    </w:rPr>
  </w:style>
  <w:style w:type="paragraph" w:customStyle="1" w:styleId="m-3976670306287183599s11">
    <w:name w:val="m_-3976670306287183599s11"/>
    <w:basedOn w:val="Normal"/>
    <w:rsid w:val="00737FE2"/>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styleId="NormalWeb">
    <w:name w:val="Normal (Web)"/>
    <w:basedOn w:val="Normal"/>
    <w:uiPriority w:val="99"/>
    <w:semiHidden/>
    <w:unhideWhenUsed/>
    <w:rsid w:val="00737FE2"/>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customStyle="1" w:styleId="UnresolvedMention">
    <w:name w:val="Unresolved Mention"/>
    <w:basedOn w:val="DefaultParagraphFont"/>
    <w:uiPriority w:val="99"/>
    <w:semiHidden/>
    <w:unhideWhenUsed/>
    <w:rsid w:val="00BD466E"/>
    <w:rPr>
      <w:color w:val="605E5C"/>
      <w:shd w:val="clear" w:color="auto" w:fill="E1DFDD"/>
    </w:rPr>
  </w:style>
  <w:style w:type="character" w:customStyle="1" w:styleId="ListParagraphChar">
    <w:name w:val="List Paragraph Char"/>
    <w:aliases w:val="Paragraph_utama Char,Citation List Char,Graphic Char,List Paragraph1 Char,Table of contents numbered Char,List Paragraph (bulleted list) Char,Bullet 1 List Char,kepala Char"/>
    <w:basedOn w:val="DefaultParagraphFont"/>
    <w:link w:val="ListParagraph"/>
    <w:uiPriority w:val="34"/>
    <w:locked/>
    <w:rsid w:val="007466B0"/>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00B06"/>
    <w:pPr>
      <w:keepNext/>
      <w:keepLines/>
      <w:spacing w:before="120" w:after="12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4A9A"/>
    <w:pPr>
      <w:keepNext/>
      <w:keepLines/>
      <w:spacing w:before="80" w:after="8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_utama,Citation List,Graphic,List Paragraph1,Table of contents numbered,List Paragraph (bulleted list),Bullet 1 List,kepala"/>
    <w:basedOn w:val="Normal"/>
    <w:link w:val="ListParagraphChar"/>
    <w:uiPriority w:val="34"/>
    <w:qFormat/>
    <w:rsid w:val="00F83AFF"/>
    <w:pPr>
      <w:ind w:left="720"/>
      <w:contextualSpacing/>
    </w:pPr>
  </w:style>
  <w:style w:type="character" w:styleId="CommentReference">
    <w:name w:val="annotation reference"/>
    <w:basedOn w:val="DefaultParagraphFont"/>
    <w:uiPriority w:val="99"/>
    <w:semiHidden/>
    <w:unhideWhenUsed/>
    <w:rsid w:val="00AC2FAE"/>
    <w:rPr>
      <w:sz w:val="16"/>
      <w:szCs w:val="16"/>
    </w:rPr>
  </w:style>
  <w:style w:type="paragraph" w:styleId="CommentText">
    <w:name w:val="annotation text"/>
    <w:basedOn w:val="Normal"/>
    <w:link w:val="CommentTextChar"/>
    <w:uiPriority w:val="99"/>
    <w:semiHidden/>
    <w:unhideWhenUsed/>
    <w:rsid w:val="00AC2FAE"/>
    <w:pPr>
      <w:spacing w:line="240" w:lineRule="auto"/>
    </w:pPr>
    <w:rPr>
      <w:sz w:val="20"/>
      <w:szCs w:val="20"/>
    </w:rPr>
  </w:style>
  <w:style w:type="character" w:customStyle="1" w:styleId="CommentTextChar">
    <w:name w:val="Comment Text Char"/>
    <w:basedOn w:val="DefaultParagraphFont"/>
    <w:link w:val="CommentText"/>
    <w:uiPriority w:val="99"/>
    <w:semiHidden/>
    <w:rsid w:val="00AC2FAE"/>
    <w:rPr>
      <w:sz w:val="20"/>
      <w:szCs w:val="20"/>
      <w:lang w:val="en-GB"/>
    </w:rPr>
  </w:style>
  <w:style w:type="paragraph" w:styleId="CommentSubject">
    <w:name w:val="annotation subject"/>
    <w:basedOn w:val="CommentText"/>
    <w:next w:val="CommentText"/>
    <w:link w:val="CommentSubjectChar"/>
    <w:uiPriority w:val="99"/>
    <w:semiHidden/>
    <w:unhideWhenUsed/>
    <w:rsid w:val="00AC2FAE"/>
    <w:rPr>
      <w:b/>
      <w:bCs/>
    </w:rPr>
  </w:style>
  <w:style w:type="character" w:customStyle="1" w:styleId="CommentSubjectChar">
    <w:name w:val="Comment Subject Char"/>
    <w:basedOn w:val="CommentTextChar"/>
    <w:link w:val="CommentSubject"/>
    <w:uiPriority w:val="99"/>
    <w:semiHidden/>
    <w:rsid w:val="00AC2FAE"/>
    <w:rPr>
      <w:b/>
      <w:bCs/>
      <w:sz w:val="20"/>
      <w:szCs w:val="20"/>
      <w:lang w:val="en-GB"/>
    </w:rPr>
  </w:style>
  <w:style w:type="paragraph" w:styleId="BalloonText">
    <w:name w:val="Balloon Text"/>
    <w:basedOn w:val="Normal"/>
    <w:link w:val="BalloonTextChar"/>
    <w:uiPriority w:val="99"/>
    <w:semiHidden/>
    <w:unhideWhenUsed/>
    <w:rsid w:val="00AC2F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FAE"/>
    <w:rPr>
      <w:rFonts w:ascii="Segoe UI" w:hAnsi="Segoe UI" w:cs="Segoe UI"/>
      <w:sz w:val="18"/>
      <w:szCs w:val="18"/>
      <w:lang w:val="en-GB"/>
    </w:rPr>
  </w:style>
  <w:style w:type="paragraph" w:styleId="Revision">
    <w:name w:val="Revision"/>
    <w:hidden/>
    <w:uiPriority w:val="99"/>
    <w:semiHidden/>
    <w:rsid w:val="00ED0569"/>
    <w:pPr>
      <w:spacing w:after="0" w:line="240" w:lineRule="auto"/>
    </w:pPr>
    <w:rPr>
      <w:lang w:val="en-GB"/>
    </w:rPr>
  </w:style>
  <w:style w:type="table" w:styleId="TableGrid">
    <w:name w:val="Table Grid"/>
    <w:basedOn w:val="TableNormal"/>
    <w:uiPriority w:val="39"/>
    <w:rsid w:val="00866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6625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00B06"/>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624A9A"/>
    <w:rPr>
      <w:rFonts w:asciiTheme="majorHAnsi" w:eastAsiaTheme="majorEastAsia" w:hAnsiTheme="majorHAnsi" w:cstheme="majorBidi"/>
      <w:color w:val="2E74B5" w:themeColor="accent1" w:themeShade="BF"/>
      <w:sz w:val="26"/>
      <w:szCs w:val="26"/>
      <w:lang w:val="en-GB"/>
    </w:rPr>
  </w:style>
  <w:style w:type="character" w:styleId="Hyperlink">
    <w:name w:val="Hyperlink"/>
    <w:basedOn w:val="DefaultParagraphFont"/>
    <w:uiPriority w:val="99"/>
    <w:unhideWhenUsed/>
    <w:rsid w:val="006353E3"/>
    <w:rPr>
      <w:color w:val="0563C1" w:themeColor="hyperlink"/>
      <w:u w:val="single"/>
    </w:rPr>
  </w:style>
  <w:style w:type="paragraph" w:styleId="Header">
    <w:name w:val="header"/>
    <w:basedOn w:val="Normal"/>
    <w:link w:val="HeaderChar"/>
    <w:uiPriority w:val="99"/>
    <w:unhideWhenUsed/>
    <w:rsid w:val="00625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7B6"/>
    <w:rPr>
      <w:lang w:val="en-GB"/>
    </w:rPr>
  </w:style>
  <w:style w:type="paragraph" w:styleId="Footer">
    <w:name w:val="footer"/>
    <w:basedOn w:val="Normal"/>
    <w:link w:val="FooterChar"/>
    <w:uiPriority w:val="99"/>
    <w:unhideWhenUsed/>
    <w:rsid w:val="00625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7B6"/>
    <w:rPr>
      <w:lang w:val="en-GB"/>
    </w:rPr>
  </w:style>
  <w:style w:type="paragraph" w:customStyle="1" w:styleId="m-3976670306287183599s11">
    <w:name w:val="m_-3976670306287183599s11"/>
    <w:basedOn w:val="Normal"/>
    <w:rsid w:val="00737FE2"/>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styleId="NormalWeb">
    <w:name w:val="Normal (Web)"/>
    <w:basedOn w:val="Normal"/>
    <w:uiPriority w:val="99"/>
    <w:semiHidden/>
    <w:unhideWhenUsed/>
    <w:rsid w:val="00737FE2"/>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customStyle="1" w:styleId="UnresolvedMention">
    <w:name w:val="Unresolved Mention"/>
    <w:basedOn w:val="DefaultParagraphFont"/>
    <w:uiPriority w:val="99"/>
    <w:semiHidden/>
    <w:unhideWhenUsed/>
    <w:rsid w:val="00BD466E"/>
    <w:rPr>
      <w:color w:val="605E5C"/>
      <w:shd w:val="clear" w:color="auto" w:fill="E1DFDD"/>
    </w:rPr>
  </w:style>
  <w:style w:type="character" w:customStyle="1" w:styleId="ListParagraphChar">
    <w:name w:val="List Paragraph Char"/>
    <w:aliases w:val="Paragraph_utama Char,Citation List Char,Graphic Char,List Paragraph1 Char,Table of contents numbered Char,List Paragraph (bulleted list) Char,Bullet 1 List Char,kepala Char"/>
    <w:basedOn w:val="DefaultParagraphFont"/>
    <w:link w:val="ListParagraph"/>
    <w:uiPriority w:val="34"/>
    <w:locked/>
    <w:rsid w:val="007466B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53025">
      <w:bodyDiv w:val="1"/>
      <w:marLeft w:val="0"/>
      <w:marRight w:val="0"/>
      <w:marTop w:val="0"/>
      <w:marBottom w:val="0"/>
      <w:divBdr>
        <w:top w:val="none" w:sz="0" w:space="0" w:color="auto"/>
        <w:left w:val="none" w:sz="0" w:space="0" w:color="auto"/>
        <w:bottom w:val="none" w:sz="0" w:space="0" w:color="auto"/>
        <w:right w:val="none" w:sz="0" w:space="0" w:color="auto"/>
      </w:divBdr>
    </w:div>
    <w:div w:id="116529201">
      <w:bodyDiv w:val="1"/>
      <w:marLeft w:val="0"/>
      <w:marRight w:val="0"/>
      <w:marTop w:val="0"/>
      <w:marBottom w:val="0"/>
      <w:divBdr>
        <w:top w:val="none" w:sz="0" w:space="0" w:color="auto"/>
        <w:left w:val="none" w:sz="0" w:space="0" w:color="auto"/>
        <w:bottom w:val="none" w:sz="0" w:space="0" w:color="auto"/>
        <w:right w:val="none" w:sz="0" w:space="0" w:color="auto"/>
      </w:divBdr>
      <w:divsChild>
        <w:div w:id="1444576304">
          <w:marLeft w:val="0"/>
          <w:marRight w:val="0"/>
          <w:marTop w:val="0"/>
          <w:marBottom w:val="0"/>
          <w:divBdr>
            <w:top w:val="none" w:sz="0" w:space="0" w:color="auto"/>
            <w:left w:val="none" w:sz="0" w:space="0" w:color="auto"/>
            <w:bottom w:val="none" w:sz="0" w:space="0" w:color="auto"/>
            <w:right w:val="none" w:sz="0" w:space="0" w:color="auto"/>
          </w:divBdr>
        </w:div>
        <w:div w:id="1540164495">
          <w:marLeft w:val="0"/>
          <w:marRight w:val="0"/>
          <w:marTop w:val="0"/>
          <w:marBottom w:val="0"/>
          <w:divBdr>
            <w:top w:val="none" w:sz="0" w:space="0" w:color="auto"/>
            <w:left w:val="none" w:sz="0" w:space="0" w:color="auto"/>
            <w:bottom w:val="none" w:sz="0" w:space="0" w:color="auto"/>
            <w:right w:val="none" w:sz="0" w:space="0" w:color="auto"/>
          </w:divBdr>
        </w:div>
      </w:divsChild>
    </w:div>
    <w:div w:id="552081221">
      <w:bodyDiv w:val="1"/>
      <w:marLeft w:val="0"/>
      <w:marRight w:val="0"/>
      <w:marTop w:val="0"/>
      <w:marBottom w:val="0"/>
      <w:divBdr>
        <w:top w:val="none" w:sz="0" w:space="0" w:color="auto"/>
        <w:left w:val="none" w:sz="0" w:space="0" w:color="auto"/>
        <w:bottom w:val="none" w:sz="0" w:space="0" w:color="auto"/>
        <w:right w:val="none" w:sz="0" w:space="0" w:color="auto"/>
      </w:divBdr>
    </w:div>
    <w:div w:id="1158182180">
      <w:bodyDiv w:val="1"/>
      <w:marLeft w:val="0"/>
      <w:marRight w:val="0"/>
      <w:marTop w:val="0"/>
      <w:marBottom w:val="0"/>
      <w:divBdr>
        <w:top w:val="none" w:sz="0" w:space="0" w:color="auto"/>
        <w:left w:val="none" w:sz="0" w:space="0" w:color="auto"/>
        <w:bottom w:val="none" w:sz="0" w:space="0" w:color="auto"/>
        <w:right w:val="none" w:sz="0" w:space="0" w:color="auto"/>
      </w:divBdr>
    </w:div>
    <w:div w:id="1913196630">
      <w:bodyDiv w:val="1"/>
      <w:marLeft w:val="0"/>
      <w:marRight w:val="0"/>
      <w:marTop w:val="0"/>
      <w:marBottom w:val="0"/>
      <w:divBdr>
        <w:top w:val="none" w:sz="0" w:space="0" w:color="auto"/>
        <w:left w:val="none" w:sz="0" w:space="0" w:color="auto"/>
        <w:bottom w:val="none" w:sz="0" w:space="0" w:color="auto"/>
        <w:right w:val="none" w:sz="0" w:space="0" w:color="auto"/>
      </w:divBdr>
    </w:div>
    <w:div w:id="1999917914">
      <w:bodyDiv w:val="1"/>
      <w:marLeft w:val="0"/>
      <w:marRight w:val="0"/>
      <w:marTop w:val="0"/>
      <w:marBottom w:val="0"/>
      <w:divBdr>
        <w:top w:val="none" w:sz="0" w:space="0" w:color="auto"/>
        <w:left w:val="none" w:sz="0" w:space="0" w:color="auto"/>
        <w:bottom w:val="none" w:sz="0" w:space="0" w:color="auto"/>
        <w:right w:val="none" w:sz="0" w:space="0" w:color="auto"/>
      </w:divBdr>
    </w:div>
    <w:div w:id="202042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73E44-4246-4C40-A3AF-4ECC974B1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WWF-UK</Company>
  <LinksUpToDate>false</LinksUpToDate>
  <CharactersWithSpaces>14224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Oi Soo Chin</dc:creator>
  <cp:lastModifiedBy>Arif Aliadi</cp:lastModifiedBy>
  <cp:revision>2</cp:revision>
  <dcterms:created xsi:type="dcterms:W3CDTF">2020-02-18T15:30:00Z</dcterms:created>
  <dcterms:modified xsi:type="dcterms:W3CDTF">2020-02-18T15:30:00Z</dcterms:modified>
</cp:coreProperties>
</file>