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F8F83" w14:textId="0BACDFD7" w:rsidR="0038451D" w:rsidRPr="00C73908" w:rsidRDefault="0038451D" w:rsidP="0021022C">
      <w:pPr>
        <w:spacing w:after="0" w:line="240" w:lineRule="auto"/>
        <w:jc w:val="center"/>
        <w:rPr>
          <w:rFonts w:ascii="Times New Roman" w:eastAsia="Times New Roman" w:hAnsi="Times New Roman" w:cs="Times New Roman"/>
          <w:sz w:val="28"/>
          <w:szCs w:val="24"/>
          <w:lang w:val="en-GB"/>
        </w:rPr>
      </w:pPr>
    </w:p>
    <w:p w14:paraId="0213E1C6" w14:textId="77777777" w:rsidR="004A4AB3" w:rsidRPr="0038451D" w:rsidRDefault="004A4AB3" w:rsidP="0021022C">
      <w:pPr>
        <w:spacing w:after="0" w:line="240" w:lineRule="auto"/>
        <w:jc w:val="center"/>
        <w:rPr>
          <w:rFonts w:ascii="Times New Roman" w:eastAsia="Times New Roman" w:hAnsi="Times New Roman" w:cs="Times New Roman"/>
          <w:sz w:val="28"/>
          <w:szCs w:val="24"/>
          <w:lang w:val="en-GB"/>
        </w:rPr>
      </w:pPr>
    </w:p>
    <w:p w14:paraId="6DF16F2D" w14:textId="77777777" w:rsidR="0038451D" w:rsidRPr="0038451D" w:rsidRDefault="0038451D" w:rsidP="0021022C">
      <w:pPr>
        <w:spacing w:after="0" w:line="240" w:lineRule="auto"/>
        <w:jc w:val="center"/>
        <w:rPr>
          <w:rFonts w:ascii="Times New Roman" w:eastAsia="Times New Roman" w:hAnsi="Times New Roman" w:cs="Times New Roman"/>
          <w:sz w:val="28"/>
          <w:szCs w:val="24"/>
          <w:lang w:val="en-GB"/>
        </w:rPr>
      </w:pPr>
    </w:p>
    <w:p w14:paraId="62430256" w14:textId="586AFB93" w:rsidR="0038451D" w:rsidRPr="0038451D" w:rsidRDefault="00B01D18" w:rsidP="0038451D">
      <w:pPr>
        <w:spacing w:after="0" w:line="240" w:lineRule="auto"/>
        <w:jc w:val="center"/>
        <w:rPr>
          <w:rFonts w:ascii="Times New Roman" w:eastAsia="Times New Roman" w:hAnsi="Times New Roman" w:cs="Times New Roman"/>
          <w:sz w:val="28"/>
          <w:szCs w:val="24"/>
          <w:lang w:val="en-GB"/>
        </w:rPr>
      </w:pPr>
      <w:r w:rsidRPr="00C73908">
        <w:rPr>
          <w:rFonts w:ascii="Times New Roman" w:eastAsia="Times New Roman" w:hAnsi="Times New Roman" w:cs="Times New Roman"/>
          <w:sz w:val="28"/>
          <w:szCs w:val="24"/>
          <w:lang w:val="en-GB"/>
        </w:rPr>
        <w:t>An Analysis of the</w:t>
      </w:r>
      <w:r w:rsidR="00660EBF">
        <w:rPr>
          <w:rFonts w:ascii="Times New Roman" w:eastAsia="Times New Roman" w:hAnsi="Times New Roman" w:cs="Times New Roman"/>
          <w:sz w:val="28"/>
          <w:szCs w:val="24"/>
          <w:lang w:val="en-GB"/>
        </w:rPr>
        <w:t xml:space="preserve"> Firm-Level</w:t>
      </w:r>
      <w:r w:rsidRPr="00C73908">
        <w:rPr>
          <w:rFonts w:ascii="Times New Roman" w:eastAsia="Times New Roman" w:hAnsi="Times New Roman" w:cs="Times New Roman"/>
          <w:sz w:val="28"/>
          <w:szCs w:val="24"/>
          <w:lang w:val="en-GB"/>
        </w:rPr>
        <w:t xml:space="preserve"> Factors </w:t>
      </w:r>
      <w:r w:rsidR="00231972">
        <w:rPr>
          <w:rFonts w:ascii="Times New Roman" w:eastAsia="Times New Roman" w:hAnsi="Times New Roman" w:cs="Times New Roman"/>
          <w:sz w:val="28"/>
          <w:szCs w:val="24"/>
          <w:lang w:val="en-GB"/>
        </w:rPr>
        <w:t>That</w:t>
      </w:r>
      <w:r w:rsidRPr="00C73908">
        <w:rPr>
          <w:rFonts w:ascii="Times New Roman" w:eastAsia="Times New Roman" w:hAnsi="Times New Roman" w:cs="Times New Roman"/>
          <w:sz w:val="28"/>
          <w:szCs w:val="24"/>
          <w:lang w:val="en-GB"/>
        </w:rPr>
        <w:t xml:space="preserve"> Influence the Export Performance of Indigenous Irish Companies</w:t>
      </w:r>
    </w:p>
    <w:p w14:paraId="3FBD9A26" w14:textId="77777777" w:rsidR="0038451D" w:rsidRPr="0038451D" w:rsidRDefault="0038451D" w:rsidP="0038451D">
      <w:pPr>
        <w:spacing w:after="0" w:line="240" w:lineRule="auto"/>
        <w:jc w:val="center"/>
        <w:rPr>
          <w:rFonts w:ascii="Times New Roman" w:eastAsia="Times New Roman" w:hAnsi="Times New Roman" w:cs="Times New Roman"/>
          <w:sz w:val="28"/>
          <w:szCs w:val="24"/>
          <w:lang w:val="en-GB"/>
        </w:rPr>
      </w:pPr>
    </w:p>
    <w:p w14:paraId="67CF75C6" w14:textId="77777777" w:rsidR="0038451D" w:rsidRPr="0038451D" w:rsidRDefault="0038451D" w:rsidP="0038451D">
      <w:pPr>
        <w:spacing w:after="0" w:line="240" w:lineRule="auto"/>
        <w:jc w:val="center"/>
        <w:rPr>
          <w:rFonts w:ascii="Times New Roman" w:eastAsia="Times New Roman" w:hAnsi="Times New Roman" w:cs="Times New Roman"/>
          <w:sz w:val="28"/>
          <w:szCs w:val="24"/>
          <w:lang w:val="en-GB"/>
        </w:rPr>
      </w:pPr>
    </w:p>
    <w:p w14:paraId="1CE62232" w14:textId="77777777" w:rsidR="0038451D" w:rsidRPr="0038451D" w:rsidRDefault="0038451D" w:rsidP="0038451D">
      <w:pPr>
        <w:spacing w:after="0" w:line="240" w:lineRule="auto"/>
        <w:jc w:val="center"/>
        <w:rPr>
          <w:rFonts w:ascii="Times New Roman" w:eastAsia="Times New Roman" w:hAnsi="Times New Roman" w:cs="Times New Roman"/>
          <w:sz w:val="28"/>
          <w:szCs w:val="24"/>
          <w:lang w:val="en-GB"/>
        </w:rPr>
      </w:pPr>
    </w:p>
    <w:p w14:paraId="43BA95E8" w14:textId="77777777" w:rsidR="0038451D" w:rsidRPr="0038451D" w:rsidRDefault="0038451D" w:rsidP="0038451D">
      <w:pPr>
        <w:spacing w:after="0" w:line="240" w:lineRule="auto"/>
        <w:jc w:val="center"/>
        <w:rPr>
          <w:rFonts w:ascii="Times New Roman" w:eastAsia="Times New Roman" w:hAnsi="Times New Roman" w:cs="Times New Roman"/>
          <w:sz w:val="28"/>
          <w:szCs w:val="24"/>
          <w:lang w:val="en-GB"/>
        </w:rPr>
      </w:pPr>
    </w:p>
    <w:p w14:paraId="6815B288" w14:textId="77777777" w:rsidR="0038451D" w:rsidRPr="0038451D" w:rsidRDefault="0038451D" w:rsidP="0038451D">
      <w:pPr>
        <w:spacing w:after="0" w:line="240" w:lineRule="auto"/>
        <w:jc w:val="center"/>
        <w:rPr>
          <w:rFonts w:ascii="Times New Roman" w:eastAsia="Times New Roman" w:hAnsi="Times New Roman" w:cs="Times New Roman"/>
          <w:sz w:val="28"/>
          <w:szCs w:val="24"/>
          <w:lang w:val="en-GB"/>
        </w:rPr>
      </w:pPr>
    </w:p>
    <w:p w14:paraId="236EEFAA" w14:textId="77777777" w:rsidR="0038451D" w:rsidRPr="0038451D" w:rsidRDefault="0038451D" w:rsidP="0038451D">
      <w:pPr>
        <w:spacing w:after="0" w:line="240" w:lineRule="auto"/>
        <w:jc w:val="center"/>
        <w:rPr>
          <w:rFonts w:ascii="Times New Roman" w:eastAsia="Times New Roman" w:hAnsi="Times New Roman" w:cs="Times New Roman"/>
          <w:sz w:val="28"/>
          <w:szCs w:val="24"/>
          <w:lang w:val="en-GB"/>
        </w:rPr>
      </w:pPr>
    </w:p>
    <w:p w14:paraId="71ED0194" w14:textId="77777777" w:rsidR="0038451D" w:rsidRPr="0038451D" w:rsidRDefault="0038451D" w:rsidP="0038451D">
      <w:pPr>
        <w:spacing w:after="0" w:line="240" w:lineRule="auto"/>
        <w:jc w:val="center"/>
        <w:rPr>
          <w:rFonts w:ascii="Times New Roman" w:eastAsia="Times New Roman" w:hAnsi="Times New Roman" w:cs="Times New Roman"/>
          <w:sz w:val="28"/>
          <w:szCs w:val="24"/>
          <w:lang w:val="en-GB"/>
        </w:rPr>
      </w:pPr>
    </w:p>
    <w:p w14:paraId="2C628D24" w14:textId="77777777" w:rsidR="0038451D" w:rsidRPr="0038451D" w:rsidRDefault="0038451D" w:rsidP="0038451D">
      <w:pPr>
        <w:spacing w:after="0" w:line="240" w:lineRule="auto"/>
        <w:jc w:val="center"/>
        <w:rPr>
          <w:rFonts w:ascii="Times New Roman" w:eastAsia="Times New Roman" w:hAnsi="Times New Roman" w:cs="Times New Roman"/>
          <w:sz w:val="28"/>
          <w:szCs w:val="24"/>
          <w:lang w:val="en-GB"/>
        </w:rPr>
      </w:pPr>
    </w:p>
    <w:p w14:paraId="5BCD7A04" w14:textId="25E04D43" w:rsidR="0038451D" w:rsidRDefault="0038451D" w:rsidP="0038451D">
      <w:pPr>
        <w:spacing w:after="0" w:line="240" w:lineRule="auto"/>
        <w:jc w:val="center"/>
        <w:rPr>
          <w:rFonts w:ascii="Times New Roman" w:eastAsia="Times New Roman" w:hAnsi="Times New Roman" w:cs="Times New Roman"/>
          <w:sz w:val="28"/>
          <w:szCs w:val="24"/>
          <w:lang w:val="en-GB"/>
        </w:rPr>
      </w:pPr>
    </w:p>
    <w:p w14:paraId="2900D7F0" w14:textId="2068C870" w:rsidR="00402F24" w:rsidRDefault="00402F24" w:rsidP="0038451D">
      <w:pPr>
        <w:spacing w:after="0" w:line="240" w:lineRule="auto"/>
        <w:jc w:val="center"/>
        <w:rPr>
          <w:rFonts w:ascii="Times New Roman" w:eastAsia="Times New Roman" w:hAnsi="Times New Roman" w:cs="Times New Roman"/>
          <w:sz w:val="28"/>
          <w:szCs w:val="24"/>
          <w:lang w:val="en-GB"/>
        </w:rPr>
      </w:pPr>
    </w:p>
    <w:p w14:paraId="6EDE37A4" w14:textId="5E098F4E" w:rsidR="00402F24" w:rsidRDefault="00402F24" w:rsidP="0038451D">
      <w:pPr>
        <w:spacing w:after="0" w:line="240" w:lineRule="auto"/>
        <w:jc w:val="center"/>
        <w:rPr>
          <w:rFonts w:ascii="Times New Roman" w:eastAsia="Times New Roman" w:hAnsi="Times New Roman" w:cs="Times New Roman"/>
          <w:sz w:val="28"/>
          <w:szCs w:val="24"/>
          <w:lang w:val="en-GB"/>
        </w:rPr>
      </w:pPr>
    </w:p>
    <w:p w14:paraId="2FCB7F93" w14:textId="77777777" w:rsidR="00402F24" w:rsidRPr="0038451D" w:rsidRDefault="00402F24" w:rsidP="0038451D">
      <w:pPr>
        <w:spacing w:after="0" w:line="240" w:lineRule="auto"/>
        <w:jc w:val="center"/>
        <w:rPr>
          <w:rFonts w:ascii="Times New Roman" w:eastAsia="Times New Roman" w:hAnsi="Times New Roman" w:cs="Times New Roman"/>
          <w:sz w:val="28"/>
          <w:szCs w:val="24"/>
          <w:lang w:val="en-GB"/>
        </w:rPr>
      </w:pPr>
    </w:p>
    <w:p w14:paraId="74CEC06B" w14:textId="77777777" w:rsidR="0038451D" w:rsidRPr="0038451D" w:rsidRDefault="0038451D" w:rsidP="0038451D">
      <w:pPr>
        <w:spacing w:after="0" w:line="240" w:lineRule="auto"/>
        <w:jc w:val="center"/>
        <w:rPr>
          <w:rFonts w:ascii="Times New Roman" w:eastAsia="Times New Roman" w:hAnsi="Times New Roman" w:cs="Times New Roman"/>
          <w:sz w:val="28"/>
          <w:szCs w:val="24"/>
          <w:lang w:val="en-GB"/>
        </w:rPr>
      </w:pPr>
    </w:p>
    <w:p w14:paraId="3AB8C853" w14:textId="77777777" w:rsidR="0038451D" w:rsidRPr="0038451D" w:rsidRDefault="0038451D" w:rsidP="0038451D">
      <w:pPr>
        <w:spacing w:after="0" w:line="240" w:lineRule="auto"/>
        <w:jc w:val="center"/>
        <w:rPr>
          <w:rFonts w:ascii="Times New Roman" w:eastAsia="Times New Roman" w:hAnsi="Times New Roman" w:cs="Times New Roman"/>
          <w:sz w:val="28"/>
          <w:szCs w:val="24"/>
          <w:lang w:val="en-GB"/>
        </w:rPr>
      </w:pPr>
    </w:p>
    <w:p w14:paraId="5DE9F0F1" w14:textId="2CEFCBBB" w:rsidR="0038451D" w:rsidRPr="0038451D" w:rsidRDefault="0021022C" w:rsidP="0038451D">
      <w:pPr>
        <w:spacing w:after="0" w:line="240" w:lineRule="auto"/>
        <w:jc w:val="center"/>
        <w:rPr>
          <w:rFonts w:ascii="Times New Roman" w:eastAsia="Times New Roman" w:hAnsi="Times New Roman" w:cs="Times New Roman"/>
          <w:sz w:val="28"/>
          <w:szCs w:val="24"/>
          <w:lang w:val="en-GB"/>
        </w:rPr>
      </w:pPr>
      <w:r w:rsidRPr="00C73908">
        <w:rPr>
          <w:rFonts w:ascii="Times New Roman" w:eastAsia="Times New Roman" w:hAnsi="Times New Roman" w:cs="Times New Roman"/>
          <w:sz w:val="28"/>
          <w:szCs w:val="24"/>
          <w:lang w:val="en-GB"/>
        </w:rPr>
        <w:t>Peter Carpenter</w:t>
      </w:r>
    </w:p>
    <w:p w14:paraId="72CD30C1" w14:textId="77777777" w:rsidR="0038451D" w:rsidRPr="0038451D" w:rsidRDefault="0038451D" w:rsidP="0038451D">
      <w:pPr>
        <w:spacing w:after="0" w:line="240" w:lineRule="auto"/>
        <w:jc w:val="center"/>
        <w:rPr>
          <w:rFonts w:ascii="Times New Roman" w:eastAsia="Times New Roman" w:hAnsi="Times New Roman" w:cs="Times New Roman"/>
          <w:sz w:val="28"/>
          <w:szCs w:val="24"/>
          <w:lang w:val="en-GB"/>
        </w:rPr>
      </w:pPr>
    </w:p>
    <w:p w14:paraId="44D448D6" w14:textId="77777777" w:rsidR="0038451D" w:rsidRPr="0038451D" w:rsidRDefault="0038451D" w:rsidP="0038451D">
      <w:pPr>
        <w:spacing w:after="0" w:line="240" w:lineRule="auto"/>
        <w:jc w:val="center"/>
        <w:rPr>
          <w:rFonts w:ascii="Times New Roman" w:eastAsia="Times New Roman" w:hAnsi="Times New Roman" w:cs="Times New Roman"/>
          <w:sz w:val="28"/>
          <w:szCs w:val="24"/>
          <w:lang w:val="en-GB"/>
        </w:rPr>
      </w:pPr>
    </w:p>
    <w:p w14:paraId="38F9F6E7" w14:textId="77777777" w:rsidR="0038451D" w:rsidRPr="0038451D" w:rsidRDefault="0038451D" w:rsidP="0038451D">
      <w:pPr>
        <w:spacing w:after="0" w:line="240" w:lineRule="auto"/>
        <w:jc w:val="center"/>
        <w:rPr>
          <w:rFonts w:ascii="Times New Roman" w:eastAsia="Times New Roman" w:hAnsi="Times New Roman" w:cs="Times New Roman"/>
          <w:sz w:val="28"/>
          <w:szCs w:val="24"/>
          <w:lang w:val="en-GB"/>
        </w:rPr>
      </w:pPr>
    </w:p>
    <w:p w14:paraId="6881DF32" w14:textId="77777777" w:rsidR="0038451D" w:rsidRPr="0038451D" w:rsidRDefault="0038451D" w:rsidP="0038451D">
      <w:pPr>
        <w:spacing w:after="0" w:line="240" w:lineRule="auto"/>
        <w:jc w:val="center"/>
        <w:rPr>
          <w:rFonts w:ascii="Times New Roman" w:eastAsia="Times New Roman" w:hAnsi="Times New Roman" w:cs="Times New Roman"/>
          <w:sz w:val="28"/>
          <w:szCs w:val="24"/>
          <w:lang w:val="en-GB"/>
        </w:rPr>
      </w:pPr>
    </w:p>
    <w:p w14:paraId="595C74DA" w14:textId="0667812E" w:rsidR="0038451D" w:rsidRPr="00C73908" w:rsidRDefault="0038451D" w:rsidP="0038451D">
      <w:pPr>
        <w:spacing w:after="0" w:line="240" w:lineRule="auto"/>
        <w:jc w:val="center"/>
        <w:rPr>
          <w:rFonts w:ascii="Times New Roman" w:eastAsia="Times New Roman" w:hAnsi="Times New Roman" w:cs="Times New Roman"/>
          <w:sz w:val="28"/>
          <w:szCs w:val="24"/>
          <w:lang w:val="en-GB"/>
        </w:rPr>
      </w:pPr>
    </w:p>
    <w:p w14:paraId="4BD376AF" w14:textId="0A7D0187" w:rsidR="000E016D" w:rsidRPr="00C73908" w:rsidRDefault="000E016D" w:rsidP="0038451D">
      <w:pPr>
        <w:spacing w:after="0" w:line="240" w:lineRule="auto"/>
        <w:jc w:val="center"/>
        <w:rPr>
          <w:rFonts w:ascii="Times New Roman" w:eastAsia="Times New Roman" w:hAnsi="Times New Roman" w:cs="Times New Roman"/>
          <w:sz w:val="28"/>
          <w:szCs w:val="24"/>
          <w:lang w:val="en-GB"/>
        </w:rPr>
      </w:pPr>
    </w:p>
    <w:p w14:paraId="78B0455F" w14:textId="1D624998" w:rsidR="000E016D" w:rsidRPr="00C73908" w:rsidRDefault="000E016D" w:rsidP="0038451D">
      <w:pPr>
        <w:spacing w:after="0" w:line="240" w:lineRule="auto"/>
        <w:jc w:val="center"/>
        <w:rPr>
          <w:rFonts w:ascii="Times New Roman" w:eastAsia="Times New Roman" w:hAnsi="Times New Roman" w:cs="Times New Roman"/>
          <w:sz w:val="28"/>
          <w:szCs w:val="24"/>
          <w:lang w:val="en-GB"/>
        </w:rPr>
      </w:pPr>
    </w:p>
    <w:p w14:paraId="5EAE1E44" w14:textId="58CBEC92" w:rsidR="000E016D" w:rsidRPr="00C73908" w:rsidRDefault="000E016D" w:rsidP="0038451D">
      <w:pPr>
        <w:spacing w:after="0" w:line="240" w:lineRule="auto"/>
        <w:jc w:val="center"/>
        <w:rPr>
          <w:rFonts w:ascii="Times New Roman" w:eastAsia="Times New Roman" w:hAnsi="Times New Roman" w:cs="Times New Roman"/>
          <w:sz w:val="28"/>
          <w:szCs w:val="24"/>
          <w:lang w:val="en-GB"/>
        </w:rPr>
      </w:pPr>
    </w:p>
    <w:p w14:paraId="223F7D06" w14:textId="78AC1CCD" w:rsidR="000E016D" w:rsidRPr="00C73908" w:rsidRDefault="000E016D" w:rsidP="0038451D">
      <w:pPr>
        <w:spacing w:after="0" w:line="240" w:lineRule="auto"/>
        <w:jc w:val="center"/>
        <w:rPr>
          <w:rFonts w:ascii="Times New Roman" w:eastAsia="Times New Roman" w:hAnsi="Times New Roman" w:cs="Times New Roman"/>
          <w:sz w:val="28"/>
          <w:szCs w:val="24"/>
          <w:lang w:val="en-GB"/>
        </w:rPr>
      </w:pPr>
    </w:p>
    <w:p w14:paraId="7DD9EB91" w14:textId="2C2F06B3" w:rsidR="000E016D" w:rsidRPr="00C73908" w:rsidRDefault="000E016D" w:rsidP="0038451D">
      <w:pPr>
        <w:spacing w:after="0" w:line="240" w:lineRule="auto"/>
        <w:jc w:val="center"/>
        <w:rPr>
          <w:rFonts w:ascii="Times New Roman" w:eastAsia="Times New Roman" w:hAnsi="Times New Roman" w:cs="Times New Roman"/>
          <w:sz w:val="28"/>
          <w:szCs w:val="24"/>
          <w:lang w:val="en-GB"/>
        </w:rPr>
      </w:pPr>
    </w:p>
    <w:p w14:paraId="2320BF98" w14:textId="3A62F765" w:rsidR="000E016D" w:rsidRPr="00C73908" w:rsidRDefault="000E016D" w:rsidP="0038451D">
      <w:pPr>
        <w:spacing w:after="0" w:line="240" w:lineRule="auto"/>
        <w:jc w:val="center"/>
        <w:rPr>
          <w:rFonts w:ascii="Times New Roman" w:eastAsia="Times New Roman" w:hAnsi="Times New Roman" w:cs="Times New Roman"/>
          <w:sz w:val="28"/>
          <w:szCs w:val="24"/>
          <w:lang w:val="en-GB"/>
        </w:rPr>
      </w:pPr>
    </w:p>
    <w:p w14:paraId="01B9BAFB" w14:textId="4D46E821" w:rsidR="000E016D" w:rsidRPr="00C73908" w:rsidRDefault="000E016D" w:rsidP="0038451D">
      <w:pPr>
        <w:spacing w:after="0" w:line="240" w:lineRule="auto"/>
        <w:jc w:val="center"/>
        <w:rPr>
          <w:rFonts w:ascii="Times New Roman" w:eastAsia="Times New Roman" w:hAnsi="Times New Roman" w:cs="Times New Roman"/>
          <w:sz w:val="28"/>
          <w:szCs w:val="24"/>
          <w:lang w:val="en-GB"/>
        </w:rPr>
      </w:pPr>
    </w:p>
    <w:p w14:paraId="344415A1" w14:textId="32FE9196" w:rsidR="000E016D" w:rsidRPr="00C73908" w:rsidRDefault="000E016D" w:rsidP="0038451D">
      <w:pPr>
        <w:spacing w:after="0" w:line="240" w:lineRule="auto"/>
        <w:jc w:val="center"/>
        <w:rPr>
          <w:rFonts w:ascii="Times New Roman" w:eastAsia="Times New Roman" w:hAnsi="Times New Roman" w:cs="Times New Roman"/>
          <w:sz w:val="28"/>
          <w:szCs w:val="24"/>
          <w:lang w:val="en-GB"/>
        </w:rPr>
      </w:pPr>
    </w:p>
    <w:p w14:paraId="6B2407FF" w14:textId="6053C00A" w:rsidR="000E016D" w:rsidRPr="00C73908" w:rsidRDefault="000E016D" w:rsidP="0038451D">
      <w:pPr>
        <w:spacing w:after="0" w:line="240" w:lineRule="auto"/>
        <w:jc w:val="center"/>
        <w:rPr>
          <w:rFonts w:ascii="Times New Roman" w:eastAsia="Times New Roman" w:hAnsi="Times New Roman" w:cs="Times New Roman"/>
          <w:sz w:val="28"/>
          <w:szCs w:val="24"/>
          <w:lang w:val="en-GB"/>
        </w:rPr>
      </w:pPr>
    </w:p>
    <w:p w14:paraId="07FB29F6" w14:textId="49856C2D" w:rsidR="000E016D" w:rsidRPr="00C73908" w:rsidRDefault="000E016D" w:rsidP="0038451D">
      <w:pPr>
        <w:spacing w:after="0" w:line="240" w:lineRule="auto"/>
        <w:jc w:val="center"/>
        <w:rPr>
          <w:rFonts w:ascii="Times New Roman" w:eastAsia="Times New Roman" w:hAnsi="Times New Roman" w:cs="Times New Roman"/>
          <w:sz w:val="28"/>
          <w:szCs w:val="24"/>
          <w:lang w:val="en-GB"/>
        </w:rPr>
      </w:pPr>
    </w:p>
    <w:p w14:paraId="216CDEAA" w14:textId="68A6E570" w:rsidR="000E016D" w:rsidRPr="00C73908" w:rsidRDefault="000E016D" w:rsidP="0038451D">
      <w:pPr>
        <w:spacing w:after="0" w:line="240" w:lineRule="auto"/>
        <w:jc w:val="center"/>
        <w:rPr>
          <w:rFonts w:ascii="Times New Roman" w:eastAsia="Times New Roman" w:hAnsi="Times New Roman" w:cs="Times New Roman"/>
          <w:sz w:val="28"/>
          <w:szCs w:val="24"/>
          <w:lang w:val="en-GB"/>
        </w:rPr>
      </w:pPr>
    </w:p>
    <w:p w14:paraId="65BCF70A" w14:textId="77777777" w:rsidR="000E016D" w:rsidRPr="0038451D" w:rsidRDefault="000E016D" w:rsidP="0038451D">
      <w:pPr>
        <w:spacing w:after="0" w:line="240" w:lineRule="auto"/>
        <w:jc w:val="center"/>
        <w:rPr>
          <w:rFonts w:ascii="Times New Roman" w:eastAsia="Times New Roman" w:hAnsi="Times New Roman" w:cs="Times New Roman"/>
          <w:sz w:val="28"/>
          <w:szCs w:val="24"/>
          <w:lang w:val="en-GB"/>
        </w:rPr>
      </w:pPr>
    </w:p>
    <w:p w14:paraId="4AFBBA6B" w14:textId="77777777" w:rsidR="0038451D" w:rsidRPr="0038451D" w:rsidRDefault="0038451D" w:rsidP="0038451D">
      <w:pPr>
        <w:spacing w:after="0" w:line="240" w:lineRule="auto"/>
        <w:jc w:val="center"/>
        <w:rPr>
          <w:rFonts w:ascii="Times New Roman" w:eastAsia="Times New Roman" w:hAnsi="Times New Roman" w:cs="Times New Roman"/>
          <w:sz w:val="28"/>
          <w:szCs w:val="24"/>
          <w:lang w:val="en-GB"/>
        </w:rPr>
      </w:pPr>
    </w:p>
    <w:p w14:paraId="362B71F0" w14:textId="77777777" w:rsidR="0038451D" w:rsidRPr="0038451D" w:rsidRDefault="0038451D" w:rsidP="0021022C">
      <w:pPr>
        <w:spacing w:after="0" w:line="240" w:lineRule="auto"/>
        <w:jc w:val="center"/>
        <w:rPr>
          <w:rFonts w:ascii="Times New Roman" w:eastAsia="Times New Roman" w:hAnsi="Times New Roman" w:cs="Times New Roman"/>
          <w:sz w:val="28"/>
          <w:szCs w:val="24"/>
          <w:lang w:val="en-GB"/>
        </w:rPr>
      </w:pPr>
      <w:r w:rsidRPr="0038451D">
        <w:rPr>
          <w:rFonts w:ascii="Times New Roman" w:eastAsia="Times New Roman" w:hAnsi="Times New Roman" w:cs="Times New Roman"/>
          <w:sz w:val="28"/>
          <w:szCs w:val="24"/>
          <w:lang w:val="en-GB"/>
        </w:rPr>
        <w:tab/>
      </w:r>
      <w:r w:rsidRPr="0038451D">
        <w:rPr>
          <w:rFonts w:ascii="Times New Roman" w:eastAsia="Times New Roman" w:hAnsi="Times New Roman" w:cs="Times New Roman"/>
          <w:sz w:val="28"/>
          <w:szCs w:val="24"/>
          <w:lang w:val="en-GB"/>
        </w:rPr>
        <w:tab/>
      </w:r>
      <w:r w:rsidRPr="0038451D">
        <w:rPr>
          <w:rFonts w:ascii="Times New Roman" w:eastAsia="Times New Roman" w:hAnsi="Times New Roman" w:cs="Times New Roman"/>
          <w:sz w:val="28"/>
          <w:szCs w:val="24"/>
          <w:lang w:val="en-GB"/>
        </w:rPr>
        <w:tab/>
      </w:r>
      <w:r w:rsidRPr="0038451D">
        <w:rPr>
          <w:rFonts w:ascii="Times New Roman" w:eastAsia="Times New Roman" w:hAnsi="Times New Roman" w:cs="Times New Roman"/>
          <w:sz w:val="28"/>
          <w:szCs w:val="24"/>
          <w:lang w:val="en-GB"/>
        </w:rPr>
        <w:tab/>
      </w:r>
      <w:r w:rsidRPr="0038451D">
        <w:rPr>
          <w:rFonts w:ascii="Times New Roman" w:eastAsia="Times New Roman" w:hAnsi="Times New Roman" w:cs="Times New Roman"/>
          <w:sz w:val="28"/>
          <w:szCs w:val="24"/>
          <w:lang w:val="en-GB"/>
        </w:rPr>
        <w:tab/>
      </w:r>
    </w:p>
    <w:p w14:paraId="3BBEE093" w14:textId="77777777" w:rsidR="0038451D" w:rsidRPr="0038451D" w:rsidRDefault="0038451D" w:rsidP="0021022C">
      <w:pPr>
        <w:spacing w:after="0" w:line="240" w:lineRule="auto"/>
        <w:jc w:val="center"/>
        <w:rPr>
          <w:rFonts w:ascii="Times New Roman" w:eastAsia="Times New Roman" w:hAnsi="Times New Roman" w:cs="Times New Roman"/>
          <w:sz w:val="28"/>
          <w:szCs w:val="24"/>
          <w:lang w:val="en-GB"/>
        </w:rPr>
      </w:pPr>
      <w:r w:rsidRPr="0038451D">
        <w:rPr>
          <w:rFonts w:ascii="Times New Roman" w:eastAsia="Times New Roman" w:hAnsi="Times New Roman" w:cs="Times New Roman"/>
          <w:sz w:val="28"/>
          <w:szCs w:val="24"/>
          <w:lang w:val="en-GB"/>
        </w:rPr>
        <w:t>MEconSc</w:t>
      </w:r>
      <w:r w:rsidRPr="0038451D">
        <w:rPr>
          <w:rFonts w:ascii="Times New Roman" w:eastAsia="Times New Roman" w:hAnsi="Times New Roman" w:cs="Times New Roman"/>
          <w:sz w:val="28"/>
          <w:szCs w:val="24"/>
          <w:lang w:val="en-GB"/>
        </w:rPr>
        <w:tab/>
      </w:r>
      <w:r w:rsidRPr="0038451D">
        <w:rPr>
          <w:rFonts w:ascii="Times New Roman" w:eastAsia="Times New Roman" w:hAnsi="Times New Roman" w:cs="Times New Roman"/>
          <w:sz w:val="28"/>
          <w:szCs w:val="24"/>
          <w:lang w:val="en-GB"/>
        </w:rPr>
        <w:tab/>
      </w:r>
      <w:r w:rsidRPr="0038451D">
        <w:rPr>
          <w:rFonts w:ascii="Times New Roman" w:eastAsia="Times New Roman" w:hAnsi="Times New Roman" w:cs="Times New Roman"/>
          <w:sz w:val="28"/>
          <w:szCs w:val="24"/>
          <w:lang w:val="en-GB"/>
        </w:rPr>
        <w:tab/>
      </w:r>
      <w:r w:rsidRPr="0038451D">
        <w:rPr>
          <w:rFonts w:ascii="Times New Roman" w:eastAsia="Times New Roman" w:hAnsi="Times New Roman" w:cs="Times New Roman"/>
          <w:sz w:val="28"/>
          <w:szCs w:val="24"/>
          <w:lang w:val="en-GB"/>
        </w:rPr>
        <w:tab/>
      </w:r>
      <w:r w:rsidRPr="0038451D">
        <w:rPr>
          <w:rFonts w:ascii="Times New Roman" w:eastAsia="Times New Roman" w:hAnsi="Times New Roman" w:cs="Times New Roman"/>
          <w:sz w:val="28"/>
          <w:szCs w:val="24"/>
          <w:lang w:val="en-GB"/>
        </w:rPr>
        <w:tab/>
      </w:r>
      <w:r w:rsidRPr="0038451D">
        <w:rPr>
          <w:rFonts w:ascii="Times New Roman" w:eastAsia="Times New Roman" w:hAnsi="Times New Roman" w:cs="Times New Roman"/>
          <w:sz w:val="28"/>
          <w:szCs w:val="24"/>
          <w:lang w:val="en-GB"/>
        </w:rPr>
        <w:tab/>
      </w:r>
      <w:r w:rsidRPr="0038451D">
        <w:rPr>
          <w:rFonts w:ascii="Times New Roman" w:eastAsia="Times New Roman" w:hAnsi="Times New Roman" w:cs="Times New Roman"/>
          <w:sz w:val="28"/>
          <w:szCs w:val="24"/>
          <w:lang w:val="en-GB"/>
        </w:rPr>
        <w:tab/>
      </w:r>
      <w:r w:rsidRPr="0038451D">
        <w:rPr>
          <w:rFonts w:ascii="Times New Roman" w:eastAsia="Times New Roman" w:hAnsi="Times New Roman" w:cs="Times New Roman"/>
          <w:sz w:val="28"/>
          <w:szCs w:val="24"/>
          <w:lang w:val="en-GB"/>
        </w:rPr>
        <w:tab/>
        <w:t>April 2021</w:t>
      </w:r>
    </w:p>
    <w:p w14:paraId="50C437AA" w14:textId="77777777" w:rsidR="00D10C3A" w:rsidRPr="0038451D" w:rsidRDefault="00D10C3A" w:rsidP="00D10C3A">
      <w:pPr>
        <w:spacing w:after="0" w:line="240" w:lineRule="auto"/>
        <w:jc w:val="center"/>
        <w:rPr>
          <w:rFonts w:ascii="Times New Roman" w:eastAsia="Times New Roman" w:hAnsi="Times New Roman" w:cs="Times New Roman"/>
          <w:sz w:val="28"/>
          <w:szCs w:val="24"/>
          <w:lang w:val="en-GB"/>
        </w:rPr>
      </w:pPr>
    </w:p>
    <w:p w14:paraId="1298551F" w14:textId="77777777" w:rsidR="00D10C3A" w:rsidRPr="0038451D" w:rsidRDefault="00D10C3A" w:rsidP="00D10C3A">
      <w:pPr>
        <w:spacing w:after="0" w:line="240" w:lineRule="auto"/>
        <w:jc w:val="center"/>
        <w:rPr>
          <w:rFonts w:ascii="Times New Roman" w:eastAsia="Times New Roman" w:hAnsi="Times New Roman" w:cs="Times New Roman"/>
          <w:sz w:val="28"/>
          <w:szCs w:val="24"/>
          <w:lang w:val="en-GB"/>
        </w:rPr>
      </w:pPr>
    </w:p>
    <w:p w14:paraId="7E915CF3" w14:textId="77777777" w:rsidR="00D10C3A" w:rsidRPr="0038451D" w:rsidRDefault="00D10C3A" w:rsidP="00D10C3A">
      <w:pPr>
        <w:spacing w:after="0" w:line="240" w:lineRule="auto"/>
        <w:jc w:val="center"/>
        <w:rPr>
          <w:rFonts w:ascii="Times New Roman" w:eastAsia="Times New Roman" w:hAnsi="Times New Roman" w:cs="Times New Roman"/>
          <w:sz w:val="28"/>
          <w:szCs w:val="24"/>
          <w:lang w:val="en-GB"/>
        </w:rPr>
      </w:pPr>
    </w:p>
    <w:p w14:paraId="29A7D67B" w14:textId="313A5C08" w:rsidR="00D10C3A" w:rsidRPr="0038451D" w:rsidRDefault="007F11AA" w:rsidP="00D10C3A">
      <w:pPr>
        <w:spacing w:after="0" w:line="240" w:lineRule="auto"/>
        <w:jc w:val="center"/>
        <w:rPr>
          <w:rFonts w:ascii="Times New Roman" w:eastAsia="Times New Roman" w:hAnsi="Times New Roman" w:cs="Times New Roman"/>
          <w:sz w:val="28"/>
          <w:szCs w:val="24"/>
          <w:lang w:val="en-GB"/>
        </w:rPr>
      </w:pPr>
      <w:r>
        <w:rPr>
          <w:rFonts w:ascii="Times New Roman" w:eastAsia="Times New Roman" w:hAnsi="Times New Roman" w:cs="Times New Roman"/>
          <w:sz w:val="28"/>
          <w:szCs w:val="24"/>
          <w:lang w:val="en-GB"/>
        </w:rPr>
        <w:t>Acknowledgments</w:t>
      </w:r>
    </w:p>
    <w:p w14:paraId="135C006E" w14:textId="1A93B134" w:rsidR="00152FDA" w:rsidRDefault="00152FDA" w:rsidP="00D10C3A">
      <w:pPr>
        <w:spacing w:after="0" w:line="240" w:lineRule="auto"/>
        <w:jc w:val="center"/>
        <w:rPr>
          <w:rFonts w:ascii="Times New Roman" w:eastAsia="Times New Roman" w:hAnsi="Times New Roman" w:cs="Times New Roman"/>
          <w:sz w:val="24"/>
          <w:lang w:val="en-GB"/>
        </w:rPr>
      </w:pPr>
    </w:p>
    <w:p w14:paraId="2F01D7A8" w14:textId="77777777" w:rsidR="007C396C" w:rsidRDefault="007C396C" w:rsidP="00D10C3A">
      <w:pPr>
        <w:spacing w:after="0" w:line="240" w:lineRule="auto"/>
        <w:jc w:val="center"/>
        <w:rPr>
          <w:rFonts w:ascii="Times New Roman" w:eastAsia="Times New Roman" w:hAnsi="Times New Roman" w:cs="Times New Roman"/>
          <w:sz w:val="24"/>
          <w:lang w:val="en-GB"/>
        </w:rPr>
      </w:pPr>
    </w:p>
    <w:p w14:paraId="6BB68D49" w14:textId="77777777" w:rsidR="00152FDA" w:rsidRDefault="00152FDA" w:rsidP="00D10C3A">
      <w:pPr>
        <w:spacing w:after="0" w:line="240" w:lineRule="auto"/>
        <w:jc w:val="center"/>
        <w:rPr>
          <w:rFonts w:ascii="Times New Roman" w:eastAsia="Times New Roman" w:hAnsi="Times New Roman" w:cs="Times New Roman"/>
          <w:sz w:val="24"/>
          <w:lang w:val="en-GB"/>
        </w:rPr>
      </w:pPr>
    </w:p>
    <w:p w14:paraId="60BCA251" w14:textId="578D5A6E" w:rsidR="00D10C3A" w:rsidRPr="00D67199" w:rsidRDefault="00D67199" w:rsidP="00D4117B">
      <w:pPr>
        <w:spacing w:after="0" w:line="240" w:lineRule="auto"/>
        <w:jc w:val="both"/>
        <w:rPr>
          <w:rFonts w:ascii="Times New Roman" w:eastAsia="Times New Roman" w:hAnsi="Times New Roman" w:cs="Times New Roman"/>
          <w:sz w:val="24"/>
          <w:lang w:val="en-GB"/>
        </w:rPr>
      </w:pPr>
      <w:r>
        <w:rPr>
          <w:rFonts w:ascii="Times New Roman" w:eastAsia="Times New Roman" w:hAnsi="Times New Roman" w:cs="Times New Roman"/>
          <w:sz w:val="24"/>
          <w:lang w:val="en-GB"/>
        </w:rPr>
        <w:t>I would like to thank my supervisor</w:t>
      </w:r>
      <w:r w:rsidR="003B64AB">
        <w:rPr>
          <w:rFonts w:ascii="Times New Roman" w:eastAsia="Times New Roman" w:hAnsi="Times New Roman" w:cs="Times New Roman"/>
          <w:sz w:val="24"/>
          <w:lang w:val="en-GB"/>
        </w:rPr>
        <w:t xml:space="preserve"> Dr Stephen Weir for his </w:t>
      </w:r>
      <w:r w:rsidR="00177611">
        <w:rPr>
          <w:rFonts w:ascii="Times New Roman" w:eastAsia="Times New Roman" w:hAnsi="Times New Roman" w:cs="Times New Roman"/>
          <w:sz w:val="24"/>
          <w:lang w:val="en-GB"/>
        </w:rPr>
        <w:t xml:space="preserve">guidance </w:t>
      </w:r>
      <w:r w:rsidR="003B64AB">
        <w:rPr>
          <w:rFonts w:ascii="Times New Roman" w:eastAsia="Times New Roman" w:hAnsi="Times New Roman" w:cs="Times New Roman"/>
          <w:sz w:val="24"/>
          <w:lang w:val="en-GB"/>
        </w:rPr>
        <w:t xml:space="preserve">and assistance </w:t>
      </w:r>
      <w:r w:rsidR="00D4117B">
        <w:rPr>
          <w:rFonts w:ascii="Times New Roman" w:eastAsia="Times New Roman" w:hAnsi="Times New Roman" w:cs="Times New Roman"/>
          <w:sz w:val="24"/>
          <w:lang w:val="en-GB"/>
        </w:rPr>
        <w:t>throughout the research process.</w:t>
      </w:r>
      <w:r w:rsidR="00AF5BE9">
        <w:rPr>
          <w:rFonts w:ascii="Times New Roman" w:eastAsia="Times New Roman" w:hAnsi="Times New Roman" w:cs="Times New Roman"/>
          <w:sz w:val="24"/>
          <w:lang w:val="en-GB"/>
        </w:rPr>
        <w:t xml:space="preserve"> </w:t>
      </w:r>
      <w:r w:rsidR="002F14C2">
        <w:rPr>
          <w:rFonts w:ascii="Times New Roman" w:eastAsia="Times New Roman" w:hAnsi="Times New Roman" w:cs="Times New Roman"/>
          <w:sz w:val="24"/>
          <w:lang w:val="en-GB"/>
        </w:rPr>
        <w:t xml:space="preserve">I would also like to thank Dr Conor O’Toole for his </w:t>
      </w:r>
      <w:r w:rsidR="00177611">
        <w:rPr>
          <w:rFonts w:ascii="Times New Roman" w:eastAsia="Times New Roman" w:hAnsi="Times New Roman" w:cs="Times New Roman"/>
          <w:sz w:val="24"/>
          <w:lang w:val="en-GB"/>
        </w:rPr>
        <w:t>advice</w:t>
      </w:r>
      <w:r w:rsidR="002F14C2">
        <w:rPr>
          <w:rFonts w:ascii="Times New Roman" w:eastAsia="Times New Roman" w:hAnsi="Times New Roman" w:cs="Times New Roman"/>
          <w:sz w:val="24"/>
          <w:lang w:val="en-GB"/>
        </w:rPr>
        <w:t xml:space="preserve">. </w:t>
      </w:r>
      <w:r w:rsidR="00223707">
        <w:rPr>
          <w:rFonts w:ascii="Times New Roman" w:eastAsia="Times New Roman" w:hAnsi="Times New Roman" w:cs="Times New Roman"/>
          <w:sz w:val="24"/>
          <w:lang w:val="en-GB"/>
        </w:rPr>
        <w:t>T</w:t>
      </w:r>
      <w:r w:rsidR="00AF5BE9">
        <w:rPr>
          <w:rFonts w:ascii="Times New Roman" w:eastAsia="Times New Roman" w:hAnsi="Times New Roman" w:cs="Times New Roman"/>
          <w:sz w:val="24"/>
          <w:lang w:val="en-GB"/>
        </w:rPr>
        <w:t>hank</w:t>
      </w:r>
      <w:r w:rsidR="00D97247">
        <w:rPr>
          <w:rFonts w:ascii="Times New Roman" w:eastAsia="Times New Roman" w:hAnsi="Times New Roman" w:cs="Times New Roman"/>
          <w:sz w:val="24"/>
          <w:lang w:val="en-GB"/>
        </w:rPr>
        <w:t>s to</w:t>
      </w:r>
      <w:r w:rsidR="00AF5BE9">
        <w:rPr>
          <w:rFonts w:ascii="Times New Roman" w:eastAsia="Times New Roman" w:hAnsi="Times New Roman" w:cs="Times New Roman"/>
          <w:sz w:val="24"/>
          <w:lang w:val="en-GB"/>
        </w:rPr>
        <w:t xml:space="preserve"> </w:t>
      </w:r>
      <w:r w:rsidR="00757A58">
        <w:rPr>
          <w:rFonts w:ascii="Times New Roman" w:eastAsia="Times New Roman" w:hAnsi="Times New Roman" w:cs="Times New Roman"/>
          <w:sz w:val="24"/>
          <w:lang w:val="en-GB"/>
        </w:rPr>
        <w:t>my colleagues in the Enterprise Ireland</w:t>
      </w:r>
      <w:r w:rsidR="00817E92">
        <w:rPr>
          <w:rFonts w:ascii="Times New Roman" w:eastAsia="Times New Roman" w:hAnsi="Times New Roman" w:cs="Times New Roman"/>
          <w:sz w:val="24"/>
          <w:lang w:val="en-GB"/>
        </w:rPr>
        <w:t xml:space="preserve"> policy department</w:t>
      </w:r>
      <w:r w:rsidR="00757A58">
        <w:rPr>
          <w:rFonts w:ascii="Times New Roman" w:eastAsia="Times New Roman" w:hAnsi="Times New Roman" w:cs="Times New Roman"/>
          <w:sz w:val="24"/>
          <w:lang w:val="en-GB"/>
        </w:rPr>
        <w:t xml:space="preserve"> </w:t>
      </w:r>
      <w:r w:rsidR="009253BE">
        <w:rPr>
          <w:rFonts w:ascii="Times New Roman" w:eastAsia="Times New Roman" w:hAnsi="Times New Roman" w:cs="Times New Roman"/>
          <w:sz w:val="24"/>
          <w:lang w:val="en-GB"/>
        </w:rPr>
        <w:t xml:space="preserve">for their </w:t>
      </w:r>
      <w:r w:rsidR="001D5456">
        <w:rPr>
          <w:rFonts w:ascii="Times New Roman" w:eastAsia="Times New Roman" w:hAnsi="Times New Roman" w:cs="Times New Roman"/>
          <w:sz w:val="24"/>
          <w:lang w:val="en-GB"/>
        </w:rPr>
        <w:t xml:space="preserve">feedback and </w:t>
      </w:r>
      <w:r w:rsidR="005D0056">
        <w:rPr>
          <w:rFonts w:ascii="Times New Roman" w:eastAsia="Times New Roman" w:hAnsi="Times New Roman" w:cs="Times New Roman"/>
          <w:sz w:val="24"/>
          <w:lang w:val="en-GB"/>
        </w:rPr>
        <w:t>advice</w:t>
      </w:r>
      <w:r w:rsidR="00BD64F1">
        <w:rPr>
          <w:rFonts w:ascii="Times New Roman" w:eastAsia="Times New Roman" w:hAnsi="Times New Roman" w:cs="Times New Roman"/>
          <w:sz w:val="24"/>
          <w:lang w:val="en-GB"/>
        </w:rPr>
        <w:t>.</w:t>
      </w:r>
      <w:r w:rsidR="00223707">
        <w:rPr>
          <w:rFonts w:ascii="Times New Roman" w:eastAsia="Times New Roman" w:hAnsi="Times New Roman" w:cs="Times New Roman"/>
          <w:sz w:val="24"/>
          <w:lang w:val="en-GB"/>
        </w:rPr>
        <w:t xml:space="preserve"> Finally, I would like to thank my family for their support</w:t>
      </w:r>
      <w:r w:rsidR="005D0056">
        <w:rPr>
          <w:rFonts w:ascii="Times New Roman" w:eastAsia="Times New Roman" w:hAnsi="Times New Roman" w:cs="Times New Roman"/>
          <w:sz w:val="24"/>
          <w:lang w:val="en-GB"/>
        </w:rPr>
        <w:t>.</w:t>
      </w:r>
    </w:p>
    <w:p w14:paraId="3FABEDE5" w14:textId="77777777" w:rsidR="00D10C3A" w:rsidRPr="0038451D" w:rsidRDefault="00D10C3A" w:rsidP="00D10C3A">
      <w:pPr>
        <w:spacing w:after="0" w:line="240" w:lineRule="auto"/>
        <w:jc w:val="center"/>
        <w:rPr>
          <w:rFonts w:ascii="Times New Roman" w:eastAsia="Times New Roman" w:hAnsi="Times New Roman" w:cs="Times New Roman"/>
          <w:sz w:val="28"/>
          <w:szCs w:val="24"/>
          <w:lang w:val="en-GB"/>
        </w:rPr>
      </w:pPr>
    </w:p>
    <w:p w14:paraId="33B8C12B" w14:textId="77777777" w:rsidR="00D10C3A" w:rsidRPr="00C73908" w:rsidRDefault="00D10C3A" w:rsidP="00D10C3A">
      <w:pPr>
        <w:spacing w:after="0" w:line="240" w:lineRule="auto"/>
        <w:jc w:val="center"/>
        <w:rPr>
          <w:rFonts w:ascii="Times New Roman" w:eastAsia="Times New Roman" w:hAnsi="Times New Roman" w:cs="Times New Roman"/>
          <w:sz w:val="28"/>
          <w:szCs w:val="24"/>
          <w:lang w:val="en-GB"/>
        </w:rPr>
      </w:pPr>
    </w:p>
    <w:p w14:paraId="51D76CBB" w14:textId="3FA3DC8E" w:rsidR="00D10C3A" w:rsidRDefault="00D10C3A" w:rsidP="00D10C3A">
      <w:pPr>
        <w:spacing w:after="0" w:line="240" w:lineRule="auto"/>
        <w:jc w:val="center"/>
        <w:rPr>
          <w:rFonts w:ascii="Times New Roman" w:eastAsia="Times New Roman" w:hAnsi="Times New Roman" w:cs="Times New Roman"/>
          <w:sz w:val="28"/>
          <w:szCs w:val="24"/>
          <w:lang w:val="en-GB"/>
        </w:rPr>
      </w:pPr>
    </w:p>
    <w:p w14:paraId="0C510064" w14:textId="1A88B6C6" w:rsidR="00B92C0E" w:rsidRDefault="00B92C0E" w:rsidP="00D10C3A">
      <w:pPr>
        <w:spacing w:after="0" w:line="240" w:lineRule="auto"/>
        <w:jc w:val="center"/>
        <w:rPr>
          <w:rFonts w:ascii="Times New Roman" w:eastAsia="Times New Roman" w:hAnsi="Times New Roman" w:cs="Times New Roman"/>
          <w:sz w:val="28"/>
          <w:szCs w:val="24"/>
          <w:lang w:val="en-GB"/>
        </w:rPr>
      </w:pPr>
    </w:p>
    <w:p w14:paraId="09D8977C" w14:textId="55382372" w:rsidR="00B92C0E" w:rsidRDefault="00B92C0E" w:rsidP="00D10C3A">
      <w:pPr>
        <w:spacing w:after="0" w:line="240" w:lineRule="auto"/>
        <w:jc w:val="center"/>
        <w:rPr>
          <w:rFonts w:ascii="Times New Roman" w:eastAsia="Times New Roman" w:hAnsi="Times New Roman" w:cs="Times New Roman"/>
          <w:sz w:val="28"/>
          <w:szCs w:val="24"/>
          <w:lang w:val="en-GB"/>
        </w:rPr>
      </w:pPr>
    </w:p>
    <w:p w14:paraId="65B4BD7B" w14:textId="61D5F531" w:rsidR="00B92C0E" w:rsidRDefault="00B92C0E" w:rsidP="00D10C3A">
      <w:pPr>
        <w:spacing w:after="0" w:line="240" w:lineRule="auto"/>
        <w:jc w:val="center"/>
        <w:rPr>
          <w:rFonts w:ascii="Times New Roman" w:eastAsia="Times New Roman" w:hAnsi="Times New Roman" w:cs="Times New Roman"/>
          <w:sz w:val="28"/>
          <w:szCs w:val="24"/>
          <w:lang w:val="en-GB"/>
        </w:rPr>
      </w:pPr>
    </w:p>
    <w:p w14:paraId="682C4D03" w14:textId="069361BB" w:rsidR="00B92C0E" w:rsidRDefault="00B92C0E" w:rsidP="00D10C3A">
      <w:pPr>
        <w:spacing w:after="0" w:line="240" w:lineRule="auto"/>
        <w:jc w:val="center"/>
        <w:rPr>
          <w:rFonts w:ascii="Times New Roman" w:eastAsia="Times New Roman" w:hAnsi="Times New Roman" w:cs="Times New Roman"/>
          <w:sz w:val="28"/>
          <w:szCs w:val="24"/>
          <w:lang w:val="en-GB"/>
        </w:rPr>
      </w:pPr>
    </w:p>
    <w:p w14:paraId="5F18FD27" w14:textId="5CB4A02D" w:rsidR="00B92C0E" w:rsidRDefault="00B92C0E" w:rsidP="00D10C3A">
      <w:pPr>
        <w:spacing w:after="0" w:line="240" w:lineRule="auto"/>
        <w:jc w:val="center"/>
        <w:rPr>
          <w:rFonts w:ascii="Times New Roman" w:eastAsia="Times New Roman" w:hAnsi="Times New Roman" w:cs="Times New Roman"/>
          <w:sz w:val="28"/>
          <w:szCs w:val="24"/>
          <w:lang w:val="en-GB"/>
        </w:rPr>
      </w:pPr>
    </w:p>
    <w:p w14:paraId="1871C47A" w14:textId="5F8B45E6" w:rsidR="00B92C0E" w:rsidRDefault="00B92C0E" w:rsidP="00D10C3A">
      <w:pPr>
        <w:spacing w:after="0" w:line="240" w:lineRule="auto"/>
        <w:jc w:val="center"/>
        <w:rPr>
          <w:rFonts w:ascii="Times New Roman" w:eastAsia="Times New Roman" w:hAnsi="Times New Roman" w:cs="Times New Roman"/>
          <w:sz w:val="28"/>
          <w:szCs w:val="24"/>
          <w:lang w:val="en-GB"/>
        </w:rPr>
      </w:pPr>
    </w:p>
    <w:p w14:paraId="7D0570A0" w14:textId="77777777" w:rsidR="00B92C0E" w:rsidRPr="00C73908" w:rsidRDefault="00B92C0E" w:rsidP="00D10C3A">
      <w:pPr>
        <w:spacing w:after="0" w:line="240" w:lineRule="auto"/>
        <w:jc w:val="center"/>
        <w:rPr>
          <w:rFonts w:ascii="Times New Roman" w:eastAsia="Times New Roman" w:hAnsi="Times New Roman" w:cs="Times New Roman"/>
          <w:sz w:val="28"/>
          <w:szCs w:val="24"/>
          <w:lang w:val="en-GB"/>
        </w:rPr>
      </w:pPr>
    </w:p>
    <w:p w14:paraId="5073212B" w14:textId="77777777" w:rsidR="00D10C3A" w:rsidRPr="00C73908" w:rsidRDefault="00D10C3A" w:rsidP="00D10C3A">
      <w:pPr>
        <w:spacing w:after="0" w:line="240" w:lineRule="auto"/>
        <w:jc w:val="center"/>
        <w:rPr>
          <w:rFonts w:ascii="Times New Roman" w:eastAsia="Times New Roman" w:hAnsi="Times New Roman" w:cs="Times New Roman"/>
          <w:sz w:val="28"/>
          <w:szCs w:val="24"/>
          <w:lang w:val="en-GB"/>
        </w:rPr>
      </w:pPr>
    </w:p>
    <w:p w14:paraId="6BCC434A" w14:textId="77777777" w:rsidR="00D10C3A" w:rsidRPr="00C73908" w:rsidRDefault="00D10C3A" w:rsidP="00D10C3A">
      <w:pPr>
        <w:spacing w:after="0" w:line="240" w:lineRule="auto"/>
        <w:jc w:val="center"/>
        <w:rPr>
          <w:rFonts w:ascii="Times New Roman" w:eastAsia="Times New Roman" w:hAnsi="Times New Roman" w:cs="Times New Roman"/>
          <w:sz w:val="28"/>
          <w:szCs w:val="24"/>
          <w:lang w:val="en-GB"/>
        </w:rPr>
      </w:pPr>
    </w:p>
    <w:p w14:paraId="6FC80524" w14:textId="77777777" w:rsidR="00D10C3A" w:rsidRPr="0038451D" w:rsidRDefault="00D10C3A" w:rsidP="00D10C3A">
      <w:pPr>
        <w:spacing w:after="0" w:line="240" w:lineRule="auto"/>
        <w:jc w:val="center"/>
        <w:rPr>
          <w:rFonts w:ascii="Times New Roman" w:eastAsia="Times New Roman" w:hAnsi="Times New Roman" w:cs="Times New Roman"/>
          <w:sz w:val="28"/>
          <w:szCs w:val="24"/>
          <w:lang w:val="en-GB"/>
        </w:rPr>
      </w:pPr>
    </w:p>
    <w:p w14:paraId="3350F667" w14:textId="77777777" w:rsidR="00B92C0E" w:rsidRDefault="00D10C3A" w:rsidP="00D10C3A">
      <w:pPr>
        <w:spacing w:after="0" w:line="240" w:lineRule="auto"/>
        <w:jc w:val="center"/>
        <w:rPr>
          <w:rFonts w:ascii="Times New Roman" w:eastAsia="Times New Roman" w:hAnsi="Times New Roman" w:cs="Times New Roman"/>
          <w:sz w:val="28"/>
          <w:szCs w:val="24"/>
          <w:lang w:val="en-GB"/>
        </w:rPr>
      </w:pPr>
      <w:r w:rsidRPr="0038451D">
        <w:rPr>
          <w:rFonts w:ascii="Times New Roman" w:eastAsia="Times New Roman" w:hAnsi="Times New Roman" w:cs="Times New Roman"/>
          <w:sz w:val="28"/>
          <w:szCs w:val="24"/>
          <w:lang w:val="en-GB"/>
        </w:rPr>
        <w:tab/>
      </w:r>
      <w:r w:rsidRPr="0038451D">
        <w:rPr>
          <w:rFonts w:ascii="Times New Roman" w:eastAsia="Times New Roman" w:hAnsi="Times New Roman" w:cs="Times New Roman"/>
          <w:sz w:val="28"/>
          <w:szCs w:val="24"/>
          <w:lang w:val="en-GB"/>
        </w:rPr>
        <w:tab/>
      </w:r>
    </w:p>
    <w:p w14:paraId="3ED01E44" w14:textId="77777777" w:rsidR="00B92C0E" w:rsidRDefault="00B92C0E" w:rsidP="00D10C3A">
      <w:pPr>
        <w:spacing w:after="0" w:line="240" w:lineRule="auto"/>
        <w:jc w:val="center"/>
        <w:rPr>
          <w:rFonts w:ascii="Times New Roman" w:eastAsia="Times New Roman" w:hAnsi="Times New Roman" w:cs="Times New Roman"/>
          <w:sz w:val="28"/>
          <w:szCs w:val="24"/>
          <w:lang w:val="en-GB"/>
        </w:rPr>
      </w:pPr>
    </w:p>
    <w:p w14:paraId="352B5175" w14:textId="77777777" w:rsidR="00B92C0E" w:rsidRDefault="00B92C0E" w:rsidP="00D10C3A">
      <w:pPr>
        <w:spacing w:after="0" w:line="240" w:lineRule="auto"/>
        <w:jc w:val="center"/>
        <w:rPr>
          <w:rFonts w:ascii="Times New Roman" w:eastAsia="Times New Roman" w:hAnsi="Times New Roman" w:cs="Times New Roman"/>
          <w:sz w:val="28"/>
          <w:szCs w:val="24"/>
          <w:lang w:val="en-GB"/>
        </w:rPr>
      </w:pPr>
    </w:p>
    <w:p w14:paraId="1E826B89" w14:textId="77777777" w:rsidR="00B92C0E" w:rsidRDefault="00B92C0E" w:rsidP="00D10C3A">
      <w:pPr>
        <w:spacing w:after="0" w:line="240" w:lineRule="auto"/>
        <w:jc w:val="center"/>
        <w:rPr>
          <w:rFonts w:ascii="Times New Roman" w:eastAsia="Times New Roman" w:hAnsi="Times New Roman" w:cs="Times New Roman"/>
          <w:sz w:val="28"/>
          <w:szCs w:val="24"/>
          <w:lang w:val="en-GB"/>
        </w:rPr>
      </w:pPr>
    </w:p>
    <w:p w14:paraId="7752946D" w14:textId="77777777" w:rsidR="00B92C0E" w:rsidRDefault="00B92C0E" w:rsidP="00D10C3A">
      <w:pPr>
        <w:spacing w:after="0" w:line="240" w:lineRule="auto"/>
        <w:jc w:val="center"/>
        <w:rPr>
          <w:rFonts w:ascii="Times New Roman" w:eastAsia="Times New Roman" w:hAnsi="Times New Roman" w:cs="Times New Roman"/>
          <w:sz w:val="28"/>
          <w:szCs w:val="24"/>
          <w:lang w:val="en-GB"/>
        </w:rPr>
      </w:pPr>
    </w:p>
    <w:p w14:paraId="61DC472E" w14:textId="77777777" w:rsidR="00B92C0E" w:rsidRDefault="00B92C0E" w:rsidP="00D10C3A">
      <w:pPr>
        <w:spacing w:after="0" w:line="240" w:lineRule="auto"/>
        <w:jc w:val="center"/>
        <w:rPr>
          <w:rFonts w:ascii="Times New Roman" w:eastAsia="Times New Roman" w:hAnsi="Times New Roman" w:cs="Times New Roman"/>
          <w:sz w:val="28"/>
          <w:szCs w:val="24"/>
          <w:lang w:val="en-GB"/>
        </w:rPr>
      </w:pPr>
    </w:p>
    <w:p w14:paraId="54139C04" w14:textId="77777777" w:rsidR="00B92C0E" w:rsidRDefault="00B92C0E" w:rsidP="00D10C3A">
      <w:pPr>
        <w:spacing w:after="0" w:line="240" w:lineRule="auto"/>
        <w:jc w:val="center"/>
        <w:rPr>
          <w:rFonts w:ascii="Times New Roman" w:eastAsia="Times New Roman" w:hAnsi="Times New Roman" w:cs="Times New Roman"/>
          <w:sz w:val="28"/>
          <w:szCs w:val="24"/>
          <w:lang w:val="en-GB"/>
        </w:rPr>
      </w:pPr>
    </w:p>
    <w:p w14:paraId="5111213C" w14:textId="77777777" w:rsidR="00B92C0E" w:rsidRDefault="00B92C0E" w:rsidP="00D10C3A">
      <w:pPr>
        <w:spacing w:after="0" w:line="240" w:lineRule="auto"/>
        <w:jc w:val="center"/>
        <w:rPr>
          <w:rFonts w:ascii="Times New Roman" w:eastAsia="Times New Roman" w:hAnsi="Times New Roman" w:cs="Times New Roman"/>
          <w:sz w:val="28"/>
          <w:szCs w:val="24"/>
          <w:lang w:val="en-GB"/>
        </w:rPr>
      </w:pPr>
    </w:p>
    <w:p w14:paraId="1B8EDA39" w14:textId="77777777" w:rsidR="00B92C0E" w:rsidRDefault="00B92C0E" w:rsidP="00D10C3A">
      <w:pPr>
        <w:spacing w:after="0" w:line="240" w:lineRule="auto"/>
        <w:jc w:val="center"/>
        <w:rPr>
          <w:rFonts w:ascii="Times New Roman" w:eastAsia="Times New Roman" w:hAnsi="Times New Roman" w:cs="Times New Roman"/>
          <w:sz w:val="28"/>
          <w:szCs w:val="24"/>
          <w:lang w:val="en-GB"/>
        </w:rPr>
      </w:pPr>
    </w:p>
    <w:p w14:paraId="5DA6B85E" w14:textId="77777777" w:rsidR="00B92C0E" w:rsidRDefault="00B92C0E" w:rsidP="00D10C3A">
      <w:pPr>
        <w:spacing w:after="0" w:line="240" w:lineRule="auto"/>
        <w:jc w:val="center"/>
        <w:rPr>
          <w:rFonts w:ascii="Times New Roman" w:eastAsia="Times New Roman" w:hAnsi="Times New Roman" w:cs="Times New Roman"/>
          <w:sz w:val="28"/>
          <w:szCs w:val="24"/>
          <w:lang w:val="en-GB"/>
        </w:rPr>
      </w:pPr>
    </w:p>
    <w:p w14:paraId="5BFA06A3" w14:textId="77777777" w:rsidR="00B92C0E" w:rsidRDefault="00B92C0E" w:rsidP="00D10C3A">
      <w:pPr>
        <w:spacing w:after="0" w:line="240" w:lineRule="auto"/>
        <w:jc w:val="center"/>
        <w:rPr>
          <w:rFonts w:ascii="Times New Roman" w:eastAsia="Times New Roman" w:hAnsi="Times New Roman" w:cs="Times New Roman"/>
          <w:sz w:val="28"/>
          <w:szCs w:val="24"/>
          <w:lang w:val="en-GB"/>
        </w:rPr>
      </w:pPr>
    </w:p>
    <w:p w14:paraId="4A7E2DA0" w14:textId="77777777" w:rsidR="00B92C0E" w:rsidRDefault="00B92C0E" w:rsidP="00D10C3A">
      <w:pPr>
        <w:spacing w:after="0" w:line="240" w:lineRule="auto"/>
        <w:jc w:val="center"/>
        <w:rPr>
          <w:rFonts w:ascii="Times New Roman" w:eastAsia="Times New Roman" w:hAnsi="Times New Roman" w:cs="Times New Roman"/>
          <w:sz w:val="28"/>
          <w:szCs w:val="24"/>
          <w:lang w:val="en-GB"/>
        </w:rPr>
      </w:pPr>
    </w:p>
    <w:p w14:paraId="25F2741F" w14:textId="77777777" w:rsidR="00B92C0E" w:rsidRDefault="00B92C0E" w:rsidP="00D10C3A">
      <w:pPr>
        <w:spacing w:after="0" w:line="240" w:lineRule="auto"/>
        <w:jc w:val="center"/>
        <w:rPr>
          <w:rFonts w:ascii="Times New Roman" w:eastAsia="Times New Roman" w:hAnsi="Times New Roman" w:cs="Times New Roman"/>
          <w:sz w:val="28"/>
          <w:szCs w:val="24"/>
          <w:lang w:val="en-GB"/>
        </w:rPr>
      </w:pPr>
    </w:p>
    <w:p w14:paraId="5BEE802A" w14:textId="77777777" w:rsidR="00B92C0E" w:rsidRDefault="00B92C0E" w:rsidP="00D10C3A">
      <w:pPr>
        <w:spacing w:after="0" w:line="240" w:lineRule="auto"/>
        <w:jc w:val="center"/>
        <w:rPr>
          <w:rFonts w:ascii="Times New Roman" w:eastAsia="Times New Roman" w:hAnsi="Times New Roman" w:cs="Times New Roman"/>
          <w:sz w:val="28"/>
          <w:szCs w:val="24"/>
          <w:lang w:val="en-GB"/>
        </w:rPr>
      </w:pPr>
    </w:p>
    <w:p w14:paraId="677A17C8" w14:textId="615D861A" w:rsidR="00D10C3A" w:rsidRPr="0038451D" w:rsidRDefault="00D10C3A" w:rsidP="00D10C3A">
      <w:pPr>
        <w:spacing w:after="0" w:line="240" w:lineRule="auto"/>
        <w:jc w:val="center"/>
        <w:rPr>
          <w:rFonts w:ascii="Times New Roman" w:eastAsia="Times New Roman" w:hAnsi="Times New Roman" w:cs="Times New Roman"/>
          <w:sz w:val="28"/>
          <w:szCs w:val="24"/>
          <w:lang w:val="en-GB"/>
        </w:rPr>
      </w:pPr>
      <w:r w:rsidRPr="0038451D">
        <w:rPr>
          <w:rFonts w:ascii="Times New Roman" w:eastAsia="Times New Roman" w:hAnsi="Times New Roman" w:cs="Times New Roman"/>
          <w:sz w:val="28"/>
          <w:szCs w:val="24"/>
          <w:lang w:val="en-GB"/>
        </w:rPr>
        <w:tab/>
      </w:r>
      <w:r w:rsidRPr="0038451D">
        <w:rPr>
          <w:rFonts w:ascii="Times New Roman" w:eastAsia="Times New Roman" w:hAnsi="Times New Roman" w:cs="Times New Roman"/>
          <w:sz w:val="28"/>
          <w:szCs w:val="24"/>
          <w:lang w:val="en-GB"/>
        </w:rPr>
        <w:tab/>
      </w:r>
    </w:p>
    <w:p w14:paraId="51EF4E77" w14:textId="77777777" w:rsidR="00D10C3A" w:rsidRPr="0038451D" w:rsidRDefault="00D10C3A" w:rsidP="00D10C3A">
      <w:pPr>
        <w:spacing w:after="0" w:line="240" w:lineRule="auto"/>
        <w:jc w:val="center"/>
        <w:rPr>
          <w:rFonts w:ascii="Times New Roman" w:eastAsia="Times New Roman" w:hAnsi="Times New Roman" w:cs="Times New Roman"/>
          <w:sz w:val="28"/>
          <w:szCs w:val="24"/>
          <w:lang w:val="en-GB"/>
        </w:rPr>
      </w:pPr>
      <w:r w:rsidRPr="0038451D">
        <w:rPr>
          <w:rFonts w:ascii="Times New Roman" w:eastAsia="Times New Roman" w:hAnsi="Times New Roman" w:cs="Times New Roman"/>
          <w:sz w:val="28"/>
          <w:szCs w:val="24"/>
          <w:lang w:val="en-GB"/>
        </w:rPr>
        <w:t>MEconSc</w:t>
      </w:r>
      <w:r w:rsidRPr="0038451D">
        <w:rPr>
          <w:rFonts w:ascii="Times New Roman" w:eastAsia="Times New Roman" w:hAnsi="Times New Roman" w:cs="Times New Roman"/>
          <w:sz w:val="28"/>
          <w:szCs w:val="24"/>
          <w:lang w:val="en-GB"/>
        </w:rPr>
        <w:tab/>
      </w:r>
      <w:r w:rsidRPr="0038451D">
        <w:rPr>
          <w:rFonts w:ascii="Times New Roman" w:eastAsia="Times New Roman" w:hAnsi="Times New Roman" w:cs="Times New Roman"/>
          <w:sz w:val="28"/>
          <w:szCs w:val="24"/>
          <w:lang w:val="en-GB"/>
        </w:rPr>
        <w:tab/>
      </w:r>
      <w:r w:rsidRPr="0038451D">
        <w:rPr>
          <w:rFonts w:ascii="Times New Roman" w:eastAsia="Times New Roman" w:hAnsi="Times New Roman" w:cs="Times New Roman"/>
          <w:sz w:val="28"/>
          <w:szCs w:val="24"/>
          <w:lang w:val="en-GB"/>
        </w:rPr>
        <w:tab/>
      </w:r>
      <w:r w:rsidRPr="0038451D">
        <w:rPr>
          <w:rFonts w:ascii="Times New Roman" w:eastAsia="Times New Roman" w:hAnsi="Times New Roman" w:cs="Times New Roman"/>
          <w:sz w:val="28"/>
          <w:szCs w:val="24"/>
          <w:lang w:val="en-GB"/>
        </w:rPr>
        <w:tab/>
      </w:r>
      <w:r w:rsidRPr="0038451D">
        <w:rPr>
          <w:rFonts w:ascii="Times New Roman" w:eastAsia="Times New Roman" w:hAnsi="Times New Roman" w:cs="Times New Roman"/>
          <w:sz w:val="28"/>
          <w:szCs w:val="24"/>
          <w:lang w:val="en-GB"/>
        </w:rPr>
        <w:tab/>
      </w:r>
      <w:r w:rsidRPr="0038451D">
        <w:rPr>
          <w:rFonts w:ascii="Times New Roman" w:eastAsia="Times New Roman" w:hAnsi="Times New Roman" w:cs="Times New Roman"/>
          <w:sz w:val="28"/>
          <w:szCs w:val="24"/>
          <w:lang w:val="en-GB"/>
        </w:rPr>
        <w:tab/>
      </w:r>
      <w:r w:rsidRPr="0038451D">
        <w:rPr>
          <w:rFonts w:ascii="Times New Roman" w:eastAsia="Times New Roman" w:hAnsi="Times New Roman" w:cs="Times New Roman"/>
          <w:sz w:val="28"/>
          <w:szCs w:val="24"/>
          <w:lang w:val="en-GB"/>
        </w:rPr>
        <w:tab/>
      </w:r>
      <w:r w:rsidRPr="0038451D">
        <w:rPr>
          <w:rFonts w:ascii="Times New Roman" w:eastAsia="Times New Roman" w:hAnsi="Times New Roman" w:cs="Times New Roman"/>
          <w:sz w:val="28"/>
          <w:szCs w:val="24"/>
          <w:lang w:val="en-GB"/>
        </w:rPr>
        <w:tab/>
        <w:t>April 2021</w:t>
      </w:r>
    </w:p>
    <w:p w14:paraId="34D61EBE" w14:textId="3CF8E220" w:rsidR="0010524D" w:rsidRDefault="0010524D">
      <w:pPr>
        <w:rPr>
          <w:rFonts w:ascii="Times New Roman" w:eastAsia="Times New Roman" w:hAnsi="Times New Roman" w:cs="Times New Roman"/>
          <w:sz w:val="28"/>
          <w:szCs w:val="24"/>
          <w:lang w:val="en-GB"/>
        </w:rPr>
      </w:pPr>
      <w:r>
        <w:rPr>
          <w:rFonts w:ascii="Times New Roman" w:eastAsia="Times New Roman" w:hAnsi="Times New Roman" w:cs="Times New Roman"/>
          <w:sz w:val="28"/>
          <w:szCs w:val="24"/>
          <w:lang w:val="en-GB"/>
        </w:rPr>
        <w:br w:type="page"/>
      </w:r>
    </w:p>
    <w:p w14:paraId="0436F3B3" w14:textId="77777777" w:rsidR="0038451D" w:rsidRPr="0038451D" w:rsidRDefault="0038451D" w:rsidP="0038451D">
      <w:pPr>
        <w:spacing w:after="0" w:line="360" w:lineRule="auto"/>
        <w:jc w:val="center"/>
        <w:rPr>
          <w:rFonts w:ascii="Times New Roman" w:eastAsia="Times New Roman" w:hAnsi="Times New Roman" w:cs="Times New Roman"/>
          <w:b/>
          <w:sz w:val="24"/>
          <w:szCs w:val="24"/>
          <w:lang w:val="en-GB"/>
        </w:rPr>
      </w:pPr>
      <w:r w:rsidRPr="0038451D">
        <w:rPr>
          <w:rFonts w:ascii="Times New Roman" w:eastAsia="Times New Roman" w:hAnsi="Times New Roman" w:cs="Times New Roman"/>
          <w:b/>
          <w:sz w:val="24"/>
          <w:szCs w:val="24"/>
          <w:lang w:val="en-GB"/>
        </w:rPr>
        <w:lastRenderedPageBreak/>
        <w:t>A Dissertation submitted to the Institute of Public Administration,</w:t>
      </w:r>
    </w:p>
    <w:p w14:paraId="4B2FC988" w14:textId="77777777" w:rsidR="0038451D" w:rsidRPr="0038451D" w:rsidRDefault="0038451D" w:rsidP="0038451D">
      <w:pPr>
        <w:spacing w:after="0" w:line="360" w:lineRule="auto"/>
        <w:jc w:val="center"/>
        <w:rPr>
          <w:rFonts w:ascii="Times New Roman" w:eastAsia="Times New Roman" w:hAnsi="Times New Roman" w:cs="Times New Roman"/>
          <w:b/>
          <w:sz w:val="24"/>
          <w:szCs w:val="24"/>
          <w:lang w:val="en-GB"/>
        </w:rPr>
      </w:pPr>
      <w:r w:rsidRPr="0038451D">
        <w:rPr>
          <w:rFonts w:ascii="Times New Roman" w:eastAsia="Times New Roman" w:hAnsi="Times New Roman" w:cs="Times New Roman"/>
          <w:b/>
          <w:sz w:val="24"/>
          <w:szCs w:val="24"/>
          <w:lang w:val="en-GB"/>
        </w:rPr>
        <w:t>in part fulfilment of the degree of MA.</w:t>
      </w:r>
    </w:p>
    <w:p w14:paraId="03534665" w14:textId="5E9B9689" w:rsidR="0038451D" w:rsidRPr="00C73908" w:rsidRDefault="0038451D" w:rsidP="0038451D">
      <w:pPr>
        <w:spacing w:after="0" w:line="240" w:lineRule="auto"/>
        <w:rPr>
          <w:rFonts w:ascii="Times New Roman" w:eastAsia="Times New Roman" w:hAnsi="Times New Roman" w:cs="Times New Roman"/>
          <w:b/>
          <w:sz w:val="24"/>
          <w:szCs w:val="24"/>
          <w:lang w:val="en-GB"/>
        </w:rPr>
      </w:pPr>
    </w:p>
    <w:p w14:paraId="11EAE90B" w14:textId="6CC275C0" w:rsidR="000E016D" w:rsidRPr="00C73908" w:rsidRDefault="000E016D" w:rsidP="0038451D">
      <w:pPr>
        <w:spacing w:after="0" w:line="240" w:lineRule="auto"/>
        <w:rPr>
          <w:rFonts w:ascii="Times New Roman" w:eastAsia="Times New Roman" w:hAnsi="Times New Roman" w:cs="Times New Roman"/>
          <w:b/>
          <w:sz w:val="24"/>
          <w:szCs w:val="24"/>
          <w:lang w:val="en-GB"/>
        </w:rPr>
      </w:pPr>
    </w:p>
    <w:p w14:paraId="7B2C338B" w14:textId="69C251CE" w:rsidR="005902B4" w:rsidRPr="00C73908" w:rsidRDefault="005902B4" w:rsidP="0038451D">
      <w:pPr>
        <w:spacing w:after="0" w:line="240" w:lineRule="auto"/>
        <w:rPr>
          <w:rFonts w:ascii="Times New Roman" w:eastAsia="Times New Roman" w:hAnsi="Times New Roman" w:cs="Times New Roman"/>
          <w:b/>
          <w:sz w:val="24"/>
          <w:szCs w:val="24"/>
          <w:lang w:val="en-GB"/>
        </w:rPr>
      </w:pPr>
    </w:p>
    <w:p w14:paraId="5EC944D8" w14:textId="77777777" w:rsidR="005902B4" w:rsidRPr="0038451D" w:rsidRDefault="005902B4" w:rsidP="0038451D">
      <w:pPr>
        <w:spacing w:after="0" w:line="240" w:lineRule="auto"/>
        <w:rPr>
          <w:rFonts w:ascii="Times New Roman" w:eastAsia="Times New Roman" w:hAnsi="Times New Roman" w:cs="Times New Roman"/>
          <w:b/>
          <w:sz w:val="24"/>
          <w:szCs w:val="24"/>
          <w:lang w:val="en-GB"/>
        </w:rPr>
      </w:pPr>
    </w:p>
    <w:p w14:paraId="2CC037F5" w14:textId="77777777" w:rsidR="0038451D" w:rsidRPr="0038451D" w:rsidRDefault="0038451D" w:rsidP="0038451D">
      <w:pPr>
        <w:spacing w:after="0" w:line="240" w:lineRule="auto"/>
        <w:rPr>
          <w:rFonts w:ascii="Times New Roman" w:eastAsia="Times New Roman" w:hAnsi="Times New Roman" w:cs="Times New Roman"/>
          <w:b/>
          <w:sz w:val="24"/>
          <w:szCs w:val="24"/>
          <w:lang w:val="en-GB"/>
        </w:rPr>
      </w:pPr>
    </w:p>
    <w:p w14:paraId="652F6C60" w14:textId="77777777" w:rsidR="0038451D" w:rsidRPr="0038451D" w:rsidRDefault="0038451D" w:rsidP="0038451D">
      <w:pPr>
        <w:spacing w:after="0" w:line="240" w:lineRule="auto"/>
        <w:rPr>
          <w:rFonts w:ascii="Times New Roman" w:eastAsia="Times New Roman" w:hAnsi="Times New Roman" w:cs="Times New Roman"/>
          <w:b/>
          <w:sz w:val="24"/>
          <w:szCs w:val="24"/>
          <w:lang w:val="en-GB"/>
        </w:rPr>
      </w:pPr>
    </w:p>
    <w:p w14:paraId="675D7C75" w14:textId="0F36AC3E" w:rsidR="0038451D" w:rsidRPr="0038451D" w:rsidRDefault="0038451D" w:rsidP="0038451D">
      <w:pPr>
        <w:spacing w:after="0" w:line="240" w:lineRule="auto"/>
        <w:rPr>
          <w:rFonts w:ascii="Times New Roman" w:eastAsia="Times New Roman" w:hAnsi="Times New Roman" w:cs="Times New Roman"/>
          <w:b/>
          <w:sz w:val="24"/>
          <w:szCs w:val="24"/>
          <w:lang w:val="en-GB"/>
        </w:rPr>
      </w:pPr>
      <w:r w:rsidRPr="0038451D">
        <w:rPr>
          <w:rFonts w:ascii="Times New Roman" w:eastAsia="Times New Roman" w:hAnsi="Times New Roman" w:cs="Times New Roman"/>
          <w:b/>
          <w:sz w:val="24"/>
          <w:szCs w:val="24"/>
          <w:lang w:val="en-GB"/>
        </w:rPr>
        <w:t>Title:</w:t>
      </w:r>
      <w:r w:rsidRPr="0038451D">
        <w:rPr>
          <w:rFonts w:ascii="Times New Roman" w:eastAsia="Times New Roman" w:hAnsi="Times New Roman" w:cs="Times New Roman"/>
          <w:b/>
          <w:sz w:val="24"/>
          <w:szCs w:val="24"/>
          <w:lang w:val="en-GB"/>
        </w:rPr>
        <w:tab/>
      </w:r>
      <w:r w:rsidRPr="0038451D">
        <w:rPr>
          <w:rFonts w:ascii="Times New Roman" w:eastAsia="Times New Roman" w:hAnsi="Times New Roman" w:cs="Times New Roman"/>
          <w:b/>
          <w:sz w:val="24"/>
          <w:szCs w:val="24"/>
          <w:lang w:val="en-GB"/>
        </w:rPr>
        <w:tab/>
      </w:r>
      <w:r w:rsidR="00752C08" w:rsidRPr="00C73908">
        <w:rPr>
          <w:rFonts w:ascii="Times New Roman" w:eastAsia="Times New Roman" w:hAnsi="Times New Roman" w:cs="Times New Roman"/>
          <w:b/>
          <w:sz w:val="24"/>
          <w:szCs w:val="24"/>
          <w:lang w:val="en-GB"/>
        </w:rPr>
        <w:t xml:space="preserve">An Analysis of the Firm-Level Factors </w:t>
      </w:r>
      <w:r w:rsidR="00231972">
        <w:rPr>
          <w:rFonts w:ascii="Times New Roman" w:eastAsia="Times New Roman" w:hAnsi="Times New Roman" w:cs="Times New Roman"/>
          <w:b/>
          <w:sz w:val="24"/>
          <w:szCs w:val="24"/>
          <w:lang w:val="en-GB"/>
        </w:rPr>
        <w:t>That</w:t>
      </w:r>
      <w:r w:rsidR="00752C08" w:rsidRPr="00C73908">
        <w:rPr>
          <w:rFonts w:ascii="Times New Roman" w:eastAsia="Times New Roman" w:hAnsi="Times New Roman" w:cs="Times New Roman"/>
          <w:b/>
          <w:sz w:val="24"/>
          <w:szCs w:val="24"/>
          <w:lang w:val="en-GB"/>
        </w:rPr>
        <w:t xml:space="preserve"> Influence the Export</w:t>
      </w:r>
      <w:r w:rsidR="00231972">
        <w:rPr>
          <w:rFonts w:ascii="Times New Roman" w:eastAsia="Times New Roman" w:hAnsi="Times New Roman" w:cs="Times New Roman"/>
          <w:b/>
          <w:sz w:val="24"/>
          <w:szCs w:val="24"/>
          <w:lang w:val="en-GB"/>
        </w:rPr>
        <w:t xml:space="preserve"> </w:t>
      </w:r>
      <w:r w:rsidR="00752C08" w:rsidRPr="00C73908">
        <w:rPr>
          <w:rFonts w:ascii="Times New Roman" w:eastAsia="Times New Roman" w:hAnsi="Times New Roman" w:cs="Times New Roman"/>
          <w:b/>
          <w:sz w:val="24"/>
          <w:szCs w:val="24"/>
          <w:lang w:val="en-GB"/>
        </w:rPr>
        <w:t>Performance of Indigenous Irish Companies</w:t>
      </w:r>
    </w:p>
    <w:p w14:paraId="087C8FB1" w14:textId="77777777" w:rsidR="0038451D" w:rsidRPr="0038451D" w:rsidRDefault="0038451D" w:rsidP="0038451D">
      <w:pPr>
        <w:spacing w:after="0" w:line="240" w:lineRule="auto"/>
        <w:rPr>
          <w:rFonts w:ascii="Times New Roman" w:eastAsia="Times New Roman" w:hAnsi="Times New Roman" w:cs="Times New Roman"/>
          <w:b/>
          <w:sz w:val="24"/>
          <w:szCs w:val="24"/>
          <w:lang w:val="en-GB"/>
        </w:rPr>
      </w:pPr>
    </w:p>
    <w:p w14:paraId="2DA11E18" w14:textId="77777777" w:rsidR="0038451D" w:rsidRPr="0038451D" w:rsidRDefault="0038451D" w:rsidP="0038451D">
      <w:pPr>
        <w:spacing w:after="0" w:line="240" w:lineRule="auto"/>
        <w:rPr>
          <w:rFonts w:ascii="Times New Roman" w:eastAsia="Times New Roman" w:hAnsi="Times New Roman" w:cs="Times New Roman"/>
          <w:b/>
          <w:sz w:val="24"/>
          <w:szCs w:val="24"/>
          <w:lang w:val="en-GB"/>
        </w:rPr>
      </w:pPr>
    </w:p>
    <w:p w14:paraId="190C3951" w14:textId="77777777" w:rsidR="0038451D" w:rsidRPr="0038451D" w:rsidRDefault="0038451D" w:rsidP="0038451D">
      <w:pPr>
        <w:spacing w:after="0" w:line="240" w:lineRule="auto"/>
        <w:rPr>
          <w:rFonts w:ascii="Times New Roman" w:eastAsia="Times New Roman" w:hAnsi="Times New Roman" w:cs="Times New Roman"/>
          <w:b/>
          <w:sz w:val="24"/>
          <w:szCs w:val="24"/>
          <w:lang w:val="en-GB"/>
        </w:rPr>
      </w:pPr>
    </w:p>
    <w:p w14:paraId="04FF8D8E" w14:textId="028A4A93" w:rsidR="0038451D" w:rsidRPr="0038451D" w:rsidRDefault="0038451D" w:rsidP="0038451D">
      <w:pPr>
        <w:spacing w:after="0" w:line="240" w:lineRule="auto"/>
        <w:rPr>
          <w:rFonts w:ascii="Times New Roman" w:eastAsia="Times New Roman" w:hAnsi="Times New Roman" w:cs="Times New Roman"/>
          <w:b/>
          <w:sz w:val="24"/>
          <w:szCs w:val="24"/>
          <w:lang w:val="en-GB"/>
        </w:rPr>
      </w:pPr>
      <w:r w:rsidRPr="0038451D">
        <w:rPr>
          <w:rFonts w:ascii="Times New Roman" w:eastAsia="Times New Roman" w:hAnsi="Times New Roman" w:cs="Times New Roman"/>
          <w:b/>
          <w:sz w:val="24"/>
          <w:szCs w:val="24"/>
          <w:lang w:val="en-GB"/>
        </w:rPr>
        <w:t>Author:</w:t>
      </w:r>
      <w:r w:rsidRPr="0038451D">
        <w:rPr>
          <w:rFonts w:ascii="Times New Roman" w:eastAsia="Times New Roman" w:hAnsi="Times New Roman" w:cs="Times New Roman"/>
          <w:b/>
          <w:sz w:val="24"/>
          <w:szCs w:val="24"/>
          <w:lang w:val="en-GB"/>
        </w:rPr>
        <w:tab/>
      </w:r>
      <w:r w:rsidR="00C90A6A" w:rsidRPr="00C73908">
        <w:rPr>
          <w:rFonts w:ascii="Times New Roman" w:eastAsia="Times New Roman" w:hAnsi="Times New Roman" w:cs="Times New Roman"/>
          <w:b/>
          <w:sz w:val="24"/>
          <w:szCs w:val="24"/>
          <w:lang w:val="en-GB"/>
        </w:rPr>
        <w:t>Peter Carpenter</w:t>
      </w:r>
      <w:r w:rsidRPr="0038451D">
        <w:rPr>
          <w:rFonts w:ascii="Times New Roman" w:eastAsia="Times New Roman" w:hAnsi="Times New Roman" w:cs="Times New Roman"/>
          <w:b/>
          <w:sz w:val="24"/>
          <w:szCs w:val="24"/>
          <w:lang w:val="en-GB"/>
        </w:rPr>
        <w:tab/>
      </w:r>
    </w:p>
    <w:p w14:paraId="5AE62BBE" w14:textId="77777777" w:rsidR="0038451D" w:rsidRPr="0038451D" w:rsidRDefault="0038451D" w:rsidP="0038451D">
      <w:pPr>
        <w:spacing w:after="0" w:line="240" w:lineRule="auto"/>
        <w:rPr>
          <w:rFonts w:ascii="Times New Roman" w:eastAsia="Times New Roman" w:hAnsi="Times New Roman" w:cs="Times New Roman"/>
          <w:b/>
          <w:sz w:val="24"/>
          <w:szCs w:val="24"/>
          <w:lang w:val="en-GB"/>
        </w:rPr>
      </w:pPr>
    </w:p>
    <w:p w14:paraId="4B2909D7" w14:textId="77777777" w:rsidR="0038451D" w:rsidRPr="0038451D" w:rsidRDefault="0038451D" w:rsidP="0038451D">
      <w:pPr>
        <w:spacing w:after="0" w:line="240" w:lineRule="auto"/>
        <w:rPr>
          <w:rFonts w:ascii="Times New Roman" w:eastAsia="Times New Roman" w:hAnsi="Times New Roman" w:cs="Times New Roman"/>
          <w:b/>
          <w:sz w:val="24"/>
          <w:szCs w:val="24"/>
          <w:lang w:val="en-GB"/>
        </w:rPr>
      </w:pPr>
    </w:p>
    <w:p w14:paraId="006B5394" w14:textId="77777777" w:rsidR="0038451D" w:rsidRPr="0038451D" w:rsidRDefault="0038451D" w:rsidP="0038451D">
      <w:pPr>
        <w:spacing w:after="0" w:line="240" w:lineRule="auto"/>
        <w:rPr>
          <w:rFonts w:ascii="Times New Roman" w:eastAsia="Times New Roman" w:hAnsi="Times New Roman" w:cs="Times New Roman"/>
          <w:b/>
          <w:sz w:val="24"/>
          <w:szCs w:val="24"/>
          <w:lang w:val="en-GB"/>
        </w:rPr>
      </w:pPr>
    </w:p>
    <w:p w14:paraId="3071F968" w14:textId="4B7505C4" w:rsidR="0038451D" w:rsidRPr="0038451D" w:rsidRDefault="0038451D" w:rsidP="0038451D">
      <w:pPr>
        <w:spacing w:after="0" w:line="240" w:lineRule="auto"/>
        <w:rPr>
          <w:rFonts w:ascii="Times New Roman" w:eastAsia="Times New Roman" w:hAnsi="Times New Roman" w:cs="Times New Roman"/>
          <w:b/>
          <w:sz w:val="24"/>
          <w:szCs w:val="24"/>
          <w:lang w:val="en-GB"/>
        </w:rPr>
      </w:pPr>
      <w:r w:rsidRPr="0038451D">
        <w:rPr>
          <w:rFonts w:ascii="Times New Roman" w:eastAsia="Times New Roman" w:hAnsi="Times New Roman" w:cs="Times New Roman"/>
          <w:b/>
          <w:sz w:val="24"/>
          <w:szCs w:val="24"/>
          <w:lang w:val="en-GB"/>
        </w:rPr>
        <w:t>Supervisor:</w:t>
      </w:r>
      <w:r w:rsidRPr="0038451D">
        <w:rPr>
          <w:rFonts w:ascii="Times New Roman" w:eastAsia="Times New Roman" w:hAnsi="Times New Roman" w:cs="Times New Roman"/>
          <w:b/>
          <w:sz w:val="24"/>
          <w:szCs w:val="24"/>
          <w:lang w:val="en-GB"/>
        </w:rPr>
        <w:tab/>
      </w:r>
      <w:r w:rsidR="007C396C">
        <w:rPr>
          <w:rFonts w:ascii="Times New Roman" w:eastAsia="Times New Roman" w:hAnsi="Times New Roman" w:cs="Times New Roman"/>
          <w:b/>
          <w:sz w:val="24"/>
          <w:szCs w:val="24"/>
          <w:lang w:val="en-GB"/>
        </w:rPr>
        <w:t xml:space="preserve">Dr </w:t>
      </w:r>
      <w:r w:rsidR="00752C08" w:rsidRPr="00C73908">
        <w:rPr>
          <w:rFonts w:ascii="Times New Roman" w:eastAsia="Times New Roman" w:hAnsi="Times New Roman" w:cs="Times New Roman"/>
          <w:b/>
          <w:sz w:val="24"/>
          <w:szCs w:val="24"/>
          <w:lang w:val="en-GB"/>
        </w:rPr>
        <w:t>Stephen Weir</w:t>
      </w:r>
    </w:p>
    <w:p w14:paraId="1F79DDCE" w14:textId="77777777" w:rsidR="0038451D" w:rsidRPr="0038451D" w:rsidRDefault="0038451D" w:rsidP="0038451D">
      <w:pPr>
        <w:spacing w:after="0" w:line="240" w:lineRule="auto"/>
        <w:rPr>
          <w:rFonts w:ascii="Times New Roman" w:eastAsia="Times New Roman" w:hAnsi="Times New Roman" w:cs="Times New Roman"/>
          <w:b/>
          <w:sz w:val="24"/>
          <w:szCs w:val="24"/>
          <w:lang w:val="en-GB"/>
        </w:rPr>
      </w:pPr>
    </w:p>
    <w:p w14:paraId="213EF0B5" w14:textId="77777777" w:rsidR="0038451D" w:rsidRPr="0038451D" w:rsidRDefault="0038451D" w:rsidP="0038451D">
      <w:pPr>
        <w:spacing w:after="0" w:line="240" w:lineRule="auto"/>
        <w:rPr>
          <w:rFonts w:ascii="Times New Roman" w:eastAsia="Times New Roman" w:hAnsi="Times New Roman" w:cs="Times New Roman"/>
          <w:b/>
          <w:sz w:val="24"/>
          <w:szCs w:val="24"/>
          <w:lang w:val="en-GB"/>
        </w:rPr>
      </w:pPr>
    </w:p>
    <w:p w14:paraId="06A508D1" w14:textId="77777777" w:rsidR="0038451D" w:rsidRPr="0038451D" w:rsidRDefault="0038451D" w:rsidP="0038451D">
      <w:pPr>
        <w:spacing w:after="0" w:line="240" w:lineRule="auto"/>
        <w:rPr>
          <w:rFonts w:ascii="Times New Roman" w:eastAsia="Times New Roman" w:hAnsi="Times New Roman" w:cs="Times New Roman"/>
          <w:b/>
          <w:sz w:val="24"/>
          <w:szCs w:val="24"/>
          <w:lang w:val="en-GB"/>
        </w:rPr>
      </w:pPr>
    </w:p>
    <w:p w14:paraId="044FE67A" w14:textId="3A0241F6" w:rsidR="0038451D" w:rsidRPr="0038451D" w:rsidRDefault="0038451D" w:rsidP="0038451D">
      <w:pPr>
        <w:spacing w:after="0" w:line="240" w:lineRule="auto"/>
        <w:rPr>
          <w:rFonts w:ascii="Times New Roman" w:eastAsia="Times New Roman" w:hAnsi="Times New Roman" w:cs="Times New Roman"/>
          <w:b/>
          <w:sz w:val="24"/>
          <w:szCs w:val="24"/>
          <w:lang w:val="en-GB"/>
        </w:rPr>
      </w:pPr>
      <w:r w:rsidRPr="0038451D">
        <w:rPr>
          <w:rFonts w:ascii="Times New Roman" w:eastAsia="Times New Roman" w:hAnsi="Times New Roman" w:cs="Times New Roman"/>
          <w:b/>
          <w:sz w:val="24"/>
          <w:szCs w:val="24"/>
          <w:lang w:val="en-GB"/>
        </w:rPr>
        <w:t>Date:</w:t>
      </w:r>
      <w:r w:rsidRPr="0038451D">
        <w:rPr>
          <w:rFonts w:ascii="Times New Roman" w:eastAsia="Times New Roman" w:hAnsi="Times New Roman" w:cs="Times New Roman"/>
          <w:b/>
          <w:sz w:val="24"/>
          <w:szCs w:val="24"/>
          <w:lang w:val="en-GB"/>
        </w:rPr>
        <w:tab/>
      </w:r>
      <w:r w:rsidRPr="0038451D">
        <w:rPr>
          <w:rFonts w:ascii="Times New Roman" w:eastAsia="Times New Roman" w:hAnsi="Times New Roman" w:cs="Times New Roman"/>
          <w:b/>
          <w:sz w:val="24"/>
          <w:szCs w:val="24"/>
          <w:lang w:val="en-GB"/>
        </w:rPr>
        <w:tab/>
      </w:r>
      <w:r w:rsidR="00685192">
        <w:rPr>
          <w:rFonts w:ascii="Times New Roman" w:eastAsia="Times New Roman" w:hAnsi="Times New Roman" w:cs="Times New Roman"/>
          <w:b/>
          <w:sz w:val="24"/>
          <w:szCs w:val="24"/>
          <w:lang w:val="en-GB"/>
        </w:rPr>
        <w:t>26</w:t>
      </w:r>
      <w:r w:rsidR="00AE2AB0" w:rsidRPr="00AE2AB0">
        <w:rPr>
          <w:rFonts w:ascii="Times New Roman" w:eastAsia="Times New Roman" w:hAnsi="Times New Roman" w:cs="Times New Roman"/>
          <w:b/>
          <w:sz w:val="24"/>
          <w:szCs w:val="24"/>
          <w:vertAlign w:val="superscript"/>
          <w:lang w:val="en-GB"/>
        </w:rPr>
        <w:t>th</w:t>
      </w:r>
      <w:r w:rsidR="00AE2AB0">
        <w:rPr>
          <w:rFonts w:ascii="Times New Roman" w:eastAsia="Times New Roman" w:hAnsi="Times New Roman" w:cs="Times New Roman"/>
          <w:b/>
          <w:sz w:val="24"/>
          <w:szCs w:val="24"/>
          <w:lang w:val="en-GB"/>
        </w:rPr>
        <w:t xml:space="preserve"> April 2021</w:t>
      </w:r>
    </w:p>
    <w:p w14:paraId="0849760E" w14:textId="77777777" w:rsidR="0038451D" w:rsidRPr="0038451D" w:rsidRDefault="0038451D" w:rsidP="0038451D">
      <w:pPr>
        <w:spacing w:after="0" w:line="240" w:lineRule="auto"/>
        <w:rPr>
          <w:rFonts w:ascii="Times New Roman" w:eastAsia="Times New Roman" w:hAnsi="Times New Roman" w:cs="Times New Roman"/>
          <w:b/>
          <w:sz w:val="24"/>
          <w:szCs w:val="24"/>
          <w:lang w:val="en-GB"/>
        </w:rPr>
      </w:pPr>
    </w:p>
    <w:p w14:paraId="0542BADD" w14:textId="77777777" w:rsidR="0038451D" w:rsidRPr="0038451D" w:rsidRDefault="0038451D" w:rsidP="0038451D">
      <w:pPr>
        <w:spacing w:after="0" w:line="240" w:lineRule="auto"/>
        <w:rPr>
          <w:rFonts w:ascii="Times New Roman" w:eastAsia="Times New Roman" w:hAnsi="Times New Roman" w:cs="Times New Roman"/>
          <w:b/>
          <w:sz w:val="24"/>
          <w:szCs w:val="24"/>
          <w:lang w:val="en-GB"/>
        </w:rPr>
      </w:pPr>
    </w:p>
    <w:p w14:paraId="67C134A0" w14:textId="77777777" w:rsidR="0038451D" w:rsidRPr="0038451D" w:rsidRDefault="0038451D" w:rsidP="0038451D">
      <w:pPr>
        <w:spacing w:after="0" w:line="240" w:lineRule="auto"/>
        <w:rPr>
          <w:rFonts w:ascii="Times New Roman" w:eastAsia="Times New Roman" w:hAnsi="Times New Roman" w:cs="Times New Roman"/>
          <w:b/>
          <w:sz w:val="24"/>
          <w:szCs w:val="24"/>
          <w:lang w:val="en-GB"/>
        </w:rPr>
      </w:pPr>
    </w:p>
    <w:p w14:paraId="7A0CC8E5" w14:textId="77777777" w:rsidR="0038451D" w:rsidRPr="0038451D" w:rsidRDefault="0038451D" w:rsidP="0038451D">
      <w:pPr>
        <w:spacing w:after="0" w:line="240" w:lineRule="auto"/>
        <w:rPr>
          <w:rFonts w:ascii="Times New Roman" w:eastAsia="Times New Roman" w:hAnsi="Times New Roman" w:cs="Times New Roman"/>
          <w:b/>
          <w:sz w:val="24"/>
          <w:szCs w:val="24"/>
          <w:lang w:val="en-GB"/>
        </w:rPr>
      </w:pPr>
    </w:p>
    <w:p w14:paraId="5783F32C" w14:textId="77777777" w:rsidR="0038451D" w:rsidRPr="0038451D" w:rsidRDefault="0038451D" w:rsidP="0038451D">
      <w:pPr>
        <w:spacing w:after="0" w:line="240" w:lineRule="auto"/>
        <w:rPr>
          <w:rFonts w:ascii="Times New Roman" w:eastAsia="Times New Roman" w:hAnsi="Times New Roman" w:cs="Times New Roman"/>
          <w:b/>
          <w:sz w:val="24"/>
          <w:szCs w:val="24"/>
          <w:lang w:val="en-GB"/>
        </w:rPr>
      </w:pPr>
    </w:p>
    <w:p w14:paraId="7C14D418" w14:textId="77777777" w:rsidR="0038451D" w:rsidRPr="0038451D" w:rsidRDefault="0038451D" w:rsidP="0038451D">
      <w:pPr>
        <w:spacing w:after="0" w:line="240" w:lineRule="auto"/>
        <w:rPr>
          <w:rFonts w:ascii="Times New Roman" w:eastAsia="Times New Roman" w:hAnsi="Times New Roman" w:cs="Times New Roman"/>
          <w:b/>
          <w:sz w:val="24"/>
          <w:szCs w:val="24"/>
          <w:lang w:val="en-GB"/>
        </w:rPr>
      </w:pPr>
    </w:p>
    <w:p w14:paraId="46199940" w14:textId="77777777" w:rsidR="0038451D" w:rsidRPr="0038451D" w:rsidRDefault="0038451D" w:rsidP="0038451D">
      <w:pPr>
        <w:spacing w:after="0" w:line="240" w:lineRule="auto"/>
        <w:rPr>
          <w:rFonts w:ascii="Times New Roman" w:eastAsia="Times New Roman" w:hAnsi="Times New Roman" w:cs="Times New Roman"/>
          <w:b/>
          <w:sz w:val="24"/>
          <w:szCs w:val="24"/>
          <w:lang w:val="en-GB"/>
        </w:rPr>
      </w:pPr>
    </w:p>
    <w:p w14:paraId="5D6A7945" w14:textId="49308495" w:rsidR="0038451D" w:rsidRPr="0038451D" w:rsidRDefault="009E2BDB" w:rsidP="0038451D">
      <w:pPr>
        <w:spacing w:after="0" w:line="240" w:lineRule="auto"/>
        <w:rPr>
          <w:rFonts w:ascii="Times New Roman" w:eastAsia="Times New Roman" w:hAnsi="Times New Roman" w:cs="Times New Roman"/>
          <w:b/>
          <w:sz w:val="24"/>
          <w:szCs w:val="24"/>
          <w:lang w:val="en-GB"/>
        </w:rPr>
      </w:pPr>
      <w:r w:rsidRPr="0038451D">
        <w:rPr>
          <w:rFonts w:ascii="Times New Roman" w:eastAsia="Times New Roman" w:hAnsi="Times New Roman" w:cs="Times New Roman"/>
          <w:b/>
          <w:sz w:val="24"/>
          <w:szCs w:val="24"/>
          <w:lang w:val="en-GB"/>
        </w:rPr>
        <w:t xml:space="preserve">I affirm that this dissertation is my own work and </w:t>
      </w:r>
      <w:r>
        <w:rPr>
          <w:rFonts w:ascii="Times New Roman" w:eastAsia="Times New Roman" w:hAnsi="Times New Roman" w:cs="Times New Roman"/>
          <w:b/>
          <w:sz w:val="24"/>
          <w:szCs w:val="24"/>
          <w:lang w:val="en-GB"/>
        </w:rPr>
        <w:t>t</w:t>
      </w:r>
      <w:r w:rsidRPr="0038451D">
        <w:rPr>
          <w:rFonts w:ascii="Times New Roman" w:eastAsia="Times New Roman" w:hAnsi="Times New Roman" w:cs="Times New Roman"/>
          <w:b/>
          <w:sz w:val="24"/>
          <w:szCs w:val="24"/>
          <w:lang w:val="en-GB"/>
        </w:rPr>
        <w:t xml:space="preserve">hat </w:t>
      </w:r>
      <w:r>
        <w:rPr>
          <w:rFonts w:ascii="Times New Roman" w:eastAsia="Times New Roman" w:hAnsi="Times New Roman" w:cs="Times New Roman"/>
          <w:b/>
          <w:sz w:val="24"/>
          <w:szCs w:val="24"/>
          <w:lang w:val="en-GB"/>
        </w:rPr>
        <w:t>I</w:t>
      </w:r>
      <w:r w:rsidRPr="0038451D">
        <w:rPr>
          <w:rFonts w:ascii="Times New Roman" w:eastAsia="Times New Roman" w:hAnsi="Times New Roman" w:cs="Times New Roman"/>
          <w:b/>
          <w:sz w:val="24"/>
          <w:szCs w:val="24"/>
          <w:lang w:val="en-GB"/>
        </w:rPr>
        <w:t xml:space="preserve"> have acknowledged any material </w:t>
      </w:r>
      <w:r>
        <w:rPr>
          <w:rFonts w:ascii="Times New Roman" w:eastAsia="Times New Roman" w:hAnsi="Times New Roman" w:cs="Times New Roman"/>
          <w:b/>
          <w:sz w:val="24"/>
          <w:szCs w:val="24"/>
          <w:lang w:val="en-GB"/>
        </w:rPr>
        <w:t>I</w:t>
      </w:r>
      <w:r w:rsidRPr="0038451D">
        <w:rPr>
          <w:rFonts w:ascii="Times New Roman" w:eastAsia="Times New Roman" w:hAnsi="Times New Roman" w:cs="Times New Roman"/>
          <w:b/>
          <w:sz w:val="24"/>
          <w:szCs w:val="24"/>
          <w:lang w:val="en-GB"/>
        </w:rPr>
        <w:t xml:space="preserve"> have used from other sources</w:t>
      </w:r>
    </w:p>
    <w:p w14:paraId="58BB260E" w14:textId="77777777" w:rsidR="0038451D" w:rsidRPr="0038451D" w:rsidRDefault="0038451D" w:rsidP="0038451D">
      <w:pPr>
        <w:spacing w:after="0" w:line="240" w:lineRule="auto"/>
        <w:rPr>
          <w:rFonts w:ascii="Times New Roman" w:eastAsia="Times New Roman" w:hAnsi="Times New Roman" w:cs="Times New Roman"/>
          <w:b/>
          <w:sz w:val="24"/>
          <w:szCs w:val="24"/>
          <w:lang w:val="en-GB"/>
        </w:rPr>
      </w:pPr>
    </w:p>
    <w:p w14:paraId="1EAFC6B2" w14:textId="77777777" w:rsidR="0038451D" w:rsidRPr="0038451D" w:rsidRDefault="0038451D" w:rsidP="0038451D">
      <w:pPr>
        <w:spacing w:after="0" w:line="240" w:lineRule="auto"/>
        <w:rPr>
          <w:rFonts w:ascii="Times New Roman" w:eastAsia="Times New Roman" w:hAnsi="Times New Roman" w:cs="Times New Roman"/>
          <w:sz w:val="24"/>
          <w:szCs w:val="24"/>
          <w:lang w:val="en-GB"/>
        </w:rPr>
      </w:pPr>
    </w:p>
    <w:p w14:paraId="58666BCF" w14:textId="77777777" w:rsidR="0038451D" w:rsidRPr="0038451D" w:rsidRDefault="0038451D" w:rsidP="0038451D">
      <w:pPr>
        <w:spacing w:after="0" w:line="240" w:lineRule="auto"/>
        <w:rPr>
          <w:rFonts w:ascii="Times New Roman" w:eastAsia="Times New Roman" w:hAnsi="Times New Roman" w:cs="Times New Roman"/>
          <w:sz w:val="24"/>
          <w:szCs w:val="24"/>
          <w:lang w:val="en-GB"/>
        </w:rPr>
      </w:pPr>
    </w:p>
    <w:p w14:paraId="6C42D989" w14:textId="77777777" w:rsidR="0038451D" w:rsidRPr="0038451D" w:rsidRDefault="0038451D" w:rsidP="0038451D">
      <w:pPr>
        <w:spacing w:after="0" w:line="240" w:lineRule="auto"/>
        <w:rPr>
          <w:rFonts w:ascii="Times New Roman" w:eastAsia="Times New Roman" w:hAnsi="Times New Roman" w:cs="Times New Roman"/>
          <w:sz w:val="24"/>
          <w:szCs w:val="24"/>
          <w:lang w:val="en-GB"/>
        </w:rPr>
      </w:pPr>
    </w:p>
    <w:p w14:paraId="2EF0F2AD" w14:textId="33CAD39F" w:rsidR="0038451D" w:rsidRPr="0038451D" w:rsidRDefault="0038451D" w:rsidP="0038451D">
      <w:pPr>
        <w:spacing w:after="0" w:line="240" w:lineRule="auto"/>
        <w:rPr>
          <w:rFonts w:ascii="Times New Roman" w:eastAsia="Times New Roman" w:hAnsi="Times New Roman" w:cs="Times New Roman"/>
          <w:b/>
          <w:sz w:val="24"/>
          <w:szCs w:val="24"/>
          <w:lang w:val="en-GB"/>
        </w:rPr>
      </w:pPr>
      <w:r w:rsidRPr="0038451D">
        <w:rPr>
          <w:rFonts w:ascii="Times New Roman" w:eastAsia="Times New Roman" w:hAnsi="Times New Roman" w:cs="Times New Roman"/>
          <w:b/>
          <w:sz w:val="24"/>
          <w:szCs w:val="24"/>
          <w:lang w:val="en-GB"/>
        </w:rPr>
        <w:t>Student’s name:</w:t>
      </w:r>
      <w:r w:rsidRPr="0038451D">
        <w:rPr>
          <w:rFonts w:ascii="Times New Roman" w:eastAsia="Times New Roman" w:hAnsi="Times New Roman" w:cs="Times New Roman"/>
          <w:b/>
          <w:sz w:val="24"/>
          <w:szCs w:val="24"/>
          <w:lang w:val="en-GB"/>
        </w:rPr>
        <w:tab/>
      </w:r>
      <w:r w:rsidR="00752C08" w:rsidRPr="00C73908">
        <w:rPr>
          <w:rFonts w:ascii="Times New Roman" w:eastAsia="Times New Roman" w:hAnsi="Times New Roman" w:cs="Times New Roman"/>
          <w:b/>
          <w:sz w:val="24"/>
          <w:szCs w:val="24"/>
          <w:u w:val="single"/>
          <w:lang w:val="en-GB"/>
        </w:rPr>
        <w:t>Peter Carpenter</w:t>
      </w:r>
      <w:r w:rsidRPr="0038451D">
        <w:rPr>
          <w:rFonts w:ascii="Times New Roman" w:eastAsia="Times New Roman" w:hAnsi="Times New Roman" w:cs="Times New Roman"/>
          <w:b/>
          <w:sz w:val="24"/>
          <w:szCs w:val="24"/>
          <w:u w:val="single"/>
          <w:lang w:val="en-GB"/>
        </w:rPr>
        <w:t>____________</w:t>
      </w:r>
      <w:r w:rsidR="00ED74FF">
        <w:rPr>
          <w:rFonts w:ascii="Times New Roman" w:eastAsia="Times New Roman" w:hAnsi="Times New Roman" w:cs="Times New Roman"/>
          <w:b/>
          <w:sz w:val="24"/>
          <w:szCs w:val="24"/>
          <w:u w:val="single"/>
          <w:lang w:val="en-GB"/>
        </w:rPr>
        <w:t xml:space="preserve">   </w:t>
      </w:r>
      <w:r w:rsidRPr="0038451D">
        <w:rPr>
          <w:rFonts w:ascii="Times New Roman" w:eastAsia="Times New Roman" w:hAnsi="Times New Roman" w:cs="Times New Roman"/>
          <w:b/>
          <w:sz w:val="24"/>
          <w:szCs w:val="24"/>
          <w:u w:val="single"/>
          <w:lang w:val="en-GB"/>
        </w:rPr>
        <w:t>__</w:t>
      </w:r>
    </w:p>
    <w:p w14:paraId="6C9A9C14" w14:textId="77777777" w:rsidR="0038451D" w:rsidRPr="0038451D" w:rsidRDefault="0038451D" w:rsidP="0038451D">
      <w:pPr>
        <w:spacing w:after="0" w:line="240" w:lineRule="auto"/>
        <w:rPr>
          <w:rFonts w:ascii="Times New Roman" w:eastAsia="Times New Roman" w:hAnsi="Times New Roman" w:cs="Times New Roman"/>
          <w:b/>
          <w:sz w:val="24"/>
          <w:szCs w:val="24"/>
          <w:lang w:val="en-GB"/>
        </w:rPr>
      </w:pPr>
    </w:p>
    <w:p w14:paraId="0262A52E" w14:textId="77777777" w:rsidR="0038451D" w:rsidRPr="0038451D" w:rsidRDefault="0038451D" w:rsidP="0038451D">
      <w:pPr>
        <w:spacing w:after="0" w:line="240" w:lineRule="auto"/>
        <w:rPr>
          <w:rFonts w:ascii="Times New Roman" w:eastAsia="Times New Roman" w:hAnsi="Times New Roman" w:cs="Times New Roman"/>
          <w:b/>
          <w:sz w:val="24"/>
          <w:szCs w:val="24"/>
          <w:lang w:val="en-GB"/>
        </w:rPr>
      </w:pPr>
    </w:p>
    <w:p w14:paraId="663CB0A7" w14:textId="0987DCBF" w:rsidR="00752C08" w:rsidRPr="00C73908" w:rsidRDefault="0038451D" w:rsidP="00722F1B">
      <w:pPr>
        <w:spacing w:after="0" w:line="240" w:lineRule="auto"/>
        <w:rPr>
          <w:rFonts w:ascii="Times New Roman" w:eastAsia="Times New Roman" w:hAnsi="Times New Roman" w:cs="Times New Roman"/>
          <w:b/>
          <w:sz w:val="24"/>
          <w:szCs w:val="24"/>
          <w:lang w:val="en-GB"/>
        </w:rPr>
      </w:pPr>
      <w:r w:rsidRPr="0038451D">
        <w:rPr>
          <w:rFonts w:ascii="Times New Roman" w:eastAsia="Times New Roman" w:hAnsi="Times New Roman" w:cs="Times New Roman"/>
          <w:b/>
          <w:sz w:val="24"/>
          <w:szCs w:val="24"/>
          <w:lang w:val="en-GB"/>
        </w:rPr>
        <w:t>Signature:</w:t>
      </w:r>
      <w:r w:rsidRPr="0038451D">
        <w:rPr>
          <w:rFonts w:ascii="Times New Roman" w:eastAsia="Times New Roman" w:hAnsi="Times New Roman" w:cs="Times New Roman"/>
          <w:b/>
          <w:sz w:val="24"/>
          <w:szCs w:val="24"/>
          <w:lang w:val="en-GB"/>
        </w:rPr>
        <w:tab/>
      </w:r>
      <w:r w:rsidRPr="0038451D">
        <w:rPr>
          <w:rFonts w:ascii="Times New Roman" w:eastAsia="Times New Roman" w:hAnsi="Times New Roman" w:cs="Times New Roman"/>
          <w:b/>
          <w:sz w:val="24"/>
          <w:szCs w:val="24"/>
          <w:lang w:val="en-GB"/>
        </w:rPr>
        <w:tab/>
      </w:r>
      <w:r w:rsidRPr="0038451D">
        <w:rPr>
          <w:rFonts w:ascii="Times New Roman" w:eastAsia="Times New Roman" w:hAnsi="Times New Roman" w:cs="Times New Roman"/>
          <w:b/>
          <w:sz w:val="24"/>
          <w:szCs w:val="24"/>
          <w:u w:val="single"/>
          <w:lang w:val="en-GB"/>
        </w:rPr>
        <w:t>___________________________</w:t>
      </w:r>
      <w:r w:rsidR="00ED74FF">
        <w:rPr>
          <w:rFonts w:ascii="Times New Roman" w:eastAsia="Times New Roman" w:hAnsi="Times New Roman" w:cs="Times New Roman"/>
          <w:b/>
          <w:sz w:val="24"/>
          <w:szCs w:val="24"/>
          <w:u w:val="single"/>
          <w:lang w:val="en-GB"/>
        </w:rPr>
        <w:t xml:space="preserve">   </w:t>
      </w:r>
      <w:r w:rsidRPr="0038451D">
        <w:rPr>
          <w:rFonts w:ascii="Times New Roman" w:eastAsia="Times New Roman" w:hAnsi="Times New Roman" w:cs="Times New Roman"/>
          <w:b/>
          <w:sz w:val="24"/>
          <w:szCs w:val="24"/>
          <w:u w:val="single"/>
          <w:lang w:val="en-GB"/>
        </w:rPr>
        <w:t>_</w:t>
      </w:r>
      <w:r w:rsidR="002F204A" w:rsidRPr="00C73908">
        <w:rPr>
          <w:rFonts w:ascii="Times New Roman" w:hAnsi="Times New Roman" w:cs="Times New Roman"/>
          <w:lang w:val="en-IE"/>
        </w:rPr>
        <w:br w:type="page"/>
      </w:r>
    </w:p>
    <w:p w14:paraId="1EBA5607" w14:textId="34089997" w:rsidR="00B8072D" w:rsidRPr="00C73908" w:rsidRDefault="00B8072D" w:rsidP="00841DD7">
      <w:pPr>
        <w:pStyle w:val="Heading1"/>
        <w:spacing w:after="240" w:line="276" w:lineRule="auto"/>
        <w:jc w:val="both"/>
        <w:rPr>
          <w:rFonts w:ascii="Times New Roman" w:hAnsi="Times New Roman" w:cs="Times New Roman"/>
          <w:b/>
          <w:bCs/>
          <w:color w:val="0070C0"/>
          <w:lang w:val="en-IE"/>
        </w:rPr>
      </w:pPr>
      <w:bookmarkStart w:id="0" w:name="_Toc67143552"/>
      <w:bookmarkStart w:id="1" w:name="_Toc69198791"/>
      <w:r w:rsidRPr="00C73908">
        <w:rPr>
          <w:rFonts w:ascii="Times New Roman" w:hAnsi="Times New Roman" w:cs="Times New Roman"/>
          <w:b/>
          <w:bCs/>
          <w:color w:val="0070C0"/>
          <w:lang w:val="en-IE"/>
        </w:rPr>
        <w:lastRenderedPageBreak/>
        <w:t>Abstract</w:t>
      </w:r>
      <w:bookmarkEnd w:id="0"/>
      <w:bookmarkEnd w:id="1"/>
    </w:p>
    <w:p w14:paraId="33CFAEEC" w14:textId="1D7C9C1C" w:rsidR="006B3B4C" w:rsidRPr="00C73908" w:rsidRDefault="0086279F" w:rsidP="00290D79">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Developing the export capability of indigenous</w:t>
      </w:r>
      <w:r w:rsidR="003C022E">
        <w:rPr>
          <w:rFonts w:ascii="Times New Roman" w:hAnsi="Times New Roman" w:cs="Times New Roman"/>
          <w:lang w:val="en-IE"/>
        </w:rPr>
        <w:t xml:space="preserve"> </w:t>
      </w:r>
      <w:r w:rsidR="008F1FC8" w:rsidRPr="00C73908">
        <w:rPr>
          <w:rFonts w:ascii="Times New Roman" w:hAnsi="Times New Roman" w:cs="Times New Roman"/>
          <w:lang w:val="en-IE"/>
        </w:rPr>
        <w:t xml:space="preserve">companies </w:t>
      </w:r>
      <w:r w:rsidR="00651192">
        <w:rPr>
          <w:rFonts w:ascii="Times New Roman" w:hAnsi="Times New Roman" w:cs="Times New Roman"/>
          <w:lang w:val="en-IE"/>
        </w:rPr>
        <w:t>has been</w:t>
      </w:r>
      <w:r w:rsidR="007860BC">
        <w:rPr>
          <w:rFonts w:ascii="Times New Roman" w:hAnsi="Times New Roman" w:cs="Times New Roman"/>
          <w:lang w:val="en-IE"/>
        </w:rPr>
        <w:t xml:space="preserve"> one of the</w:t>
      </w:r>
      <w:r w:rsidR="008F1FC8" w:rsidRPr="00C73908">
        <w:rPr>
          <w:rFonts w:ascii="Times New Roman" w:hAnsi="Times New Roman" w:cs="Times New Roman"/>
          <w:lang w:val="en-IE"/>
        </w:rPr>
        <w:t xml:space="preserve"> key objective</w:t>
      </w:r>
      <w:r w:rsidR="007860BC">
        <w:rPr>
          <w:rFonts w:ascii="Times New Roman" w:hAnsi="Times New Roman" w:cs="Times New Roman"/>
          <w:lang w:val="en-IE"/>
        </w:rPr>
        <w:t>s</w:t>
      </w:r>
      <w:r w:rsidR="008F1FC8" w:rsidRPr="00C73908">
        <w:rPr>
          <w:rFonts w:ascii="Times New Roman" w:hAnsi="Times New Roman" w:cs="Times New Roman"/>
          <w:lang w:val="en-IE"/>
        </w:rPr>
        <w:t xml:space="preserve"> of Irish industrial policy</w:t>
      </w:r>
      <w:r w:rsidR="00651192">
        <w:rPr>
          <w:rFonts w:ascii="Times New Roman" w:hAnsi="Times New Roman" w:cs="Times New Roman"/>
          <w:lang w:val="en-IE"/>
        </w:rPr>
        <w:t xml:space="preserve"> for decades</w:t>
      </w:r>
      <w:r w:rsidR="009E0211" w:rsidRPr="00C73908">
        <w:rPr>
          <w:rFonts w:ascii="Times New Roman" w:hAnsi="Times New Roman" w:cs="Times New Roman"/>
          <w:lang w:val="en-IE"/>
        </w:rPr>
        <w:t xml:space="preserve">. </w:t>
      </w:r>
      <w:r w:rsidR="00C308A4" w:rsidRPr="00C73908">
        <w:rPr>
          <w:rFonts w:ascii="Times New Roman" w:hAnsi="Times New Roman" w:cs="Times New Roman"/>
          <w:lang w:val="en-IE"/>
        </w:rPr>
        <w:t xml:space="preserve">The purpose of this paper is to provide an understanding of </w:t>
      </w:r>
      <w:r w:rsidR="003A5CB0">
        <w:rPr>
          <w:rFonts w:ascii="Times New Roman" w:hAnsi="Times New Roman" w:cs="Times New Roman"/>
          <w:lang w:val="en-IE"/>
        </w:rPr>
        <w:t>the</w:t>
      </w:r>
      <w:r w:rsidR="003C022E">
        <w:rPr>
          <w:rFonts w:ascii="Times New Roman" w:hAnsi="Times New Roman" w:cs="Times New Roman"/>
          <w:lang w:val="en-IE"/>
        </w:rPr>
        <w:t xml:space="preserve"> </w:t>
      </w:r>
      <w:r w:rsidR="00C308A4" w:rsidRPr="00C73908">
        <w:rPr>
          <w:rFonts w:ascii="Times New Roman" w:hAnsi="Times New Roman" w:cs="Times New Roman"/>
          <w:lang w:val="en-IE"/>
        </w:rPr>
        <w:t xml:space="preserve">factors which influence </w:t>
      </w:r>
      <w:r w:rsidR="00520D40" w:rsidRPr="00C73908">
        <w:rPr>
          <w:rFonts w:ascii="Times New Roman" w:hAnsi="Times New Roman" w:cs="Times New Roman"/>
          <w:lang w:val="en-IE"/>
        </w:rPr>
        <w:t>export performance</w:t>
      </w:r>
      <w:r w:rsidR="00EF5AD4">
        <w:rPr>
          <w:rFonts w:ascii="Times New Roman" w:hAnsi="Times New Roman" w:cs="Times New Roman"/>
          <w:lang w:val="en-IE"/>
        </w:rPr>
        <w:t xml:space="preserve"> at the firm level</w:t>
      </w:r>
      <w:r w:rsidR="00520D40" w:rsidRPr="00C73908">
        <w:rPr>
          <w:rFonts w:ascii="Times New Roman" w:hAnsi="Times New Roman" w:cs="Times New Roman"/>
          <w:lang w:val="en-IE"/>
        </w:rPr>
        <w:t>.</w:t>
      </w:r>
      <w:r w:rsidR="00276C04" w:rsidRPr="00C73908">
        <w:rPr>
          <w:rFonts w:ascii="Times New Roman" w:hAnsi="Times New Roman" w:cs="Times New Roman"/>
          <w:lang w:val="en-IE"/>
        </w:rPr>
        <w:t xml:space="preserve"> </w:t>
      </w:r>
      <w:r w:rsidR="0096693C" w:rsidRPr="00C73908">
        <w:rPr>
          <w:rFonts w:ascii="Times New Roman" w:hAnsi="Times New Roman" w:cs="Times New Roman"/>
          <w:lang w:val="en-IE"/>
        </w:rPr>
        <w:t>An extensive</w:t>
      </w:r>
      <w:r w:rsidR="006B3B4C" w:rsidRPr="00C73908">
        <w:rPr>
          <w:rFonts w:ascii="Times New Roman" w:hAnsi="Times New Roman" w:cs="Times New Roman"/>
          <w:lang w:val="en-IE"/>
        </w:rPr>
        <w:t xml:space="preserve"> literature review provides an overview of existing research on the determinants of firm-level export performance</w:t>
      </w:r>
      <w:r w:rsidR="0096693C" w:rsidRPr="00C73908">
        <w:rPr>
          <w:rFonts w:ascii="Times New Roman" w:hAnsi="Times New Roman" w:cs="Times New Roman"/>
          <w:lang w:val="en-IE"/>
        </w:rPr>
        <w:t xml:space="preserve"> both</w:t>
      </w:r>
      <w:r w:rsidR="006B3B4C" w:rsidRPr="00C73908">
        <w:rPr>
          <w:rFonts w:ascii="Times New Roman" w:hAnsi="Times New Roman" w:cs="Times New Roman"/>
          <w:lang w:val="en-IE"/>
        </w:rPr>
        <w:t xml:space="preserve"> in Ireland and internationally. </w:t>
      </w:r>
      <w:r w:rsidR="00F731C2" w:rsidRPr="00C73908">
        <w:rPr>
          <w:rFonts w:ascii="Times New Roman" w:hAnsi="Times New Roman" w:cs="Times New Roman"/>
          <w:lang w:val="en-IE"/>
        </w:rPr>
        <w:t>Based on this review</w:t>
      </w:r>
      <w:r w:rsidR="0073139C" w:rsidRPr="00C73908">
        <w:rPr>
          <w:rFonts w:ascii="Times New Roman" w:hAnsi="Times New Roman" w:cs="Times New Roman"/>
          <w:lang w:val="en-IE"/>
        </w:rPr>
        <w:t>,</w:t>
      </w:r>
      <w:r w:rsidR="006B3B4C" w:rsidRPr="00C73908">
        <w:rPr>
          <w:rFonts w:ascii="Times New Roman" w:hAnsi="Times New Roman" w:cs="Times New Roman"/>
          <w:lang w:val="en-IE"/>
        </w:rPr>
        <w:t xml:space="preserve"> five influential factors </w:t>
      </w:r>
      <w:r w:rsidR="0073139C" w:rsidRPr="00C73908">
        <w:rPr>
          <w:rFonts w:ascii="Times New Roman" w:hAnsi="Times New Roman" w:cs="Times New Roman"/>
          <w:lang w:val="en-IE"/>
        </w:rPr>
        <w:t xml:space="preserve">are identified </w:t>
      </w:r>
      <w:r w:rsidR="006B3B4C" w:rsidRPr="00C73908">
        <w:rPr>
          <w:rFonts w:ascii="Times New Roman" w:hAnsi="Times New Roman" w:cs="Times New Roman"/>
          <w:lang w:val="en-IE"/>
        </w:rPr>
        <w:t xml:space="preserve">which are </w:t>
      </w:r>
      <w:r w:rsidR="00E85782" w:rsidRPr="00C73908">
        <w:rPr>
          <w:rFonts w:ascii="Times New Roman" w:hAnsi="Times New Roman" w:cs="Times New Roman"/>
          <w:lang w:val="en-IE"/>
        </w:rPr>
        <w:t>prevalent</w:t>
      </w:r>
      <w:r w:rsidR="006B3B4C" w:rsidRPr="00C73908">
        <w:rPr>
          <w:rFonts w:ascii="Times New Roman" w:hAnsi="Times New Roman" w:cs="Times New Roman"/>
          <w:lang w:val="en-IE"/>
        </w:rPr>
        <w:t xml:space="preserve"> in the literature: productivity, innovation, skill levels, export promotion policies and firm age / experience.</w:t>
      </w:r>
      <w:r w:rsidR="002C20D1" w:rsidRPr="00C73908">
        <w:rPr>
          <w:rFonts w:ascii="Times New Roman" w:hAnsi="Times New Roman" w:cs="Times New Roman"/>
          <w:lang w:val="en-IE"/>
        </w:rPr>
        <w:t xml:space="preserve"> </w:t>
      </w:r>
      <w:r w:rsidR="002976B1" w:rsidRPr="00C73908">
        <w:rPr>
          <w:rFonts w:ascii="Times New Roman" w:hAnsi="Times New Roman" w:cs="Times New Roman"/>
          <w:lang w:val="en-IE"/>
        </w:rPr>
        <w:t xml:space="preserve">Relevant variables are then selected </w:t>
      </w:r>
      <w:r w:rsidR="00C06E83" w:rsidRPr="00C73908">
        <w:rPr>
          <w:rFonts w:ascii="Times New Roman" w:hAnsi="Times New Roman" w:cs="Times New Roman"/>
          <w:lang w:val="en-IE"/>
        </w:rPr>
        <w:t xml:space="preserve">as indicators </w:t>
      </w:r>
      <w:r w:rsidR="002976B1" w:rsidRPr="00C73908">
        <w:rPr>
          <w:rFonts w:ascii="Times New Roman" w:hAnsi="Times New Roman" w:cs="Times New Roman"/>
          <w:lang w:val="en-IE"/>
        </w:rPr>
        <w:t xml:space="preserve">for each of these </w:t>
      </w:r>
      <w:r w:rsidR="00C06E83" w:rsidRPr="00C73908">
        <w:rPr>
          <w:rFonts w:ascii="Times New Roman" w:hAnsi="Times New Roman" w:cs="Times New Roman"/>
          <w:lang w:val="en-IE"/>
        </w:rPr>
        <w:t xml:space="preserve">areas </w:t>
      </w:r>
      <w:r w:rsidR="002976B1" w:rsidRPr="00C73908">
        <w:rPr>
          <w:rFonts w:ascii="Times New Roman" w:hAnsi="Times New Roman" w:cs="Times New Roman"/>
          <w:lang w:val="en-IE"/>
        </w:rPr>
        <w:t xml:space="preserve">based on </w:t>
      </w:r>
      <w:r w:rsidR="003C7FD2" w:rsidRPr="00C73908">
        <w:rPr>
          <w:rFonts w:ascii="Times New Roman" w:hAnsi="Times New Roman" w:cs="Times New Roman"/>
          <w:lang w:val="en-IE"/>
        </w:rPr>
        <w:t xml:space="preserve">company </w:t>
      </w:r>
      <w:r w:rsidR="00C06E83" w:rsidRPr="00C73908">
        <w:rPr>
          <w:rFonts w:ascii="Times New Roman" w:hAnsi="Times New Roman" w:cs="Times New Roman"/>
          <w:lang w:val="en-IE"/>
        </w:rPr>
        <w:t xml:space="preserve">data from the Annual Business Review survey and from </w:t>
      </w:r>
      <w:r w:rsidR="000162F0" w:rsidRPr="00C73908">
        <w:rPr>
          <w:rFonts w:ascii="Times New Roman" w:hAnsi="Times New Roman" w:cs="Times New Roman"/>
          <w:lang w:val="en-IE"/>
        </w:rPr>
        <w:t>internal EI databases.</w:t>
      </w:r>
      <w:r w:rsidR="00875B1C" w:rsidRPr="00C73908">
        <w:rPr>
          <w:rFonts w:ascii="Times New Roman" w:hAnsi="Times New Roman" w:cs="Times New Roman"/>
          <w:lang w:val="en-IE"/>
        </w:rPr>
        <w:t xml:space="preserve"> Descriptive statistics</w:t>
      </w:r>
      <w:r w:rsidR="0020378D">
        <w:rPr>
          <w:rFonts w:ascii="Times New Roman" w:hAnsi="Times New Roman" w:cs="Times New Roman"/>
          <w:lang w:val="en-IE"/>
        </w:rPr>
        <w:t xml:space="preserve"> are presented to</w:t>
      </w:r>
      <w:r w:rsidR="00875B1C" w:rsidRPr="00C73908">
        <w:rPr>
          <w:rFonts w:ascii="Times New Roman" w:hAnsi="Times New Roman" w:cs="Times New Roman"/>
          <w:lang w:val="en-IE"/>
        </w:rPr>
        <w:t xml:space="preserve"> </w:t>
      </w:r>
      <w:r w:rsidR="006028CF" w:rsidRPr="00C73908">
        <w:rPr>
          <w:rFonts w:ascii="Times New Roman" w:hAnsi="Times New Roman" w:cs="Times New Roman"/>
          <w:lang w:val="en-IE"/>
        </w:rPr>
        <w:t xml:space="preserve">outline </w:t>
      </w:r>
      <w:r w:rsidR="00527104" w:rsidRPr="00C73908">
        <w:rPr>
          <w:rFonts w:ascii="Times New Roman" w:hAnsi="Times New Roman" w:cs="Times New Roman"/>
          <w:lang w:val="en-IE"/>
        </w:rPr>
        <w:t xml:space="preserve">the characteristics </w:t>
      </w:r>
      <w:r w:rsidR="009B4AC3" w:rsidRPr="00C73908">
        <w:rPr>
          <w:rFonts w:ascii="Times New Roman" w:hAnsi="Times New Roman" w:cs="Times New Roman"/>
          <w:lang w:val="en-IE"/>
        </w:rPr>
        <w:t xml:space="preserve">of companies in the two sectors </w:t>
      </w:r>
      <w:r w:rsidR="00527104" w:rsidRPr="00C73908">
        <w:rPr>
          <w:rFonts w:ascii="Times New Roman" w:hAnsi="Times New Roman" w:cs="Times New Roman"/>
          <w:lang w:val="en-IE"/>
        </w:rPr>
        <w:t>and trends</w:t>
      </w:r>
      <w:r w:rsidR="003730CF" w:rsidRPr="00C73908">
        <w:rPr>
          <w:rFonts w:ascii="Times New Roman" w:hAnsi="Times New Roman" w:cs="Times New Roman"/>
          <w:lang w:val="en-IE"/>
        </w:rPr>
        <w:t xml:space="preserve"> </w:t>
      </w:r>
      <w:r w:rsidR="009F6330" w:rsidRPr="00C73908">
        <w:rPr>
          <w:rFonts w:ascii="Times New Roman" w:hAnsi="Times New Roman" w:cs="Times New Roman"/>
          <w:lang w:val="en-IE"/>
        </w:rPr>
        <w:t xml:space="preserve">in </w:t>
      </w:r>
      <w:r w:rsidR="00AC5B6E">
        <w:rPr>
          <w:rFonts w:ascii="Times New Roman" w:hAnsi="Times New Roman" w:cs="Times New Roman"/>
          <w:lang w:val="en-IE"/>
        </w:rPr>
        <w:t>some of the key indicators</w:t>
      </w:r>
      <w:r w:rsidR="00065AD2" w:rsidRPr="00C73908">
        <w:rPr>
          <w:rFonts w:ascii="Times New Roman" w:hAnsi="Times New Roman" w:cs="Times New Roman"/>
          <w:lang w:val="en-IE"/>
        </w:rPr>
        <w:t xml:space="preserve"> since 2010.</w:t>
      </w:r>
    </w:p>
    <w:p w14:paraId="48F8F5D8" w14:textId="1E359937" w:rsidR="000857E2" w:rsidRPr="00C73908" w:rsidRDefault="00276C04" w:rsidP="00290D79">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 xml:space="preserve">The </w:t>
      </w:r>
      <w:r w:rsidR="00BC1637" w:rsidRPr="00C73908">
        <w:rPr>
          <w:rFonts w:ascii="Times New Roman" w:hAnsi="Times New Roman" w:cs="Times New Roman"/>
          <w:lang w:val="en-IE"/>
        </w:rPr>
        <w:t>methodology</w:t>
      </w:r>
      <w:r w:rsidRPr="00C73908">
        <w:rPr>
          <w:rFonts w:ascii="Times New Roman" w:hAnsi="Times New Roman" w:cs="Times New Roman"/>
          <w:lang w:val="en-IE"/>
        </w:rPr>
        <w:t xml:space="preserve"> consists of an empirical analysis </w:t>
      </w:r>
      <w:r w:rsidR="00105DC9" w:rsidRPr="00C73908">
        <w:rPr>
          <w:rFonts w:ascii="Times New Roman" w:hAnsi="Times New Roman" w:cs="Times New Roman"/>
          <w:lang w:val="en-IE"/>
        </w:rPr>
        <w:t>of</w:t>
      </w:r>
      <w:r w:rsidRPr="00C73908">
        <w:rPr>
          <w:rFonts w:ascii="Times New Roman" w:hAnsi="Times New Roman" w:cs="Times New Roman"/>
          <w:lang w:val="en-IE"/>
        </w:rPr>
        <w:t xml:space="preserve"> </w:t>
      </w:r>
      <w:r w:rsidR="00794F2F" w:rsidRPr="00C73908">
        <w:rPr>
          <w:rFonts w:ascii="Times New Roman" w:hAnsi="Times New Roman" w:cs="Times New Roman"/>
          <w:lang w:val="en-IE"/>
        </w:rPr>
        <w:t>annual company data from</w:t>
      </w:r>
      <w:r w:rsidR="004850C4" w:rsidRPr="00C73908">
        <w:rPr>
          <w:rFonts w:ascii="Times New Roman" w:hAnsi="Times New Roman" w:cs="Times New Roman"/>
          <w:lang w:val="en-IE"/>
        </w:rPr>
        <w:t xml:space="preserve"> </w:t>
      </w:r>
      <w:r w:rsidRPr="00C73908">
        <w:rPr>
          <w:rFonts w:ascii="Times New Roman" w:hAnsi="Times New Roman" w:cs="Times New Roman"/>
          <w:lang w:val="en-IE"/>
        </w:rPr>
        <w:t xml:space="preserve">a sample of 2,780 </w:t>
      </w:r>
      <w:r w:rsidR="00EF65C9" w:rsidRPr="00C73908">
        <w:rPr>
          <w:rFonts w:ascii="Times New Roman" w:hAnsi="Times New Roman" w:cs="Times New Roman"/>
          <w:lang w:val="en-IE"/>
        </w:rPr>
        <w:t xml:space="preserve">client </w:t>
      </w:r>
      <w:r w:rsidRPr="00C73908">
        <w:rPr>
          <w:rFonts w:ascii="Times New Roman" w:hAnsi="Times New Roman" w:cs="Times New Roman"/>
          <w:lang w:val="en-IE"/>
        </w:rPr>
        <w:t>companies</w:t>
      </w:r>
      <w:r w:rsidR="00EF65C9" w:rsidRPr="00C73908">
        <w:rPr>
          <w:rFonts w:ascii="Times New Roman" w:hAnsi="Times New Roman" w:cs="Times New Roman"/>
          <w:lang w:val="en-IE"/>
        </w:rPr>
        <w:t xml:space="preserve"> of Enterprise Ireland over a</w:t>
      </w:r>
      <w:r w:rsidR="005A068A">
        <w:rPr>
          <w:rFonts w:ascii="Times New Roman" w:hAnsi="Times New Roman" w:cs="Times New Roman"/>
          <w:lang w:val="en-IE"/>
        </w:rPr>
        <w:t xml:space="preserve"> </w:t>
      </w:r>
      <w:r w:rsidR="00BE583C">
        <w:rPr>
          <w:rFonts w:ascii="Times New Roman" w:hAnsi="Times New Roman" w:cs="Times New Roman"/>
          <w:lang w:val="en-IE"/>
        </w:rPr>
        <w:t>ten-year</w:t>
      </w:r>
      <w:r w:rsidR="00EF65C9" w:rsidRPr="00C73908">
        <w:rPr>
          <w:rFonts w:ascii="Times New Roman" w:hAnsi="Times New Roman" w:cs="Times New Roman"/>
          <w:lang w:val="en-IE"/>
        </w:rPr>
        <w:t xml:space="preserve"> period from 2010 to 2019</w:t>
      </w:r>
      <w:r w:rsidR="00105DC9" w:rsidRPr="00C73908">
        <w:rPr>
          <w:rFonts w:ascii="Times New Roman" w:hAnsi="Times New Roman" w:cs="Times New Roman"/>
          <w:lang w:val="en-IE"/>
        </w:rPr>
        <w:t xml:space="preserve">. </w:t>
      </w:r>
      <w:r w:rsidR="0006121E">
        <w:rPr>
          <w:rFonts w:ascii="Times New Roman" w:hAnsi="Times New Roman" w:cs="Times New Roman"/>
          <w:lang w:val="en-IE"/>
        </w:rPr>
        <w:t>The System GMM</w:t>
      </w:r>
      <w:r w:rsidR="00105DC9" w:rsidRPr="00C73908">
        <w:rPr>
          <w:rFonts w:ascii="Times New Roman" w:hAnsi="Times New Roman" w:cs="Times New Roman"/>
          <w:lang w:val="en-IE"/>
        </w:rPr>
        <w:t xml:space="preserve"> dynamic panel model </w:t>
      </w:r>
      <w:r w:rsidR="003E503E" w:rsidRPr="00C73908">
        <w:rPr>
          <w:rFonts w:ascii="Times New Roman" w:hAnsi="Times New Roman" w:cs="Times New Roman"/>
          <w:lang w:val="en-IE"/>
        </w:rPr>
        <w:t xml:space="preserve">is </w:t>
      </w:r>
      <w:r w:rsidR="00BE1CA6">
        <w:rPr>
          <w:rFonts w:ascii="Times New Roman" w:hAnsi="Times New Roman" w:cs="Times New Roman"/>
          <w:lang w:val="en-IE"/>
        </w:rPr>
        <w:t>used</w:t>
      </w:r>
      <w:r w:rsidR="003E503E" w:rsidRPr="00C73908">
        <w:rPr>
          <w:rFonts w:ascii="Times New Roman" w:hAnsi="Times New Roman" w:cs="Times New Roman"/>
          <w:lang w:val="en-IE"/>
        </w:rPr>
        <w:t xml:space="preserve"> to account for persistence</w:t>
      </w:r>
      <w:r w:rsidR="00121BA7">
        <w:rPr>
          <w:rFonts w:ascii="Times New Roman" w:hAnsi="Times New Roman" w:cs="Times New Roman"/>
          <w:lang w:val="en-IE"/>
        </w:rPr>
        <w:t xml:space="preserve"> in the dependent variables</w:t>
      </w:r>
      <w:r w:rsidR="003E503E" w:rsidRPr="00C73908">
        <w:rPr>
          <w:rFonts w:ascii="Times New Roman" w:hAnsi="Times New Roman" w:cs="Times New Roman"/>
          <w:lang w:val="en-IE"/>
        </w:rPr>
        <w:t xml:space="preserve"> and potential endogeneity </w:t>
      </w:r>
      <w:r w:rsidR="001E2F4C" w:rsidRPr="00C73908">
        <w:rPr>
          <w:rFonts w:ascii="Times New Roman" w:hAnsi="Times New Roman" w:cs="Times New Roman"/>
          <w:lang w:val="en-IE"/>
        </w:rPr>
        <w:t xml:space="preserve">issues </w:t>
      </w:r>
      <w:r w:rsidR="003E503E" w:rsidRPr="00C73908">
        <w:rPr>
          <w:rFonts w:ascii="Times New Roman" w:hAnsi="Times New Roman" w:cs="Times New Roman"/>
          <w:lang w:val="en-IE"/>
        </w:rPr>
        <w:t>in the sample. The analysis</w:t>
      </w:r>
      <w:r w:rsidR="006E7AE5" w:rsidRPr="00C73908">
        <w:rPr>
          <w:rFonts w:ascii="Times New Roman" w:hAnsi="Times New Roman" w:cs="Times New Roman"/>
          <w:lang w:val="en-IE"/>
        </w:rPr>
        <w:t xml:space="preserve"> is carried out</w:t>
      </w:r>
      <w:r w:rsidR="003E503E" w:rsidRPr="00C73908">
        <w:rPr>
          <w:rFonts w:ascii="Times New Roman" w:hAnsi="Times New Roman" w:cs="Times New Roman"/>
          <w:lang w:val="en-IE"/>
        </w:rPr>
        <w:t xml:space="preserve"> </w:t>
      </w:r>
      <w:r w:rsidR="00586DCF" w:rsidRPr="00C73908">
        <w:rPr>
          <w:rFonts w:ascii="Times New Roman" w:hAnsi="Times New Roman" w:cs="Times New Roman"/>
          <w:lang w:val="en-IE"/>
        </w:rPr>
        <w:t xml:space="preserve">separately </w:t>
      </w:r>
      <w:r w:rsidR="006E7AE5" w:rsidRPr="00C73908">
        <w:rPr>
          <w:rFonts w:ascii="Times New Roman" w:hAnsi="Times New Roman" w:cs="Times New Roman"/>
          <w:lang w:val="en-IE"/>
        </w:rPr>
        <w:t xml:space="preserve">for </w:t>
      </w:r>
      <w:r w:rsidR="00054FD5">
        <w:rPr>
          <w:rFonts w:ascii="Times New Roman" w:hAnsi="Times New Roman" w:cs="Times New Roman"/>
          <w:lang w:val="en-IE"/>
        </w:rPr>
        <w:t xml:space="preserve">the </w:t>
      </w:r>
      <w:r w:rsidR="00EA52D1" w:rsidRPr="00C73908">
        <w:rPr>
          <w:rFonts w:ascii="Times New Roman" w:hAnsi="Times New Roman" w:cs="Times New Roman"/>
          <w:lang w:val="en-IE"/>
        </w:rPr>
        <w:t>manufactur</w:t>
      </w:r>
      <w:r w:rsidR="00054FD5">
        <w:rPr>
          <w:rFonts w:ascii="Times New Roman" w:hAnsi="Times New Roman" w:cs="Times New Roman"/>
          <w:lang w:val="en-IE"/>
        </w:rPr>
        <w:t>ing</w:t>
      </w:r>
      <w:r w:rsidR="00EA52D1" w:rsidRPr="00C73908">
        <w:rPr>
          <w:rFonts w:ascii="Times New Roman" w:hAnsi="Times New Roman" w:cs="Times New Roman"/>
          <w:lang w:val="en-IE"/>
        </w:rPr>
        <w:t xml:space="preserve"> and </w:t>
      </w:r>
      <w:r w:rsidR="006E7AE5" w:rsidRPr="00C73908">
        <w:rPr>
          <w:rFonts w:ascii="Times New Roman" w:hAnsi="Times New Roman" w:cs="Times New Roman"/>
          <w:lang w:val="en-IE"/>
        </w:rPr>
        <w:t>services sectors</w:t>
      </w:r>
      <w:r w:rsidR="00A10211">
        <w:rPr>
          <w:rFonts w:ascii="Times New Roman" w:hAnsi="Times New Roman" w:cs="Times New Roman"/>
          <w:lang w:val="en-IE"/>
        </w:rPr>
        <w:t xml:space="preserve"> and t</w:t>
      </w:r>
      <w:r w:rsidR="00586DCF" w:rsidRPr="00C73908">
        <w:rPr>
          <w:rFonts w:ascii="Times New Roman" w:hAnsi="Times New Roman" w:cs="Times New Roman"/>
          <w:lang w:val="en-IE"/>
        </w:rPr>
        <w:t>wo distinct aspects of export performance</w:t>
      </w:r>
      <w:r w:rsidR="005E1ACF">
        <w:rPr>
          <w:rFonts w:ascii="Times New Roman" w:hAnsi="Times New Roman" w:cs="Times New Roman"/>
          <w:lang w:val="en-IE"/>
        </w:rPr>
        <w:t xml:space="preserve"> are analysed separately</w:t>
      </w:r>
      <w:r w:rsidR="00586DCF" w:rsidRPr="00C73908">
        <w:rPr>
          <w:rFonts w:ascii="Times New Roman" w:hAnsi="Times New Roman" w:cs="Times New Roman"/>
          <w:lang w:val="en-IE"/>
        </w:rPr>
        <w:t xml:space="preserve">; the </w:t>
      </w:r>
      <w:r w:rsidR="00741E68">
        <w:rPr>
          <w:rFonts w:ascii="Times New Roman" w:hAnsi="Times New Roman" w:cs="Times New Roman"/>
          <w:lang w:val="en-IE"/>
        </w:rPr>
        <w:t>scale</w:t>
      </w:r>
      <w:r w:rsidR="005C466C" w:rsidRPr="00C73908">
        <w:rPr>
          <w:rFonts w:ascii="Times New Roman" w:hAnsi="Times New Roman" w:cs="Times New Roman"/>
          <w:lang w:val="en-IE"/>
        </w:rPr>
        <w:t xml:space="preserve"> of exports (total value of goods and services exported)</w:t>
      </w:r>
      <w:r w:rsidR="00586DCF" w:rsidRPr="00C73908">
        <w:rPr>
          <w:rFonts w:ascii="Times New Roman" w:hAnsi="Times New Roman" w:cs="Times New Roman"/>
          <w:lang w:val="en-IE"/>
        </w:rPr>
        <w:t xml:space="preserve"> and </w:t>
      </w:r>
      <w:r w:rsidR="003A2898">
        <w:rPr>
          <w:rFonts w:ascii="Times New Roman" w:hAnsi="Times New Roman" w:cs="Times New Roman"/>
          <w:lang w:val="en-IE"/>
        </w:rPr>
        <w:t>market</w:t>
      </w:r>
      <w:r w:rsidR="00C43E81" w:rsidRPr="00C73908">
        <w:rPr>
          <w:rFonts w:ascii="Times New Roman" w:hAnsi="Times New Roman" w:cs="Times New Roman"/>
          <w:lang w:val="en-IE"/>
        </w:rPr>
        <w:t xml:space="preserve"> diversification</w:t>
      </w:r>
      <w:r w:rsidR="00C75FD9" w:rsidRPr="00C73908">
        <w:rPr>
          <w:rFonts w:ascii="Times New Roman" w:hAnsi="Times New Roman" w:cs="Times New Roman"/>
          <w:lang w:val="en-IE"/>
        </w:rPr>
        <w:t xml:space="preserve"> (number of markets which a company sells into).</w:t>
      </w:r>
    </w:p>
    <w:p w14:paraId="48BC19E2" w14:textId="7ED37288" w:rsidR="00BC3BE1" w:rsidRPr="00C73908" w:rsidRDefault="008F7EDC" w:rsidP="00F95FB0">
      <w:pPr>
        <w:spacing w:after="0" w:line="360" w:lineRule="auto"/>
        <w:jc w:val="both"/>
        <w:rPr>
          <w:rFonts w:ascii="Times New Roman" w:hAnsi="Times New Roman" w:cs="Times New Roman"/>
          <w:lang w:val="en-IE"/>
        </w:rPr>
      </w:pPr>
      <w:r w:rsidRPr="00C73908">
        <w:rPr>
          <w:rFonts w:ascii="Times New Roman" w:hAnsi="Times New Roman" w:cs="Times New Roman"/>
          <w:lang w:val="en-IE"/>
        </w:rPr>
        <w:t xml:space="preserve">The analysis identifies several strong relationships between the </w:t>
      </w:r>
      <w:r w:rsidR="00497D55" w:rsidRPr="00C73908">
        <w:rPr>
          <w:rFonts w:ascii="Times New Roman" w:hAnsi="Times New Roman" w:cs="Times New Roman"/>
          <w:lang w:val="en-IE"/>
        </w:rPr>
        <w:t xml:space="preserve">regressors and the </w:t>
      </w:r>
      <w:r w:rsidR="00DD4BAD">
        <w:rPr>
          <w:rFonts w:ascii="Times New Roman" w:hAnsi="Times New Roman" w:cs="Times New Roman"/>
          <w:lang w:val="en-IE"/>
        </w:rPr>
        <w:t xml:space="preserve">two </w:t>
      </w:r>
      <w:r w:rsidR="00C50211" w:rsidRPr="00C73908">
        <w:rPr>
          <w:rFonts w:ascii="Times New Roman" w:hAnsi="Times New Roman" w:cs="Times New Roman"/>
          <w:lang w:val="en-IE"/>
        </w:rPr>
        <w:t>indicators</w:t>
      </w:r>
      <w:r w:rsidR="00DD4BAD">
        <w:rPr>
          <w:rFonts w:ascii="Times New Roman" w:hAnsi="Times New Roman" w:cs="Times New Roman"/>
          <w:lang w:val="en-IE"/>
        </w:rPr>
        <w:t xml:space="preserve"> of export </w:t>
      </w:r>
      <w:r w:rsidR="00AA7D79">
        <w:rPr>
          <w:rFonts w:ascii="Times New Roman" w:hAnsi="Times New Roman" w:cs="Times New Roman"/>
          <w:lang w:val="en-IE"/>
        </w:rPr>
        <w:t>performance</w:t>
      </w:r>
      <w:r w:rsidR="00BC3BE1" w:rsidRPr="00C73908">
        <w:rPr>
          <w:rFonts w:ascii="Times New Roman" w:hAnsi="Times New Roman" w:cs="Times New Roman"/>
          <w:lang w:val="en-IE"/>
        </w:rPr>
        <w:t>:</w:t>
      </w:r>
    </w:p>
    <w:p w14:paraId="1A398CC9" w14:textId="435FC961" w:rsidR="00BC3BE1" w:rsidRPr="00C73908" w:rsidRDefault="00BC3BE1" w:rsidP="00BC3BE1">
      <w:pPr>
        <w:pStyle w:val="ListParagraph"/>
        <w:numPr>
          <w:ilvl w:val="0"/>
          <w:numId w:val="28"/>
        </w:numPr>
        <w:spacing w:after="240" w:line="360" w:lineRule="auto"/>
        <w:jc w:val="both"/>
        <w:rPr>
          <w:rFonts w:ascii="Times New Roman" w:hAnsi="Times New Roman" w:cs="Times New Roman"/>
          <w:lang w:val="en-IE"/>
        </w:rPr>
      </w:pPr>
      <w:r w:rsidRPr="00C73908">
        <w:rPr>
          <w:rFonts w:ascii="Times New Roman" w:hAnsi="Times New Roman" w:cs="Times New Roman"/>
          <w:lang w:val="en-IE"/>
        </w:rPr>
        <w:t>E</w:t>
      </w:r>
      <w:r w:rsidR="00F9171C" w:rsidRPr="00C73908">
        <w:rPr>
          <w:rFonts w:ascii="Times New Roman" w:hAnsi="Times New Roman" w:cs="Times New Roman"/>
          <w:lang w:val="en-IE"/>
        </w:rPr>
        <w:t xml:space="preserve">xpenditure on R&amp;D is </w:t>
      </w:r>
      <w:r w:rsidR="0001160E">
        <w:rPr>
          <w:rFonts w:ascii="Times New Roman" w:hAnsi="Times New Roman" w:cs="Times New Roman"/>
          <w:lang w:val="en-IE"/>
        </w:rPr>
        <w:t>found</w:t>
      </w:r>
      <w:r w:rsidR="00F9171C" w:rsidRPr="00C73908">
        <w:rPr>
          <w:rFonts w:ascii="Times New Roman" w:hAnsi="Times New Roman" w:cs="Times New Roman"/>
          <w:lang w:val="en-IE"/>
        </w:rPr>
        <w:t xml:space="preserve"> to have a significant, positive </w:t>
      </w:r>
      <w:r w:rsidR="002A0BE9">
        <w:rPr>
          <w:rFonts w:ascii="Times New Roman" w:hAnsi="Times New Roman" w:cs="Times New Roman"/>
          <w:lang w:val="en-IE"/>
        </w:rPr>
        <w:t>effect</w:t>
      </w:r>
      <w:r w:rsidR="00F9171C" w:rsidRPr="00C73908">
        <w:rPr>
          <w:rFonts w:ascii="Times New Roman" w:hAnsi="Times New Roman" w:cs="Times New Roman"/>
          <w:lang w:val="en-IE"/>
        </w:rPr>
        <w:t xml:space="preserve"> on </w:t>
      </w:r>
      <w:r w:rsidR="004D4921">
        <w:rPr>
          <w:rFonts w:ascii="Times New Roman" w:hAnsi="Times New Roman" w:cs="Times New Roman"/>
          <w:lang w:val="en-IE"/>
        </w:rPr>
        <w:t xml:space="preserve">the </w:t>
      </w:r>
      <w:r w:rsidR="00741E68">
        <w:rPr>
          <w:rFonts w:ascii="Times New Roman" w:hAnsi="Times New Roman" w:cs="Times New Roman"/>
          <w:lang w:val="en-IE"/>
        </w:rPr>
        <w:t>scale</w:t>
      </w:r>
      <w:r w:rsidR="004D4921">
        <w:rPr>
          <w:rFonts w:ascii="Times New Roman" w:hAnsi="Times New Roman" w:cs="Times New Roman"/>
          <w:lang w:val="en-IE"/>
        </w:rPr>
        <w:t xml:space="preserve"> of </w:t>
      </w:r>
      <w:r w:rsidR="00F9171C" w:rsidRPr="00C73908">
        <w:rPr>
          <w:rFonts w:ascii="Times New Roman" w:hAnsi="Times New Roman" w:cs="Times New Roman"/>
          <w:lang w:val="en-IE"/>
        </w:rPr>
        <w:t>export</w:t>
      </w:r>
      <w:r w:rsidR="004D4921">
        <w:rPr>
          <w:rFonts w:ascii="Times New Roman" w:hAnsi="Times New Roman" w:cs="Times New Roman"/>
          <w:lang w:val="en-IE"/>
        </w:rPr>
        <w:t>s</w:t>
      </w:r>
      <w:r w:rsidR="00F9171C" w:rsidRPr="00C73908">
        <w:rPr>
          <w:rFonts w:ascii="Times New Roman" w:hAnsi="Times New Roman" w:cs="Times New Roman"/>
          <w:lang w:val="en-IE"/>
        </w:rPr>
        <w:t xml:space="preserve"> in both</w:t>
      </w:r>
      <w:r w:rsidR="00466485">
        <w:rPr>
          <w:rFonts w:ascii="Times New Roman" w:hAnsi="Times New Roman" w:cs="Times New Roman"/>
          <w:lang w:val="en-IE"/>
        </w:rPr>
        <w:t xml:space="preserve"> </w:t>
      </w:r>
      <w:r w:rsidR="00BE6ED0">
        <w:rPr>
          <w:rFonts w:ascii="Times New Roman" w:hAnsi="Times New Roman" w:cs="Times New Roman"/>
          <w:lang w:val="en-IE"/>
        </w:rPr>
        <w:t>sectors</w:t>
      </w:r>
      <w:r w:rsidR="00F9171C" w:rsidRPr="00C73908">
        <w:rPr>
          <w:rFonts w:ascii="Times New Roman" w:hAnsi="Times New Roman" w:cs="Times New Roman"/>
          <w:lang w:val="en-IE"/>
        </w:rPr>
        <w:t xml:space="preserve"> while new product development has a positive effect on both </w:t>
      </w:r>
      <w:r w:rsidR="00E360E2">
        <w:rPr>
          <w:rFonts w:ascii="Times New Roman" w:hAnsi="Times New Roman" w:cs="Times New Roman"/>
          <w:lang w:val="en-IE"/>
        </w:rPr>
        <w:t>scale</w:t>
      </w:r>
      <w:r w:rsidR="000F1309" w:rsidRPr="00C73908">
        <w:rPr>
          <w:rFonts w:ascii="Times New Roman" w:hAnsi="Times New Roman" w:cs="Times New Roman"/>
          <w:lang w:val="en-IE"/>
        </w:rPr>
        <w:t xml:space="preserve"> and diversification</w:t>
      </w:r>
      <w:r w:rsidR="00F9171C" w:rsidRPr="00C73908">
        <w:rPr>
          <w:rFonts w:ascii="Times New Roman" w:hAnsi="Times New Roman" w:cs="Times New Roman"/>
          <w:lang w:val="en-IE"/>
        </w:rPr>
        <w:t xml:space="preserve"> for manufacturers.</w:t>
      </w:r>
    </w:p>
    <w:p w14:paraId="0F9A9949" w14:textId="7A2ED6E4" w:rsidR="00BC3BE1" w:rsidRPr="00C73908" w:rsidRDefault="004751EB" w:rsidP="00BC3BE1">
      <w:pPr>
        <w:pStyle w:val="ListParagraph"/>
        <w:numPr>
          <w:ilvl w:val="0"/>
          <w:numId w:val="28"/>
        </w:numPr>
        <w:spacing w:after="240" w:line="360" w:lineRule="auto"/>
        <w:jc w:val="both"/>
        <w:rPr>
          <w:rFonts w:ascii="Times New Roman" w:hAnsi="Times New Roman" w:cs="Times New Roman"/>
          <w:lang w:val="en-IE"/>
        </w:rPr>
      </w:pPr>
      <w:r>
        <w:rPr>
          <w:rFonts w:ascii="Times New Roman" w:hAnsi="Times New Roman" w:cs="Times New Roman"/>
          <w:lang w:val="en-IE"/>
        </w:rPr>
        <w:t>The analysis ident</w:t>
      </w:r>
      <w:r w:rsidR="000E5EE3">
        <w:rPr>
          <w:rFonts w:ascii="Times New Roman" w:hAnsi="Times New Roman" w:cs="Times New Roman"/>
          <w:lang w:val="en-IE"/>
        </w:rPr>
        <w:t>ifies no significant relationship between p</w:t>
      </w:r>
      <w:r w:rsidR="00C50211" w:rsidRPr="00C73908">
        <w:rPr>
          <w:rFonts w:ascii="Times New Roman" w:hAnsi="Times New Roman" w:cs="Times New Roman"/>
          <w:lang w:val="en-IE"/>
        </w:rPr>
        <w:t xml:space="preserve">roductivity levels </w:t>
      </w:r>
      <w:r w:rsidR="000E5EE3">
        <w:rPr>
          <w:rFonts w:ascii="Times New Roman" w:hAnsi="Times New Roman" w:cs="Times New Roman"/>
          <w:lang w:val="en-IE"/>
        </w:rPr>
        <w:t>and</w:t>
      </w:r>
      <w:r w:rsidR="00C50211" w:rsidRPr="00C73908">
        <w:rPr>
          <w:rFonts w:ascii="Times New Roman" w:hAnsi="Times New Roman" w:cs="Times New Roman"/>
          <w:lang w:val="en-IE"/>
        </w:rPr>
        <w:t xml:space="preserve"> manufacturing exports and a small</w:t>
      </w:r>
      <w:r w:rsidR="00E81FFB" w:rsidRPr="00C73908">
        <w:rPr>
          <w:rFonts w:ascii="Times New Roman" w:hAnsi="Times New Roman" w:cs="Times New Roman"/>
          <w:lang w:val="en-IE"/>
        </w:rPr>
        <w:t>,</w:t>
      </w:r>
      <w:r w:rsidR="00C50211" w:rsidRPr="00C73908">
        <w:rPr>
          <w:rFonts w:ascii="Times New Roman" w:hAnsi="Times New Roman" w:cs="Times New Roman"/>
          <w:lang w:val="en-IE"/>
        </w:rPr>
        <w:t xml:space="preserve"> negative </w:t>
      </w:r>
      <w:r w:rsidR="000E5EE3">
        <w:rPr>
          <w:rFonts w:ascii="Times New Roman" w:hAnsi="Times New Roman" w:cs="Times New Roman"/>
          <w:lang w:val="en-IE"/>
        </w:rPr>
        <w:t>relationship with</w:t>
      </w:r>
      <w:r w:rsidR="00C50211" w:rsidRPr="00C73908">
        <w:rPr>
          <w:rFonts w:ascii="Times New Roman" w:hAnsi="Times New Roman" w:cs="Times New Roman"/>
          <w:lang w:val="en-IE"/>
        </w:rPr>
        <w:t xml:space="preserve"> services exports.</w:t>
      </w:r>
      <w:r w:rsidR="00EE0730" w:rsidRPr="00C73908">
        <w:rPr>
          <w:rFonts w:ascii="Times New Roman" w:hAnsi="Times New Roman" w:cs="Times New Roman"/>
          <w:lang w:val="en-IE"/>
        </w:rPr>
        <w:t xml:space="preserve"> </w:t>
      </w:r>
      <w:r w:rsidR="000F1309" w:rsidRPr="00C73908">
        <w:rPr>
          <w:rFonts w:ascii="Times New Roman" w:hAnsi="Times New Roman" w:cs="Times New Roman"/>
          <w:lang w:val="en-IE"/>
        </w:rPr>
        <w:t>Supports for c</w:t>
      </w:r>
      <w:r w:rsidR="00EE0730" w:rsidRPr="00C73908">
        <w:rPr>
          <w:rFonts w:ascii="Times New Roman" w:hAnsi="Times New Roman" w:cs="Times New Roman"/>
          <w:lang w:val="en-IE"/>
        </w:rPr>
        <w:t xml:space="preserve">apital investment </w:t>
      </w:r>
      <w:r w:rsidR="000F1309" w:rsidRPr="00C73908">
        <w:rPr>
          <w:rFonts w:ascii="Times New Roman" w:hAnsi="Times New Roman" w:cs="Times New Roman"/>
          <w:lang w:val="en-IE"/>
        </w:rPr>
        <w:t>are</w:t>
      </w:r>
      <w:r w:rsidR="00EE0730" w:rsidRPr="00C73908">
        <w:rPr>
          <w:rFonts w:ascii="Times New Roman" w:hAnsi="Times New Roman" w:cs="Times New Roman"/>
          <w:lang w:val="en-IE"/>
        </w:rPr>
        <w:t xml:space="preserve">, however, found to have a positive impact on </w:t>
      </w:r>
      <w:r w:rsidR="00617E95">
        <w:rPr>
          <w:rFonts w:ascii="Times New Roman" w:hAnsi="Times New Roman" w:cs="Times New Roman"/>
          <w:lang w:val="en-IE"/>
        </w:rPr>
        <w:t xml:space="preserve">the scale of </w:t>
      </w:r>
      <w:r w:rsidR="00EE0730" w:rsidRPr="00C73908">
        <w:rPr>
          <w:rFonts w:ascii="Times New Roman" w:hAnsi="Times New Roman" w:cs="Times New Roman"/>
          <w:lang w:val="en-IE"/>
        </w:rPr>
        <w:t>export</w:t>
      </w:r>
      <w:r w:rsidR="00617E95">
        <w:rPr>
          <w:rFonts w:ascii="Times New Roman" w:hAnsi="Times New Roman" w:cs="Times New Roman"/>
          <w:lang w:val="en-IE"/>
        </w:rPr>
        <w:t>s</w:t>
      </w:r>
      <w:r w:rsidR="00EE0730" w:rsidRPr="00C73908">
        <w:rPr>
          <w:rFonts w:ascii="Times New Roman" w:hAnsi="Times New Roman" w:cs="Times New Roman"/>
          <w:lang w:val="en-IE"/>
        </w:rPr>
        <w:t xml:space="preserve"> </w:t>
      </w:r>
      <w:r w:rsidR="0068543A" w:rsidRPr="00C73908">
        <w:rPr>
          <w:rFonts w:ascii="Times New Roman" w:hAnsi="Times New Roman" w:cs="Times New Roman"/>
          <w:lang w:val="en-IE"/>
        </w:rPr>
        <w:t>for manufacturers</w:t>
      </w:r>
      <w:r w:rsidR="00EE0730" w:rsidRPr="00C73908">
        <w:rPr>
          <w:rFonts w:ascii="Times New Roman" w:hAnsi="Times New Roman" w:cs="Times New Roman"/>
          <w:lang w:val="en-IE"/>
        </w:rPr>
        <w:t>.</w:t>
      </w:r>
    </w:p>
    <w:p w14:paraId="29A7D00D" w14:textId="65A8F9CE" w:rsidR="00BC3BE1" w:rsidRPr="00C73908" w:rsidRDefault="00DE75C9" w:rsidP="00BC3BE1">
      <w:pPr>
        <w:pStyle w:val="ListParagraph"/>
        <w:numPr>
          <w:ilvl w:val="0"/>
          <w:numId w:val="28"/>
        </w:numPr>
        <w:spacing w:after="240" w:line="360" w:lineRule="auto"/>
        <w:jc w:val="both"/>
        <w:rPr>
          <w:rFonts w:ascii="Times New Roman" w:hAnsi="Times New Roman" w:cs="Times New Roman"/>
          <w:lang w:val="en-IE"/>
        </w:rPr>
      </w:pPr>
      <w:r w:rsidRPr="00C73908">
        <w:rPr>
          <w:rFonts w:ascii="Times New Roman" w:hAnsi="Times New Roman" w:cs="Times New Roman"/>
          <w:lang w:val="en-IE"/>
        </w:rPr>
        <w:t>T</w:t>
      </w:r>
      <w:r w:rsidR="00CC2FD2" w:rsidRPr="00C73908">
        <w:rPr>
          <w:rFonts w:ascii="Times New Roman" w:hAnsi="Times New Roman" w:cs="Times New Roman"/>
          <w:lang w:val="en-IE"/>
        </w:rPr>
        <w:t xml:space="preserve">here is limited </w:t>
      </w:r>
      <w:r w:rsidR="00F7478D" w:rsidRPr="00C73908">
        <w:rPr>
          <w:rFonts w:ascii="Times New Roman" w:hAnsi="Times New Roman" w:cs="Times New Roman"/>
          <w:lang w:val="en-IE"/>
        </w:rPr>
        <w:t xml:space="preserve">evidence of a strong link between </w:t>
      </w:r>
      <w:r w:rsidRPr="00C73908">
        <w:rPr>
          <w:rFonts w:ascii="Times New Roman" w:hAnsi="Times New Roman" w:cs="Times New Roman"/>
          <w:lang w:val="en-IE"/>
        </w:rPr>
        <w:t>exports</w:t>
      </w:r>
      <w:r w:rsidR="00F3612F">
        <w:rPr>
          <w:rFonts w:ascii="Times New Roman" w:hAnsi="Times New Roman" w:cs="Times New Roman"/>
          <w:lang w:val="en-IE"/>
        </w:rPr>
        <w:t xml:space="preserve"> and average wage levels o</w:t>
      </w:r>
      <w:r w:rsidR="009E15EF">
        <w:rPr>
          <w:rFonts w:ascii="Times New Roman" w:hAnsi="Times New Roman" w:cs="Times New Roman"/>
          <w:lang w:val="en-IE"/>
        </w:rPr>
        <w:t>r</w:t>
      </w:r>
      <w:r w:rsidR="00F3612F">
        <w:rPr>
          <w:rFonts w:ascii="Times New Roman" w:hAnsi="Times New Roman" w:cs="Times New Roman"/>
          <w:lang w:val="en-IE"/>
        </w:rPr>
        <w:t xml:space="preserve"> expenditure on training. T</w:t>
      </w:r>
      <w:r w:rsidR="00222829">
        <w:rPr>
          <w:rFonts w:ascii="Times New Roman" w:hAnsi="Times New Roman" w:cs="Times New Roman"/>
          <w:lang w:val="en-IE"/>
        </w:rPr>
        <w:t>here is</w:t>
      </w:r>
      <w:r w:rsidR="00F3612F">
        <w:rPr>
          <w:rFonts w:ascii="Times New Roman" w:hAnsi="Times New Roman" w:cs="Times New Roman"/>
          <w:lang w:val="en-IE"/>
        </w:rPr>
        <w:t>, however,</w:t>
      </w:r>
      <w:r w:rsidR="00222829">
        <w:rPr>
          <w:rFonts w:ascii="Times New Roman" w:hAnsi="Times New Roman" w:cs="Times New Roman"/>
          <w:lang w:val="en-IE"/>
        </w:rPr>
        <w:t xml:space="preserve"> some indication that</w:t>
      </w:r>
      <w:r w:rsidR="0074269E" w:rsidRPr="00C73908">
        <w:rPr>
          <w:rFonts w:ascii="Times New Roman" w:hAnsi="Times New Roman" w:cs="Times New Roman"/>
          <w:lang w:val="en-IE"/>
        </w:rPr>
        <w:t xml:space="preserve"> services </w:t>
      </w:r>
      <w:r w:rsidR="00002C23" w:rsidRPr="00C73908">
        <w:rPr>
          <w:rFonts w:ascii="Times New Roman" w:hAnsi="Times New Roman" w:cs="Times New Roman"/>
          <w:lang w:val="en-IE"/>
        </w:rPr>
        <w:t xml:space="preserve">companies that pay higher </w:t>
      </w:r>
      <w:r w:rsidR="00A72FB8">
        <w:rPr>
          <w:rFonts w:ascii="Times New Roman" w:hAnsi="Times New Roman" w:cs="Times New Roman"/>
          <w:lang w:val="en-IE"/>
        </w:rPr>
        <w:t>wages</w:t>
      </w:r>
      <w:r w:rsidR="00002C23" w:rsidRPr="00C73908">
        <w:rPr>
          <w:rFonts w:ascii="Times New Roman" w:hAnsi="Times New Roman" w:cs="Times New Roman"/>
          <w:lang w:val="en-IE"/>
        </w:rPr>
        <w:t xml:space="preserve"> tend to have </w:t>
      </w:r>
      <w:r w:rsidR="00C577CC">
        <w:rPr>
          <w:rFonts w:ascii="Times New Roman" w:hAnsi="Times New Roman" w:cs="Times New Roman"/>
          <w:lang w:val="en-IE"/>
        </w:rPr>
        <w:t>larger</w:t>
      </w:r>
      <w:r w:rsidR="00002C23" w:rsidRPr="00C73908">
        <w:rPr>
          <w:rFonts w:ascii="Times New Roman" w:hAnsi="Times New Roman" w:cs="Times New Roman"/>
          <w:lang w:val="en-IE"/>
        </w:rPr>
        <w:t xml:space="preserve"> export</w:t>
      </w:r>
      <w:r w:rsidR="00A766EC">
        <w:rPr>
          <w:rFonts w:ascii="Times New Roman" w:hAnsi="Times New Roman" w:cs="Times New Roman"/>
          <w:lang w:val="en-IE"/>
        </w:rPr>
        <w:t>s</w:t>
      </w:r>
      <w:r w:rsidR="00C577CC">
        <w:rPr>
          <w:rFonts w:ascii="Times New Roman" w:hAnsi="Times New Roman" w:cs="Times New Roman"/>
          <w:lang w:val="en-IE"/>
        </w:rPr>
        <w:t>, particularly in the ICT services sector</w:t>
      </w:r>
      <w:r w:rsidRPr="00C73908">
        <w:rPr>
          <w:rFonts w:ascii="Times New Roman" w:hAnsi="Times New Roman" w:cs="Times New Roman"/>
          <w:lang w:val="en-IE"/>
        </w:rPr>
        <w:t>.</w:t>
      </w:r>
    </w:p>
    <w:p w14:paraId="500B58CA" w14:textId="6498EC8F" w:rsidR="00BC3BE1" w:rsidRPr="00C73908" w:rsidRDefault="00E523C7" w:rsidP="00BC3BE1">
      <w:pPr>
        <w:pStyle w:val="ListParagraph"/>
        <w:numPr>
          <w:ilvl w:val="0"/>
          <w:numId w:val="28"/>
        </w:numPr>
        <w:spacing w:after="240" w:line="360" w:lineRule="auto"/>
        <w:jc w:val="both"/>
        <w:rPr>
          <w:rFonts w:ascii="Times New Roman" w:hAnsi="Times New Roman" w:cs="Times New Roman"/>
          <w:lang w:val="en-IE"/>
        </w:rPr>
      </w:pPr>
      <w:r>
        <w:rPr>
          <w:rFonts w:ascii="Times New Roman" w:hAnsi="Times New Roman" w:cs="Times New Roman"/>
          <w:lang w:val="en-IE"/>
        </w:rPr>
        <w:t>A large, positive re</w:t>
      </w:r>
      <w:r w:rsidR="00F12EC8">
        <w:rPr>
          <w:rFonts w:ascii="Times New Roman" w:hAnsi="Times New Roman" w:cs="Times New Roman"/>
          <w:lang w:val="en-IE"/>
        </w:rPr>
        <w:t>l</w:t>
      </w:r>
      <w:r>
        <w:rPr>
          <w:rFonts w:ascii="Times New Roman" w:hAnsi="Times New Roman" w:cs="Times New Roman"/>
          <w:lang w:val="en-IE"/>
        </w:rPr>
        <w:t>ationship</w:t>
      </w:r>
      <w:r w:rsidR="007B530B">
        <w:rPr>
          <w:rFonts w:ascii="Times New Roman" w:hAnsi="Times New Roman" w:cs="Times New Roman"/>
          <w:lang w:val="en-IE"/>
        </w:rPr>
        <w:t xml:space="preserve"> is</w:t>
      </w:r>
      <w:r>
        <w:rPr>
          <w:rFonts w:ascii="Times New Roman" w:hAnsi="Times New Roman" w:cs="Times New Roman"/>
          <w:lang w:val="en-IE"/>
        </w:rPr>
        <w:t xml:space="preserve"> identified between export performance, </w:t>
      </w:r>
      <w:r w:rsidR="00E7662B">
        <w:rPr>
          <w:rFonts w:ascii="Times New Roman" w:hAnsi="Times New Roman" w:cs="Times New Roman"/>
          <w:lang w:val="en-IE"/>
        </w:rPr>
        <w:t>in terms of both the scale and diversification</w:t>
      </w:r>
      <w:r w:rsidR="00F12EC8" w:rsidRPr="00F12EC8">
        <w:rPr>
          <w:rFonts w:ascii="Times New Roman" w:hAnsi="Times New Roman" w:cs="Times New Roman"/>
          <w:lang w:val="en-IE"/>
        </w:rPr>
        <w:t xml:space="preserve"> </w:t>
      </w:r>
      <w:r w:rsidR="00F12EC8">
        <w:rPr>
          <w:rFonts w:ascii="Times New Roman" w:hAnsi="Times New Roman" w:cs="Times New Roman"/>
          <w:lang w:val="en-IE"/>
        </w:rPr>
        <w:t>of exports</w:t>
      </w:r>
      <w:r w:rsidR="00E7662B">
        <w:rPr>
          <w:rFonts w:ascii="Times New Roman" w:hAnsi="Times New Roman" w:cs="Times New Roman"/>
          <w:lang w:val="en-IE"/>
        </w:rPr>
        <w:t>, and s</w:t>
      </w:r>
      <w:r w:rsidR="0009581B" w:rsidRPr="00C73908">
        <w:rPr>
          <w:rFonts w:ascii="Times New Roman" w:hAnsi="Times New Roman" w:cs="Times New Roman"/>
          <w:lang w:val="en-IE"/>
        </w:rPr>
        <w:t xml:space="preserve">ervices provided by the </w:t>
      </w:r>
      <w:r w:rsidR="00EC4FCC" w:rsidRPr="00C73908">
        <w:rPr>
          <w:rFonts w:ascii="Times New Roman" w:hAnsi="Times New Roman" w:cs="Times New Roman"/>
          <w:lang w:val="en-IE"/>
        </w:rPr>
        <w:t>EI overseas office</w:t>
      </w:r>
      <w:r w:rsidR="00351E2E">
        <w:rPr>
          <w:rFonts w:ascii="Times New Roman" w:hAnsi="Times New Roman" w:cs="Times New Roman"/>
          <w:lang w:val="en-IE"/>
        </w:rPr>
        <w:t xml:space="preserve">s. This </w:t>
      </w:r>
      <w:r w:rsidR="007B530B">
        <w:rPr>
          <w:rFonts w:ascii="Times New Roman" w:hAnsi="Times New Roman" w:cs="Times New Roman"/>
          <w:lang w:val="en-IE"/>
        </w:rPr>
        <w:t xml:space="preserve">suggests that these services are </w:t>
      </w:r>
      <w:r w:rsidR="00EC4FCC" w:rsidRPr="00C73908">
        <w:rPr>
          <w:rFonts w:ascii="Times New Roman" w:hAnsi="Times New Roman" w:cs="Times New Roman"/>
          <w:lang w:val="en-IE"/>
        </w:rPr>
        <w:t>beneficial in helping companies enter new markets and grow their overall exports.</w:t>
      </w:r>
    </w:p>
    <w:p w14:paraId="57F3A023" w14:textId="7E5E3340" w:rsidR="00DA788C" w:rsidRPr="00DD4BAD" w:rsidRDefault="00440628" w:rsidP="00E00524">
      <w:pPr>
        <w:pStyle w:val="ListParagraph"/>
        <w:numPr>
          <w:ilvl w:val="0"/>
          <w:numId w:val="28"/>
        </w:numPr>
        <w:spacing w:after="240" w:line="360" w:lineRule="auto"/>
        <w:jc w:val="both"/>
        <w:rPr>
          <w:rFonts w:ascii="Times New Roman" w:hAnsi="Times New Roman" w:cs="Times New Roman"/>
          <w:lang w:val="en-IE"/>
        </w:rPr>
      </w:pPr>
      <w:r>
        <w:rPr>
          <w:rFonts w:ascii="Times New Roman" w:hAnsi="Times New Roman" w:cs="Times New Roman"/>
          <w:lang w:val="en-IE"/>
        </w:rPr>
        <w:t>A</w:t>
      </w:r>
      <w:r w:rsidR="00D2513D" w:rsidRPr="00C73908">
        <w:rPr>
          <w:rFonts w:ascii="Times New Roman" w:hAnsi="Times New Roman" w:cs="Times New Roman"/>
          <w:lang w:val="en-IE"/>
        </w:rPr>
        <w:t xml:space="preserve"> negative relationship </w:t>
      </w:r>
      <w:r w:rsidR="00313893" w:rsidRPr="00C73908">
        <w:rPr>
          <w:rFonts w:ascii="Times New Roman" w:hAnsi="Times New Roman" w:cs="Times New Roman"/>
          <w:lang w:val="en-IE"/>
        </w:rPr>
        <w:t xml:space="preserve">is identified </w:t>
      </w:r>
      <w:r w:rsidR="00D2513D" w:rsidRPr="00C73908">
        <w:rPr>
          <w:rFonts w:ascii="Times New Roman" w:hAnsi="Times New Roman" w:cs="Times New Roman"/>
          <w:lang w:val="en-IE"/>
        </w:rPr>
        <w:t xml:space="preserve">between firm age and export performance which </w:t>
      </w:r>
      <w:r w:rsidR="00DA17B0" w:rsidRPr="00C73908">
        <w:rPr>
          <w:rFonts w:ascii="Times New Roman" w:hAnsi="Times New Roman" w:cs="Times New Roman"/>
          <w:lang w:val="en-IE"/>
        </w:rPr>
        <w:t>is likely due to the large proportion of early stage, export</w:t>
      </w:r>
      <w:r w:rsidR="002E7941">
        <w:rPr>
          <w:rFonts w:ascii="Times New Roman" w:hAnsi="Times New Roman" w:cs="Times New Roman"/>
          <w:lang w:val="en-IE"/>
        </w:rPr>
        <w:t>-</w:t>
      </w:r>
      <w:r w:rsidR="00DA17B0" w:rsidRPr="00C73908">
        <w:rPr>
          <w:rFonts w:ascii="Times New Roman" w:hAnsi="Times New Roman" w:cs="Times New Roman"/>
          <w:lang w:val="en-IE"/>
        </w:rPr>
        <w:t>orientated companies in the EI client base.</w:t>
      </w:r>
      <w:r w:rsidR="00196E61" w:rsidRPr="00DD4BAD">
        <w:rPr>
          <w:rFonts w:ascii="Times New Roman" w:hAnsi="Times New Roman" w:cs="Times New Roman"/>
          <w:lang w:val="en-IE"/>
        </w:rPr>
        <w:br w:type="page"/>
      </w:r>
    </w:p>
    <w:bookmarkStart w:id="2" w:name="_Toc69198792" w:displacedByCustomXml="next"/>
    <w:sdt>
      <w:sdtPr>
        <w:rPr>
          <w:rFonts w:asciiTheme="minorHAnsi" w:eastAsiaTheme="minorHAnsi" w:hAnsiTheme="minorHAnsi" w:cstheme="minorBidi"/>
          <w:color w:val="auto"/>
          <w:sz w:val="22"/>
          <w:szCs w:val="22"/>
        </w:rPr>
        <w:id w:val="1180467404"/>
        <w:docPartObj>
          <w:docPartGallery w:val="Table of Contents"/>
          <w:docPartUnique/>
        </w:docPartObj>
      </w:sdtPr>
      <w:sdtEndPr>
        <w:rPr>
          <w:b/>
          <w:bCs/>
          <w:noProof/>
        </w:rPr>
      </w:sdtEndPr>
      <w:sdtContent>
        <w:p w14:paraId="0813C859" w14:textId="6573DEBB" w:rsidR="00F36D55" w:rsidRPr="00227EF0" w:rsidRDefault="00F36D55" w:rsidP="00227EF0">
          <w:pPr>
            <w:pStyle w:val="Heading1"/>
            <w:spacing w:after="240" w:line="276" w:lineRule="auto"/>
            <w:jc w:val="both"/>
            <w:rPr>
              <w:rFonts w:ascii="Times New Roman" w:hAnsi="Times New Roman" w:cs="Times New Roman"/>
              <w:b/>
              <w:bCs/>
              <w:color w:val="0070C0"/>
              <w:lang w:val="en-IE"/>
            </w:rPr>
          </w:pPr>
          <w:r w:rsidRPr="00227EF0">
            <w:rPr>
              <w:rFonts w:ascii="Times New Roman" w:hAnsi="Times New Roman" w:cs="Times New Roman"/>
              <w:b/>
              <w:bCs/>
              <w:color w:val="0070C0"/>
            </w:rPr>
            <w:t>Table of Contents</w:t>
          </w:r>
          <w:bookmarkEnd w:id="2"/>
        </w:p>
        <w:p w14:paraId="29349E93" w14:textId="77777777" w:rsidR="00FF4C4A" w:rsidRPr="00FF4C4A" w:rsidRDefault="00FF4C4A" w:rsidP="00FF4C4A"/>
        <w:p w14:paraId="7AF3AD0B" w14:textId="6201DA6B" w:rsidR="00A14641" w:rsidRDefault="00F36D55">
          <w:pPr>
            <w:pStyle w:val="TOC1"/>
            <w:tabs>
              <w:tab w:val="right" w:leader="dot" w:pos="9350"/>
            </w:tabs>
            <w:rPr>
              <w:rFonts w:cstheme="minorBidi"/>
              <w:noProof/>
              <w:lang w:val="en-IE" w:eastAsia="en-IE"/>
            </w:rPr>
          </w:pPr>
          <w:r>
            <w:fldChar w:fldCharType="begin"/>
          </w:r>
          <w:r>
            <w:instrText xml:space="preserve"> TOC \o "1-3" \h \z \u </w:instrText>
          </w:r>
          <w:r>
            <w:fldChar w:fldCharType="separate"/>
          </w:r>
          <w:hyperlink w:anchor="_Toc69198791" w:history="1">
            <w:r w:rsidR="00A14641" w:rsidRPr="00AF1D9D">
              <w:rPr>
                <w:rStyle w:val="Hyperlink"/>
                <w:rFonts w:ascii="Times New Roman" w:hAnsi="Times New Roman"/>
                <w:b/>
                <w:bCs/>
                <w:noProof/>
                <w:lang w:val="en-IE"/>
              </w:rPr>
              <w:t>Abstract</w:t>
            </w:r>
            <w:r w:rsidR="00A14641">
              <w:rPr>
                <w:noProof/>
                <w:webHidden/>
              </w:rPr>
              <w:tab/>
            </w:r>
            <w:r w:rsidR="00A14641">
              <w:rPr>
                <w:noProof/>
                <w:webHidden/>
              </w:rPr>
              <w:fldChar w:fldCharType="begin"/>
            </w:r>
            <w:r w:rsidR="00A14641">
              <w:rPr>
                <w:noProof/>
                <w:webHidden/>
              </w:rPr>
              <w:instrText xml:space="preserve"> PAGEREF _Toc69198791 \h </w:instrText>
            </w:r>
            <w:r w:rsidR="00A14641">
              <w:rPr>
                <w:noProof/>
                <w:webHidden/>
              </w:rPr>
            </w:r>
            <w:r w:rsidR="00A14641">
              <w:rPr>
                <w:noProof/>
                <w:webHidden/>
              </w:rPr>
              <w:fldChar w:fldCharType="separate"/>
            </w:r>
            <w:r w:rsidR="00A55DF4">
              <w:rPr>
                <w:noProof/>
                <w:webHidden/>
              </w:rPr>
              <w:t>4</w:t>
            </w:r>
            <w:r w:rsidR="00A14641">
              <w:rPr>
                <w:noProof/>
                <w:webHidden/>
              </w:rPr>
              <w:fldChar w:fldCharType="end"/>
            </w:r>
          </w:hyperlink>
        </w:p>
        <w:p w14:paraId="71428484" w14:textId="347CABDA" w:rsidR="00A14641" w:rsidRDefault="006822E7">
          <w:pPr>
            <w:pStyle w:val="TOC1"/>
            <w:tabs>
              <w:tab w:val="right" w:leader="dot" w:pos="9350"/>
            </w:tabs>
            <w:rPr>
              <w:rFonts w:cstheme="minorBidi"/>
              <w:noProof/>
              <w:lang w:val="en-IE" w:eastAsia="en-IE"/>
            </w:rPr>
          </w:pPr>
          <w:hyperlink w:anchor="_Toc69198792" w:history="1">
            <w:r w:rsidR="00A14641" w:rsidRPr="00AF1D9D">
              <w:rPr>
                <w:rStyle w:val="Hyperlink"/>
                <w:rFonts w:ascii="Times New Roman" w:hAnsi="Times New Roman"/>
                <w:b/>
                <w:bCs/>
                <w:noProof/>
              </w:rPr>
              <w:t>Table of Contents</w:t>
            </w:r>
            <w:r w:rsidR="00A14641">
              <w:rPr>
                <w:noProof/>
                <w:webHidden/>
              </w:rPr>
              <w:tab/>
            </w:r>
            <w:r w:rsidR="00A14641">
              <w:rPr>
                <w:noProof/>
                <w:webHidden/>
              </w:rPr>
              <w:fldChar w:fldCharType="begin"/>
            </w:r>
            <w:r w:rsidR="00A14641">
              <w:rPr>
                <w:noProof/>
                <w:webHidden/>
              </w:rPr>
              <w:instrText xml:space="preserve"> PAGEREF _Toc69198792 \h </w:instrText>
            </w:r>
            <w:r w:rsidR="00A14641">
              <w:rPr>
                <w:noProof/>
                <w:webHidden/>
              </w:rPr>
            </w:r>
            <w:r w:rsidR="00A14641">
              <w:rPr>
                <w:noProof/>
                <w:webHidden/>
              </w:rPr>
              <w:fldChar w:fldCharType="separate"/>
            </w:r>
            <w:r w:rsidR="00A55DF4">
              <w:rPr>
                <w:noProof/>
                <w:webHidden/>
              </w:rPr>
              <w:t>5</w:t>
            </w:r>
            <w:r w:rsidR="00A14641">
              <w:rPr>
                <w:noProof/>
                <w:webHidden/>
              </w:rPr>
              <w:fldChar w:fldCharType="end"/>
            </w:r>
          </w:hyperlink>
        </w:p>
        <w:p w14:paraId="1FE2B02B" w14:textId="0E3AE431" w:rsidR="00A14641" w:rsidRDefault="006822E7">
          <w:pPr>
            <w:pStyle w:val="TOC1"/>
            <w:tabs>
              <w:tab w:val="right" w:leader="dot" w:pos="9350"/>
            </w:tabs>
            <w:rPr>
              <w:rFonts w:cstheme="minorBidi"/>
              <w:noProof/>
              <w:lang w:val="en-IE" w:eastAsia="en-IE"/>
            </w:rPr>
          </w:pPr>
          <w:hyperlink w:anchor="_Toc69198793" w:history="1">
            <w:r w:rsidR="00A14641" w:rsidRPr="00AF1D9D">
              <w:rPr>
                <w:rStyle w:val="Hyperlink"/>
                <w:rFonts w:ascii="Times New Roman" w:hAnsi="Times New Roman"/>
                <w:b/>
                <w:bCs/>
                <w:noProof/>
                <w:lang w:val="en-IE"/>
              </w:rPr>
              <w:t>List of Tables</w:t>
            </w:r>
            <w:r w:rsidR="00A14641">
              <w:rPr>
                <w:noProof/>
                <w:webHidden/>
              </w:rPr>
              <w:tab/>
            </w:r>
            <w:r w:rsidR="00A14641">
              <w:rPr>
                <w:noProof/>
                <w:webHidden/>
              </w:rPr>
              <w:fldChar w:fldCharType="begin"/>
            </w:r>
            <w:r w:rsidR="00A14641">
              <w:rPr>
                <w:noProof/>
                <w:webHidden/>
              </w:rPr>
              <w:instrText xml:space="preserve"> PAGEREF _Toc69198793 \h </w:instrText>
            </w:r>
            <w:r w:rsidR="00A14641">
              <w:rPr>
                <w:noProof/>
                <w:webHidden/>
              </w:rPr>
            </w:r>
            <w:r w:rsidR="00A14641">
              <w:rPr>
                <w:noProof/>
                <w:webHidden/>
              </w:rPr>
              <w:fldChar w:fldCharType="separate"/>
            </w:r>
            <w:r w:rsidR="00A55DF4">
              <w:rPr>
                <w:noProof/>
                <w:webHidden/>
              </w:rPr>
              <w:t>6</w:t>
            </w:r>
            <w:r w:rsidR="00A14641">
              <w:rPr>
                <w:noProof/>
                <w:webHidden/>
              </w:rPr>
              <w:fldChar w:fldCharType="end"/>
            </w:r>
          </w:hyperlink>
        </w:p>
        <w:p w14:paraId="568D30F8" w14:textId="2D253D61" w:rsidR="00A14641" w:rsidRDefault="006822E7">
          <w:pPr>
            <w:pStyle w:val="TOC1"/>
            <w:tabs>
              <w:tab w:val="right" w:leader="dot" w:pos="9350"/>
            </w:tabs>
            <w:rPr>
              <w:rFonts w:cstheme="minorBidi"/>
              <w:noProof/>
              <w:lang w:val="en-IE" w:eastAsia="en-IE"/>
            </w:rPr>
          </w:pPr>
          <w:hyperlink w:anchor="_Toc69198794" w:history="1">
            <w:r w:rsidR="00A14641" w:rsidRPr="00AF1D9D">
              <w:rPr>
                <w:rStyle w:val="Hyperlink"/>
                <w:rFonts w:ascii="Times New Roman" w:hAnsi="Times New Roman"/>
                <w:b/>
                <w:bCs/>
                <w:noProof/>
                <w:lang w:val="en-IE"/>
              </w:rPr>
              <w:t>List of Figures</w:t>
            </w:r>
            <w:r w:rsidR="00A14641">
              <w:rPr>
                <w:noProof/>
                <w:webHidden/>
              </w:rPr>
              <w:tab/>
            </w:r>
            <w:r w:rsidR="00A14641">
              <w:rPr>
                <w:noProof/>
                <w:webHidden/>
              </w:rPr>
              <w:fldChar w:fldCharType="begin"/>
            </w:r>
            <w:r w:rsidR="00A14641">
              <w:rPr>
                <w:noProof/>
                <w:webHidden/>
              </w:rPr>
              <w:instrText xml:space="preserve"> PAGEREF _Toc69198794 \h </w:instrText>
            </w:r>
            <w:r w:rsidR="00A14641">
              <w:rPr>
                <w:noProof/>
                <w:webHidden/>
              </w:rPr>
            </w:r>
            <w:r w:rsidR="00A14641">
              <w:rPr>
                <w:noProof/>
                <w:webHidden/>
              </w:rPr>
              <w:fldChar w:fldCharType="separate"/>
            </w:r>
            <w:r w:rsidR="00A55DF4">
              <w:rPr>
                <w:noProof/>
                <w:webHidden/>
              </w:rPr>
              <w:t>6</w:t>
            </w:r>
            <w:r w:rsidR="00A14641">
              <w:rPr>
                <w:noProof/>
                <w:webHidden/>
              </w:rPr>
              <w:fldChar w:fldCharType="end"/>
            </w:r>
          </w:hyperlink>
        </w:p>
        <w:p w14:paraId="019C81A6" w14:textId="78622847" w:rsidR="00A14641" w:rsidRDefault="006822E7">
          <w:pPr>
            <w:pStyle w:val="TOC1"/>
            <w:tabs>
              <w:tab w:val="left" w:pos="440"/>
              <w:tab w:val="right" w:leader="dot" w:pos="9350"/>
            </w:tabs>
            <w:rPr>
              <w:rFonts w:cstheme="minorBidi"/>
              <w:noProof/>
              <w:lang w:val="en-IE" w:eastAsia="en-IE"/>
            </w:rPr>
          </w:pPr>
          <w:hyperlink w:anchor="_Toc69198795" w:history="1">
            <w:r w:rsidR="00A14641" w:rsidRPr="00AF1D9D">
              <w:rPr>
                <w:rStyle w:val="Hyperlink"/>
                <w:rFonts w:ascii="Times New Roman" w:hAnsi="Times New Roman"/>
                <w:b/>
                <w:bCs/>
                <w:noProof/>
                <w:lang w:val="en-IE"/>
              </w:rPr>
              <w:t>1.</w:t>
            </w:r>
            <w:r w:rsidR="00A14641">
              <w:rPr>
                <w:rFonts w:cstheme="minorBidi"/>
                <w:noProof/>
                <w:lang w:val="en-IE" w:eastAsia="en-IE"/>
              </w:rPr>
              <w:tab/>
            </w:r>
            <w:r w:rsidR="00A14641" w:rsidRPr="00AF1D9D">
              <w:rPr>
                <w:rStyle w:val="Hyperlink"/>
                <w:rFonts w:ascii="Times New Roman" w:hAnsi="Times New Roman"/>
                <w:b/>
                <w:bCs/>
                <w:noProof/>
                <w:lang w:val="en-IE"/>
              </w:rPr>
              <w:t>Introduction</w:t>
            </w:r>
            <w:r w:rsidR="00A14641">
              <w:rPr>
                <w:noProof/>
                <w:webHidden/>
              </w:rPr>
              <w:tab/>
            </w:r>
            <w:r w:rsidR="00A14641">
              <w:rPr>
                <w:noProof/>
                <w:webHidden/>
              </w:rPr>
              <w:fldChar w:fldCharType="begin"/>
            </w:r>
            <w:r w:rsidR="00A14641">
              <w:rPr>
                <w:noProof/>
                <w:webHidden/>
              </w:rPr>
              <w:instrText xml:space="preserve"> PAGEREF _Toc69198795 \h </w:instrText>
            </w:r>
            <w:r w:rsidR="00A14641">
              <w:rPr>
                <w:noProof/>
                <w:webHidden/>
              </w:rPr>
            </w:r>
            <w:r w:rsidR="00A14641">
              <w:rPr>
                <w:noProof/>
                <w:webHidden/>
              </w:rPr>
              <w:fldChar w:fldCharType="separate"/>
            </w:r>
            <w:r w:rsidR="00A55DF4">
              <w:rPr>
                <w:noProof/>
                <w:webHidden/>
              </w:rPr>
              <w:t>7</w:t>
            </w:r>
            <w:r w:rsidR="00A14641">
              <w:rPr>
                <w:noProof/>
                <w:webHidden/>
              </w:rPr>
              <w:fldChar w:fldCharType="end"/>
            </w:r>
          </w:hyperlink>
        </w:p>
        <w:p w14:paraId="6C2671D4" w14:textId="4A46DF5D" w:rsidR="00A14641" w:rsidRDefault="006822E7">
          <w:pPr>
            <w:pStyle w:val="TOC1"/>
            <w:tabs>
              <w:tab w:val="left" w:pos="440"/>
              <w:tab w:val="right" w:leader="dot" w:pos="9350"/>
            </w:tabs>
            <w:rPr>
              <w:rFonts w:cstheme="minorBidi"/>
              <w:noProof/>
              <w:lang w:val="en-IE" w:eastAsia="en-IE"/>
            </w:rPr>
          </w:pPr>
          <w:hyperlink w:anchor="_Toc69198796" w:history="1">
            <w:r w:rsidR="00A14641" w:rsidRPr="00AF1D9D">
              <w:rPr>
                <w:rStyle w:val="Hyperlink"/>
                <w:rFonts w:ascii="Times New Roman" w:hAnsi="Times New Roman"/>
                <w:b/>
                <w:bCs/>
                <w:noProof/>
                <w:lang w:val="en-IE"/>
              </w:rPr>
              <w:t>2.</w:t>
            </w:r>
            <w:r w:rsidR="00A14641">
              <w:rPr>
                <w:rFonts w:cstheme="minorBidi"/>
                <w:noProof/>
                <w:lang w:val="en-IE" w:eastAsia="en-IE"/>
              </w:rPr>
              <w:tab/>
            </w:r>
            <w:r w:rsidR="00A14641" w:rsidRPr="00AF1D9D">
              <w:rPr>
                <w:rStyle w:val="Hyperlink"/>
                <w:rFonts w:ascii="Times New Roman" w:hAnsi="Times New Roman"/>
                <w:b/>
                <w:bCs/>
                <w:noProof/>
                <w:lang w:val="en-IE"/>
              </w:rPr>
              <w:t>Literature Review</w:t>
            </w:r>
            <w:r w:rsidR="00A14641">
              <w:rPr>
                <w:noProof/>
                <w:webHidden/>
              </w:rPr>
              <w:tab/>
            </w:r>
            <w:r w:rsidR="00A14641">
              <w:rPr>
                <w:noProof/>
                <w:webHidden/>
              </w:rPr>
              <w:fldChar w:fldCharType="begin"/>
            </w:r>
            <w:r w:rsidR="00A14641">
              <w:rPr>
                <w:noProof/>
                <w:webHidden/>
              </w:rPr>
              <w:instrText xml:space="preserve"> PAGEREF _Toc69198796 \h </w:instrText>
            </w:r>
            <w:r w:rsidR="00A14641">
              <w:rPr>
                <w:noProof/>
                <w:webHidden/>
              </w:rPr>
            </w:r>
            <w:r w:rsidR="00A14641">
              <w:rPr>
                <w:noProof/>
                <w:webHidden/>
              </w:rPr>
              <w:fldChar w:fldCharType="separate"/>
            </w:r>
            <w:r w:rsidR="00A55DF4">
              <w:rPr>
                <w:noProof/>
                <w:webHidden/>
              </w:rPr>
              <w:t>10</w:t>
            </w:r>
            <w:r w:rsidR="00A14641">
              <w:rPr>
                <w:noProof/>
                <w:webHidden/>
              </w:rPr>
              <w:fldChar w:fldCharType="end"/>
            </w:r>
          </w:hyperlink>
        </w:p>
        <w:p w14:paraId="19E9B885" w14:textId="75EC260A" w:rsidR="00A14641" w:rsidRDefault="006822E7">
          <w:pPr>
            <w:pStyle w:val="TOC1"/>
            <w:tabs>
              <w:tab w:val="left" w:pos="660"/>
              <w:tab w:val="right" w:leader="dot" w:pos="9350"/>
            </w:tabs>
            <w:rPr>
              <w:rFonts w:cstheme="minorBidi"/>
              <w:noProof/>
              <w:lang w:val="en-IE" w:eastAsia="en-IE"/>
            </w:rPr>
          </w:pPr>
          <w:hyperlink w:anchor="_Toc69198797" w:history="1">
            <w:r w:rsidR="00A14641" w:rsidRPr="00AF1D9D">
              <w:rPr>
                <w:rStyle w:val="Hyperlink"/>
                <w:rFonts w:ascii="Times New Roman" w:hAnsi="Times New Roman"/>
                <w:b/>
                <w:bCs/>
                <w:noProof/>
                <w:lang w:val="en-IE"/>
              </w:rPr>
              <w:t>2.1.</w:t>
            </w:r>
            <w:r w:rsidR="00A14641">
              <w:rPr>
                <w:rFonts w:cstheme="minorBidi"/>
                <w:noProof/>
                <w:lang w:val="en-IE" w:eastAsia="en-IE"/>
              </w:rPr>
              <w:tab/>
            </w:r>
            <w:r w:rsidR="00A14641" w:rsidRPr="00AF1D9D">
              <w:rPr>
                <w:rStyle w:val="Hyperlink"/>
                <w:rFonts w:ascii="Times New Roman" w:hAnsi="Times New Roman"/>
                <w:b/>
                <w:bCs/>
                <w:noProof/>
                <w:lang w:val="en-IE"/>
              </w:rPr>
              <w:t>Productivity</w:t>
            </w:r>
            <w:r w:rsidR="00A14641">
              <w:rPr>
                <w:noProof/>
                <w:webHidden/>
              </w:rPr>
              <w:tab/>
            </w:r>
            <w:r w:rsidR="00A14641">
              <w:rPr>
                <w:noProof/>
                <w:webHidden/>
              </w:rPr>
              <w:fldChar w:fldCharType="begin"/>
            </w:r>
            <w:r w:rsidR="00A14641">
              <w:rPr>
                <w:noProof/>
                <w:webHidden/>
              </w:rPr>
              <w:instrText xml:space="preserve"> PAGEREF _Toc69198797 \h </w:instrText>
            </w:r>
            <w:r w:rsidR="00A14641">
              <w:rPr>
                <w:noProof/>
                <w:webHidden/>
              </w:rPr>
            </w:r>
            <w:r w:rsidR="00A14641">
              <w:rPr>
                <w:noProof/>
                <w:webHidden/>
              </w:rPr>
              <w:fldChar w:fldCharType="separate"/>
            </w:r>
            <w:r w:rsidR="00A55DF4">
              <w:rPr>
                <w:noProof/>
                <w:webHidden/>
              </w:rPr>
              <w:t>10</w:t>
            </w:r>
            <w:r w:rsidR="00A14641">
              <w:rPr>
                <w:noProof/>
                <w:webHidden/>
              </w:rPr>
              <w:fldChar w:fldCharType="end"/>
            </w:r>
          </w:hyperlink>
        </w:p>
        <w:p w14:paraId="365897EA" w14:textId="5E7AFFCC" w:rsidR="00A14641" w:rsidRDefault="006822E7">
          <w:pPr>
            <w:pStyle w:val="TOC1"/>
            <w:tabs>
              <w:tab w:val="left" w:pos="660"/>
              <w:tab w:val="right" w:leader="dot" w:pos="9350"/>
            </w:tabs>
            <w:rPr>
              <w:rFonts w:cstheme="minorBidi"/>
              <w:noProof/>
              <w:lang w:val="en-IE" w:eastAsia="en-IE"/>
            </w:rPr>
          </w:pPr>
          <w:hyperlink w:anchor="_Toc69198798" w:history="1">
            <w:r w:rsidR="00A14641" w:rsidRPr="00AF1D9D">
              <w:rPr>
                <w:rStyle w:val="Hyperlink"/>
                <w:rFonts w:ascii="Times New Roman" w:hAnsi="Times New Roman"/>
                <w:b/>
                <w:bCs/>
                <w:noProof/>
                <w:lang w:val="en-IE"/>
              </w:rPr>
              <w:t>2.2.</w:t>
            </w:r>
            <w:r w:rsidR="00A14641">
              <w:rPr>
                <w:rFonts w:cstheme="minorBidi"/>
                <w:noProof/>
                <w:lang w:val="en-IE" w:eastAsia="en-IE"/>
              </w:rPr>
              <w:tab/>
            </w:r>
            <w:r w:rsidR="00A14641" w:rsidRPr="00AF1D9D">
              <w:rPr>
                <w:rStyle w:val="Hyperlink"/>
                <w:rFonts w:ascii="Times New Roman" w:hAnsi="Times New Roman"/>
                <w:b/>
                <w:bCs/>
                <w:noProof/>
                <w:lang w:val="en-IE"/>
              </w:rPr>
              <w:t>Innovation</w:t>
            </w:r>
            <w:r w:rsidR="00A14641">
              <w:rPr>
                <w:noProof/>
                <w:webHidden/>
              </w:rPr>
              <w:tab/>
            </w:r>
            <w:r w:rsidR="00A14641">
              <w:rPr>
                <w:noProof/>
                <w:webHidden/>
              </w:rPr>
              <w:fldChar w:fldCharType="begin"/>
            </w:r>
            <w:r w:rsidR="00A14641">
              <w:rPr>
                <w:noProof/>
                <w:webHidden/>
              </w:rPr>
              <w:instrText xml:space="preserve"> PAGEREF _Toc69198798 \h </w:instrText>
            </w:r>
            <w:r w:rsidR="00A14641">
              <w:rPr>
                <w:noProof/>
                <w:webHidden/>
              </w:rPr>
            </w:r>
            <w:r w:rsidR="00A14641">
              <w:rPr>
                <w:noProof/>
                <w:webHidden/>
              </w:rPr>
              <w:fldChar w:fldCharType="separate"/>
            </w:r>
            <w:r w:rsidR="00A55DF4">
              <w:rPr>
                <w:noProof/>
                <w:webHidden/>
              </w:rPr>
              <w:t>13</w:t>
            </w:r>
            <w:r w:rsidR="00A14641">
              <w:rPr>
                <w:noProof/>
                <w:webHidden/>
              </w:rPr>
              <w:fldChar w:fldCharType="end"/>
            </w:r>
          </w:hyperlink>
        </w:p>
        <w:p w14:paraId="7FC8BE6D" w14:textId="29E7CF5D" w:rsidR="00A14641" w:rsidRDefault="006822E7">
          <w:pPr>
            <w:pStyle w:val="TOC1"/>
            <w:tabs>
              <w:tab w:val="left" w:pos="660"/>
              <w:tab w:val="right" w:leader="dot" w:pos="9350"/>
            </w:tabs>
            <w:rPr>
              <w:rFonts w:cstheme="minorBidi"/>
              <w:noProof/>
              <w:lang w:val="en-IE" w:eastAsia="en-IE"/>
            </w:rPr>
          </w:pPr>
          <w:hyperlink w:anchor="_Toc69198799" w:history="1">
            <w:r w:rsidR="00A14641" w:rsidRPr="00AF1D9D">
              <w:rPr>
                <w:rStyle w:val="Hyperlink"/>
                <w:rFonts w:ascii="Times New Roman" w:hAnsi="Times New Roman"/>
                <w:b/>
                <w:bCs/>
                <w:noProof/>
                <w:lang w:val="en-IE"/>
              </w:rPr>
              <w:t>2.3.</w:t>
            </w:r>
            <w:r w:rsidR="00A14641">
              <w:rPr>
                <w:rFonts w:cstheme="minorBidi"/>
                <w:noProof/>
                <w:lang w:val="en-IE" w:eastAsia="en-IE"/>
              </w:rPr>
              <w:tab/>
            </w:r>
            <w:r w:rsidR="00A14641" w:rsidRPr="00AF1D9D">
              <w:rPr>
                <w:rStyle w:val="Hyperlink"/>
                <w:rFonts w:ascii="Times New Roman" w:hAnsi="Times New Roman"/>
                <w:b/>
                <w:bCs/>
                <w:noProof/>
                <w:lang w:val="en-IE"/>
              </w:rPr>
              <w:t>Skill Levels</w:t>
            </w:r>
            <w:r w:rsidR="00A14641">
              <w:rPr>
                <w:noProof/>
                <w:webHidden/>
              </w:rPr>
              <w:tab/>
            </w:r>
            <w:r w:rsidR="00A14641">
              <w:rPr>
                <w:noProof/>
                <w:webHidden/>
              </w:rPr>
              <w:fldChar w:fldCharType="begin"/>
            </w:r>
            <w:r w:rsidR="00A14641">
              <w:rPr>
                <w:noProof/>
                <w:webHidden/>
              </w:rPr>
              <w:instrText xml:space="preserve"> PAGEREF _Toc69198799 \h </w:instrText>
            </w:r>
            <w:r w:rsidR="00A14641">
              <w:rPr>
                <w:noProof/>
                <w:webHidden/>
              </w:rPr>
            </w:r>
            <w:r w:rsidR="00A14641">
              <w:rPr>
                <w:noProof/>
                <w:webHidden/>
              </w:rPr>
              <w:fldChar w:fldCharType="separate"/>
            </w:r>
            <w:r w:rsidR="00A55DF4">
              <w:rPr>
                <w:noProof/>
                <w:webHidden/>
              </w:rPr>
              <w:t>16</w:t>
            </w:r>
            <w:r w:rsidR="00A14641">
              <w:rPr>
                <w:noProof/>
                <w:webHidden/>
              </w:rPr>
              <w:fldChar w:fldCharType="end"/>
            </w:r>
          </w:hyperlink>
        </w:p>
        <w:p w14:paraId="533E544E" w14:textId="689EA266" w:rsidR="00A14641" w:rsidRDefault="006822E7">
          <w:pPr>
            <w:pStyle w:val="TOC1"/>
            <w:tabs>
              <w:tab w:val="left" w:pos="660"/>
              <w:tab w:val="right" w:leader="dot" w:pos="9350"/>
            </w:tabs>
            <w:rPr>
              <w:rFonts w:cstheme="minorBidi"/>
              <w:noProof/>
              <w:lang w:val="en-IE" w:eastAsia="en-IE"/>
            </w:rPr>
          </w:pPr>
          <w:hyperlink w:anchor="_Toc69198800" w:history="1">
            <w:r w:rsidR="00A14641" w:rsidRPr="00AF1D9D">
              <w:rPr>
                <w:rStyle w:val="Hyperlink"/>
                <w:rFonts w:ascii="Times New Roman" w:hAnsi="Times New Roman"/>
                <w:b/>
                <w:bCs/>
                <w:noProof/>
                <w:lang w:val="en-IE"/>
              </w:rPr>
              <w:t>2.4.</w:t>
            </w:r>
            <w:r w:rsidR="00A14641">
              <w:rPr>
                <w:rFonts w:cstheme="minorBidi"/>
                <w:noProof/>
                <w:lang w:val="en-IE" w:eastAsia="en-IE"/>
              </w:rPr>
              <w:tab/>
            </w:r>
            <w:r w:rsidR="00A14641" w:rsidRPr="00AF1D9D">
              <w:rPr>
                <w:rStyle w:val="Hyperlink"/>
                <w:rFonts w:ascii="Times New Roman" w:hAnsi="Times New Roman"/>
                <w:b/>
                <w:bCs/>
                <w:noProof/>
                <w:lang w:val="en-IE"/>
              </w:rPr>
              <w:t>Export Promotion Policies</w:t>
            </w:r>
            <w:r w:rsidR="00A14641">
              <w:rPr>
                <w:noProof/>
                <w:webHidden/>
              </w:rPr>
              <w:tab/>
            </w:r>
            <w:r w:rsidR="00A14641">
              <w:rPr>
                <w:noProof/>
                <w:webHidden/>
              </w:rPr>
              <w:fldChar w:fldCharType="begin"/>
            </w:r>
            <w:r w:rsidR="00A14641">
              <w:rPr>
                <w:noProof/>
                <w:webHidden/>
              </w:rPr>
              <w:instrText xml:space="preserve"> PAGEREF _Toc69198800 \h </w:instrText>
            </w:r>
            <w:r w:rsidR="00A14641">
              <w:rPr>
                <w:noProof/>
                <w:webHidden/>
              </w:rPr>
            </w:r>
            <w:r w:rsidR="00A14641">
              <w:rPr>
                <w:noProof/>
                <w:webHidden/>
              </w:rPr>
              <w:fldChar w:fldCharType="separate"/>
            </w:r>
            <w:r w:rsidR="00A55DF4">
              <w:rPr>
                <w:noProof/>
                <w:webHidden/>
              </w:rPr>
              <w:t>18</w:t>
            </w:r>
            <w:r w:rsidR="00A14641">
              <w:rPr>
                <w:noProof/>
                <w:webHidden/>
              </w:rPr>
              <w:fldChar w:fldCharType="end"/>
            </w:r>
          </w:hyperlink>
        </w:p>
        <w:p w14:paraId="19352628" w14:textId="462F7A19" w:rsidR="00A14641" w:rsidRDefault="006822E7">
          <w:pPr>
            <w:pStyle w:val="TOC1"/>
            <w:tabs>
              <w:tab w:val="left" w:pos="660"/>
              <w:tab w:val="right" w:leader="dot" w:pos="9350"/>
            </w:tabs>
            <w:rPr>
              <w:rFonts w:cstheme="minorBidi"/>
              <w:noProof/>
              <w:lang w:val="en-IE" w:eastAsia="en-IE"/>
            </w:rPr>
          </w:pPr>
          <w:hyperlink w:anchor="_Toc69198801" w:history="1">
            <w:r w:rsidR="00A14641" w:rsidRPr="00AF1D9D">
              <w:rPr>
                <w:rStyle w:val="Hyperlink"/>
                <w:rFonts w:ascii="Times New Roman" w:hAnsi="Times New Roman"/>
                <w:b/>
                <w:bCs/>
                <w:noProof/>
                <w:lang w:val="en-IE"/>
              </w:rPr>
              <w:t>2.5.</w:t>
            </w:r>
            <w:r w:rsidR="00A14641">
              <w:rPr>
                <w:rFonts w:cstheme="minorBidi"/>
                <w:noProof/>
                <w:lang w:val="en-IE" w:eastAsia="en-IE"/>
              </w:rPr>
              <w:tab/>
            </w:r>
            <w:r w:rsidR="00A14641" w:rsidRPr="00AF1D9D">
              <w:rPr>
                <w:rStyle w:val="Hyperlink"/>
                <w:rFonts w:ascii="Times New Roman" w:hAnsi="Times New Roman"/>
                <w:b/>
                <w:bCs/>
                <w:noProof/>
                <w:lang w:val="en-IE"/>
              </w:rPr>
              <w:t>Firm Age/Experience</w:t>
            </w:r>
            <w:r w:rsidR="00A14641">
              <w:rPr>
                <w:noProof/>
                <w:webHidden/>
              </w:rPr>
              <w:tab/>
            </w:r>
            <w:r w:rsidR="00A14641">
              <w:rPr>
                <w:noProof/>
                <w:webHidden/>
              </w:rPr>
              <w:fldChar w:fldCharType="begin"/>
            </w:r>
            <w:r w:rsidR="00A14641">
              <w:rPr>
                <w:noProof/>
                <w:webHidden/>
              </w:rPr>
              <w:instrText xml:space="preserve"> PAGEREF _Toc69198801 \h </w:instrText>
            </w:r>
            <w:r w:rsidR="00A14641">
              <w:rPr>
                <w:noProof/>
                <w:webHidden/>
              </w:rPr>
            </w:r>
            <w:r w:rsidR="00A14641">
              <w:rPr>
                <w:noProof/>
                <w:webHidden/>
              </w:rPr>
              <w:fldChar w:fldCharType="separate"/>
            </w:r>
            <w:r w:rsidR="00A55DF4">
              <w:rPr>
                <w:noProof/>
                <w:webHidden/>
              </w:rPr>
              <w:t>19</w:t>
            </w:r>
            <w:r w:rsidR="00A14641">
              <w:rPr>
                <w:noProof/>
                <w:webHidden/>
              </w:rPr>
              <w:fldChar w:fldCharType="end"/>
            </w:r>
          </w:hyperlink>
        </w:p>
        <w:p w14:paraId="27057CA3" w14:textId="160BE6CE" w:rsidR="00A14641" w:rsidRDefault="006822E7">
          <w:pPr>
            <w:pStyle w:val="TOC1"/>
            <w:tabs>
              <w:tab w:val="left" w:pos="440"/>
              <w:tab w:val="right" w:leader="dot" w:pos="9350"/>
            </w:tabs>
            <w:rPr>
              <w:rFonts w:cstheme="minorBidi"/>
              <w:noProof/>
              <w:lang w:val="en-IE" w:eastAsia="en-IE"/>
            </w:rPr>
          </w:pPr>
          <w:hyperlink w:anchor="_Toc69198802" w:history="1">
            <w:r w:rsidR="00A14641" w:rsidRPr="00AF1D9D">
              <w:rPr>
                <w:rStyle w:val="Hyperlink"/>
                <w:rFonts w:ascii="Times New Roman" w:hAnsi="Times New Roman"/>
                <w:b/>
                <w:bCs/>
                <w:noProof/>
                <w:lang w:val="en-IE"/>
              </w:rPr>
              <w:t>3.</w:t>
            </w:r>
            <w:r w:rsidR="00A14641">
              <w:rPr>
                <w:rFonts w:cstheme="minorBidi"/>
                <w:noProof/>
                <w:lang w:val="en-IE" w:eastAsia="en-IE"/>
              </w:rPr>
              <w:tab/>
            </w:r>
            <w:r w:rsidR="00A14641" w:rsidRPr="00AF1D9D">
              <w:rPr>
                <w:rStyle w:val="Hyperlink"/>
                <w:rFonts w:ascii="Times New Roman" w:hAnsi="Times New Roman"/>
                <w:b/>
                <w:bCs/>
                <w:noProof/>
                <w:lang w:val="en-IE"/>
              </w:rPr>
              <w:t>Data</w:t>
            </w:r>
            <w:r w:rsidR="00A14641">
              <w:rPr>
                <w:noProof/>
                <w:webHidden/>
              </w:rPr>
              <w:tab/>
            </w:r>
            <w:r w:rsidR="00A14641">
              <w:rPr>
                <w:noProof/>
                <w:webHidden/>
              </w:rPr>
              <w:fldChar w:fldCharType="begin"/>
            </w:r>
            <w:r w:rsidR="00A14641">
              <w:rPr>
                <w:noProof/>
                <w:webHidden/>
              </w:rPr>
              <w:instrText xml:space="preserve"> PAGEREF _Toc69198802 \h </w:instrText>
            </w:r>
            <w:r w:rsidR="00A14641">
              <w:rPr>
                <w:noProof/>
                <w:webHidden/>
              </w:rPr>
            </w:r>
            <w:r w:rsidR="00A14641">
              <w:rPr>
                <w:noProof/>
                <w:webHidden/>
              </w:rPr>
              <w:fldChar w:fldCharType="separate"/>
            </w:r>
            <w:r w:rsidR="00A55DF4">
              <w:rPr>
                <w:noProof/>
                <w:webHidden/>
              </w:rPr>
              <w:t>20</w:t>
            </w:r>
            <w:r w:rsidR="00A14641">
              <w:rPr>
                <w:noProof/>
                <w:webHidden/>
              </w:rPr>
              <w:fldChar w:fldCharType="end"/>
            </w:r>
          </w:hyperlink>
        </w:p>
        <w:p w14:paraId="188B4439" w14:textId="24C6E2D7" w:rsidR="00A14641" w:rsidRDefault="006822E7">
          <w:pPr>
            <w:pStyle w:val="TOC1"/>
            <w:tabs>
              <w:tab w:val="left" w:pos="660"/>
              <w:tab w:val="right" w:leader="dot" w:pos="9350"/>
            </w:tabs>
            <w:rPr>
              <w:rFonts w:cstheme="minorBidi"/>
              <w:noProof/>
              <w:lang w:val="en-IE" w:eastAsia="en-IE"/>
            </w:rPr>
          </w:pPr>
          <w:hyperlink w:anchor="_Toc69198803" w:history="1">
            <w:r w:rsidR="00A14641" w:rsidRPr="00AF1D9D">
              <w:rPr>
                <w:rStyle w:val="Hyperlink"/>
                <w:rFonts w:ascii="Times New Roman" w:hAnsi="Times New Roman"/>
                <w:b/>
                <w:bCs/>
                <w:noProof/>
                <w:lang w:val="en-IE"/>
              </w:rPr>
              <w:t>3.1.</w:t>
            </w:r>
            <w:r w:rsidR="00A14641">
              <w:rPr>
                <w:rFonts w:cstheme="minorBidi"/>
                <w:noProof/>
                <w:lang w:val="en-IE" w:eastAsia="en-IE"/>
              </w:rPr>
              <w:tab/>
            </w:r>
            <w:r w:rsidR="00A14641" w:rsidRPr="00AF1D9D">
              <w:rPr>
                <w:rStyle w:val="Hyperlink"/>
                <w:rFonts w:ascii="Times New Roman" w:hAnsi="Times New Roman"/>
                <w:b/>
                <w:bCs/>
                <w:noProof/>
                <w:lang w:val="en-IE"/>
              </w:rPr>
              <w:t>Variable Descriptions</w:t>
            </w:r>
            <w:r w:rsidR="00A14641">
              <w:rPr>
                <w:noProof/>
                <w:webHidden/>
              </w:rPr>
              <w:tab/>
            </w:r>
            <w:r w:rsidR="00A14641">
              <w:rPr>
                <w:noProof/>
                <w:webHidden/>
              </w:rPr>
              <w:fldChar w:fldCharType="begin"/>
            </w:r>
            <w:r w:rsidR="00A14641">
              <w:rPr>
                <w:noProof/>
                <w:webHidden/>
              </w:rPr>
              <w:instrText xml:space="preserve"> PAGEREF _Toc69198803 \h </w:instrText>
            </w:r>
            <w:r w:rsidR="00A14641">
              <w:rPr>
                <w:noProof/>
                <w:webHidden/>
              </w:rPr>
            </w:r>
            <w:r w:rsidR="00A14641">
              <w:rPr>
                <w:noProof/>
                <w:webHidden/>
              </w:rPr>
              <w:fldChar w:fldCharType="separate"/>
            </w:r>
            <w:r w:rsidR="00A55DF4">
              <w:rPr>
                <w:noProof/>
                <w:webHidden/>
              </w:rPr>
              <w:t>22</w:t>
            </w:r>
            <w:r w:rsidR="00A14641">
              <w:rPr>
                <w:noProof/>
                <w:webHidden/>
              </w:rPr>
              <w:fldChar w:fldCharType="end"/>
            </w:r>
          </w:hyperlink>
        </w:p>
        <w:p w14:paraId="31C4EB5E" w14:textId="78F32FD0" w:rsidR="00A14641" w:rsidRDefault="006822E7">
          <w:pPr>
            <w:pStyle w:val="TOC1"/>
            <w:tabs>
              <w:tab w:val="left" w:pos="660"/>
              <w:tab w:val="right" w:leader="dot" w:pos="9350"/>
            </w:tabs>
            <w:rPr>
              <w:rFonts w:cstheme="minorBidi"/>
              <w:noProof/>
              <w:lang w:val="en-IE" w:eastAsia="en-IE"/>
            </w:rPr>
          </w:pPr>
          <w:hyperlink w:anchor="_Toc69198804" w:history="1">
            <w:r w:rsidR="00A14641" w:rsidRPr="00AF1D9D">
              <w:rPr>
                <w:rStyle w:val="Hyperlink"/>
                <w:rFonts w:ascii="Times New Roman" w:hAnsi="Times New Roman"/>
                <w:b/>
                <w:bCs/>
                <w:noProof/>
                <w:lang w:val="en-IE"/>
              </w:rPr>
              <w:t>3.2.</w:t>
            </w:r>
            <w:r w:rsidR="00A14641">
              <w:rPr>
                <w:rFonts w:cstheme="minorBidi"/>
                <w:noProof/>
                <w:lang w:val="en-IE" w:eastAsia="en-IE"/>
              </w:rPr>
              <w:tab/>
            </w:r>
            <w:r w:rsidR="00A14641" w:rsidRPr="00AF1D9D">
              <w:rPr>
                <w:rStyle w:val="Hyperlink"/>
                <w:rFonts w:ascii="Times New Roman" w:hAnsi="Times New Roman"/>
                <w:b/>
                <w:bCs/>
                <w:noProof/>
                <w:lang w:val="en-IE"/>
              </w:rPr>
              <w:t>Sectoral Characteristics and Trends</w:t>
            </w:r>
            <w:r w:rsidR="00A14641">
              <w:rPr>
                <w:noProof/>
                <w:webHidden/>
              </w:rPr>
              <w:tab/>
            </w:r>
            <w:r w:rsidR="00A14641">
              <w:rPr>
                <w:noProof/>
                <w:webHidden/>
              </w:rPr>
              <w:fldChar w:fldCharType="begin"/>
            </w:r>
            <w:r w:rsidR="00A14641">
              <w:rPr>
                <w:noProof/>
                <w:webHidden/>
              </w:rPr>
              <w:instrText xml:space="preserve"> PAGEREF _Toc69198804 \h </w:instrText>
            </w:r>
            <w:r w:rsidR="00A14641">
              <w:rPr>
                <w:noProof/>
                <w:webHidden/>
              </w:rPr>
            </w:r>
            <w:r w:rsidR="00A14641">
              <w:rPr>
                <w:noProof/>
                <w:webHidden/>
              </w:rPr>
              <w:fldChar w:fldCharType="separate"/>
            </w:r>
            <w:r w:rsidR="00A55DF4">
              <w:rPr>
                <w:noProof/>
                <w:webHidden/>
              </w:rPr>
              <w:t>26</w:t>
            </w:r>
            <w:r w:rsidR="00A14641">
              <w:rPr>
                <w:noProof/>
                <w:webHidden/>
              </w:rPr>
              <w:fldChar w:fldCharType="end"/>
            </w:r>
          </w:hyperlink>
        </w:p>
        <w:p w14:paraId="6A863283" w14:textId="1B4EAA8A" w:rsidR="00A14641" w:rsidRDefault="006822E7">
          <w:pPr>
            <w:pStyle w:val="TOC1"/>
            <w:tabs>
              <w:tab w:val="left" w:pos="440"/>
              <w:tab w:val="right" w:leader="dot" w:pos="9350"/>
            </w:tabs>
            <w:rPr>
              <w:rFonts w:cstheme="minorBidi"/>
              <w:noProof/>
              <w:lang w:val="en-IE" w:eastAsia="en-IE"/>
            </w:rPr>
          </w:pPr>
          <w:hyperlink w:anchor="_Toc69198805" w:history="1">
            <w:r w:rsidR="00A14641" w:rsidRPr="00AF1D9D">
              <w:rPr>
                <w:rStyle w:val="Hyperlink"/>
                <w:rFonts w:ascii="Times New Roman" w:hAnsi="Times New Roman"/>
                <w:b/>
                <w:bCs/>
                <w:noProof/>
                <w:lang w:val="en-IE"/>
              </w:rPr>
              <w:t>4.</w:t>
            </w:r>
            <w:r w:rsidR="00A14641">
              <w:rPr>
                <w:rFonts w:cstheme="minorBidi"/>
                <w:noProof/>
                <w:lang w:val="en-IE" w:eastAsia="en-IE"/>
              </w:rPr>
              <w:tab/>
            </w:r>
            <w:r w:rsidR="00A14641" w:rsidRPr="00AF1D9D">
              <w:rPr>
                <w:rStyle w:val="Hyperlink"/>
                <w:rFonts w:ascii="Times New Roman" w:hAnsi="Times New Roman"/>
                <w:b/>
                <w:bCs/>
                <w:noProof/>
                <w:lang w:val="en-IE"/>
              </w:rPr>
              <w:t>Methodology</w:t>
            </w:r>
            <w:r w:rsidR="00A14641">
              <w:rPr>
                <w:noProof/>
                <w:webHidden/>
              </w:rPr>
              <w:tab/>
            </w:r>
            <w:r w:rsidR="00A14641">
              <w:rPr>
                <w:noProof/>
                <w:webHidden/>
              </w:rPr>
              <w:fldChar w:fldCharType="begin"/>
            </w:r>
            <w:r w:rsidR="00A14641">
              <w:rPr>
                <w:noProof/>
                <w:webHidden/>
              </w:rPr>
              <w:instrText xml:space="preserve"> PAGEREF _Toc69198805 \h </w:instrText>
            </w:r>
            <w:r w:rsidR="00A14641">
              <w:rPr>
                <w:noProof/>
                <w:webHidden/>
              </w:rPr>
            </w:r>
            <w:r w:rsidR="00A14641">
              <w:rPr>
                <w:noProof/>
                <w:webHidden/>
              </w:rPr>
              <w:fldChar w:fldCharType="separate"/>
            </w:r>
            <w:r w:rsidR="00A55DF4">
              <w:rPr>
                <w:noProof/>
                <w:webHidden/>
              </w:rPr>
              <w:t>32</w:t>
            </w:r>
            <w:r w:rsidR="00A14641">
              <w:rPr>
                <w:noProof/>
                <w:webHidden/>
              </w:rPr>
              <w:fldChar w:fldCharType="end"/>
            </w:r>
          </w:hyperlink>
        </w:p>
        <w:p w14:paraId="394CC2BA" w14:textId="441E12C9" w:rsidR="00A14641" w:rsidRDefault="006822E7">
          <w:pPr>
            <w:pStyle w:val="TOC1"/>
            <w:tabs>
              <w:tab w:val="left" w:pos="440"/>
              <w:tab w:val="right" w:leader="dot" w:pos="9350"/>
            </w:tabs>
            <w:rPr>
              <w:rFonts w:cstheme="minorBidi"/>
              <w:noProof/>
              <w:lang w:val="en-IE" w:eastAsia="en-IE"/>
            </w:rPr>
          </w:pPr>
          <w:hyperlink w:anchor="_Toc69198806" w:history="1">
            <w:r w:rsidR="00A14641" w:rsidRPr="00AF1D9D">
              <w:rPr>
                <w:rStyle w:val="Hyperlink"/>
                <w:rFonts w:ascii="Times New Roman" w:hAnsi="Times New Roman"/>
                <w:b/>
                <w:bCs/>
                <w:noProof/>
                <w:lang w:val="en-IE"/>
              </w:rPr>
              <w:t>5.</w:t>
            </w:r>
            <w:r w:rsidR="00A14641">
              <w:rPr>
                <w:rFonts w:cstheme="minorBidi"/>
                <w:noProof/>
                <w:lang w:val="en-IE" w:eastAsia="en-IE"/>
              </w:rPr>
              <w:tab/>
            </w:r>
            <w:r w:rsidR="00A14641" w:rsidRPr="00AF1D9D">
              <w:rPr>
                <w:rStyle w:val="Hyperlink"/>
                <w:rFonts w:ascii="Times New Roman" w:hAnsi="Times New Roman"/>
                <w:b/>
                <w:bCs/>
                <w:noProof/>
                <w:lang w:val="en-IE"/>
              </w:rPr>
              <w:t>Results</w:t>
            </w:r>
            <w:r w:rsidR="00A14641">
              <w:rPr>
                <w:noProof/>
                <w:webHidden/>
              </w:rPr>
              <w:tab/>
            </w:r>
            <w:r w:rsidR="00A14641">
              <w:rPr>
                <w:noProof/>
                <w:webHidden/>
              </w:rPr>
              <w:fldChar w:fldCharType="begin"/>
            </w:r>
            <w:r w:rsidR="00A14641">
              <w:rPr>
                <w:noProof/>
                <w:webHidden/>
              </w:rPr>
              <w:instrText xml:space="preserve"> PAGEREF _Toc69198806 \h </w:instrText>
            </w:r>
            <w:r w:rsidR="00A14641">
              <w:rPr>
                <w:noProof/>
                <w:webHidden/>
              </w:rPr>
            </w:r>
            <w:r w:rsidR="00A14641">
              <w:rPr>
                <w:noProof/>
                <w:webHidden/>
              </w:rPr>
              <w:fldChar w:fldCharType="separate"/>
            </w:r>
            <w:r w:rsidR="00A55DF4">
              <w:rPr>
                <w:noProof/>
                <w:webHidden/>
              </w:rPr>
              <w:t>36</w:t>
            </w:r>
            <w:r w:rsidR="00A14641">
              <w:rPr>
                <w:noProof/>
                <w:webHidden/>
              </w:rPr>
              <w:fldChar w:fldCharType="end"/>
            </w:r>
          </w:hyperlink>
        </w:p>
        <w:p w14:paraId="50D72C11" w14:textId="7685EED8" w:rsidR="00A14641" w:rsidRDefault="006822E7">
          <w:pPr>
            <w:pStyle w:val="TOC1"/>
            <w:tabs>
              <w:tab w:val="left" w:pos="660"/>
              <w:tab w:val="right" w:leader="dot" w:pos="9350"/>
            </w:tabs>
            <w:rPr>
              <w:rFonts w:cstheme="minorBidi"/>
              <w:noProof/>
              <w:lang w:val="en-IE" w:eastAsia="en-IE"/>
            </w:rPr>
          </w:pPr>
          <w:hyperlink w:anchor="_Toc69198807" w:history="1">
            <w:r w:rsidR="00A14641" w:rsidRPr="00AF1D9D">
              <w:rPr>
                <w:rStyle w:val="Hyperlink"/>
                <w:rFonts w:ascii="Times New Roman" w:hAnsi="Times New Roman"/>
                <w:b/>
                <w:bCs/>
                <w:noProof/>
                <w:lang w:val="en-IE"/>
              </w:rPr>
              <w:t>5.1.</w:t>
            </w:r>
            <w:r w:rsidR="00A14641">
              <w:rPr>
                <w:rFonts w:cstheme="minorBidi"/>
                <w:noProof/>
                <w:lang w:val="en-IE" w:eastAsia="en-IE"/>
              </w:rPr>
              <w:tab/>
            </w:r>
            <w:r w:rsidR="00A14641" w:rsidRPr="00AF1D9D">
              <w:rPr>
                <w:rStyle w:val="Hyperlink"/>
                <w:rFonts w:ascii="Times New Roman" w:hAnsi="Times New Roman"/>
                <w:b/>
                <w:bCs/>
                <w:noProof/>
                <w:lang w:val="en-IE"/>
              </w:rPr>
              <w:t>Intensive Margin</w:t>
            </w:r>
            <w:r w:rsidR="00A14641">
              <w:rPr>
                <w:noProof/>
                <w:webHidden/>
              </w:rPr>
              <w:tab/>
            </w:r>
            <w:r w:rsidR="00A14641">
              <w:rPr>
                <w:noProof/>
                <w:webHidden/>
              </w:rPr>
              <w:fldChar w:fldCharType="begin"/>
            </w:r>
            <w:r w:rsidR="00A14641">
              <w:rPr>
                <w:noProof/>
                <w:webHidden/>
              </w:rPr>
              <w:instrText xml:space="preserve"> PAGEREF _Toc69198807 \h </w:instrText>
            </w:r>
            <w:r w:rsidR="00A14641">
              <w:rPr>
                <w:noProof/>
                <w:webHidden/>
              </w:rPr>
            </w:r>
            <w:r w:rsidR="00A14641">
              <w:rPr>
                <w:noProof/>
                <w:webHidden/>
              </w:rPr>
              <w:fldChar w:fldCharType="separate"/>
            </w:r>
            <w:r w:rsidR="00A55DF4">
              <w:rPr>
                <w:noProof/>
                <w:webHidden/>
              </w:rPr>
              <w:t>37</w:t>
            </w:r>
            <w:r w:rsidR="00A14641">
              <w:rPr>
                <w:noProof/>
                <w:webHidden/>
              </w:rPr>
              <w:fldChar w:fldCharType="end"/>
            </w:r>
          </w:hyperlink>
        </w:p>
        <w:p w14:paraId="69C2617D" w14:textId="349F6868" w:rsidR="00A14641" w:rsidRDefault="006822E7">
          <w:pPr>
            <w:pStyle w:val="TOC1"/>
            <w:tabs>
              <w:tab w:val="left" w:pos="660"/>
              <w:tab w:val="right" w:leader="dot" w:pos="9350"/>
            </w:tabs>
            <w:rPr>
              <w:rFonts w:cstheme="minorBidi"/>
              <w:noProof/>
              <w:lang w:val="en-IE" w:eastAsia="en-IE"/>
            </w:rPr>
          </w:pPr>
          <w:hyperlink w:anchor="_Toc69198808" w:history="1">
            <w:r w:rsidR="00A14641" w:rsidRPr="00AF1D9D">
              <w:rPr>
                <w:rStyle w:val="Hyperlink"/>
                <w:rFonts w:ascii="Times New Roman" w:hAnsi="Times New Roman"/>
                <w:b/>
                <w:bCs/>
                <w:noProof/>
                <w:lang w:val="en-IE"/>
              </w:rPr>
              <w:t>5.2.</w:t>
            </w:r>
            <w:r w:rsidR="00A14641">
              <w:rPr>
                <w:rFonts w:cstheme="minorBidi"/>
                <w:noProof/>
                <w:lang w:val="en-IE" w:eastAsia="en-IE"/>
              </w:rPr>
              <w:tab/>
            </w:r>
            <w:r w:rsidR="00A14641" w:rsidRPr="00AF1D9D">
              <w:rPr>
                <w:rStyle w:val="Hyperlink"/>
                <w:rFonts w:ascii="Times New Roman" w:hAnsi="Times New Roman"/>
                <w:b/>
                <w:bCs/>
                <w:noProof/>
                <w:lang w:val="en-IE"/>
              </w:rPr>
              <w:t>Extensive Margin</w:t>
            </w:r>
            <w:r w:rsidR="00A14641">
              <w:rPr>
                <w:noProof/>
                <w:webHidden/>
              </w:rPr>
              <w:tab/>
            </w:r>
            <w:r w:rsidR="00A14641">
              <w:rPr>
                <w:noProof/>
                <w:webHidden/>
              </w:rPr>
              <w:fldChar w:fldCharType="begin"/>
            </w:r>
            <w:r w:rsidR="00A14641">
              <w:rPr>
                <w:noProof/>
                <w:webHidden/>
              </w:rPr>
              <w:instrText xml:space="preserve"> PAGEREF _Toc69198808 \h </w:instrText>
            </w:r>
            <w:r w:rsidR="00A14641">
              <w:rPr>
                <w:noProof/>
                <w:webHidden/>
              </w:rPr>
            </w:r>
            <w:r w:rsidR="00A14641">
              <w:rPr>
                <w:noProof/>
                <w:webHidden/>
              </w:rPr>
              <w:fldChar w:fldCharType="separate"/>
            </w:r>
            <w:r w:rsidR="00A55DF4">
              <w:rPr>
                <w:noProof/>
                <w:webHidden/>
              </w:rPr>
              <w:t>43</w:t>
            </w:r>
            <w:r w:rsidR="00A14641">
              <w:rPr>
                <w:noProof/>
                <w:webHidden/>
              </w:rPr>
              <w:fldChar w:fldCharType="end"/>
            </w:r>
          </w:hyperlink>
        </w:p>
        <w:p w14:paraId="6122E607" w14:textId="45C9C199" w:rsidR="00A14641" w:rsidRDefault="006822E7">
          <w:pPr>
            <w:pStyle w:val="TOC1"/>
            <w:tabs>
              <w:tab w:val="left" w:pos="440"/>
              <w:tab w:val="right" w:leader="dot" w:pos="9350"/>
            </w:tabs>
            <w:rPr>
              <w:rFonts w:cstheme="minorBidi"/>
              <w:noProof/>
              <w:lang w:val="en-IE" w:eastAsia="en-IE"/>
            </w:rPr>
          </w:pPr>
          <w:hyperlink w:anchor="_Toc69198809" w:history="1">
            <w:r w:rsidR="00A14641" w:rsidRPr="00AF1D9D">
              <w:rPr>
                <w:rStyle w:val="Hyperlink"/>
                <w:rFonts w:ascii="Times New Roman" w:hAnsi="Times New Roman"/>
                <w:b/>
                <w:bCs/>
                <w:noProof/>
                <w:lang w:val="en-IE"/>
              </w:rPr>
              <w:t>6.</w:t>
            </w:r>
            <w:r w:rsidR="00A14641">
              <w:rPr>
                <w:rFonts w:cstheme="minorBidi"/>
                <w:noProof/>
                <w:lang w:val="en-IE" w:eastAsia="en-IE"/>
              </w:rPr>
              <w:tab/>
            </w:r>
            <w:r w:rsidR="00A14641" w:rsidRPr="00AF1D9D">
              <w:rPr>
                <w:rStyle w:val="Hyperlink"/>
                <w:rFonts w:ascii="Times New Roman" w:hAnsi="Times New Roman"/>
                <w:b/>
                <w:bCs/>
                <w:noProof/>
                <w:lang w:val="en-IE"/>
              </w:rPr>
              <w:t>Conclusions</w:t>
            </w:r>
            <w:r w:rsidR="00A14641">
              <w:rPr>
                <w:noProof/>
                <w:webHidden/>
              </w:rPr>
              <w:tab/>
            </w:r>
            <w:r w:rsidR="00A14641">
              <w:rPr>
                <w:noProof/>
                <w:webHidden/>
              </w:rPr>
              <w:fldChar w:fldCharType="begin"/>
            </w:r>
            <w:r w:rsidR="00A14641">
              <w:rPr>
                <w:noProof/>
                <w:webHidden/>
              </w:rPr>
              <w:instrText xml:space="preserve"> PAGEREF _Toc69198809 \h </w:instrText>
            </w:r>
            <w:r w:rsidR="00A14641">
              <w:rPr>
                <w:noProof/>
                <w:webHidden/>
              </w:rPr>
            </w:r>
            <w:r w:rsidR="00A14641">
              <w:rPr>
                <w:noProof/>
                <w:webHidden/>
              </w:rPr>
              <w:fldChar w:fldCharType="separate"/>
            </w:r>
            <w:r w:rsidR="00A55DF4">
              <w:rPr>
                <w:noProof/>
                <w:webHidden/>
              </w:rPr>
              <w:t>46</w:t>
            </w:r>
            <w:r w:rsidR="00A14641">
              <w:rPr>
                <w:noProof/>
                <w:webHidden/>
              </w:rPr>
              <w:fldChar w:fldCharType="end"/>
            </w:r>
          </w:hyperlink>
        </w:p>
        <w:p w14:paraId="12DF90C8" w14:textId="0449B7E2" w:rsidR="00A14641" w:rsidRDefault="006822E7">
          <w:pPr>
            <w:pStyle w:val="TOC1"/>
            <w:tabs>
              <w:tab w:val="right" w:leader="dot" w:pos="9350"/>
            </w:tabs>
            <w:rPr>
              <w:rFonts w:cstheme="minorBidi"/>
              <w:noProof/>
              <w:lang w:val="en-IE" w:eastAsia="en-IE"/>
            </w:rPr>
          </w:pPr>
          <w:hyperlink w:anchor="_Toc69198810" w:history="1">
            <w:r w:rsidR="00A14641" w:rsidRPr="00AF1D9D">
              <w:rPr>
                <w:rStyle w:val="Hyperlink"/>
                <w:rFonts w:ascii="Times New Roman" w:hAnsi="Times New Roman"/>
                <w:noProof/>
                <w:lang w:val="en-IE"/>
              </w:rPr>
              <w:t>Bibliography</w:t>
            </w:r>
            <w:r w:rsidR="00A14641">
              <w:rPr>
                <w:noProof/>
                <w:webHidden/>
              </w:rPr>
              <w:tab/>
            </w:r>
            <w:r w:rsidR="00A14641">
              <w:rPr>
                <w:noProof/>
                <w:webHidden/>
              </w:rPr>
              <w:fldChar w:fldCharType="begin"/>
            </w:r>
            <w:r w:rsidR="00A14641">
              <w:rPr>
                <w:noProof/>
                <w:webHidden/>
              </w:rPr>
              <w:instrText xml:space="preserve"> PAGEREF _Toc69198810 \h </w:instrText>
            </w:r>
            <w:r w:rsidR="00A14641">
              <w:rPr>
                <w:noProof/>
                <w:webHidden/>
              </w:rPr>
            </w:r>
            <w:r w:rsidR="00A14641">
              <w:rPr>
                <w:noProof/>
                <w:webHidden/>
              </w:rPr>
              <w:fldChar w:fldCharType="separate"/>
            </w:r>
            <w:r w:rsidR="00A55DF4">
              <w:rPr>
                <w:noProof/>
                <w:webHidden/>
              </w:rPr>
              <w:t>48</w:t>
            </w:r>
            <w:r w:rsidR="00A14641">
              <w:rPr>
                <w:noProof/>
                <w:webHidden/>
              </w:rPr>
              <w:fldChar w:fldCharType="end"/>
            </w:r>
          </w:hyperlink>
        </w:p>
        <w:p w14:paraId="25C21443" w14:textId="3A32DD0C" w:rsidR="00A14641" w:rsidRDefault="006822E7">
          <w:pPr>
            <w:pStyle w:val="TOC1"/>
            <w:tabs>
              <w:tab w:val="right" w:leader="dot" w:pos="9350"/>
            </w:tabs>
            <w:rPr>
              <w:rFonts w:cstheme="minorBidi"/>
              <w:noProof/>
              <w:lang w:val="en-IE" w:eastAsia="en-IE"/>
            </w:rPr>
          </w:pPr>
          <w:hyperlink w:anchor="_Toc69198811" w:history="1">
            <w:r w:rsidR="00A14641" w:rsidRPr="00AF1D9D">
              <w:rPr>
                <w:rStyle w:val="Hyperlink"/>
                <w:rFonts w:ascii="Times New Roman" w:hAnsi="Times New Roman"/>
                <w:noProof/>
                <w:lang w:val="en-IE"/>
              </w:rPr>
              <w:t>Appendix</w:t>
            </w:r>
            <w:r w:rsidR="00A14641">
              <w:rPr>
                <w:noProof/>
                <w:webHidden/>
              </w:rPr>
              <w:tab/>
            </w:r>
            <w:r w:rsidR="00A14641">
              <w:rPr>
                <w:noProof/>
                <w:webHidden/>
              </w:rPr>
              <w:fldChar w:fldCharType="begin"/>
            </w:r>
            <w:r w:rsidR="00A14641">
              <w:rPr>
                <w:noProof/>
                <w:webHidden/>
              </w:rPr>
              <w:instrText xml:space="preserve"> PAGEREF _Toc69198811 \h </w:instrText>
            </w:r>
            <w:r w:rsidR="00A14641">
              <w:rPr>
                <w:noProof/>
                <w:webHidden/>
              </w:rPr>
            </w:r>
            <w:r w:rsidR="00A14641">
              <w:rPr>
                <w:noProof/>
                <w:webHidden/>
              </w:rPr>
              <w:fldChar w:fldCharType="separate"/>
            </w:r>
            <w:r w:rsidR="00A55DF4">
              <w:rPr>
                <w:noProof/>
                <w:webHidden/>
              </w:rPr>
              <w:t>52</w:t>
            </w:r>
            <w:r w:rsidR="00A14641">
              <w:rPr>
                <w:noProof/>
                <w:webHidden/>
              </w:rPr>
              <w:fldChar w:fldCharType="end"/>
            </w:r>
          </w:hyperlink>
        </w:p>
        <w:p w14:paraId="79F9B939" w14:textId="21900C62" w:rsidR="00F36D55" w:rsidRDefault="00F36D55">
          <w:r>
            <w:rPr>
              <w:b/>
              <w:bCs/>
              <w:noProof/>
            </w:rPr>
            <w:fldChar w:fldCharType="end"/>
          </w:r>
        </w:p>
      </w:sdtContent>
    </w:sdt>
    <w:p w14:paraId="1A3342FD" w14:textId="77777777" w:rsidR="00772CFF" w:rsidRDefault="00772CFF">
      <w:pPr>
        <w:rPr>
          <w:rFonts w:ascii="Times New Roman" w:hAnsi="Times New Roman" w:cs="Times New Roman"/>
          <w:lang w:val="en-IE"/>
        </w:rPr>
      </w:pPr>
      <w:r>
        <w:rPr>
          <w:rFonts w:ascii="Times New Roman" w:hAnsi="Times New Roman" w:cs="Times New Roman"/>
          <w:lang w:val="en-IE"/>
        </w:rPr>
        <w:br w:type="page"/>
      </w:r>
    </w:p>
    <w:p w14:paraId="28ED2E07" w14:textId="7DBA2EBA" w:rsidR="00E60F98" w:rsidRPr="00227EF0" w:rsidRDefault="00772CFF" w:rsidP="00227EF0">
      <w:pPr>
        <w:pStyle w:val="Heading1"/>
        <w:spacing w:after="240" w:line="276" w:lineRule="auto"/>
        <w:jc w:val="both"/>
        <w:rPr>
          <w:rFonts w:ascii="Times New Roman" w:hAnsi="Times New Roman" w:cs="Times New Roman"/>
          <w:b/>
          <w:bCs/>
          <w:color w:val="0070C0"/>
          <w:lang w:val="en-IE"/>
        </w:rPr>
      </w:pPr>
      <w:bookmarkStart w:id="3" w:name="_Toc69198793"/>
      <w:r w:rsidRPr="00227EF0">
        <w:rPr>
          <w:rFonts w:ascii="Times New Roman" w:hAnsi="Times New Roman" w:cs="Times New Roman"/>
          <w:b/>
          <w:bCs/>
          <w:color w:val="0070C0"/>
          <w:lang w:val="en-IE"/>
        </w:rPr>
        <w:lastRenderedPageBreak/>
        <w:t>List of Tables</w:t>
      </w:r>
      <w:bookmarkEnd w:id="3"/>
    </w:p>
    <w:p w14:paraId="5C127E46" w14:textId="312EED26" w:rsidR="004734BD" w:rsidRDefault="008D37C3" w:rsidP="007840DC">
      <w:pPr>
        <w:spacing w:line="276" w:lineRule="auto"/>
        <w:rPr>
          <w:rFonts w:ascii="Times New Roman" w:hAnsi="Times New Roman" w:cs="Times New Roman"/>
          <w:lang w:val="en-IE"/>
        </w:rPr>
      </w:pPr>
      <w:r w:rsidRPr="00852BEE">
        <w:rPr>
          <w:rFonts w:ascii="Times New Roman" w:hAnsi="Times New Roman" w:cs="Times New Roman"/>
          <w:b/>
          <w:bCs/>
          <w:lang w:val="en-IE"/>
        </w:rPr>
        <w:t>Table 1:</w:t>
      </w:r>
      <w:r w:rsidRPr="008D37C3">
        <w:rPr>
          <w:rFonts w:ascii="Times New Roman" w:hAnsi="Times New Roman" w:cs="Times New Roman"/>
          <w:lang w:val="en-IE"/>
        </w:rPr>
        <w:t xml:space="preserve"> Summary and descriptions of dependent and independent variables</w:t>
      </w:r>
      <w:r w:rsidR="007E1221">
        <w:rPr>
          <w:rFonts w:ascii="Times New Roman" w:hAnsi="Times New Roman" w:cs="Times New Roman"/>
          <w:lang w:val="en-IE"/>
        </w:rPr>
        <w:t>…………………………</w:t>
      </w:r>
      <w:r w:rsidR="00793766">
        <w:rPr>
          <w:rFonts w:ascii="Times New Roman" w:hAnsi="Times New Roman" w:cs="Times New Roman"/>
          <w:lang w:val="en-IE"/>
        </w:rPr>
        <w:t>...</w:t>
      </w:r>
      <w:r w:rsidR="00D72C11">
        <w:rPr>
          <w:rFonts w:ascii="Times New Roman" w:hAnsi="Times New Roman" w:cs="Times New Roman"/>
          <w:lang w:val="en-IE"/>
        </w:rPr>
        <w:t>2</w:t>
      </w:r>
      <w:r w:rsidR="00540D80">
        <w:rPr>
          <w:rFonts w:ascii="Times New Roman" w:hAnsi="Times New Roman" w:cs="Times New Roman"/>
          <w:lang w:val="en-IE"/>
        </w:rPr>
        <w:t>4</w:t>
      </w:r>
    </w:p>
    <w:p w14:paraId="4FBE6908" w14:textId="205154AD" w:rsidR="00793766" w:rsidRDefault="004734BD" w:rsidP="007840DC">
      <w:pPr>
        <w:spacing w:line="276" w:lineRule="auto"/>
        <w:rPr>
          <w:rFonts w:ascii="Times New Roman" w:hAnsi="Times New Roman" w:cs="Times New Roman"/>
          <w:lang w:val="en-IE"/>
        </w:rPr>
      </w:pPr>
      <w:r w:rsidRPr="00852BEE">
        <w:rPr>
          <w:rFonts w:ascii="Times New Roman" w:hAnsi="Times New Roman" w:cs="Times New Roman"/>
          <w:b/>
          <w:bCs/>
          <w:lang w:val="en-IE"/>
        </w:rPr>
        <w:t>Table 2:</w:t>
      </w:r>
      <w:r w:rsidRPr="004734BD">
        <w:rPr>
          <w:rFonts w:ascii="Times New Roman" w:hAnsi="Times New Roman" w:cs="Times New Roman"/>
          <w:lang w:val="en-IE"/>
        </w:rPr>
        <w:t xml:space="preserve"> Sectoral characteristics based on 2019 figures</w:t>
      </w:r>
      <w:r w:rsidR="00486C38">
        <w:rPr>
          <w:rFonts w:ascii="Times New Roman" w:hAnsi="Times New Roman" w:cs="Times New Roman"/>
          <w:lang w:val="en-IE"/>
        </w:rPr>
        <w:t>………</w:t>
      </w:r>
      <w:r w:rsidR="00D72C11">
        <w:rPr>
          <w:rFonts w:ascii="Times New Roman" w:hAnsi="Times New Roman" w:cs="Times New Roman"/>
          <w:lang w:val="en-IE"/>
        </w:rPr>
        <w:t>…………</w:t>
      </w:r>
      <w:r w:rsidR="00486C38">
        <w:rPr>
          <w:rFonts w:ascii="Times New Roman" w:hAnsi="Times New Roman" w:cs="Times New Roman"/>
          <w:lang w:val="en-IE"/>
        </w:rPr>
        <w:t>.</w:t>
      </w:r>
      <w:r w:rsidR="00D72C11">
        <w:rPr>
          <w:rFonts w:ascii="Times New Roman" w:hAnsi="Times New Roman" w:cs="Times New Roman"/>
          <w:lang w:val="en-IE"/>
        </w:rPr>
        <w:t>………………</w:t>
      </w:r>
      <w:r w:rsidR="00793766">
        <w:rPr>
          <w:rFonts w:ascii="Times New Roman" w:hAnsi="Times New Roman" w:cs="Times New Roman"/>
          <w:lang w:val="en-IE"/>
        </w:rPr>
        <w:t>………………</w:t>
      </w:r>
      <w:r w:rsidR="00D72C11">
        <w:rPr>
          <w:rFonts w:ascii="Times New Roman" w:hAnsi="Times New Roman" w:cs="Times New Roman"/>
          <w:lang w:val="en-IE"/>
        </w:rPr>
        <w:t>2</w:t>
      </w:r>
      <w:r w:rsidR="00540D80">
        <w:rPr>
          <w:rFonts w:ascii="Times New Roman" w:hAnsi="Times New Roman" w:cs="Times New Roman"/>
          <w:lang w:val="en-IE"/>
        </w:rPr>
        <w:t>5</w:t>
      </w:r>
    </w:p>
    <w:p w14:paraId="3A575E48" w14:textId="315BB02B" w:rsidR="0058159A" w:rsidRDefault="00793766" w:rsidP="007840DC">
      <w:pPr>
        <w:spacing w:line="276" w:lineRule="auto"/>
        <w:rPr>
          <w:rFonts w:ascii="Times New Roman" w:hAnsi="Times New Roman" w:cs="Times New Roman"/>
          <w:lang w:val="en-IE"/>
        </w:rPr>
      </w:pPr>
      <w:r w:rsidRPr="00793766">
        <w:rPr>
          <w:rFonts w:ascii="Times New Roman" w:hAnsi="Times New Roman" w:cs="Times New Roman"/>
          <w:b/>
          <w:bCs/>
          <w:lang w:val="en-IE"/>
        </w:rPr>
        <w:t>Table 3:</w:t>
      </w:r>
      <w:r w:rsidRPr="00793766">
        <w:rPr>
          <w:rFonts w:ascii="Times New Roman" w:hAnsi="Times New Roman" w:cs="Times New Roman"/>
          <w:lang w:val="en-IE"/>
        </w:rPr>
        <w:t xml:space="preserve"> Regression Output – Export Value</w:t>
      </w:r>
      <w:r w:rsidR="0058159A">
        <w:rPr>
          <w:rFonts w:ascii="Times New Roman" w:hAnsi="Times New Roman" w:cs="Times New Roman"/>
          <w:lang w:val="en-IE"/>
        </w:rPr>
        <w:t>……………………………………………………………...3</w:t>
      </w:r>
      <w:r w:rsidR="00540D80">
        <w:rPr>
          <w:rFonts w:ascii="Times New Roman" w:hAnsi="Times New Roman" w:cs="Times New Roman"/>
          <w:lang w:val="en-IE"/>
        </w:rPr>
        <w:t>6</w:t>
      </w:r>
    </w:p>
    <w:p w14:paraId="05DD2EB7" w14:textId="1074EC70" w:rsidR="00E60F98" w:rsidRDefault="0058159A" w:rsidP="007840DC">
      <w:pPr>
        <w:spacing w:line="276" w:lineRule="auto"/>
        <w:rPr>
          <w:rFonts w:ascii="Times New Roman" w:hAnsi="Times New Roman" w:cs="Times New Roman"/>
          <w:lang w:val="en-IE"/>
        </w:rPr>
      </w:pPr>
      <w:r w:rsidRPr="0058159A">
        <w:rPr>
          <w:rFonts w:ascii="Times New Roman" w:hAnsi="Times New Roman" w:cs="Times New Roman"/>
          <w:b/>
          <w:bCs/>
          <w:lang w:val="en-IE"/>
        </w:rPr>
        <w:t>Table 4:</w:t>
      </w:r>
      <w:r w:rsidRPr="0058159A">
        <w:rPr>
          <w:rFonts w:ascii="Times New Roman" w:hAnsi="Times New Roman" w:cs="Times New Roman"/>
          <w:lang w:val="en-IE"/>
        </w:rPr>
        <w:t xml:space="preserve"> Regression Output – Number of Export Markets</w:t>
      </w:r>
      <w:r w:rsidR="00E60F98">
        <w:rPr>
          <w:rFonts w:ascii="Times New Roman" w:hAnsi="Times New Roman" w:cs="Times New Roman"/>
          <w:lang w:val="en-IE"/>
        </w:rPr>
        <w:t>……………………………………………….4</w:t>
      </w:r>
      <w:r w:rsidR="00540D80">
        <w:rPr>
          <w:rFonts w:ascii="Times New Roman" w:hAnsi="Times New Roman" w:cs="Times New Roman"/>
          <w:lang w:val="en-IE"/>
        </w:rPr>
        <w:t>2</w:t>
      </w:r>
    </w:p>
    <w:p w14:paraId="27CF6937" w14:textId="77777777" w:rsidR="00E60F98" w:rsidRDefault="00E60F98" w:rsidP="007840DC">
      <w:pPr>
        <w:spacing w:line="276" w:lineRule="auto"/>
        <w:rPr>
          <w:rFonts w:ascii="Times New Roman" w:hAnsi="Times New Roman" w:cs="Times New Roman"/>
          <w:lang w:val="en-IE"/>
        </w:rPr>
      </w:pPr>
    </w:p>
    <w:p w14:paraId="4CC37447" w14:textId="08E48F8E" w:rsidR="00E60F98" w:rsidRPr="00227EF0" w:rsidRDefault="00766AD7" w:rsidP="00227EF0">
      <w:pPr>
        <w:pStyle w:val="Heading1"/>
        <w:spacing w:after="240" w:line="276" w:lineRule="auto"/>
        <w:jc w:val="both"/>
        <w:rPr>
          <w:rFonts w:ascii="Times New Roman" w:hAnsi="Times New Roman" w:cs="Times New Roman"/>
          <w:b/>
          <w:bCs/>
          <w:color w:val="0070C0"/>
          <w:lang w:val="en-IE"/>
        </w:rPr>
      </w:pPr>
      <w:bookmarkStart w:id="4" w:name="_Toc69198794"/>
      <w:r w:rsidRPr="00227EF0">
        <w:rPr>
          <w:rFonts w:ascii="Times New Roman" w:hAnsi="Times New Roman" w:cs="Times New Roman"/>
          <w:b/>
          <w:bCs/>
          <w:color w:val="0070C0"/>
          <w:lang w:val="en-IE"/>
        </w:rPr>
        <w:t>List of Figures</w:t>
      </w:r>
      <w:bookmarkEnd w:id="4"/>
    </w:p>
    <w:p w14:paraId="4A408A03" w14:textId="299619C6" w:rsidR="00A917DD" w:rsidRDefault="00CE535D" w:rsidP="007840DC">
      <w:pPr>
        <w:spacing w:line="276" w:lineRule="auto"/>
        <w:rPr>
          <w:rFonts w:ascii="Times New Roman" w:hAnsi="Times New Roman" w:cs="Times New Roman"/>
          <w:lang w:val="en-IE"/>
        </w:rPr>
      </w:pPr>
      <w:r w:rsidRPr="00C73908">
        <w:rPr>
          <w:rFonts w:ascii="Times New Roman" w:hAnsi="Times New Roman" w:cs="Times New Roman"/>
          <w:b/>
          <w:bCs/>
        </w:rPr>
        <w:t>Figure</w:t>
      </w:r>
      <w:r w:rsidR="007840DC">
        <w:rPr>
          <w:rFonts w:ascii="Times New Roman" w:hAnsi="Times New Roman" w:cs="Times New Roman"/>
          <w:b/>
          <w:bCs/>
        </w:rPr>
        <w:t xml:space="preserve"> 1</w:t>
      </w:r>
      <w:r w:rsidRPr="00C73908">
        <w:rPr>
          <w:rFonts w:ascii="Times New Roman" w:hAnsi="Times New Roman" w:cs="Times New Roman"/>
          <w:b/>
          <w:bCs/>
        </w:rPr>
        <w:t xml:space="preserve">: </w:t>
      </w:r>
      <w:r w:rsidRPr="00CE535D">
        <w:rPr>
          <w:rFonts w:ascii="Times New Roman" w:hAnsi="Times New Roman" w:cs="Times New Roman"/>
        </w:rPr>
        <w:t>Sector trends in average exports from 2010-19</w:t>
      </w:r>
      <w:r w:rsidR="00A917DD">
        <w:rPr>
          <w:rFonts w:ascii="Times New Roman" w:hAnsi="Times New Roman" w:cs="Times New Roman"/>
          <w:lang w:val="en-IE"/>
        </w:rPr>
        <w:t>………………………………………………...2</w:t>
      </w:r>
      <w:r w:rsidR="00540D80">
        <w:rPr>
          <w:rFonts w:ascii="Times New Roman" w:hAnsi="Times New Roman" w:cs="Times New Roman"/>
          <w:lang w:val="en-IE"/>
        </w:rPr>
        <w:t>6</w:t>
      </w:r>
    </w:p>
    <w:p w14:paraId="06BE18CF" w14:textId="6461EF00" w:rsidR="00A11074" w:rsidRDefault="00C05115" w:rsidP="007840DC">
      <w:pPr>
        <w:spacing w:line="276" w:lineRule="auto"/>
        <w:rPr>
          <w:rFonts w:ascii="Times New Roman" w:hAnsi="Times New Roman" w:cs="Times New Roman"/>
          <w:lang w:val="en-IE"/>
        </w:rPr>
      </w:pPr>
      <w:r w:rsidRPr="00C05115">
        <w:rPr>
          <w:rFonts w:ascii="Times New Roman" w:hAnsi="Times New Roman" w:cs="Times New Roman"/>
          <w:b/>
          <w:bCs/>
          <w:lang w:val="en-IE"/>
        </w:rPr>
        <w:t>Figure 2:</w:t>
      </w:r>
      <w:r w:rsidRPr="00C05115">
        <w:rPr>
          <w:rFonts w:ascii="Times New Roman" w:hAnsi="Times New Roman" w:cs="Times New Roman"/>
          <w:lang w:val="en-IE"/>
        </w:rPr>
        <w:t xml:space="preserve"> Sector trends in median R&amp;D intensities 2010-19</w:t>
      </w:r>
      <w:r>
        <w:rPr>
          <w:rFonts w:ascii="Times New Roman" w:hAnsi="Times New Roman" w:cs="Times New Roman"/>
          <w:lang w:val="en-IE"/>
        </w:rPr>
        <w:t>……………………………</w:t>
      </w:r>
      <w:r w:rsidR="007B5367">
        <w:rPr>
          <w:rFonts w:ascii="Times New Roman" w:hAnsi="Times New Roman" w:cs="Times New Roman"/>
          <w:lang w:val="en-IE"/>
        </w:rPr>
        <w:t>...</w:t>
      </w:r>
      <w:r>
        <w:rPr>
          <w:rFonts w:ascii="Times New Roman" w:hAnsi="Times New Roman" w:cs="Times New Roman"/>
          <w:lang w:val="en-IE"/>
        </w:rPr>
        <w:t>……………...2</w:t>
      </w:r>
      <w:r w:rsidR="00540D80">
        <w:rPr>
          <w:rFonts w:ascii="Times New Roman" w:hAnsi="Times New Roman" w:cs="Times New Roman"/>
          <w:lang w:val="en-IE"/>
        </w:rPr>
        <w:t>8</w:t>
      </w:r>
    </w:p>
    <w:p w14:paraId="648D3C6E" w14:textId="48766DFB" w:rsidR="00352A27" w:rsidRDefault="00A11074" w:rsidP="007840DC">
      <w:pPr>
        <w:spacing w:line="276" w:lineRule="auto"/>
        <w:rPr>
          <w:rFonts w:ascii="Times New Roman" w:hAnsi="Times New Roman" w:cs="Times New Roman"/>
          <w:lang w:val="en-IE"/>
        </w:rPr>
      </w:pPr>
      <w:r w:rsidRPr="00A11074">
        <w:rPr>
          <w:rFonts w:ascii="Times New Roman" w:hAnsi="Times New Roman" w:cs="Times New Roman"/>
          <w:b/>
          <w:bCs/>
          <w:lang w:val="en-IE"/>
        </w:rPr>
        <w:t>Figure 3:</w:t>
      </w:r>
      <w:r w:rsidRPr="00A11074">
        <w:rPr>
          <w:rFonts w:ascii="Times New Roman" w:hAnsi="Times New Roman" w:cs="Times New Roman"/>
          <w:lang w:val="en-IE"/>
        </w:rPr>
        <w:t xml:space="preserve"> Sector trends in average sales from new products 2010-19</w:t>
      </w:r>
      <w:r>
        <w:rPr>
          <w:rFonts w:ascii="Times New Roman" w:hAnsi="Times New Roman" w:cs="Times New Roman"/>
          <w:lang w:val="en-IE"/>
        </w:rPr>
        <w:t>……………………...…………….</w:t>
      </w:r>
      <w:r w:rsidR="00E85AA3">
        <w:rPr>
          <w:rFonts w:ascii="Times New Roman" w:hAnsi="Times New Roman" w:cs="Times New Roman"/>
          <w:lang w:val="en-IE"/>
        </w:rPr>
        <w:t>2</w:t>
      </w:r>
      <w:r w:rsidR="00540D80">
        <w:rPr>
          <w:rFonts w:ascii="Times New Roman" w:hAnsi="Times New Roman" w:cs="Times New Roman"/>
          <w:lang w:val="en-IE"/>
        </w:rPr>
        <w:t>8</w:t>
      </w:r>
    </w:p>
    <w:p w14:paraId="6132A7CE" w14:textId="139E09D7" w:rsidR="00C72C99" w:rsidRPr="00C73908" w:rsidRDefault="006E4F21" w:rsidP="007840DC">
      <w:pPr>
        <w:spacing w:line="276" w:lineRule="auto"/>
        <w:rPr>
          <w:rFonts w:ascii="Times New Roman" w:hAnsi="Times New Roman" w:cs="Times New Roman"/>
          <w:lang w:val="en-IE"/>
        </w:rPr>
      </w:pPr>
      <w:r w:rsidRPr="006E4F21">
        <w:rPr>
          <w:rFonts w:ascii="Times New Roman" w:hAnsi="Times New Roman" w:cs="Times New Roman"/>
          <w:b/>
          <w:bCs/>
          <w:lang w:val="en-IE"/>
        </w:rPr>
        <w:t xml:space="preserve">Figure 4: </w:t>
      </w:r>
      <w:r w:rsidRPr="006E4F21">
        <w:rPr>
          <w:rFonts w:ascii="Times New Roman" w:hAnsi="Times New Roman" w:cs="Times New Roman"/>
          <w:lang w:val="en-IE"/>
        </w:rPr>
        <w:t>Sector trends in average value added per employee 2010-19</w:t>
      </w:r>
      <w:r>
        <w:rPr>
          <w:rFonts w:ascii="Times New Roman" w:hAnsi="Times New Roman" w:cs="Times New Roman"/>
          <w:lang w:val="en-IE"/>
        </w:rPr>
        <w:t>….</w:t>
      </w:r>
      <w:r w:rsidR="00352A27">
        <w:rPr>
          <w:rFonts w:ascii="Times New Roman" w:hAnsi="Times New Roman" w:cs="Times New Roman"/>
          <w:lang w:val="en-IE"/>
        </w:rPr>
        <w:t>………………...…………….</w:t>
      </w:r>
      <w:r w:rsidR="00540D80">
        <w:rPr>
          <w:rFonts w:ascii="Times New Roman" w:hAnsi="Times New Roman" w:cs="Times New Roman"/>
          <w:lang w:val="en-IE"/>
        </w:rPr>
        <w:t>30</w:t>
      </w:r>
      <w:r w:rsidR="00C72C99" w:rsidRPr="00C73908">
        <w:rPr>
          <w:rFonts w:ascii="Times New Roman" w:hAnsi="Times New Roman" w:cs="Times New Roman"/>
          <w:lang w:val="en-IE"/>
        </w:rPr>
        <w:br w:type="page"/>
      </w:r>
    </w:p>
    <w:p w14:paraId="25CBD405" w14:textId="2CDB8E0E" w:rsidR="002F5941" w:rsidRPr="00C73908" w:rsidRDefault="00787214" w:rsidP="008A6DF2">
      <w:pPr>
        <w:pStyle w:val="Heading1"/>
        <w:numPr>
          <w:ilvl w:val="0"/>
          <w:numId w:val="4"/>
        </w:numPr>
        <w:spacing w:after="240" w:line="360" w:lineRule="auto"/>
        <w:jc w:val="both"/>
        <w:rPr>
          <w:rFonts w:ascii="Times New Roman" w:hAnsi="Times New Roman" w:cs="Times New Roman"/>
          <w:b/>
          <w:bCs/>
          <w:color w:val="0070C0"/>
          <w:lang w:val="en-IE"/>
        </w:rPr>
      </w:pPr>
      <w:bookmarkStart w:id="5" w:name="_Toc67143554"/>
      <w:bookmarkStart w:id="6" w:name="_Toc69198795"/>
      <w:r w:rsidRPr="00C73908">
        <w:rPr>
          <w:rFonts w:ascii="Times New Roman" w:hAnsi="Times New Roman" w:cs="Times New Roman"/>
          <w:b/>
          <w:bCs/>
          <w:color w:val="0070C0"/>
          <w:lang w:val="en-IE"/>
        </w:rPr>
        <w:lastRenderedPageBreak/>
        <w:t>Introduction</w:t>
      </w:r>
      <w:bookmarkEnd w:id="5"/>
      <w:bookmarkEnd w:id="6"/>
    </w:p>
    <w:p w14:paraId="6A5D4B80" w14:textId="4501EB66" w:rsidR="000D52BC" w:rsidRDefault="009A53E8" w:rsidP="009A53E8">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The economic benefits of export</w:t>
      </w:r>
      <w:r w:rsidR="009B7BC6" w:rsidRPr="00C73908">
        <w:rPr>
          <w:rFonts w:ascii="Times New Roman" w:hAnsi="Times New Roman" w:cs="Times New Roman"/>
          <w:lang w:val="en-IE"/>
        </w:rPr>
        <w:t>s</w:t>
      </w:r>
      <w:r w:rsidRPr="00C73908">
        <w:rPr>
          <w:rFonts w:ascii="Times New Roman" w:hAnsi="Times New Roman" w:cs="Times New Roman"/>
          <w:lang w:val="en-IE"/>
        </w:rPr>
        <w:t xml:space="preserve"> are widely </w:t>
      </w:r>
      <w:r w:rsidR="00BE6ED0" w:rsidRPr="00C73908">
        <w:rPr>
          <w:rFonts w:ascii="Times New Roman" w:hAnsi="Times New Roman" w:cs="Times New Roman"/>
          <w:lang w:val="en-IE"/>
        </w:rPr>
        <w:t>acknowledged,</w:t>
      </w:r>
      <w:r w:rsidR="00AC40A9">
        <w:rPr>
          <w:rFonts w:ascii="Times New Roman" w:hAnsi="Times New Roman" w:cs="Times New Roman"/>
          <w:lang w:val="en-IE"/>
        </w:rPr>
        <w:t xml:space="preserve"> </w:t>
      </w:r>
      <w:r w:rsidR="00FB7A9D">
        <w:rPr>
          <w:rFonts w:ascii="Times New Roman" w:hAnsi="Times New Roman" w:cs="Times New Roman"/>
          <w:lang w:val="en-IE"/>
        </w:rPr>
        <w:t xml:space="preserve">and </w:t>
      </w:r>
      <w:r w:rsidR="008718C9">
        <w:rPr>
          <w:rFonts w:ascii="Times New Roman" w:hAnsi="Times New Roman" w:cs="Times New Roman"/>
          <w:lang w:val="en-IE"/>
        </w:rPr>
        <w:t>export growth is</w:t>
      </w:r>
      <w:r w:rsidR="00942E51">
        <w:rPr>
          <w:rFonts w:ascii="Times New Roman" w:hAnsi="Times New Roman" w:cs="Times New Roman"/>
          <w:lang w:val="en-IE"/>
        </w:rPr>
        <w:t xml:space="preserve"> </w:t>
      </w:r>
      <w:r w:rsidR="002173A6">
        <w:rPr>
          <w:rFonts w:ascii="Times New Roman" w:hAnsi="Times New Roman" w:cs="Times New Roman"/>
          <w:lang w:val="en-IE"/>
        </w:rPr>
        <w:t xml:space="preserve">particularly crucial for the economic </w:t>
      </w:r>
      <w:r w:rsidR="00BE1D98">
        <w:rPr>
          <w:rFonts w:ascii="Times New Roman" w:hAnsi="Times New Roman" w:cs="Times New Roman"/>
          <w:lang w:val="en-IE"/>
        </w:rPr>
        <w:t>development</w:t>
      </w:r>
      <w:r w:rsidR="002173A6">
        <w:rPr>
          <w:rFonts w:ascii="Times New Roman" w:hAnsi="Times New Roman" w:cs="Times New Roman"/>
          <w:lang w:val="en-IE"/>
        </w:rPr>
        <w:t xml:space="preserve"> of </w:t>
      </w:r>
      <w:r w:rsidRPr="00C73908">
        <w:rPr>
          <w:rFonts w:ascii="Times New Roman" w:hAnsi="Times New Roman" w:cs="Times New Roman"/>
          <w:lang w:val="en-IE"/>
        </w:rPr>
        <w:t>small</w:t>
      </w:r>
      <w:r w:rsidR="00FB7A9D">
        <w:rPr>
          <w:rFonts w:ascii="Times New Roman" w:hAnsi="Times New Roman" w:cs="Times New Roman"/>
          <w:lang w:val="en-IE"/>
        </w:rPr>
        <w:t>,</w:t>
      </w:r>
      <w:r w:rsidRPr="00C73908">
        <w:rPr>
          <w:rFonts w:ascii="Times New Roman" w:hAnsi="Times New Roman" w:cs="Times New Roman"/>
          <w:lang w:val="en-IE"/>
        </w:rPr>
        <w:t xml:space="preserve"> open economies such as Ireland. At the macro level, export growth injects additional income into the domestic economy and increases aggregate demand which, in turn, leads to employment growth and increased tax revenue.</w:t>
      </w:r>
      <w:r w:rsidR="008972C8">
        <w:rPr>
          <w:rFonts w:ascii="Times New Roman" w:hAnsi="Times New Roman" w:cs="Times New Roman"/>
          <w:lang w:val="en-IE"/>
        </w:rPr>
        <w:t xml:space="preserve"> </w:t>
      </w:r>
      <w:r w:rsidR="00601E6F">
        <w:rPr>
          <w:rFonts w:ascii="Times New Roman" w:hAnsi="Times New Roman" w:cs="Times New Roman"/>
          <w:lang w:val="en-IE"/>
        </w:rPr>
        <w:t>E</w:t>
      </w:r>
      <w:r w:rsidRPr="00C73908">
        <w:rPr>
          <w:rFonts w:ascii="Times New Roman" w:hAnsi="Times New Roman" w:cs="Times New Roman"/>
          <w:lang w:val="en-IE"/>
        </w:rPr>
        <w:t xml:space="preserve">xport growth has been a major driving force in Ireland’s recovery </w:t>
      </w:r>
      <w:r w:rsidR="008937BE">
        <w:rPr>
          <w:rFonts w:ascii="Times New Roman" w:hAnsi="Times New Roman" w:cs="Times New Roman"/>
          <w:lang w:val="en-IE"/>
        </w:rPr>
        <w:t>from</w:t>
      </w:r>
      <w:r w:rsidRPr="00C73908">
        <w:rPr>
          <w:rFonts w:ascii="Times New Roman" w:hAnsi="Times New Roman" w:cs="Times New Roman"/>
          <w:lang w:val="en-IE"/>
        </w:rPr>
        <w:t xml:space="preserve"> the financial crisis </w:t>
      </w:r>
      <w:r w:rsidR="00830E54">
        <w:rPr>
          <w:rFonts w:ascii="Times New Roman" w:hAnsi="Times New Roman" w:cs="Times New Roman"/>
          <w:lang w:val="en-IE"/>
        </w:rPr>
        <w:t>over the past</w:t>
      </w:r>
      <w:r w:rsidRPr="00C73908">
        <w:rPr>
          <w:rFonts w:ascii="Times New Roman" w:hAnsi="Times New Roman" w:cs="Times New Roman"/>
          <w:lang w:val="en-IE"/>
        </w:rPr>
        <w:t xml:space="preserve"> decade</w:t>
      </w:r>
      <w:r w:rsidR="00601E6F">
        <w:rPr>
          <w:rFonts w:ascii="Times New Roman" w:hAnsi="Times New Roman" w:cs="Times New Roman"/>
          <w:lang w:val="en-IE"/>
        </w:rPr>
        <w:t xml:space="preserve"> and </w:t>
      </w:r>
      <w:r w:rsidR="00F910DF">
        <w:rPr>
          <w:rFonts w:ascii="Times New Roman" w:hAnsi="Times New Roman" w:cs="Times New Roman"/>
          <w:lang w:val="en-IE"/>
        </w:rPr>
        <w:t>can play a similar role in the coming years as</w:t>
      </w:r>
      <w:r w:rsidR="002632B8">
        <w:rPr>
          <w:rFonts w:ascii="Times New Roman" w:hAnsi="Times New Roman" w:cs="Times New Roman"/>
          <w:lang w:val="en-IE"/>
        </w:rPr>
        <w:t xml:space="preserve"> </w:t>
      </w:r>
      <w:r w:rsidR="00F910DF">
        <w:rPr>
          <w:rFonts w:ascii="Times New Roman" w:hAnsi="Times New Roman" w:cs="Times New Roman"/>
          <w:lang w:val="en-IE"/>
        </w:rPr>
        <w:t xml:space="preserve">the global economy </w:t>
      </w:r>
      <w:r w:rsidR="002D4617">
        <w:rPr>
          <w:rFonts w:ascii="Times New Roman" w:hAnsi="Times New Roman" w:cs="Times New Roman"/>
          <w:lang w:val="en-IE"/>
        </w:rPr>
        <w:t xml:space="preserve">begins to </w:t>
      </w:r>
      <w:r w:rsidR="00107F22">
        <w:rPr>
          <w:rFonts w:ascii="Times New Roman" w:hAnsi="Times New Roman" w:cs="Times New Roman"/>
          <w:lang w:val="en-IE"/>
        </w:rPr>
        <w:t xml:space="preserve">recover from the </w:t>
      </w:r>
      <w:r w:rsidR="00342C70" w:rsidRPr="00C73908">
        <w:rPr>
          <w:rFonts w:ascii="Times New Roman" w:hAnsi="Times New Roman" w:cs="Times New Roman"/>
          <w:lang w:val="en-IE"/>
        </w:rPr>
        <w:t xml:space="preserve">economic </w:t>
      </w:r>
      <w:r w:rsidR="00107F22">
        <w:rPr>
          <w:rFonts w:ascii="Times New Roman" w:hAnsi="Times New Roman" w:cs="Times New Roman"/>
          <w:lang w:val="en-IE"/>
        </w:rPr>
        <w:t xml:space="preserve">damage </w:t>
      </w:r>
      <w:r w:rsidR="00CA238B">
        <w:rPr>
          <w:rFonts w:ascii="Times New Roman" w:hAnsi="Times New Roman" w:cs="Times New Roman"/>
          <w:lang w:val="en-IE"/>
        </w:rPr>
        <w:t>caused</w:t>
      </w:r>
      <w:r w:rsidR="00107F22">
        <w:rPr>
          <w:rFonts w:ascii="Times New Roman" w:hAnsi="Times New Roman" w:cs="Times New Roman"/>
          <w:lang w:val="en-IE"/>
        </w:rPr>
        <w:t xml:space="preserve"> by the Covid-19 pandemic</w:t>
      </w:r>
      <w:r w:rsidRPr="00C73908">
        <w:rPr>
          <w:rFonts w:ascii="Times New Roman" w:hAnsi="Times New Roman" w:cs="Times New Roman"/>
          <w:lang w:val="en-IE"/>
        </w:rPr>
        <w:t xml:space="preserve">. At the firm level, exporting provides companies with access to larger end markets for their products and services, allows them to exploit economies of scale and fosters technological innovation in response to greater competition from abroad. </w:t>
      </w:r>
    </w:p>
    <w:p w14:paraId="219954BF" w14:textId="718BEE48" w:rsidR="009A53E8" w:rsidRPr="00C73908" w:rsidRDefault="009A53E8" w:rsidP="009A53E8">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Irish industrial policy has, therefore, focused heavily on growing exports</w:t>
      </w:r>
      <w:r w:rsidR="00376147" w:rsidRPr="00C73908">
        <w:rPr>
          <w:rFonts w:ascii="Times New Roman" w:hAnsi="Times New Roman" w:cs="Times New Roman"/>
          <w:lang w:val="en-IE"/>
        </w:rPr>
        <w:t xml:space="preserve"> mainly</w:t>
      </w:r>
      <w:r w:rsidR="0080271D" w:rsidRPr="00C73908">
        <w:rPr>
          <w:rFonts w:ascii="Times New Roman" w:hAnsi="Times New Roman" w:cs="Times New Roman"/>
          <w:lang w:val="en-IE"/>
        </w:rPr>
        <w:t xml:space="preserve"> through two channels;</w:t>
      </w:r>
      <w:r w:rsidRPr="00C73908">
        <w:rPr>
          <w:rFonts w:ascii="Times New Roman" w:hAnsi="Times New Roman" w:cs="Times New Roman"/>
          <w:lang w:val="en-IE"/>
        </w:rPr>
        <w:t xml:space="preserve"> attracting foreign direct investment (FDI)</w:t>
      </w:r>
      <w:r w:rsidR="0080271D" w:rsidRPr="00C73908">
        <w:rPr>
          <w:rFonts w:ascii="Times New Roman" w:hAnsi="Times New Roman" w:cs="Times New Roman"/>
          <w:lang w:val="en-IE"/>
        </w:rPr>
        <w:t xml:space="preserve"> into Ireland</w:t>
      </w:r>
      <w:r w:rsidRPr="00C73908">
        <w:rPr>
          <w:rFonts w:ascii="Times New Roman" w:hAnsi="Times New Roman" w:cs="Times New Roman"/>
          <w:lang w:val="en-IE"/>
        </w:rPr>
        <w:t xml:space="preserve"> and developing the export capability of indigenous companies. This was not always the case as industrial policy in the </w:t>
      </w:r>
      <w:r w:rsidR="00167A15">
        <w:rPr>
          <w:rFonts w:ascii="Times New Roman" w:hAnsi="Times New Roman" w:cs="Times New Roman"/>
          <w:lang w:val="en-IE"/>
        </w:rPr>
        <w:t>first half of the 20</w:t>
      </w:r>
      <w:r w:rsidR="00167A15" w:rsidRPr="00167A15">
        <w:rPr>
          <w:rFonts w:ascii="Times New Roman" w:hAnsi="Times New Roman" w:cs="Times New Roman"/>
          <w:vertAlign w:val="superscript"/>
          <w:lang w:val="en-IE"/>
        </w:rPr>
        <w:t>th</w:t>
      </w:r>
      <w:r w:rsidR="00167A15">
        <w:rPr>
          <w:rFonts w:ascii="Times New Roman" w:hAnsi="Times New Roman" w:cs="Times New Roman"/>
          <w:lang w:val="en-IE"/>
        </w:rPr>
        <w:t xml:space="preserve"> century</w:t>
      </w:r>
      <w:r w:rsidRPr="00C73908">
        <w:rPr>
          <w:rFonts w:ascii="Times New Roman" w:hAnsi="Times New Roman" w:cs="Times New Roman"/>
          <w:lang w:val="en-IE"/>
        </w:rPr>
        <w:t xml:space="preserve"> prioritised self-sufficiency and various protectionist policies were implemented to achieve this objective such as high </w:t>
      </w:r>
      <w:r w:rsidR="003C326C" w:rsidRPr="00C73908">
        <w:rPr>
          <w:rFonts w:ascii="Times New Roman" w:hAnsi="Times New Roman" w:cs="Times New Roman"/>
          <w:lang w:val="en-IE"/>
        </w:rPr>
        <w:t xml:space="preserve">trade </w:t>
      </w:r>
      <w:r w:rsidRPr="00C73908">
        <w:rPr>
          <w:rFonts w:ascii="Times New Roman" w:hAnsi="Times New Roman" w:cs="Times New Roman"/>
          <w:lang w:val="en-IE"/>
        </w:rPr>
        <w:t xml:space="preserve">tariffs and limits on foreign direct investment. However, despite widespread economic </w:t>
      </w:r>
      <w:r w:rsidR="00756429">
        <w:rPr>
          <w:rFonts w:ascii="Times New Roman" w:hAnsi="Times New Roman" w:cs="Times New Roman"/>
          <w:lang w:val="en-IE"/>
        </w:rPr>
        <w:t>growth</w:t>
      </w:r>
      <w:r w:rsidRPr="00C73908">
        <w:rPr>
          <w:rFonts w:ascii="Times New Roman" w:hAnsi="Times New Roman" w:cs="Times New Roman"/>
          <w:lang w:val="en-IE"/>
        </w:rPr>
        <w:t xml:space="preserve"> throughout Europe and the US during the post war period</w:t>
      </w:r>
      <w:r w:rsidR="00A43A39" w:rsidRPr="00C73908">
        <w:rPr>
          <w:rFonts w:ascii="Times New Roman" w:hAnsi="Times New Roman" w:cs="Times New Roman"/>
          <w:lang w:val="en-IE"/>
        </w:rPr>
        <w:t xml:space="preserve"> in the 1950’s</w:t>
      </w:r>
      <w:r w:rsidRPr="00C73908">
        <w:rPr>
          <w:rFonts w:ascii="Times New Roman" w:hAnsi="Times New Roman" w:cs="Times New Roman"/>
          <w:lang w:val="en-IE"/>
        </w:rPr>
        <w:t xml:space="preserve">, Ireland suffered from prolonged economic decline </w:t>
      </w:r>
      <w:r w:rsidR="003C326C" w:rsidRPr="00C73908">
        <w:rPr>
          <w:rFonts w:ascii="Times New Roman" w:hAnsi="Times New Roman" w:cs="Times New Roman"/>
          <w:lang w:val="en-IE"/>
        </w:rPr>
        <w:t>with</w:t>
      </w:r>
      <w:r w:rsidRPr="00C73908">
        <w:rPr>
          <w:rFonts w:ascii="Times New Roman" w:hAnsi="Times New Roman" w:cs="Times New Roman"/>
          <w:lang w:val="en-IE"/>
        </w:rPr>
        <w:t xml:space="preserve"> </w:t>
      </w:r>
      <w:r w:rsidR="00F862D5" w:rsidRPr="00C73908">
        <w:rPr>
          <w:rFonts w:ascii="Times New Roman" w:hAnsi="Times New Roman" w:cs="Times New Roman"/>
          <w:lang w:val="en-IE"/>
        </w:rPr>
        <w:t xml:space="preserve">persistently high levels of </w:t>
      </w:r>
      <w:r w:rsidRPr="00C73908">
        <w:rPr>
          <w:rFonts w:ascii="Times New Roman" w:hAnsi="Times New Roman" w:cs="Times New Roman"/>
          <w:lang w:val="en-IE"/>
        </w:rPr>
        <w:t xml:space="preserve">unemployment and </w:t>
      </w:r>
      <w:r w:rsidR="00F862D5" w:rsidRPr="00C73908">
        <w:rPr>
          <w:rFonts w:ascii="Times New Roman" w:hAnsi="Times New Roman" w:cs="Times New Roman"/>
          <w:lang w:val="en-IE"/>
        </w:rPr>
        <w:t xml:space="preserve">mass </w:t>
      </w:r>
      <w:r w:rsidRPr="00C73908">
        <w:rPr>
          <w:rFonts w:ascii="Times New Roman" w:hAnsi="Times New Roman" w:cs="Times New Roman"/>
          <w:lang w:val="en-IE"/>
        </w:rPr>
        <w:t xml:space="preserve">emigration. The severity of the situation led to a </w:t>
      </w:r>
      <w:r w:rsidR="000920FF">
        <w:rPr>
          <w:rFonts w:ascii="Times New Roman" w:hAnsi="Times New Roman" w:cs="Times New Roman"/>
          <w:lang w:val="en-IE"/>
        </w:rPr>
        <w:t>growing</w:t>
      </w:r>
      <w:r w:rsidRPr="00C73908">
        <w:rPr>
          <w:rFonts w:ascii="Times New Roman" w:hAnsi="Times New Roman" w:cs="Times New Roman"/>
          <w:lang w:val="en-IE"/>
        </w:rPr>
        <w:t xml:space="preserve"> recognition of the failures of these protectionist policies and the publication of the ‘Economic Development’ report in 1958 marked a shift in industrial policy towards opening up the Irish economy to trade</w:t>
      </w:r>
      <w:r w:rsidR="00E56775">
        <w:rPr>
          <w:rFonts w:ascii="Times New Roman" w:hAnsi="Times New Roman" w:cs="Times New Roman"/>
          <w:lang w:val="en-IE"/>
        </w:rPr>
        <w:t>.</w:t>
      </w:r>
      <w:r w:rsidRPr="00C73908">
        <w:rPr>
          <w:rFonts w:ascii="Times New Roman" w:hAnsi="Times New Roman" w:cs="Times New Roman"/>
          <w:lang w:val="en-IE"/>
        </w:rPr>
        <w:t xml:space="preserve"> The intervening decades saw a continued move towards open trade with Ireland joining the European Economic Council in 1973 and subsequent membership of the European single market.</w:t>
      </w:r>
    </w:p>
    <w:p w14:paraId="1254F570" w14:textId="689BA022" w:rsidR="009A53E8" w:rsidRPr="00C73908" w:rsidRDefault="009A53E8" w:rsidP="009A53E8">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While Ireland did achieve some success in growing exports during this time, concerns began to arise from the 1980’s onwards that the economy was becoming overly reliant on FDI while</w:t>
      </w:r>
      <w:r w:rsidR="003317FE">
        <w:rPr>
          <w:rFonts w:ascii="Times New Roman" w:hAnsi="Times New Roman" w:cs="Times New Roman"/>
          <w:lang w:val="en-IE"/>
        </w:rPr>
        <w:t xml:space="preserve"> the performance of</w:t>
      </w:r>
      <w:r w:rsidRPr="00C73908">
        <w:rPr>
          <w:rFonts w:ascii="Times New Roman" w:hAnsi="Times New Roman" w:cs="Times New Roman"/>
          <w:lang w:val="en-IE"/>
        </w:rPr>
        <w:t xml:space="preserve"> indigenous industries remained relatively stagnant. These issues were highlighted in several reviews of Irish industrial policy including the Telesis Report (National Economic and Social Council, 1982) and the Culliton Report (1992) both of which advocated for a greater commitment towards developing a strong base of indigenous firms in order to achieve sustained economic development and income growth. The increased scrutiny on the performance of indigenous enterprises ultimately led to the establishment of Enterprise Ireland (EI) which was formed</w:t>
      </w:r>
      <w:r w:rsidR="00EC5B13">
        <w:rPr>
          <w:rFonts w:ascii="Times New Roman" w:hAnsi="Times New Roman" w:cs="Times New Roman"/>
          <w:lang w:val="en-IE"/>
        </w:rPr>
        <w:t xml:space="preserve"> in 1998</w:t>
      </w:r>
      <w:r w:rsidRPr="00C73908">
        <w:rPr>
          <w:rFonts w:ascii="Times New Roman" w:hAnsi="Times New Roman" w:cs="Times New Roman"/>
          <w:lang w:val="en-IE"/>
        </w:rPr>
        <w:t xml:space="preserve"> following the merger of several existing agencies including Forbairt and An Bord Trachtala. EI is the state agency with responsibility for supporting the development of indigenous companies in the manufacturing and internationally traded services sectors </w:t>
      </w:r>
      <w:r w:rsidR="002B1064">
        <w:rPr>
          <w:rFonts w:ascii="Times New Roman" w:hAnsi="Times New Roman" w:cs="Times New Roman"/>
          <w:lang w:val="en-IE"/>
        </w:rPr>
        <w:t>enabling</w:t>
      </w:r>
      <w:r w:rsidRPr="00C73908">
        <w:rPr>
          <w:rFonts w:ascii="Times New Roman" w:hAnsi="Times New Roman" w:cs="Times New Roman"/>
          <w:lang w:val="en-IE"/>
        </w:rPr>
        <w:t xml:space="preserve"> them </w:t>
      </w:r>
      <w:r w:rsidR="002B1064">
        <w:rPr>
          <w:rFonts w:ascii="Times New Roman" w:hAnsi="Times New Roman" w:cs="Times New Roman"/>
          <w:lang w:val="en-IE"/>
        </w:rPr>
        <w:t xml:space="preserve">to </w:t>
      </w:r>
      <w:r w:rsidRPr="00C73908">
        <w:rPr>
          <w:rFonts w:ascii="Times New Roman" w:hAnsi="Times New Roman" w:cs="Times New Roman"/>
          <w:lang w:val="en-IE"/>
        </w:rPr>
        <w:t xml:space="preserve">compete internationally and </w:t>
      </w:r>
      <w:r w:rsidR="00F51C9C">
        <w:rPr>
          <w:rFonts w:ascii="Times New Roman" w:hAnsi="Times New Roman" w:cs="Times New Roman"/>
          <w:lang w:val="en-IE"/>
        </w:rPr>
        <w:t xml:space="preserve">achieve </w:t>
      </w:r>
      <w:r w:rsidRPr="00C73908">
        <w:rPr>
          <w:rFonts w:ascii="Times New Roman" w:hAnsi="Times New Roman" w:cs="Times New Roman"/>
          <w:lang w:val="en-IE"/>
        </w:rPr>
        <w:t xml:space="preserve">export growth. The agency takes a holistic approach </w:t>
      </w:r>
      <w:r w:rsidRPr="00C73908">
        <w:rPr>
          <w:rFonts w:ascii="Times New Roman" w:hAnsi="Times New Roman" w:cs="Times New Roman"/>
          <w:lang w:val="en-IE"/>
        </w:rPr>
        <w:lastRenderedPageBreak/>
        <w:t>to company development by working with companies to identify their needs in several areas of business performance such as sales and marketing, finance, and innovation and providing specific supports based on th</w:t>
      </w:r>
      <w:r w:rsidR="001E7301">
        <w:rPr>
          <w:rFonts w:ascii="Times New Roman" w:hAnsi="Times New Roman" w:cs="Times New Roman"/>
          <w:lang w:val="en-IE"/>
        </w:rPr>
        <w:t>ese</w:t>
      </w:r>
      <w:r w:rsidRPr="00C73908">
        <w:rPr>
          <w:rFonts w:ascii="Times New Roman" w:hAnsi="Times New Roman" w:cs="Times New Roman"/>
          <w:lang w:val="en-IE"/>
        </w:rPr>
        <w:t xml:space="preserve"> requirements. EI provides a range of supports to promote internationalisation including in-market </w:t>
      </w:r>
      <w:r w:rsidR="00B039FA">
        <w:rPr>
          <w:rFonts w:ascii="Times New Roman" w:hAnsi="Times New Roman" w:cs="Times New Roman"/>
          <w:lang w:val="en-IE"/>
        </w:rPr>
        <w:t>s</w:t>
      </w:r>
      <w:r w:rsidR="00EC5B13">
        <w:rPr>
          <w:rFonts w:ascii="Times New Roman" w:hAnsi="Times New Roman" w:cs="Times New Roman"/>
          <w:lang w:val="en-IE"/>
        </w:rPr>
        <w:t>upports</w:t>
      </w:r>
      <w:r w:rsidR="00B039FA">
        <w:rPr>
          <w:rFonts w:ascii="Times New Roman" w:hAnsi="Times New Roman" w:cs="Times New Roman"/>
          <w:lang w:val="en-IE"/>
        </w:rPr>
        <w:t xml:space="preserve"> </w:t>
      </w:r>
      <w:r w:rsidRPr="00C73908">
        <w:rPr>
          <w:rFonts w:ascii="Times New Roman" w:hAnsi="Times New Roman" w:cs="Times New Roman"/>
          <w:lang w:val="en-IE"/>
        </w:rPr>
        <w:t>from a network of over 30 overseas offices located in various markets throughout the world.</w:t>
      </w:r>
    </w:p>
    <w:p w14:paraId="60587931" w14:textId="26829343" w:rsidR="009A53E8" w:rsidRPr="00C73908" w:rsidRDefault="009A53E8" w:rsidP="009A53E8">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 xml:space="preserve">Given the strategic importance to the Irish economy of developing a strong, internationally competitive base of indigenous exporters and the level of resources allocated towards achieving this objective, it is important to understand the factors which influence export performance at the firm level. This paper aims to address this question by analysing the influence of five distinct factors on firm level export performance; productivity, innovation, skill levels, export promotion policies and firm age. The analysis is carried out on firm level data from 2,780 EI client companies over the period from 2010 to 2019. This dataset is made up of various indicators of company performance which are gathered </w:t>
      </w:r>
      <w:r w:rsidR="000A52FC" w:rsidRPr="00C73908">
        <w:rPr>
          <w:rFonts w:ascii="Times New Roman" w:hAnsi="Times New Roman" w:cs="Times New Roman"/>
          <w:lang w:val="en-IE"/>
        </w:rPr>
        <w:t xml:space="preserve">by EI </w:t>
      </w:r>
      <w:r w:rsidRPr="00C73908">
        <w:rPr>
          <w:rFonts w:ascii="Times New Roman" w:hAnsi="Times New Roman" w:cs="Times New Roman"/>
          <w:lang w:val="en-IE"/>
        </w:rPr>
        <w:t xml:space="preserve">each year in the Annual Business Review (ABR) survey. This includes sales, exports, employment, and payroll data as well as indicators of innovation including expenditure on R&amp;D and sales generated from new products. These indicators are also combined with data from internal EI databases on </w:t>
      </w:r>
      <w:r w:rsidR="00EC5B13">
        <w:rPr>
          <w:rFonts w:ascii="Times New Roman" w:hAnsi="Times New Roman" w:cs="Times New Roman"/>
          <w:lang w:val="en-IE"/>
        </w:rPr>
        <w:t>the</w:t>
      </w:r>
      <w:r w:rsidRPr="00C73908">
        <w:rPr>
          <w:rFonts w:ascii="Times New Roman" w:hAnsi="Times New Roman" w:cs="Times New Roman"/>
          <w:lang w:val="en-IE"/>
        </w:rPr>
        <w:t xml:space="preserve"> wide range of supports which client companies have received from the agency over that period including grant funding for capital investment and services provided by the overseas office network.</w:t>
      </w:r>
    </w:p>
    <w:p w14:paraId="53E0C707" w14:textId="34A59E57" w:rsidR="000224D9" w:rsidRDefault="009A53E8" w:rsidP="009A53E8">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 xml:space="preserve">One of the main contributions of this paper to the literature on firm level export determinants is that it analyses two distinct aspects of export performance. The most commonly used indicators in existing empirical studies are export propensity, </w:t>
      </w:r>
      <w:r w:rsidR="00372221">
        <w:rPr>
          <w:rFonts w:ascii="Times New Roman" w:hAnsi="Times New Roman" w:cs="Times New Roman"/>
          <w:lang w:val="en-IE"/>
        </w:rPr>
        <w:t xml:space="preserve">an indicator of </w:t>
      </w:r>
      <w:r w:rsidRPr="00C73908">
        <w:rPr>
          <w:rFonts w:ascii="Times New Roman" w:hAnsi="Times New Roman" w:cs="Times New Roman"/>
          <w:lang w:val="en-IE"/>
        </w:rPr>
        <w:t xml:space="preserve">whether </w:t>
      </w:r>
      <w:r w:rsidR="00B94F1F">
        <w:rPr>
          <w:rFonts w:ascii="Times New Roman" w:hAnsi="Times New Roman" w:cs="Times New Roman"/>
          <w:lang w:val="en-IE"/>
        </w:rPr>
        <w:t xml:space="preserve">a </w:t>
      </w:r>
      <w:r w:rsidRPr="00C73908">
        <w:rPr>
          <w:rFonts w:ascii="Times New Roman" w:hAnsi="Times New Roman" w:cs="Times New Roman"/>
          <w:lang w:val="en-IE"/>
        </w:rPr>
        <w:t>company export</w:t>
      </w:r>
      <w:r w:rsidR="00B94F1F">
        <w:rPr>
          <w:rFonts w:ascii="Times New Roman" w:hAnsi="Times New Roman" w:cs="Times New Roman"/>
          <w:lang w:val="en-IE"/>
        </w:rPr>
        <w:t>s or not</w:t>
      </w:r>
      <w:r w:rsidRPr="00C73908">
        <w:rPr>
          <w:rFonts w:ascii="Times New Roman" w:hAnsi="Times New Roman" w:cs="Times New Roman"/>
          <w:lang w:val="en-IE"/>
        </w:rPr>
        <w:t xml:space="preserve">, and export intensity, the proportion of sales generated </w:t>
      </w:r>
      <w:r w:rsidR="00906AD8">
        <w:rPr>
          <w:rFonts w:ascii="Times New Roman" w:hAnsi="Times New Roman" w:cs="Times New Roman"/>
          <w:lang w:val="en-IE"/>
        </w:rPr>
        <w:t>from</w:t>
      </w:r>
      <w:r w:rsidRPr="00C73908">
        <w:rPr>
          <w:rFonts w:ascii="Times New Roman" w:hAnsi="Times New Roman" w:cs="Times New Roman"/>
          <w:lang w:val="en-IE"/>
        </w:rPr>
        <w:t xml:space="preserve"> exports (Roper </w:t>
      </w:r>
      <w:r w:rsidR="0098012C">
        <w:rPr>
          <w:rFonts w:ascii="Times New Roman" w:hAnsi="Times New Roman" w:cs="Times New Roman"/>
          <w:lang w:val="en-IE"/>
        </w:rPr>
        <w:t>et al.</w:t>
      </w:r>
      <w:r w:rsidRPr="00C73908">
        <w:rPr>
          <w:rFonts w:ascii="Times New Roman" w:hAnsi="Times New Roman" w:cs="Times New Roman"/>
          <w:lang w:val="en-IE"/>
        </w:rPr>
        <w:t xml:space="preserve">, 2006; ESRI, 2006). While these indicators are informative, they provide </w:t>
      </w:r>
      <w:r w:rsidR="00CB3028">
        <w:rPr>
          <w:rFonts w:ascii="Times New Roman" w:hAnsi="Times New Roman" w:cs="Times New Roman"/>
          <w:lang w:val="en-IE"/>
        </w:rPr>
        <w:t>limited</w:t>
      </w:r>
      <w:r w:rsidR="00AD3283">
        <w:rPr>
          <w:rFonts w:ascii="Times New Roman" w:hAnsi="Times New Roman" w:cs="Times New Roman"/>
          <w:lang w:val="en-IE"/>
        </w:rPr>
        <w:t xml:space="preserve"> </w:t>
      </w:r>
      <w:r w:rsidRPr="00C73908">
        <w:rPr>
          <w:rFonts w:ascii="Times New Roman" w:hAnsi="Times New Roman" w:cs="Times New Roman"/>
          <w:lang w:val="en-IE"/>
        </w:rPr>
        <w:t>insight into the scale of export growth which compan</w:t>
      </w:r>
      <w:r w:rsidR="003E5127">
        <w:rPr>
          <w:rFonts w:ascii="Times New Roman" w:hAnsi="Times New Roman" w:cs="Times New Roman"/>
          <w:lang w:val="en-IE"/>
        </w:rPr>
        <w:t>ies</w:t>
      </w:r>
      <w:r w:rsidRPr="00C73908">
        <w:rPr>
          <w:rFonts w:ascii="Times New Roman" w:hAnsi="Times New Roman" w:cs="Times New Roman"/>
          <w:lang w:val="en-IE"/>
        </w:rPr>
        <w:t xml:space="preserve"> achieve or the diversification of their export markets. In the ABR survey, </w:t>
      </w:r>
      <w:r w:rsidR="000139D8">
        <w:rPr>
          <w:rFonts w:ascii="Times New Roman" w:hAnsi="Times New Roman" w:cs="Times New Roman"/>
          <w:lang w:val="en-IE"/>
        </w:rPr>
        <w:t xml:space="preserve">annual </w:t>
      </w:r>
      <w:r w:rsidRPr="00C73908">
        <w:rPr>
          <w:rFonts w:ascii="Times New Roman" w:hAnsi="Times New Roman" w:cs="Times New Roman"/>
          <w:lang w:val="en-IE"/>
        </w:rPr>
        <w:t xml:space="preserve">export </w:t>
      </w:r>
      <w:r w:rsidR="000139D8">
        <w:rPr>
          <w:rFonts w:ascii="Times New Roman" w:hAnsi="Times New Roman" w:cs="Times New Roman"/>
          <w:lang w:val="en-IE"/>
        </w:rPr>
        <w:t>figures</w:t>
      </w:r>
      <w:r w:rsidRPr="00C73908">
        <w:rPr>
          <w:rFonts w:ascii="Times New Roman" w:hAnsi="Times New Roman" w:cs="Times New Roman"/>
          <w:lang w:val="en-IE"/>
        </w:rPr>
        <w:t xml:space="preserve"> are provided at the market level and data is available on the number of markets which a company sells into in a given year along with the total value of those exports. It is, therefore, possible to analyse the impact of the regressors on both the scale of exports and the level of market diversification. </w:t>
      </w:r>
    </w:p>
    <w:p w14:paraId="7DE569C0" w14:textId="41A78D33" w:rsidR="00787214" w:rsidRDefault="009A53E8" w:rsidP="009A53E8">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 xml:space="preserve">Another key feature is the broad range of relevant variables </w:t>
      </w:r>
      <w:r w:rsidR="0079405C">
        <w:rPr>
          <w:rFonts w:ascii="Times New Roman" w:hAnsi="Times New Roman" w:cs="Times New Roman"/>
          <w:lang w:val="en-IE"/>
        </w:rPr>
        <w:t>examined</w:t>
      </w:r>
      <w:r w:rsidRPr="00C73908">
        <w:rPr>
          <w:rFonts w:ascii="Times New Roman" w:hAnsi="Times New Roman" w:cs="Times New Roman"/>
          <w:lang w:val="en-IE"/>
        </w:rPr>
        <w:t xml:space="preserve"> in the empirical analysis. Numerous studies have looked separately at the influence of different factors such as innovation, skill levels and productivity on firm level export performance. However, the unique structure of this dataset in terms of its size, length, and level of granularity allows for a wide range of factors to be examined</w:t>
      </w:r>
      <w:r w:rsidR="00F67B74">
        <w:rPr>
          <w:rFonts w:ascii="Times New Roman" w:hAnsi="Times New Roman" w:cs="Times New Roman"/>
          <w:lang w:val="en-IE"/>
        </w:rPr>
        <w:t xml:space="preserve"> together</w:t>
      </w:r>
      <w:r w:rsidRPr="00C73908">
        <w:rPr>
          <w:rFonts w:ascii="Times New Roman" w:hAnsi="Times New Roman" w:cs="Times New Roman"/>
          <w:lang w:val="en-IE"/>
        </w:rPr>
        <w:t xml:space="preserve"> in the analysis. This granularity also makes it possible to include multiple relevant variables for each of these factors. For example: there are three variables </w:t>
      </w:r>
      <w:r w:rsidR="00887E00">
        <w:rPr>
          <w:rFonts w:ascii="Times New Roman" w:hAnsi="Times New Roman" w:cs="Times New Roman"/>
          <w:lang w:val="en-IE"/>
        </w:rPr>
        <w:t>related to</w:t>
      </w:r>
      <w:r w:rsidRPr="00C73908">
        <w:rPr>
          <w:rFonts w:ascii="Times New Roman" w:hAnsi="Times New Roman" w:cs="Times New Roman"/>
          <w:lang w:val="en-IE"/>
        </w:rPr>
        <w:t xml:space="preserve"> innovation including an input indicator </w:t>
      </w:r>
      <w:r w:rsidRPr="00C73908">
        <w:rPr>
          <w:rFonts w:ascii="Times New Roman" w:hAnsi="Times New Roman" w:cs="Times New Roman"/>
          <w:lang w:val="en-IE"/>
        </w:rPr>
        <w:lastRenderedPageBreak/>
        <w:t>(expenditure on R&amp;D), an output indicator (sales generated from new products) and an indicator which shows whether a company engaged in collaborative R&amp;D projects.</w:t>
      </w:r>
    </w:p>
    <w:p w14:paraId="244BAFD0" w14:textId="358A5969" w:rsidR="001512ED" w:rsidRDefault="008C0146" w:rsidP="009A53E8">
      <w:pPr>
        <w:spacing w:after="240" w:line="360" w:lineRule="auto"/>
        <w:jc w:val="both"/>
        <w:rPr>
          <w:rFonts w:ascii="Times New Roman" w:hAnsi="Times New Roman" w:cs="Times New Roman"/>
          <w:lang w:val="en-IE"/>
        </w:rPr>
      </w:pPr>
      <w:r>
        <w:rPr>
          <w:rFonts w:ascii="Times New Roman" w:hAnsi="Times New Roman" w:cs="Times New Roman"/>
          <w:lang w:val="en-IE"/>
        </w:rPr>
        <w:t>The paper is structured as follows</w:t>
      </w:r>
      <w:r w:rsidR="001512ED">
        <w:rPr>
          <w:rFonts w:ascii="Times New Roman" w:hAnsi="Times New Roman" w:cs="Times New Roman"/>
          <w:lang w:val="en-IE"/>
        </w:rPr>
        <w:t>:</w:t>
      </w:r>
    </w:p>
    <w:p w14:paraId="62F36460" w14:textId="3D3EFC81" w:rsidR="004C1CCF" w:rsidRPr="00254666" w:rsidRDefault="00254666" w:rsidP="00254666">
      <w:pPr>
        <w:pStyle w:val="ListParagraph"/>
        <w:numPr>
          <w:ilvl w:val="0"/>
          <w:numId w:val="29"/>
        </w:numPr>
        <w:spacing w:after="240" w:line="360" w:lineRule="auto"/>
        <w:jc w:val="both"/>
        <w:rPr>
          <w:rFonts w:ascii="Times New Roman" w:hAnsi="Times New Roman" w:cs="Times New Roman"/>
          <w:lang w:val="en-IE"/>
        </w:rPr>
      </w:pPr>
      <w:r w:rsidRPr="00254666">
        <w:rPr>
          <w:rFonts w:ascii="Times New Roman" w:hAnsi="Times New Roman" w:cs="Times New Roman"/>
          <w:b/>
          <w:bCs/>
          <w:lang w:val="en-IE"/>
        </w:rPr>
        <w:t xml:space="preserve">Section </w:t>
      </w:r>
      <w:r w:rsidR="00365066">
        <w:rPr>
          <w:rFonts w:ascii="Times New Roman" w:hAnsi="Times New Roman" w:cs="Times New Roman"/>
          <w:b/>
          <w:bCs/>
          <w:lang w:val="en-IE"/>
        </w:rPr>
        <w:t>2</w:t>
      </w:r>
      <w:r w:rsidRPr="00254666">
        <w:rPr>
          <w:rFonts w:ascii="Times New Roman" w:hAnsi="Times New Roman" w:cs="Times New Roman"/>
          <w:b/>
          <w:bCs/>
          <w:lang w:val="en-IE"/>
        </w:rPr>
        <w:t xml:space="preserve"> - </w:t>
      </w:r>
      <w:r w:rsidR="004C1CCF" w:rsidRPr="00254666">
        <w:rPr>
          <w:rFonts w:ascii="Times New Roman" w:hAnsi="Times New Roman" w:cs="Times New Roman"/>
          <w:b/>
          <w:bCs/>
          <w:lang w:val="en-IE"/>
        </w:rPr>
        <w:t>Literature Review</w:t>
      </w:r>
      <w:r w:rsidR="004C1CCF" w:rsidRPr="00254666">
        <w:rPr>
          <w:rFonts w:ascii="Times New Roman" w:hAnsi="Times New Roman" w:cs="Times New Roman"/>
          <w:lang w:val="en-IE"/>
        </w:rPr>
        <w:t xml:space="preserve">: </w:t>
      </w:r>
      <w:r w:rsidR="009F422D">
        <w:rPr>
          <w:rFonts w:ascii="Times New Roman" w:hAnsi="Times New Roman" w:cs="Times New Roman"/>
          <w:lang w:val="en-IE"/>
        </w:rPr>
        <w:t>A</w:t>
      </w:r>
      <w:r w:rsidR="004C1CCF" w:rsidRPr="00254666">
        <w:rPr>
          <w:rFonts w:ascii="Times New Roman" w:hAnsi="Times New Roman" w:cs="Times New Roman"/>
          <w:lang w:val="en-IE"/>
        </w:rPr>
        <w:t xml:space="preserve">n </w:t>
      </w:r>
      <w:r w:rsidR="00917F3B">
        <w:rPr>
          <w:rFonts w:ascii="Times New Roman" w:hAnsi="Times New Roman" w:cs="Times New Roman"/>
          <w:lang w:val="en-IE"/>
        </w:rPr>
        <w:t xml:space="preserve">extensive review </w:t>
      </w:r>
      <w:r w:rsidR="004C1CCF" w:rsidRPr="00254666">
        <w:rPr>
          <w:rFonts w:ascii="Times New Roman" w:hAnsi="Times New Roman" w:cs="Times New Roman"/>
          <w:lang w:val="en-IE"/>
        </w:rPr>
        <w:t xml:space="preserve">of </w:t>
      </w:r>
      <w:r w:rsidR="00917F3B">
        <w:rPr>
          <w:rFonts w:ascii="Times New Roman" w:hAnsi="Times New Roman" w:cs="Times New Roman"/>
          <w:lang w:val="en-IE"/>
        </w:rPr>
        <w:t xml:space="preserve">the </w:t>
      </w:r>
      <w:r w:rsidR="004C1CCF" w:rsidRPr="00254666">
        <w:rPr>
          <w:rFonts w:ascii="Times New Roman" w:hAnsi="Times New Roman" w:cs="Times New Roman"/>
          <w:lang w:val="en-IE"/>
        </w:rPr>
        <w:t xml:space="preserve">existing research on firm-level export performance </w:t>
      </w:r>
      <w:r w:rsidR="00734681">
        <w:rPr>
          <w:rFonts w:ascii="Times New Roman" w:hAnsi="Times New Roman" w:cs="Times New Roman"/>
          <w:lang w:val="en-IE"/>
        </w:rPr>
        <w:t xml:space="preserve">both </w:t>
      </w:r>
      <w:r w:rsidR="004C1CCF" w:rsidRPr="00254666">
        <w:rPr>
          <w:rFonts w:ascii="Times New Roman" w:hAnsi="Times New Roman" w:cs="Times New Roman"/>
          <w:lang w:val="en-IE"/>
        </w:rPr>
        <w:t xml:space="preserve">in Ireland and internationally. The review </w:t>
      </w:r>
      <w:r w:rsidR="00734681">
        <w:rPr>
          <w:rFonts w:ascii="Times New Roman" w:hAnsi="Times New Roman" w:cs="Times New Roman"/>
          <w:lang w:val="en-IE"/>
        </w:rPr>
        <w:t>outlines</w:t>
      </w:r>
      <w:r w:rsidR="004C1CCF" w:rsidRPr="00254666">
        <w:rPr>
          <w:rFonts w:ascii="Times New Roman" w:hAnsi="Times New Roman" w:cs="Times New Roman"/>
          <w:lang w:val="en-IE"/>
        </w:rPr>
        <w:t xml:space="preserve"> five </w:t>
      </w:r>
      <w:r w:rsidR="001A6B49">
        <w:rPr>
          <w:rFonts w:ascii="Times New Roman" w:hAnsi="Times New Roman" w:cs="Times New Roman"/>
          <w:lang w:val="en-IE"/>
        </w:rPr>
        <w:t xml:space="preserve">influential </w:t>
      </w:r>
      <w:r w:rsidR="004C1CCF" w:rsidRPr="00254666">
        <w:rPr>
          <w:rFonts w:ascii="Times New Roman" w:hAnsi="Times New Roman" w:cs="Times New Roman"/>
          <w:lang w:val="en-IE"/>
        </w:rPr>
        <w:t xml:space="preserve">factors which </w:t>
      </w:r>
      <w:r w:rsidR="001A6B49">
        <w:rPr>
          <w:rFonts w:ascii="Times New Roman" w:hAnsi="Times New Roman" w:cs="Times New Roman"/>
          <w:lang w:val="en-IE"/>
        </w:rPr>
        <w:t>are prevalent</w:t>
      </w:r>
      <w:r w:rsidR="00B84B62">
        <w:rPr>
          <w:rFonts w:ascii="Times New Roman" w:hAnsi="Times New Roman" w:cs="Times New Roman"/>
          <w:lang w:val="en-IE"/>
        </w:rPr>
        <w:t xml:space="preserve"> </w:t>
      </w:r>
      <w:r w:rsidR="004C1CCF" w:rsidRPr="00254666">
        <w:rPr>
          <w:rFonts w:ascii="Times New Roman" w:hAnsi="Times New Roman" w:cs="Times New Roman"/>
          <w:lang w:val="en-IE"/>
        </w:rPr>
        <w:t xml:space="preserve">in the literature: productivity, innovation, skill levels, export promotion </w:t>
      </w:r>
      <w:r w:rsidR="001E2EDE">
        <w:rPr>
          <w:rFonts w:ascii="Times New Roman" w:hAnsi="Times New Roman" w:cs="Times New Roman"/>
          <w:lang w:val="en-IE"/>
        </w:rPr>
        <w:t>policies</w:t>
      </w:r>
      <w:r w:rsidR="004C1CCF" w:rsidRPr="00254666">
        <w:rPr>
          <w:rFonts w:ascii="Times New Roman" w:hAnsi="Times New Roman" w:cs="Times New Roman"/>
          <w:lang w:val="en-IE"/>
        </w:rPr>
        <w:t xml:space="preserve"> and firm age.</w:t>
      </w:r>
    </w:p>
    <w:p w14:paraId="2E5EAE76" w14:textId="41CEC3FF" w:rsidR="004C1CCF" w:rsidRPr="00254666" w:rsidRDefault="00365066" w:rsidP="00254666">
      <w:pPr>
        <w:pStyle w:val="ListParagraph"/>
        <w:numPr>
          <w:ilvl w:val="0"/>
          <w:numId w:val="29"/>
        </w:numPr>
        <w:spacing w:after="240" w:line="360" w:lineRule="auto"/>
        <w:jc w:val="both"/>
        <w:rPr>
          <w:rFonts w:ascii="Times New Roman" w:hAnsi="Times New Roman" w:cs="Times New Roman"/>
          <w:lang w:val="en-IE"/>
        </w:rPr>
      </w:pPr>
      <w:r w:rsidRPr="00365066">
        <w:rPr>
          <w:rFonts w:ascii="Times New Roman" w:hAnsi="Times New Roman" w:cs="Times New Roman"/>
          <w:b/>
          <w:bCs/>
          <w:lang w:val="en-IE"/>
        </w:rPr>
        <w:t xml:space="preserve">Section 3 - </w:t>
      </w:r>
      <w:r w:rsidR="004C1CCF" w:rsidRPr="00365066">
        <w:rPr>
          <w:rFonts w:ascii="Times New Roman" w:hAnsi="Times New Roman" w:cs="Times New Roman"/>
          <w:b/>
          <w:bCs/>
          <w:lang w:val="en-IE"/>
        </w:rPr>
        <w:t>Data:</w:t>
      </w:r>
      <w:r w:rsidR="004C1CCF" w:rsidRPr="00254666">
        <w:rPr>
          <w:rFonts w:ascii="Times New Roman" w:hAnsi="Times New Roman" w:cs="Times New Roman"/>
          <w:lang w:val="en-IE"/>
        </w:rPr>
        <w:t xml:space="preserve"> </w:t>
      </w:r>
      <w:r w:rsidR="009F422D">
        <w:rPr>
          <w:rFonts w:ascii="Times New Roman" w:hAnsi="Times New Roman" w:cs="Times New Roman"/>
          <w:lang w:val="en-IE"/>
        </w:rPr>
        <w:t>T</w:t>
      </w:r>
      <w:r w:rsidR="004C1CCF" w:rsidRPr="00254666">
        <w:rPr>
          <w:rFonts w:ascii="Times New Roman" w:hAnsi="Times New Roman" w:cs="Times New Roman"/>
          <w:lang w:val="en-IE"/>
        </w:rPr>
        <w:t xml:space="preserve">his section provides details on the </w:t>
      </w:r>
      <w:r w:rsidR="00A65EA2">
        <w:rPr>
          <w:rFonts w:ascii="Times New Roman" w:hAnsi="Times New Roman" w:cs="Times New Roman"/>
          <w:lang w:val="en-IE"/>
        </w:rPr>
        <w:t xml:space="preserve">sample </w:t>
      </w:r>
      <w:r w:rsidR="00761B51">
        <w:rPr>
          <w:rFonts w:ascii="Times New Roman" w:hAnsi="Times New Roman" w:cs="Times New Roman"/>
          <w:lang w:val="en-IE"/>
        </w:rPr>
        <w:t>for</w:t>
      </w:r>
      <w:r w:rsidR="00A65EA2">
        <w:rPr>
          <w:rFonts w:ascii="Times New Roman" w:hAnsi="Times New Roman" w:cs="Times New Roman"/>
          <w:lang w:val="en-IE"/>
        </w:rPr>
        <w:t xml:space="preserve"> the econometric analysis</w:t>
      </w:r>
      <w:r w:rsidR="001500B9">
        <w:rPr>
          <w:rFonts w:ascii="Times New Roman" w:hAnsi="Times New Roman" w:cs="Times New Roman"/>
          <w:lang w:val="en-IE"/>
        </w:rPr>
        <w:t xml:space="preserve"> and</w:t>
      </w:r>
      <w:r w:rsidR="00981FA3">
        <w:rPr>
          <w:rFonts w:ascii="Times New Roman" w:hAnsi="Times New Roman" w:cs="Times New Roman"/>
          <w:lang w:val="en-IE"/>
        </w:rPr>
        <w:t xml:space="preserve"> </w:t>
      </w:r>
      <w:r w:rsidR="00A65EA2">
        <w:rPr>
          <w:rFonts w:ascii="Times New Roman" w:hAnsi="Times New Roman" w:cs="Times New Roman"/>
          <w:lang w:val="en-IE"/>
        </w:rPr>
        <w:t xml:space="preserve">the </w:t>
      </w:r>
      <w:r w:rsidR="00C61A6B">
        <w:rPr>
          <w:rFonts w:ascii="Times New Roman" w:hAnsi="Times New Roman" w:cs="Times New Roman"/>
          <w:lang w:val="en-IE"/>
        </w:rPr>
        <w:t xml:space="preserve">data </w:t>
      </w:r>
      <w:r w:rsidR="00A65EA2">
        <w:rPr>
          <w:rFonts w:ascii="Times New Roman" w:hAnsi="Times New Roman" w:cs="Times New Roman"/>
          <w:lang w:val="en-IE"/>
        </w:rPr>
        <w:t>source</w:t>
      </w:r>
      <w:r w:rsidR="001500B9">
        <w:rPr>
          <w:rFonts w:ascii="Times New Roman" w:hAnsi="Times New Roman" w:cs="Times New Roman"/>
          <w:lang w:val="en-IE"/>
        </w:rPr>
        <w:t>s</w:t>
      </w:r>
      <w:r w:rsidR="00761B51">
        <w:rPr>
          <w:rFonts w:ascii="Times New Roman" w:hAnsi="Times New Roman" w:cs="Times New Roman"/>
          <w:lang w:val="en-IE"/>
        </w:rPr>
        <w:t xml:space="preserve"> used</w:t>
      </w:r>
      <w:r w:rsidR="001500B9">
        <w:rPr>
          <w:rFonts w:ascii="Times New Roman" w:hAnsi="Times New Roman" w:cs="Times New Roman"/>
          <w:lang w:val="en-IE"/>
        </w:rPr>
        <w:t>.</w:t>
      </w:r>
      <w:r w:rsidR="0051613C">
        <w:rPr>
          <w:rFonts w:ascii="Times New Roman" w:hAnsi="Times New Roman" w:cs="Times New Roman"/>
          <w:lang w:val="en-IE"/>
        </w:rPr>
        <w:t xml:space="preserve"> It also </w:t>
      </w:r>
      <w:r w:rsidR="00F52125">
        <w:rPr>
          <w:rFonts w:ascii="Times New Roman" w:hAnsi="Times New Roman" w:cs="Times New Roman"/>
          <w:lang w:val="en-IE"/>
        </w:rPr>
        <w:t>gives</w:t>
      </w:r>
      <w:r w:rsidR="0051613C">
        <w:rPr>
          <w:rFonts w:ascii="Times New Roman" w:hAnsi="Times New Roman" w:cs="Times New Roman"/>
          <w:lang w:val="en-IE"/>
        </w:rPr>
        <w:t xml:space="preserve"> an </w:t>
      </w:r>
      <w:r w:rsidR="004C1CCF" w:rsidRPr="00254666">
        <w:rPr>
          <w:rFonts w:ascii="Times New Roman" w:hAnsi="Times New Roman" w:cs="Times New Roman"/>
          <w:lang w:val="en-IE"/>
        </w:rPr>
        <w:t>overview of the Enterprise Ireland client base</w:t>
      </w:r>
      <w:r w:rsidR="0051613C">
        <w:rPr>
          <w:rFonts w:ascii="Times New Roman" w:hAnsi="Times New Roman" w:cs="Times New Roman"/>
          <w:lang w:val="en-IE"/>
        </w:rPr>
        <w:t xml:space="preserve"> and</w:t>
      </w:r>
      <w:r w:rsidR="004C1CCF" w:rsidRPr="00254666">
        <w:rPr>
          <w:rFonts w:ascii="Times New Roman" w:hAnsi="Times New Roman" w:cs="Times New Roman"/>
          <w:lang w:val="en-IE"/>
        </w:rPr>
        <w:t xml:space="preserve"> the types of companies that are eligible to become EI clients</w:t>
      </w:r>
      <w:r w:rsidR="001C011A">
        <w:rPr>
          <w:rFonts w:ascii="Times New Roman" w:hAnsi="Times New Roman" w:cs="Times New Roman"/>
          <w:lang w:val="en-IE"/>
        </w:rPr>
        <w:t>.</w:t>
      </w:r>
      <w:r w:rsidR="00C61A6B">
        <w:rPr>
          <w:rFonts w:ascii="Times New Roman" w:hAnsi="Times New Roman" w:cs="Times New Roman"/>
          <w:lang w:val="en-IE"/>
        </w:rPr>
        <w:t xml:space="preserve"> </w:t>
      </w:r>
    </w:p>
    <w:p w14:paraId="0157BAD0" w14:textId="3EF886A1" w:rsidR="004C1CCF" w:rsidRPr="00254666" w:rsidRDefault="00991C74" w:rsidP="00991C74">
      <w:pPr>
        <w:pStyle w:val="ListParagraph"/>
        <w:numPr>
          <w:ilvl w:val="1"/>
          <w:numId w:val="28"/>
        </w:numPr>
        <w:spacing w:after="240" w:line="360" w:lineRule="auto"/>
        <w:jc w:val="both"/>
        <w:rPr>
          <w:rFonts w:ascii="Times New Roman" w:hAnsi="Times New Roman" w:cs="Times New Roman"/>
          <w:lang w:val="en-IE"/>
        </w:rPr>
      </w:pPr>
      <w:r w:rsidRPr="00991C74">
        <w:rPr>
          <w:rFonts w:ascii="Times New Roman" w:hAnsi="Times New Roman" w:cs="Times New Roman"/>
          <w:b/>
          <w:bCs/>
          <w:lang w:val="en-IE"/>
        </w:rPr>
        <w:t xml:space="preserve">Section 3.1 - </w:t>
      </w:r>
      <w:r w:rsidR="004C1CCF" w:rsidRPr="00991C74">
        <w:rPr>
          <w:rFonts w:ascii="Times New Roman" w:hAnsi="Times New Roman" w:cs="Times New Roman"/>
          <w:b/>
          <w:bCs/>
          <w:lang w:val="en-IE"/>
        </w:rPr>
        <w:t>Variable Descriptions:</w:t>
      </w:r>
      <w:r w:rsidR="004C1CCF" w:rsidRPr="00254666">
        <w:rPr>
          <w:rFonts w:ascii="Times New Roman" w:hAnsi="Times New Roman" w:cs="Times New Roman"/>
          <w:lang w:val="en-IE"/>
        </w:rPr>
        <w:t xml:space="preserve"> </w:t>
      </w:r>
      <w:r w:rsidR="009F422D">
        <w:rPr>
          <w:rFonts w:ascii="Times New Roman" w:hAnsi="Times New Roman" w:cs="Times New Roman"/>
          <w:lang w:val="en-IE"/>
        </w:rPr>
        <w:t>D</w:t>
      </w:r>
      <w:r w:rsidR="004C1CCF" w:rsidRPr="00254666">
        <w:rPr>
          <w:rFonts w:ascii="Times New Roman" w:hAnsi="Times New Roman" w:cs="Times New Roman"/>
          <w:lang w:val="en-IE"/>
        </w:rPr>
        <w:t xml:space="preserve">escriptions of the variables </w:t>
      </w:r>
      <w:r w:rsidR="00672B2C">
        <w:rPr>
          <w:rFonts w:ascii="Times New Roman" w:hAnsi="Times New Roman" w:cs="Times New Roman"/>
          <w:lang w:val="en-IE"/>
        </w:rPr>
        <w:t>used in the analysis</w:t>
      </w:r>
      <w:r w:rsidR="004C1CCF" w:rsidRPr="00254666">
        <w:rPr>
          <w:rFonts w:ascii="Times New Roman" w:hAnsi="Times New Roman" w:cs="Times New Roman"/>
          <w:lang w:val="en-IE"/>
        </w:rPr>
        <w:t>. This includes an outline of the process and rationale for selecting relevant independent variables for each of the focus areas identified in the literature review as well as the dependent variables to represent export performance.</w:t>
      </w:r>
    </w:p>
    <w:p w14:paraId="1DA67E27" w14:textId="3AF5563B" w:rsidR="004C1CCF" w:rsidRPr="00254666" w:rsidRDefault="00672B2C" w:rsidP="00672B2C">
      <w:pPr>
        <w:pStyle w:val="ListParagraph"/>
        <w:numPr>
          <w:ilvl w:val="1"/>
          <w:numId w:val="28"/>
        </w:numPr>
        <w:spacing w:after="240" w:line="360" w:lineRule="auto"/>
        <w:jc w:val="both"/>
        <w:rPr>
          <w:rFonts w:ascii="Times New Roman" w:hAnsi="Times New Roman" w:cs="Times New Roman"/>
          <w:lang w:val="en-IE"/>
        </w:rPr>
      </w:pPr>
      <w:r w:rsidRPr="00672B2C">
        <w:rPr>
          <w:rFonts w:ascii="Times New Roman" w:hAnsi="Times New Roman" w:cs="Times New Roman"/>
          <w:b/>
          <w:bCs/>
          <w:lang w:val="en-IE"/>
        </w:rPr>
        <w:t xml:space="preserve">Section 3.2 - </w:t>
      </w:r>
      <w:r w:rsidR="004C1CCF" w:rsidRPr="00672B2C">
        <w:rPr>
          <w:rFonts w:ascii="Times New Roman" w:hAnsi="Times New Roman" w:cs="Times New Roman"/>
          <w:b/>
          <w:bCs/>
          <w:lang w:val="en-IE"/>
        </w:rPr>
        <w:t>Sectoral Characteristics and Trends:</w:t>
      </w:r>
      <w:r w:rsidR="004C1CCF" w:rsidRPr="00254666">
        <w:rPr>
          <w:rFonts w:ascii="Times New Roman" w:hAnsi="Times New Roman" w:cs="Times New Roman"/>
          <w:lang w:val="en-IE"/>
        </w:rPr>
        <w:t xml:space="preserve"> </w:t>
      </w:r>
      <w:r w:rsidR="009F422D">
        <w:rPr>
          <w:rFonts w:ascii="Times New Roman" w:hAnsi="Times New Roman" w:cs="Times New Roman"/>
          <w:lang w:val="en-IE"/>
        </w:rPr>
        <w:t>D</w:t>
      </w:r>
      <w:r w:rsidR="004C1CCF" w:rsidRPr="00254666">
        <w:rPr>
          <w:rFonts w:ascii="Times New Roman" w:hAnsi="Times New Roman" w:cs="Times New Roman"/>
          <w:lang w:val="en-IE"/>
        </w:rPr>
        <w:t xml:space="preserve">escriptive statistics which give insights on the characteristics </w:t>
      </w:r>
      <w:r w:rsidR="003C15E1">
        <w:rPr>
          <w:rFonts w:ascii="Times New Roman" w:hAnsi="Times New Roman" w:cs="Times New Roman"/>
          <w:lang w:val="en-IE"/>
        </w:rPr>
        <w:t xml:space="preserve">of </w:t>
      </w:r>
      <w:r w:rsidR="004C1CCF" w:rsidRPr="00254666">
        <w:rPr>
          <w:rFonts w:ascii="Times New Roman" w:hAnsi="Times New Roman" w:cs="Times New Roman"/>
          <w:lang w:val="en-IE"/>
        </w:rPr>
        <w:t xml:space="preserve">companies in the sample. This includes data on average company size, </w:t>
      </w:r>
      <w:r w:rsidR="003C15E1" w:rsidRPr="00254666">
        <w:rPr>
          <w:rFonts w:ascii="Times New Roman" w:hAnsi="Times New Roman" w:cs="Times New Roman"/>
          <w:lang w:val="en-IE"/>
        </w:rPr>
        <w:t>productivity,</w:t>
      </w:r>
      <w:r w:rsidR="004C1CCF" w:rsidRPr="00254666">
        <w:rPr>
          <w:rFonts w:ascii="Times New Roman" w:hAnsi="Times New Roman" w:cs="Times New Roman"/>
          <w:lang w:val="en-IE"/>
        </w:rPr>
        <w:t xml:space="preserve"> and innovation activities. The section also </w:t>
      </w:r>
      <w:r w:rsidR="003C15E1">
        <w:rPr>
          <w:rFonts w:ascii="Times New Roman" w:hAnsi="Times New Roman" w:cs="Times New Roman"/>
          <w:lang w:val="en-IE"/>
        </w:rPr>
        <w:t>outlines</w:t>
      </w:r>
      <w:r w:rsidR="004C1CCF" w:rsidRPr="00254666">
        <w:rPr>
          <w:rFonts w:ascii="Times New Roman" w:hAnsi="Times New Roman" w:cs="Times New Roman"/>
          <w:lang w:val="en-IE"/>
        </w:rPr>
        <w:t xml:space="preserve"> trends in these variables from 2010 to 2019, the period covered in the analysis.</w:t>
      </w:r>
    </w:p>
    <w:p w14:paraId="174267AD" w14:textId="7D999D0D" w:rsidR="004C1CCF" w:rsidRPr="00254666" w:rsidRDefault="009F422D" w:rsidP="00254666">
      <w:pPr>
        <w:pStyle w:val="ListParagraph"/>
        <w:numPr>
          <w:ilvl w:val="0"/>
          <w:numId w:val="29"/>
        </w:numPr>
        <w:spacing w:after="240" w:line="360" w:lineRule="auto"/>
        <w:jc w:val="both"/>
        <w:rPr>
          <w:rFonts w:ascii="Times New Roman" w:hAnsi="Times New Roman" w:cs="Times New Roman"/>
          <w:lang w:val="en-IE"/>
        </w:rPr>
      </w:pPr>
      <w:r w:rsidRPr="009F422D">
        <w:rPr>
          <w:rFonts w:ascii="Times New Roman" w:hAnsi="Times New Roman" w:cs="Times New Roman"/>
          <w:b/>
          <w:bCs/>
          <w:lang w:val="en-IE"/>
        </w:rPr>
        <w:t xml:space="preserve">Section 4 - </w:t>
      </w:r>
      <w:r w:rsidR="004C1CCF" w:rsidRPr="009F422D">
        <w:rPr>
          <w:rFonts w:ascii="Times New Roman" w:hAnsi="Times New Roman" w:cs="Times New Roman"/>
          <w:b/>
          <w:bCs/>
          <w:lang w:val="en-IE"/>
        </w:rPr>
        <w:t>Methodology:</w:t>
      </w:r>
      <w:r w:rsidR="004C1CCF" w:rsidRPr="00254666">
        <w:rPr>
          <w:rFonts w:ascii="Times New Roman" w:hAnsi="Times New Roman" w:cs="Times New Roman"/>
          <w:lang w:val="en-IE"/>
        </w:rPr>
        <w:t xml:space="preserve"> </w:t>
      </w:r>
      <w:r w:rsidRPr="009F422D">
        <w:rPr>
          <w:rFonts w:ascii="Times New Roman" w:hAnsi="Times New Roman" w:cs="Times New Roman"/>
          <w:lang w:val="en-IE"/>
        </w:rPr>
        <w:t xml:space="preserve">The methodology section </w:t>
      </w:r>
      <w:r w:rsidR="007542B5">
        <w:rPr>
          <w:rFonts w:ascii="Times New Roman" w:hAnsi="Times New Roman" w:cs="Times New Roman"/>
          <w:lang w:val="en-IE"/>
        </w:rPr>
        <w:t>describes</w:t>
      </w:r>
      <w:r w:rsidRPr="009F422D">
        <w:rPr>
          <w:rFonts w:ascii="Times New Roman" w:hAnsi="Times New Roman" w:cs="Times New Roman"/>
          <w:lang w:val="en-IE"/>
        </w:rPr>
        <w:t xml:space="preserve"> </w:t>
      </w:r>
      <w:r w:rsidR="00CD5A55">
        <w:rPr>
          <w:rFonts w:ascii="Times New Roman" w:hAnsi="Times New Roman" w:cs="Times New Roman"/>
          <w:lang w:val="en-IE"/>
        </w:rPr>
        <w:t>several</w:t>
      </w:r>
      <w:r w:rsidRPr="009F422D">
        <w:rPr>
          <w:rFonts w:ascii="Times New Roman" w:hAnsi="Times New Roman" w:cs="Times New Roman"/>
          <w:lang w:val="en-IE"/>
        </w:rPr>
        <w:t xml:space="preserve"> models which are commonly used to analyse panel data</w:t>
      </w:r>
      <w:r w:rsidR="00390D13">
        <w:rPr>
          <w:rFonts w:ascii="Times New Roman" w:hAnsi="Times New Roman" w:cs="Times New Roman"/>
          <w:lang w:val="en-IE"/>
        </w:rPr>
        <w:t>,</w:t>
      </w:r>
      <w:r w:rsidR="007542B5">
        <w:rPr>
          <w:rFonts w:ascii="Times New Roman" w:hAnsi="Times New Roman" w:cs="Times New Roman"/>
          <w:lang w:val="en-IE"/>
        </w:rPr>
        <w:t xml:space="preserve"> their main features </w:t>
      </w:r>
      <w:r w:rsidR="00D166BF">
        <w:rPr>
          <w:rFonts w:ascii="Times New Roman" w:hAnsi="Times New Roman" w:cs="Times New Roman"/>
          <w:lang w:val="en-IE"/>
        </w:rPr>
        <w:t>a</w:t>
      </w:r>
      <w:r w:rsidR="005F3FFF">
        <w:rPr>
          <w:rFonts w:ascii="Times New Roman" w:hAnsi="Times New Roman" w:cs="Times New Roman"/>
          <w:lang w:val="en-IE"/>
        </w:rPr>
        <w:t xml:space="preserve">nd </w:t>
      </w:r>
      <w:r w:rsidR="00D166BF">
        <w:rPr>
          <w:rFonts w:ascii="Times New Roman" w:hAnsi="Times New Roman" w:cs="Times New Roman"/>
          <w:lang w:val="en-IE"/>
        </w:rPr>
        <w:t>the</w:t>
      </w:r>
      <w:r w:rsidR="007542B5">
        <w:rPr>
          <w:rFonts w:ascii="Times New Roman" w:hAnsi="Times New Roman" w:cs="Times New Roman"/>
          <w:lang w:val="en-IE"/>
        </w:rPr>
        <w:t xml:space="preserve"> </w:t>
      </w:r>
      <w:r w:rsidR="00D166BF">
        <w:rPr>
          <w:rFonts w:ascii="Times New Roman" w:hAnsi="Times New Roman" w:cs="Times New Roman"/>
          <w:lang w:val="en-IE"/>
        </w:rPr>
        <w:t>advantages and drawbacks of each model</w:t>
      </w:r>
      <w:r w:rsidRPr="009F422D">
        <w:rPr>
          <w:rFonts w:ascii="Times New Roman" w:hAnsi="Times New Roman" w:cs="Times New Roman"/>
          <w:lang w:val="en-IE"/>
        </w:rPr>
        <w:t xml:space="preserve">. It also outlines the steps taken to identify the appropriate model for this analysis based on the characteristics of the dataset </w:t>
      </w:r>
      <w:r w:rsidR="005F3FFF">
        <w:rPr>
          <w:rFonts w:ascii="Times New Roman" w:hAnsi="Times New Roman" w:cs="Times New Roman"/>
          <w:lang w:val="en-IE"/>
        </w:rPr>
        <w:t xml:space="preserve">as well as </w:t>
      </w:r>
      <w:r w:rsidRPr="009F422D">
        <w:rPr>
          <w:rFonts w:ascii="Times New Roman" w:hAnsi="Times New Roman" w:cs="Times New Roman"/>
          <w:lang w:val="en-IE"/>
        </w:rPr>
        <w:t>potential issues which can arise when analysing panel data</w:t>
      </w:r>
      <w:r w:rsidR="004C1CCF" w:rsidRPr="00254666">
        <w:rPr>
          <w:rFonts w:ascii="Times New Roman" w:hAnsi="Times New Roman" w:cs="Times New Roman"/>
          <w:lang w:val="en-IE"/>
        </w:rPr>
        <w:t>.</w:t>
      </w:r>
    </w:p>
    <w:p w14:paraId="1794EAC3" w14:textId="2F24D7F6" w:rsidR="001512ED" w:rsidRDefault="00210CF0" w:rsidP="00254666">
      <w:pPr>
        <w:pStyle w:val="ListParagraph"/>
        <w:numPr>
          <w:ilvl w:val="0"/>
          <w:numId w:val="29"/>
        </w:numPr>
        <w:spacing w:after="240" w:line="360" w:lineRule="auto"/>
        <w:jc w:val="both"/>
        <w:rPr>
          <w:rFonts w:ascii="Times New Roman" w:hAnsi="Times New Roman" w:cs="Times New Roman"/>
          <w:lang w:val="en-IE"/>
        </w:rPr>
      </w:pPr>
      <w:r w:rsidRPr="00210CF0">
        <w:rPr>
          <w:rFonts w:ascii="Times New Roman" w:hAnsi="Times New Roman" w:cs="Times New Roman"/>
          <w:b/>
          <w:bCs/>
          <w:lang w:val="en-IE"/>
        </w:rPr>
        <w:t xml:space="preserve">Section 5 - </w:t>
      </w:r>
      <w:r w:rsidR="004C1CCF" w:rsidRPr="00210CF0">
        <w:rPr>
          <w:rFonts w:ascii="Times New Roman" w:hAnsi="Times New Roman" w:cs="Times New Roman"/>
          <w:b/>
          <w:bCs/>
          <w:lang w:val="en-IE"/>
        </w:rPr>
        <w:t>Results:</w:t>
      </w:r>
      <w:r w:rsidR="004C1CCF" w:rsidRPr="00254666">
        <w:rPr>
          <w:rFonts w:ascii="Times New Roman" w:hAnsi="Times New Roman" w:cs="Times New Roman"/>
          <w:lang w:val="en-IE"/>
        </w:rPr>
        <w:t xml:space="preserve"> </w:t>
      </w:r>
      <w:r w:rsidR="00887321">
        <w:rPr>
          <w:rFonts w:ascii="Times New Roman" w:hAnsi="Times New Roman" w:cs="Times New Roman"/>
          <w:lang w:val="en-IE"/>
        </w:rPr>
        <w:t>The outputs of the analysis are presented</w:t>
      </w:r>
      <w:r w:rsidR="00773385">
        <w:rPr>
          <w:rFonts w:ascii="Times New Roman" w:hAnsi="Times New Roman" w:cs="Times New Roman"/>
          <w:lang w:val="en-IE"/>
        </w:rPr>
        <w:t xml:space="preserve"> </w:t>
      </w:r>
      <w:r w:rsidR="004C1CCF" w:rsidRPr="00254666">
        <w:rPr>
          <w:rFonts w:ascii="Times New Roman" w:hAnsi="Times New Roman" w:cs="Times New Roman"/>
          <w:lang w:val="en-IE"/>
        </w:rPr>
        <w:t xml:space="preserve">in </w:t>
      </w:r>
      <w:r w:rsidR="00773385">
        <w:rPr>
          <w:rFonts w:ascii="Times New Roman" w:hAnsi="Times New Roman" w:cs="Times New Roman"/>
          <w:lang w:val="en-IE"/>
        </w:rPr>
        <w:t xml:space="preserve">two separate </w:t>
      </w:r>
      <w:r w:rsidR="004C1CCF" w:rsidRPr="00254666">
        <w:rPr>
          <w:rFonts w:ascii="Times New Roman" w:hAnsi="Times New Roman" w:cs="Times New Roman"/>
          <w:lang w:val="en-IE"/>
        </w:rPr>
        <w:t>tables</w:t>
      </w:r>
      <w:r w:rsidR="00C33889">
        <w:rPr>
          <w:rFonts w:ascii="Times New Roman" w:hAnsi="Times New Roman" w:cs="Times New Roman"/>
          <w:lang w:val="en-IE"/>
        </w:rPr>
        <w:t xml:space="preserve"> for each of the dependent variables</w:t>
      </w:r>
      <w:r w:rsidR="00F70165">
        <w:rPr>
          <w:rFonts w:ascii="Times New Roman" w:hAnsi="Times New Roman" w:cs="Times New Roman"/>
          <w:lang w:val="en-IE"/>
        </w:rPr>
        <w:t>: the value of exports (intensive margin) and the number of export markets (extensive margin)</w:t>
      </w:r>
      <w:r w:rsidR="004C1CCF" w:rsidRPr="00254666">
        <w:rPr>
          <w:rFonts w:ascii="Times New Roman" w:hAnsi="Times New Roman" w:cs="Times New Roman"/>
          <w:lang w:val="en-IE"/>
        </w:rPr>
        <w:t xml:space="preserve">. </w:t>
      </w:r>
      <w:r w:rsidR="00272228">
        <w:rPr>
          <w:rFonts w:ascii="Times New Roman" w:hAnsi="Times New Roman" w:cs="Times New Roman"/>
          <w:lang w:val="en-IE"/>
        </w:rPr>
        <w:t>The</w:t>
      </w:r>
      <w:r w:rsidR="004C1CCF" w:rsidRPr="00254666">
        <w:rPr>
          <w:rFonts w:ascii="Times New Roman" w:hAnsi="Times New Roman" w:cs="Times New Roman"/>
          <w:lang w:val="en-IE"/>
        </w:rPr>
        <w:t xml:space="preserve"> interpretation </w:t>
      </w:r>
      <w:r w:rsidR="00C144FE">
        <w:rPr>
          <w:rFonts w:ascii="Times New Roman" w:hAnsi="Times New Roman" w:cs="Times New Roman"/>
          <w:lang w:val="en-IE"/>
        </w:rPr>
        <w:t xml:space="preserve">of these outputs </w:t>
      </w:r>
      <w:r w:rsidR="00272228">
        <w:rPr>
          <w:rFonts w:ascii="Times New Roman" w:hAnsi="Times New Roman" w:cs="Times New Roman"/>
          <w:lang w:val="en-IE"/>
        </w:rPr>
        <w:t xml:space="preserve">is outlined below each table with </w:t>
      </w:r>
      <w:r w:rsidR="004C1CCF" w:rsidRPr="00254666">
        <w:rPr>
          <w:rFonts w:ascii="Times New Roman" w:hAnsi="Times New Roman" w:cs="Times New Roman"/>
          <w:lang w:val="en-IE"/>
        </w:rPr>
        <w:t xml:space="preserve">commentary on the relationships identified between export performance and the regressors as well as comparisons with </w:t>
      </w:r>
      <w:r w:rsidR="00DB156C">
        <w:rPr>
          <w:rFonts w:ascii="Times New Roman" w:hAnsi="Times New Roman" w:cs="Times New Roman"/>
          <w:lang w:val="en-IE"/>
        </w:rPr>
        <w:t xml:space="preserve">the findings of </w:t>
      </w:r>
      <w:r w:rsidR="004C1CCF" w:rsidRPr="00254666">
        <w:rPr>
          <w:rFonts w:ascii="Times New Roman" w:hAnsi="Times New Roman" w:cs="Times New Roman"/>
          <w:lang w:val="en-IE"/>
        </w:rPr>
        <w:t>existing literature.</w:t>
      </w:r>
    </w:p>
    <w:p w14:paraId="528FE28B" w14:textId="69986877" w:rsidR="00DB156C" w:rsidRDefault="00DB156C" w:rsidP="00254666">
      <w:pPr>
        <w:pStyle w:val="ListParagraph"/>
        <w:numPr>
          <w:ilvl w:val="0"/>
          <w:numId w:val="29"/>
        </w:numPr>
        <w:spacing w:after="240" w:line="360" w:lineRule="auto"/>
        <w:jc w:val="both"/>
        <w:rPr>
          <w:rFonts w:ascii="Times New Roman" w:hAnsi="Times New Roman" w:cs="Times New Roman"/>
          <w:lang w:val="en-IE"/>
        </w:rPr>
      </w:pPr>
      <w:r w:rsidRPr="00F70165">
        <w:rPr>
          <w:rFonts w:ascii="Times New Roman" w:hAnsi="Times New Roman" w:cs="Times New Roman"/>
          <w:b/>
          <w:bCs/>
          <w:lang w:val="en-IE"/>
        </w:rPr>
        <w:t>Section 6 – Conclusions:</w:t>
      </w:r>
      <w:r>
        <w:rPr>
          <w:rFonts w:ascii="Times New Roman" w:hAnsi="Times New Roman" w:cs="Times New Roman"/>
          <w:lang w:val="en-IE"/>
        </w:rPr>
        <w:t xml:space="preserve"> The final section provides a summary of the main findings</w:t>
      </w:r>
      <w:r w:rsidR="004F1752">
        <w:rPr>
          <w:rFonts w:ascii="Times New Roman" w:hAnsi="Times New Roman" w:cs="Times New Roman"/>
          <w:lang w:val="en-IE"/>
        </w:rPr>
        <w:t xml:space="preserve">, </w:t>
      </w:r>
      <w:r>
        <w:rPr>
          <w:rFonts w:ascii="Times New Roman" w:hAnsi="Times New Roman" w:cs="Times New Roman"/>
          <w:lang w:val="en-IE"/>
        </w:rPr>
        <w:t xml:space="preserve">the </w:t>
      </w:r>
      <w:r w:rsidR="004F1752">
        <w:rPr>
          <w:rFonts w:ascii="Times New Roman" w:hAnsi="Times New Roman" w:cs="Times New Roman"/>
          <w:lang w:val="en-IE"/>
        </w:rPr>
        <w:t xml:space="preserve">possible </w:t>
      </w:r>
      <w:r>
        <w:rPr>
          <w:rFonts w:ascii="Times New Roman" w:hAnsi="Times New Roman" w:cs="Times New Roman"/>
          <w:lang w:val="en-IE"/>
        </w:rPr>
        <w:t>implications of these findin</w:t>
      </w:r>
      <w:r w:rsidR="00F70165">
        <w:rPr>
          <w:rFonts w:ascii="Times New Roman" w:hAnsi="Times New Roman" w:cs="Times New Roman"/>
          <w:lang w:val="en-IE"/>
        </w:rPr>
        <w:t>gs</w:t>
      </w:r>
      <w:r w:rsidR="004F1752">
        <w:rPr>
          <w:rFonts w:ascii="Times New Roman" w:hAnsi="Times New Roman" w:cs="Times New Roman"/>
          <w:lang w:val="en-IE"/>
        </w:rPr>
        <w:t xml:space="preserve"> as well as potential areas for further research</w:t>
      </w:r>
      <w:r w:rsidR="00F70165">
        <w:rPr>
          <w:rFonts w:ascii="Times New Roman" w:hAnsi="Times New Roman" w:cs="Times New Roman"/>
          <w:lang w:val="en-IE"/>
        </w:rPr>
        <w:t>.</w:t>
      </w:r>
    </w:p>
    <w:p w14:paraId="234FC677" w14:textId="682D8BBE" w:rsidR="00F70165" w:rsidRDefault="00F70165">
      <w:pPr>
        <w:rPr>
          <w:rFonts w:ascii="Times New Roman" w:hAnsi="Times New Roman" w:cs="Times New Roman"/>
          <w:lang w:val="en-IE"/>
        </w:rPr>
      </w:pPr>
      <w:r>
        <w:rPr>
          <w:rFonts w:ascii="Times New Roman" w:hAnsi="Times New Roman" w:cs="Times New Roman"/>
          <w:lang w:val="en-IE"/>
        </w:rPr>
        <w:br w:type="page"/>
      </w:r>
    </w:p>
    <w:p w14:paraId="30C2B2B2" w14:textId="342C6282" w:rsidR="009A0171" w:rsidRPr="00C73908" w:rsidRDefault="007D7999" w:rsidP="008A6DF2">
      <w:pPr>
        <w:pStyle w:val="Heading1"/>
        <w:numPr>
          <w:ilvl w:val="0"/>
          <w:numId w:val="4"/>
        </w:numPr>
        <w:spacing w:after="240" w:line="360" w:lineRule="auto"/>
        <w:jc w:val="both"/>
        <w:rPr>
          <w:rFonts w:ascii="Times New Roman" w:hAnsi="Times New Roman" w:cs="Times New Roman"/>
          <w:b/>
          <w:bCs/>
          <w:color w:val="0070C0"/>
          <w:lang w:val="en-IE"/>
        </w:rPr>
      </w:pPr>
      <w:bookmarkStart w:id="7" w:name="_Toc67143555"/>
      <w:bookmarkStart w:id="8" w:name="_Toc69198796"/>
      <w:r w:rsidRPr="00C73908">
        <w:rPr>
          <w:rFonts w:ascii="Times New Roman" w:hAnsi="Times New Roman" w:cs="Times New Roman"/>
          <w:b/>
          <w:bCs/>
          <w:color w:val="0070C0"/>
          <w:lang w:val="en-IE"/>
        </w:rPr>
        <w:lastRenderedPageBreak/>
        <w:t xml:space="preserve">Literature </w:t>
      </w:r>
      <w:r w:rsidR="0096530C" w:rsidRPr="00C73908">
        <w:rPr>
          <w:rFonts w:ascii="Times New Roman" w:hAnsi="Times New Roman" w:cs="Times New Roman"/>
          <w:b/>
          <w:bCs/>
          <w:color w:val="0070C0"/>
          <w:lang w:val="en-IE"/>
        </w:rPr>
        <w:t>Review</w:t>
      </w:r>
      <w:bookmarkEnd w:id="7"/>
      <w:bookmarkEnd w:id="8"/>
    </w:p>
    <w:p w14:paraId="4B34A43D" w14:textId="21EE2794" w:rsidR="00010AC9" w:rsidRPr="00C73908" w:rsidRDefault="00423042"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Empirical analysis</w:t>
      </w:r>
      <w:r w:rsidR="0096530C" w:rsidRPr="00C73908">
        <w:rPr>
          <w:rFonts w:ascii="Times New Roman" w:hAnsi="Times New Roman" w:cs="Times New Roman"/>
          <w:lang w:val="en-IE"/>
        </w:rPr>
        <w:t xml:space="preserve"> on the characteristics of export</w:t>
      </w:r>
      <w:r w:rsidR="005C5D8E" w:rsidRPr="00C73908">
        <w:rPr>
          <w:rFonts w:ascii="Times New Roman" w:hAnsi="Times New Roman" w:cs="Times New Roman"/>
          <w:lang w:val="en-IE"/>
        </w:rPr>
        <w:t>ing companies</w:t>
      </w:r>
      <w:r w:rsidR="0096530C" w:rsidRPr="00C73908">
        <w:rPr>
          <w:rFonts w:ascii="Times New Roman" w:hAnsi="Times New Roman" w:cs="Times New Roman"/>
          <w:lang w:val="en-IE"/>
        </w:rPr>
        <w:t xml:space="preserve"> and the determinants of export performance </w:t>
      </w:r>
      <w:r w:rsidR="00DD414C" w:rsidRPr="00C73908">
        <w:rPr>
          <w:rFonts w:ascii="Times New Roman" w:hAnsi="Times New Roman" w:cs="Times New Roman"/>
          <w:lang w:val="en-IE"/>
        </w:rPr>
        <w:t>has become</w:t>
      </w:r>
      <w:r w:rsidR="001E0D43" w:rsidRPr="00C73908">
        <w:rPr>
          <w:rFonts w:ascii="Times New Roman" w:hAnsi="Times New Roman" w:cs="Times New Roman"/>
          <w:lang w:val="en-IE"/>
        </w:rPr>
        <w:t xml:space="preserve"> increasingly</w:t>
      </w:r>
      <w:r w:rsidR="0096530C" w:rsidRPr="00C73908">
        <w:rPr>
          <w:rFonts w:ascii="Times New Roman" w:hAnsi="Times New Roman" w:cs="Times New Roman"/>
          <w:lang w:val="en-IE"/>
        </w:rPr>
        <w:t xml:space="preserve"> </w:t>
      </w:r>
      <w:r w:rsidR="001E0D43" w:rsidRPr="00C73908">
        <w:rPr>
          <w:rFonts w:ascii="Times New Roman" w:hAnsi="Times New Roman" w:cs="Times New Roman"/>
          <w:lang w:val="en-IE"/>
        </w:rPr>
        <w:t xml:space="preserve">prominent </w:t>
      </w:r>
      <w:r w:rsidR="00DD414C" w:rsidRPr="00C73908">
        <w:rPr>
          <w:rFonts w:ascii="Times New Roman" w:hAnsi="Times New Roman" w:cs="Times New Roman"/>
          <w:lang w:val="en-IE"/>
        </w:rPr>
        <w:t>since</w:t>
      </w:r>
      <w:r w:rsidR="001E0D43" w:rsidRPr="00C73908">
        <w:rPr>
          <w:rFonts w:ascii="Times New Roman" w:hAnsi="Times New Roman" w:cs="Times New Roman"/>
          <w:lang w:val="en-IE"/>
        </w:rPr>
        <w:t xml:space="preserve"> the </w:t>
      </w:r>
      <w:r w:rsidR="00D76271" w:rsidRPr="00C73908">
        <w:rPr>
          <w:rFonts w:ascii="Times New Roman" w:hAnsi="Times New Roman" w:cs="Times New Roman"/>
          <w:lang w:val="en-IE"/>
        </w:rPr>
        <w:t>1990s</w:t>
      </w:r>
      <w:r w:rsidR="0096530C" w:rsidRPr="00C73908">
        <w:rPr>
          <w:rFonts w:ascii="Times New Roman" w:hAnsi="Times New Roman" w:cs="Times New Roman"/>
          <w:lang w:val="en-IE"/>
        </w:rPr>
        <w:t>.</w:t>
      </w:r>
      <w:r w:rsidR="005C5D8E" w:rsidRPr="00C73908">
        <w:rPr>
          <w:rFonts w:ascii="Times New Roman" w:hAnsi="Times New Roman" w:cs="Times New Roman"/>
          <w:lang w:val="en-IE"/>
        </w:rPr>
        <w:t xml:space="preserve"> Previous research </w:t>
      </w:r>
      <w:r w:rsidR="002E736A" w:rsidRPr="00C73908">
        <w:rPr>
          <w:rFonts w:ascii="Times New Roman" w:hAnsi="Times New Roman" w:cs="Times New Roman"/>
          <w:lang w:val="en-IE"/>
        </w:rPr>
        <w:t>tended to focus</w:t>
      </w:r>
      <w:r w:rsidR="005C5D8E" w:rsidRPr="00C73908">
        <w:rPr>
          <w:rFonts w:ascii="Times New Roman" w:hAnsi="Times New Roman" w:cs="Times New Roman"/>
          <w:lang w:val="en-IE"/>
        </w:rPr>
        <w:t xml:space="preserve"> on macro-economic trade patterns and </w:t>
      </w:r>
      <w:r w:rsidR="004B5AB6">
        <w:rPr>
          <w:rFonts w:ascii="Times New Roman" w:hAnsi="Times New Roman" w:cs="Times New Roman"/>
          <w:lang w:val="en-IE"/>
        </w:rPr>
        <w:t>the characteristics of</w:t>
      </w:r>
      <w:r w:rsidR="005C5D8E" w:rsidRPr="00C73908">
        <w:rPr>
          <w:rFonts w:ascii="Times New Roman" w:hAnsi="Times New Roman" w:cs="Times New Roman"/>
          <w:lang w:val="en-IE"/>
        </w:rPr>
        <w:t xml:space="preserve"> countries which </w:t>
      </w:r>
      <w:r w:rsidR="004B5AB6">
        <w:rPr>
          <w:rFonts w:ascii="Times New Roman" w:hAnsi="Times New Roman" w:cs="Times New Roman"/>
          <w:lang w:val="en-IE"/>
        </w:rPr>
        <w:t xml:space="preserve">influence their </w:t>
      </w:r>
      <w:r w:rsidR="00E369DC">
        <w:rPr>
          <w:rFonts w:ascii="Times New Roman" w:hAnsi="Times New Roman" w:cs="Times New Roman"/>
          <w:lang w:val="en-IE"/>
        </w:rPr>
        <w:t>openness to trade</w:t>
      </w:r>
      <w:r w:rsidR="005C5D8E" w:rsidRPr="00C73908">
        <w:rPr>
          <w:rFonts w:ascii="Times New Roman" w:hAnsi="Times New Roman" w:cs="Times New Roman"/>
          <w:lang w:val="en-IE"/>
        </w:rPr>
        <w:t xml:space="preserve">. However, increasing levels of globalisation and </w:t>
      </w:r>
      <w:r w:rsidR="00DD6F38" w:rsidRPr="00C73908">
        <w:rPr>
          <w:rFonts w:ascii="Times New Roman" w:hAnsi="Times New Roman" w:cs="Times New Roman"/>
          <w:lang w:val="en-IE"/>
        </w:rPr>
        <w:t>greater availability of granular datasets</w:t>
      </w:r>
      <w:r w:rsidR="00071457" w:rsidRPr="00C73908">
        <w:rPr>
          <w:rFonts w:ascii="Times New Roman" w:hAnsi="Times New Roman" w:cs="Times New Roman"/>
          <w:lang w:val="en-IE"/>
        </w:rPr>
        <w:t xml:space="preserve"> </w:t>
      </w:r>
      <w:r w:rsidR="006679A7" w:rsidRPr="00C73908">
        <w:rPr>
          <w:rFonts w:ascii="Times New Roman" w:hAnsi="Times New Roman" w:cs="Times New Roman"/>
          <w:lang w:val="en-IE"/>
        </w:rPr>
        <w:t xml:space="preserve">has </w:t>
      </w:r>
      <w:r w:rsidR="005C5D8E" w:rsidRPr="00C73908">
        <w:rPr>
          <w:rFonts w:ascii="Times New Roman" w:hAnsi="Times New Roman" w:cs="Times New Roman"/>
          <w:lang w:val="en-IE"/>
        </w:rPr>
        <w:t xml:space="preserve">led to a growing body of literature </w:t>
      </w:r>
      <w:r w:rsidR="00516456">
        <w:rPr>
          <w:rFonts w:ascii="Times New Roman" w:hAnsi="Times New Roman" w:cs="Times New Roman"/>
          <w:lang w:val="en-IE"/>
        </w:rPr>
        <w:t>that</w:t>
      </w:r>
      <w:r w:rsidR="005C5D8E" w:rsidRPr="00C73908">
        <w:rPr>
          <w:rFonts w:ascii="Times New Roman" w:hAnsi="Times New Roman" w:cs="Times New Roman"/>
          <w:lang w:val="en-IE"/>
        </w:rPr>
        <w:t xml:space="preserve"> use</w:t>
      </w:r>
      <w:r w:rsidR="00EE0D86" w:rsidRPr="00C73908">
        <w:rPr>
          <w:rFonts w:ascii="Times New Roman" w:hAnsi="Times New Roman" w:cs="Times New Roman"/>
          <w:lang w:val="en-IE"/>
        </w:rPr>
        <w:t>s</w:t>
      </w:r>
      <w:r w:rsidR="005C5D8E" w:rsidRPr="00C73908">
        <w:rPr>
          <w:rFonts w:ascii="Times New Roman" w:hAnsi="Times New Roman" w:cs="Times New Roman"/>
          <w:lang w:val="en-IE"/>
        </w:rPr>
        <w:t xml:space="preserve"> firm-level data to ex</w:t>
      </w:r>
      <w:r w:rsidR="003D4D0D" w:rsidRPr="00C73908">
        <w:rPr>
          <w:rFonts w:ascii="Times New Roman" w:hAnsi="Times New Roman" w:cs="Times New Roman"/>
          <w:lang w:val="en-IE"/>
        </w:rPr>
        <w:t xml:space="preserve">amine </w:t>
      </w:r>
      <w:r w:rsidR="0079389C" w:rsidRPr="00C73908">
        <w:rPr>
          <w:rFonts w:ascii="Times New Roman" w:hAnsi="Times New Roman" w:cs="Times New Roman"/>
          <w:lang w:val="en-IE"/>
        </w:rPr>
        <w:t xml:space="preserve">a wide range of </w:t>
      </w:r>
      <w:r w:rsidR="00921EFE" w:rsidRPr="00C73908">
        <w:rPr>
          <w:rFonts w:ascii="Times New Roman" w:hAnsi="Times New Roman" w:cs="Times New Roman"/>
          <w:lang w:val="en-IE"/>
        </w:rPr>
        <w:t>variables</w:t>
      </w:r>
      <w:r w:rsidR="003D4D0D" w:rsidRPr="00C73908">
        <w:rPr>
          <w:rFonts w:ascii="Times New Roman" w:hAnsi="Times New Roman" w:cs="Times New Roman"/>
          <w:lang w:val="en-IE"/>
        </w:rPr>
        <w:t xml:space="preserve"> which influence the export </w:t>
      </w:r>
      <w:r w:rsidR="000B0A1B" w:rsidRPr="00C73908">
        <w:rPr>
          <w:rFonts w:ascii="Times New Roman" w:hAnsi="Times New Roman" w:cs="Times New Roman"/>
          <w:lang w:val="en-IE"/>
        </w:rPr>
        <w:t>performance</w:t>
      </w:r>
      <w:r w:rsidR="003D4D0D" w:rsidRPr="00C73908">
        <w:rPr>
          <w:rFonts w:ascii="Times New Roman" w:hAnsi="Times New Roman" w:cs="Times New Roman"/>
          <w:lang w:val="en-IE"/>
        </w:rPr>
        <w:t xml:space="preserve"> of </w:t>
      </w:r>
      <w:r w:rsidR="009B3AC0" w:rsidRPr="00C73908">
        <w:rPr>
          <w:rFonts w:ascii="Times New Roman" w:hAnsi="Times New Roman" w:cs="Times New Roman"/>
          <w:lang w:val="en-IE"/>
        </w:rPr>
        <w:t xml:space="preserve">individual </w:t>
      </w:r>
      <w:r w:rsidR="003D4D0D" w:rsidRPr="00C73908">
        <w:rPr>
          <w:rFonts w:ascii="Times New Roman" w:hAnsi="Times New Roman" w:cs="Times New Roman"/>
          <w:lang w:val="en-IE"/>
        </w:rPr>
        <w:t>companies.</w:t>
      </w:r>
      <w:r w:rsidR="00EE0D86" w:rsidRPr="00C73908">
        <w:rPr>
          <w:rFonts w:ascii="Times New Roman" w:hAnsi="Times New Roman" w:cs="Times New Roman"/>
          <w:lang w:val="en-IE"/>
        </w:rPr>
        <w:t xml:space="preserve"> </w:t>
      </w:r>
      <w:r w:rsidR="00A307FD" w:rsidRPr="00C73908">
        <w:rPr>
          <w:rFonts w:ascii="Times New Roman" w:hAnsi="Times New Roman" w:cs="Times New Roman"/>
          <w:lang w:val="en-IE"/>
        </w:rPr>
        <w:t>E</w:t>
      </w:r>
      <w:r w:rsidR="008F2B37" w:rsidRPr="00C73908">
        <w:rPr>
          <w:rFonts w:ascii="Times New Roman" w:hAnsi="Times New Roman" w:cs="Times New Roman"/>
          <w:lang w:val="en-IE"/>
        </w:rPr>
        <w:t>arly e</w:t>
      </w:r>
      <w:r w:rsidR="008B44F1" w:rsidRPr="00C73908">
        <w:rPr>
          <w:rFonts w:ascii="Times New Roman" w:hAnsi="Times New Roman" w:cs="Times New Roman"/>
          <w:lang w:val="en-IE"/>
        </w:rPr>
        <w:t>mpirical</w:t>
      </w:r>
      <w:r w:rsidR="00B432AF" w:rsidRPr="00C73908">
        <w:rPr>
          <w:rFonts w:ascii="Times New Roman" w:hAnsi="Times New Roman" w:cs="Times New Roman"/>
          <w:lang w:val="en-IE"/>
        </w:rPr>
        <w:t xml:space="preserve"> studies</w:t>
      </w:r>
      <w:r w:rsidR="008F2B37" w:rsidRPr="00C73908">
        <w:rPr>
          <w:rFonts w:ascii="Times New Roman" w:hAnsi="Times New Roman" w:cs="Times New Roman"/>
          <w:lang w:val="en-IE"/>
        </w:rPr>
        <w:t xml:space="preserve"> </w:t>
      </w:r>
      <w:r w:rsidR="003C1D0F" w:rsidRPr="00C73908">
        <w:rPr>
          <w:rFonts w:ascii="Times New Roman" w:hAnsi="Times New Roman" w:cs="Times New Roman"/>
          <w:lang w:val="en-IE"/>
        </w:rPr>
        <w:t>have</w:t>
      </w:r>
      <w:r w:rsidR="00893FDE" w:rsidRPr="00C73908">
        <w:rPr>
          <w:rFonts w:ascii="Times New Roman" w:hAnsi="Times New Roman" w:cs="Times New Roman"/>
          <w:lang w:val="en-IE"/>
        </w:rPr>
        <w:t xml:space="preserve"> generally </w:t>
      </w:r>
      <w:r w:rsidR="00E737ED" w:rsidRPr="00C73908">
        <w:rPr>
          <w:rFonts w:ascii="Times New Roman" w:hAnsi="Times New Roman" w:cs="Times New Roman"/>
          <w:lang w:val="en-IE"/>
        </w:rPr>
        <w:t>found</w:t>
      </w:r>
      <w:r w:rsidR="00893FDE" w:rsidRPr="00C73908">
        <w:rPr>
          <w:rFonts w:ascii="Times New Roman" w:hAnsi="Times New Roman" w:cs="Times New Roman"/>
          <w:lang w:val="en-IE"/>
        </w:rPr>
        <w:t xml:space="preserve"> that</w:t>
      </w:r>
      <w:r w:rsidR="008B44F1" w:rsidRPr="00C73908">
        <w:rPr>
          <w:rFonts w:ascii="Times New Roman" w:hAnsi="Times New Roman" w:cs="Times New Roman"/>
          <w:lang w:val="en-IE"/>
        </w:rPr>
        <w:t xml:space="preserve"> exporting firms </w:t>
      </w:r>
      <w:r w:rsidR="003A4EB1" w:rsidRPr="00C73908">
        <w:rPr>
          <w:rFonts w:ascii="Times New Roman" w:hAnsi="Times New Roman" w:cs="Times New Roman"/>
          <w:lang w:val="en-IE"/>
        </w:rPr>
        <w:t>tend to perform better than</w:t>
      </w:r>
      <w:r w:rsidR="00FD08CB" w:rsidRPr="00C73908">
        <w:rPr>
          <w:rFonts w:ascii="Times New Roman" w:hAnsi="Times New Roman" w:cs="Times New Roman"/>
          <w:lang w:val="en-IE"/>
        </w:rPr>
        <w:t xml:space="preserve"> non-exporters </w:t>
      </w:r>
      <w:r w:rsidR="003A4EB1" w:rsidRPr="00C73908">
        <w:rPr>
          <w:rFonts w:ascii="Times New Roman" w:hAnsi="Times New Roman" w:cs="Times New Roman"/>
          <w:lang w:val="en-IE"/>
        </w:rPr>
        <w:t xml:space="preserve">across a range of </w:t>
      </w:r>
      <w:r w:rsidR="004D3A0A" w:rsidRPr="00C73908">
        <w:rPr>
          <w:rFonts w:ascii="Times New Roman" w:hAnsi="Times New Roman" w:cs="Times New Roman"/>
          <w:lang w:val="en-IE"/>
        </w:rPr>
        <w:t xml:space="preserve">performance </w:t>
      </w:r>
      <w:r w:rsidR="00881477" w:rsidRPr="00C73908">
        <w:rPr>
          <w:rFonts w:ascii="Times New Roman" w:hAnsi="Times New Roman" w:cs="Times New Roman"/>
          <w:lang w:val="en-IE"/>
        </w:rPr>
        <w:t>indicators such as</w:t>
      </w:r>
      <w:r w:rsidR="00FD08CB" w:rsidRPr="00C73908">
        <w:rPr>
          <w:rFonts w:ascii="Times New Roman" w:hAnsi="Times New Roman" w:cs="Times New Roman"/>
          <w:lang w:val="en-IE"/>
        </w:rPr>
        <w:t xml:space="preserve"> productivity, </w:t>
      </w:r>
      <w:r w:rsidR="000C479C">
        <w:rPr>
          <w:rFonts w:ascii="Times New Roman" w:hAnsi="Times New Roman" w:cs="Times New Roman"/>
          <w:lang w:val="en-IE"/>
        </w:rPr>
        <w:t>innovation,</w:t>
      </w:r>
      <w:r w:rsidR="00FD08CB" w:rsidRPr="00C73908">
        <w:rPr>
          <w:rFonts w:ascii="Times New Roman" w:hAnsi="Times New Roman" w:cs="Times New Roman"/>
          <w:lang w:val="en-IE"/>
        </w:rPr>
        <w:t xml:space="preserve"> and wage</w:t>
      </w:r>
      <w:r w:rsidR="004758A5">
        <w:rPr>
          <w:rFonts w:ascii="Times New Roman" w:hAnsi="Times New Roman" w:cs="Times New Roman"/>
          <w:lang w:val="en-IE"/>
        </w:rPr>
        <w:t xml:space="preserve"> levels</w:t>
      </w:r>
      <w:r w:rsidR="00893FDE" w:rsidRPr="00C73908">
        <w:rPr>
          <w:rFonts w:ascii="Times New Roman" w:hAnsi="Times New Roman" w:cs="Times New Roman"/>
          <w:lang w:val="en-IE"/>
        </w:rPr>
        <w:t>.</w:t>
      </w:r>
      <w:r w:rsidR="0048516D" w:rsidRPr="00C73908">
        <w:rPr>
          <w:rFonts w:ascii="Times New Roman" w:hAnsi="Times New Roman" w:cs="Times New Roman"/>
          <w:lang w:val="en-IE"/>
        </w:rPr>
        <w:t xml:space="preserve"> </w:t>
      </w:r>
      <w:r w:rsidR="000C479C">
        <w:rPr>
          <w:rFonts w:ascii="Times New Roman" w:hAnsi="Times New Roman" w:cs="Times New Roman"/>
          <w:lang w:val="en-IE"/>
        </w:rPr>
        <w:t>M</w:t>
      </w:r>
      <w:r w:rsidR="002B2266" w:rsidRPr="00C73908">
        <w:rPr>
          <w:rFonts w:ascii="Times New Roman" w:hAnsi="Times New Roman" w:cs="Times New Roman"/>
          <w:lang w:val="en-IE"/>
        </w:rPr>
        <w:t>any</w:t>
      </w:r>
      <w:r w:rsidR="0048516D" w:rsidRPr="00C73908">
        <w:rPr>
          <w:rFonts w:ascii="Times New Roman" w:hAnsi="Times New Roman" w:cs="Times New Roman"/>
          <w:lang w:val="en-IE"/>
        </w:rPr>
        <w:t xml:space="preserve"> </w:t>
      </w:r>
      <w:r w:rsidR="000C479C">
        <w:rPr>
          <w:rFonts w:ascii="Times New Roman" w:hAnsi="Times New Roman" w:cs="Times New Roman"/>
          <w:lang w:val="en-IE"/>
        </w:rPr>
        <w:t xml:space="preserve">early </w:t>
      </w:r>
      <w:r w:rsidR="0048516D" w:rsidRPr="00C73908">
        <w:rPr>
          <w:rFonts w:ascii="Times New Roman" w:hAnsi="Times New Roman" w:cs="Times New Roman"/>
          <w:lang w:val="en-IE"/>
        </w:rPr>
        <w:t xml:space="preserve">studies </w:t>
      </w:r>
      <w:r w:rsidR="009061D1" w:rsidRPr="00C73908">
        <w:rPr>
          <w:rFonts w:ascii="Times New Roman" w:hAnsi="Times New Roman" w:cs="Times New Roman"/>
          <w:lang w:val="en-IE"/>
        </w:rPr>
        <w:t>analysed</w:t>
      </w:r>
      <w:r w:rsidR="0048516D" w:rsidRPr="00C73908">
        <w:rPr>
          <w:rFonts w:ascii="Times New Roman" w:hAnsi="Times New Roman" w:cs="Times New Roman"/>
          <w:lang w:val="en-IE"/>
        </w:rPr>
        <w:t xml:space="preserve"> </w:t>
      </w:r>
      <w:r w:rsidR="004B529A" w:rsidRPr="00C73908">
        <w:rPr>
          <w:rFonts w:ascii="Times New Roman" w:hAnsi="Times New Roman" w:cs="Times New Roman"/>
          <w:lang w:val="en-IE"/>
        </w:rPr>
        <w:t>cross-sectional data</w:t>
      </w:r>
      <w:r w:rsidR="0048516D" w:rsidRPr="00C73908">
        <w:rPr>
          <w:rFonts w:ascii="Times New Roman" w:hAnsi="Times New Roman" w:cs="Times New Roman"/>
          <w:lang w:val="en-IE"/>
        </w:rPr>
        <w:t xml:space="preserve"> to </w:t>
      </w:r>
      <w:r w:rsidR="006C279A" w:rsidRPr="00C73908">
        <w:rPr>
          <w:rFonts w:ascii="Times New Roman" w:hAnsi="Times New Roman" w:cs="Times New Roman"/>
          <w:lang w:val="en-IE"/>
        </w:rPr>
        <w:t>test</w:t>
      </w:r>
      <w:r w:rsidR="005B7632" w:rsidRPr="00C73908">
        <w:rPr>
          <w:rFonts w:ascii="Times New Roman" w:hAnsi="Times New Roman" w:cs="Times New Roman"/>
          <w:lang w:val="en-IE"/>
        </w:rPr>
        <w:t xml:space="preserve"> the relationship between firm characteristics and </w:t>
      </w:r>
      <w:r w:rsidR="006C279A" w:rsidRPr="00C73908">
        <w:rPr>
          <w:rFonts w:ascii="Times New Roman" w:hAnsi="Times New Roman" w:cs="Times New Roman"/>
          <w:lang w:val="en-IE"/>
        </w:rPr>
        <w:t xml:space="preserve">export </w:t>
      </w:r>
      <w:r w:rsidR="005F0204" w:rsidRPr="00C73908">
        <w:rPr>
          <w:rFonts w:ascii="Times New Roman" w:hAnsi="Times New Roman" w:cs="Times New Roman"/>
          <w:lang w:val="en-IE"/>
        </w:rPr>
        <w:t>propensity or intensity</w:t>
      </w:r>
      <w:r w:rsidR="006C279A" w:rsidRPr="00C73908">
        <w:rPr>
          <w:rFonts w:ascii="Times New Roman" w:hAnsi="Times New Roman" w:cs="Times New Roman"/>
          <w:lang w:val="en-IE"/>
        </w:rPr>
        <w:t xml:space="preserve"> </w:t>
      </w:r>
      <w:r w:rsidR="005B7632" w:rsidRPr="00C73908">
        <w:rPr>
          <w:rFonts w:ascii="Times New Roman" w:hAnsi="Times New Roman" w:cs="Times New Roman"/>
          <w:lang w:val="en-IE"/>
        </w:rPr>
        <w:t>at a particular point in time</w:t>
      </w:r>
      <w:r w:rsidR="000C479C">
        <w:rPr>
          <w:rFonts w:ascii="Times New Roman" w:hAnsi="Times New Roman" w:cs="Times New Roman"/>
          <w:lang w:val="en-IE"/>
        </w:rPr>
        <w:t>. Over time</w:t>
      </w:r>
      <w:r w:rsidR="00A74BFF">
        <w:rPr>
          <w:rFonts w:ascii="Times New Roman" w:hAnsi="Times New Roman" w:cs="Times New Roman"/>
          <w:lang w:val="en-IE"/>
        </w:rPr>
        <w:t>,</w:t>
      </w:r>
      <w:r w:rsidR="005B7632" w:rsidRPr="00C73908">
        <w:rPr>
          <w:rFonts w:ascii="Times New Roman" w:hAnsi="Times New Roman" w:cs="Times New Roman"/>
          <w:lang w:val="en-IE"/>
        </w:rPr>
        <w:t xml:space="preserve"> </w:t>
      </w:r>
      <w:r w:rsidR="00A74BFF">
        <w:rPr>
          <w:rFonts w:ascii="Times New Roman" w:hAnsi="Times New Roman" w:cs="Times New Roman"/>
          <w:lang w:val="en-IE"/>
        </w:rPr>
        <w:t>more and more</w:t>
      </w:r>
      <w:r w:rsidR="005B7632" w:rsidRPr="00C73908">
        <w:rPr>
          <w:rFonts w:ascii="Times New Roman" w:hAnsi="Times New Roman" w:cs="Times New Roman"/>
          <w:lang w:val="en-IE"/>
        </w:rPr>
        <w:t xml:space="preserve"> studies </w:t>
      </w:r>
      <w:r w:rsidR="00A74BFF">
        <w:rPr>
          <w:rFonts w:ascii="Times New Roman" w:hAnsi="Times New Roman" w:cs="Times New Roman"/>
          <w:lang w:val="en-IE"/>
        </w:rPr>
        <w:t>began to use</w:t>
      </w:r>
      <w:r w:rsidR="005F0204" w:rsidRPr="00C73908">
        <w:rPr>
          <w:rFonts w:ascii="Times New Roman" w:hAnsi="Times New Roman" w:cs="Times New Roman"/>
          <w:lang w:val="en-IE"/>
        </w:rPr>
        <w:t xml:space="preserve"> longitudinal panel data</w:t>
      </w:r>
      <w:r w:rsidR="005B7632" w:rsidRPr="00C73908">
        <w:rPr>
          <w:rFonts w:ascii="Times New Roman" w:hAnsi="Times New Roman" w:cs="Times New Roman"/>
          <w:lang w:val="en-IE"/>
        </w:rPr>
        <w:t xml:space="preserve"> to </w:t>
      </w:r>
      <w:r w:rsidR="007021FA" w:rsidRPr="00C73908">
        <w:rPr>
          <w:rFonts w:ascii="Times New Roman" w:hAnsi="Times New Roman" w:cs="Times New Roman"/>
          <w:lang w:val="en-IE"/>
        </w:rPr>
        <w:t xml:space="preserve">analyse the impact of those </w:t>
      </w:r>
      <w:r w:rsidR="006163EA" w:rsidRPr="00C73908">
        <w:rPr>
          <w:rFonts w:ascii="Times New Roman" w:hAnsi="Times New Roman" w:cs="Times New Roman"/>
          <w:lang w:val="en-IE"/>
        </w:rPr>
        <w:t>variables</w:t>
      </w:r>
      <w:r w:rsidR="007021FA" w:rsidRPr="00C73908">
        <w:rPr>
          <w:rFonts w:ascii="Times New Roman" w:hAnsi="Times New Roman" w:cs="Times New Roman"/>
          <w:lang w:val="en-IE"/>
        </w:rPr>
        <w:t xml:space="preserve"> on a firm’s</w:t>
      </w:r>
      <w:r w:rsidR="005B7632" w:rsidRPr="00C73908">
        <w:rPr>
          <w:rFonts w:ascii="Times New Roman" w:hAnsi="Times New Roman" w:cs="Times New Roman"/>
          <w:lang w:val="en-IE"/>
        </w:rPr>
        <w:t xml:space="preserve"> export performance </w:t>
      </w:r>
      <w:r w:rsidR="007021FA" w:rsidRPr="00C73908">
        <w:rPr>
          <w:rFonts w:ascii="Times New Roman" w:hAnsi="Times New Roman" w:cs="Times New Roman"/>
          <w:lang w:val="en-IE"/>
        </w:rPr>
        <w:t xml:space="preserve">over </w:t>
      </w:r>
      <w:r w:rsidR="00A74BFF">
        <w:rPr>
          <w:rFonts w:ascii="Times New Roman" w:hAnsi="Times New Roman" w:cs="Times New Roman"/>
          <w:lang w:val="en-IE"/>
        </w:rPr>
        <w:t>a particular period</w:t>
      </w:r>
      <w:r w:rsidR="00057ADD">
        <w:rPr>
          <w:rFonts w:ascii="Times New Roman" w:hAnsi="Times New Roman" w:cs="Times New Roman"/>
          <w:lang w:val="en-IE"/>
        </w:rPr>
        <w:t xml:space="preserve"> of time</w:t>
      </w:r>
      <w:r w:rsidR="007021FA" w:rsidRPr="00C73908">
        <w:rPr>
          <w:rFonts w:ascii="Times New Roman" w:hAnsi="Times New Roman" w:cs="Times New Roman"/>
          <w:lang w:val="en-IE"/>
        </w:rPr>
        <w:t>.</w:t>
      </w:r>
      <w:r w:rsidR="00BB1442" w:rsidRPr="00C73908">
        <w:rPr>
          <w:rFonts w:ascii="Times New Roman" w:hAnsi="Times New Roman" w:cs="Times New Roman"/>
          <w:lang w:val="en-IE"/>
        </w:rPr>
        <w:t xml:space="preserve"> The follo</w:t>
      </w:r>
      <w:r w:rsidR="00060729" w:rsidRPr="00C73908">
        <w:rPr>
          <w:rFonts w:ascii="Times New Roman" w:hAnsi="Times New Roman" w:cs="Times New Roman"/>
          <w:lang w:val="en-IE"/>
        </w:rPr>
        <w:t xml:space="preserve">wing review of the relevant literature </w:t>
      </w:r>
      <w:r w:rsidR="004B419D" w:rsidRPr="00C73908">
        <w:rPr>
          <w:rFonts w:ascii="Times New Roman" w:hAnsi="Times New Roman" w:cs="Times New Roman"/>
          <w:lang w:val="en-IE"/>
        </w:rPr>
        <w:t>outline</w:t>
      </w:r>
      <w:r w:rsidR="00F677F7" w:rsidRPr="00C73908">
        <w:rPr>
          <w:rFonts w:ascii="Times New Roman" w:hAnsi="Times New Roman" w:cs="Times New Roman"/>
          <w:lang w:val="en-IE"/>
        </w:rPr>
        <w:t>s</w:t>
      </w:r>
      <w:r w:rsidR="00183C39" w:rsidRPr="00C73908">
        <w:rPr>
          <w:rFonts w:ascii="Times New Roman" w:hAnsi="Times New Roman" w:cs="Times New Roman"/>
          <w:lang w:val="en-IE"/>
        </w:rPr>
        <w:t xml:space="preserve"> the </w:t>
      </w:r>
      <w:r w:rsidR="00957493" w:rsidRPr="00C73908">
        <w:rPr>
          <w:rFonts w:ascii="Times New Roman" w:hAnsi="Times New Roman" w:cs="Times New Roman"/>
          <w:lang w:val="en-IE"/>
        </w:rPr>
        <w:t xml:space="preserve">factors which </w:t>
      </w:r>
      <w:r w:rsidR="00460BAF" w:rsidRPr="00C73908">
        <w:rPr>
          <w:rFonts w:ascii="Times New Roman" w:hAnsi="Times New Roman" w:cs="Times New Roman"/>
          <w:lang w:val="en-IE"/>
        </w:rPr>
        <w:t xml:space="preserve">have been </w:t>
      </w:r>
      <w:r w:rsidR="00AB5B63">
        <w:rPr>
          <w:rFonts w:ascii="Times New Roman" w:hAnsi="Times New Roman" w:cs="Times New Roman"/>
          <w:lang w:val="en-IE"/>
        </w:rPr>
        <w:t xml:space="preserve">commonly </w:t>
      </w:r>
      <w:r w:rsidR="00460BAF" w:rsidRPr="00C73908">
        <w:rPr>
          <w:rFonts w:ascii="Times New Roman" w:hAnsi="Times New Roman" w:cs="Times New Roman"/>
          <w:lang w:val="en-IE"/>
        </w:rPr>
        <w:t xml:space="preserve">identified as </w:t>
      </w:r>
      <w:r w:rsidR="00957493" w:rsidRPr="00C73908">
        <w:rPr>
          <w:rFonts w:ascii="Times New Roman" w:hAnsi="Times New Roman" w:cs="Times New Roman"/>
          <w:lang w:val="en-IE"/>
        </w:rPr>
        <w:t>influenc</w:t>
      </w:r>
      <w:r w:rsidR="00460BAF" w:rsidRPr="00C73908">
        <w:rPr>
          <w:rFonts w:ascii="Times New Roman" w:hAnsi="Times New Roman" w:cs="Times New Roman"/>
          <w:lang w:val="en-IE"/>
        </w:rPr>
        <w:t>ing</w:t>
      </w:r>
      <w:r w:rsidR="00957493" w:rsidRPr="00C73908">
        <w:rPr>
          <w:rFonts w:ascii="Times New Roman" w:hAnsi="Times New Roman" w:cs="Times New Roman"/>
          <w:lang w:val="en-IE"/>
        </w:rPr>
        <w:t xml:space="preserve"> </w:t>
      </w:r>
      <w:r w:rsidR="00BC7021" w:rsidRPr="00C73908">
        <w:rPr>
          <w:rFonts w:ascii="Times New Roman" w:hAnsi="Times New Roman" w:cs="Times New Roman"/>
          <w:lang w:val="en-IE"/>
        </w:rPr>
        <w:t>export performance</w:t>
      </w:r>
      <w:r w:rsidR="00057ADD">
        <w:rPr>
          <w:rFonts w:ascii="Times New Roman" w:hAnsi="Times New Roman" w:cs="Times New Roman"/>
          <w:lang w:val="en-IE"/>
        </w:rPr>
        <w:t>.</w:t>
      </w:r>
    </w:p>
    <w:p w14:paraId="1BFC1643" w14:textId="77777777" w:rsidR="00104508" w:rsidRPr="00C73908" w:rsidRDefault="00104508" w:rsidP="008A6DF2">
      <w:pPr>
        <w:spacing w:after="240" w:line="360" w:lineRule="auto"/>
        <w:jc w:val="both"/>
        <w:rPr>
          <w:rFonts w:ascii="Times New Roman" w:hAnsi="Times New Roman" w:cs="Times New Roman"/>
          <w:lang w:val="en-IE"/>
        </w:rPr>
      </w:pPr>
    </w:p>
    <w:p w14:paraId="69706609" w14:textId="0E0983EA" w:rsidR="00957493" w:rsidRPr="00C73908" w:rsidRDefault="00957493" w:rsidP="008A6DF2">
      <w:pPr>
        <w:pStyle w:val="Heading1"/>
        <w:numPr>
          <w:ilvl w:val="1"/>
          <w:numId w:val="4"/>
        </w:numPr>
        <w:spacing w:after="240" w:line="360" w:lineRule="auto"/>
        <w:jc w:val="both"/>
        <w:rPr>
          <w:rFonts w:ascii="Times New Roman" w:hAnsi="Times New Roman" w:cs="Times New Roman"/>
          <w:b/>
          <w:bCs/>
          <w:color w:val="0070C0"/>
          <w:lang w:val="en-IE"/>
        </w:rPr>
      </w:pPr>
      <w:bookmarkStart w:id="9" w:name="_Toc67143556"/>
      <w:bookmarkStart w:id="10" w:name="_Toc69198797"/>
      <w:r w:rsidRPr="00C73908">
        <w:rPr>
          <w:rFonts w:ascii="Times New Roman" w:hAnsi="Times New Roman" w:cs="Times New Roman"/>
          <w:b/>
          <w:bCs/>
          <w:color w:val="0070C0"/>
          <w:lang w:val="en-IE"/>
        </w:rPr>
        <w:t>Productivity</w:t>
      </w:r>
      <w:bookmarkEnd w:id="9"/>
      <w:bookmarkEnd w:id="10"/>
    </w:p>
    <w:p w14:paraId="1E165E7C" w14:textId="2285EC81" w:rsidR="00957493" w:rsidRPr="00C73908" w:rsidRDefault="00460BAF"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Much of the literature on firm</w:t>
      </w:r>
      <w:r w:rsidR="0050646E" w:rsidRPr="00C73908">
        <w:rPr>
          <w:rFonts w:ascii="Times New Roman" w:hAnsi="Times New Roman" w:cs="Times New Roman"/>
          <w:lang w:val="en-IE"/>
        </w:rPr>
        <w:t>-level export determinants has focused on the relationship between productivity and export</w:t>
      </w:r>
      <w:r w:rsidR="0012616A" w:rsidRPr="00C73908">
        <w:rPr>
          <w:rFonts w:ascii="Times New Roman" w:hAnsi="Times New Roman" w:cs="Times New Roman"/>
          <w:lang w:val="en-IE"/>
        </w:rPr>
        <w:t>ing</w:t>
      </w:r>
      <w:r w:rsidR="0050646E" w:rsidRPr="00C73908">
        <w:rPr>
          <w:rFonts w:ascii="Times New Roman" w:hAnsi="Times New Roman" w:cs="Times New Roman"/>
          <w:lang w:val="en-IE"/>
        </w:rPr>
        <w:t>.</w:t>
      </w:r>
      <w:r w:rsidR="00F2344A" w:rsidRPr="00C73908">
        <w:rPr>
          <w:rFonts w:ascii="Times New Roman" w:hAnsi="Times New Roman" w:cs="Times New Roman"/>
          <w:lang w:val="en-IE"/>
        </w:rPr>
        <w:t xml:space="preserve"> </w:t>
      </w:r>
      <w:r w:rsidR="00855894" w:rsidRPr="00C73908">
        <w:rPr>
          <w:rFonts w:ascii="Times New Roman" w:hAnsi="Times New Roman" w:cs="Times New Roman"/>
          <w:lang w:val="en-IE"/>
        </w:rPr>
        <w:t>The two most commonly used indicators of productivity are l</w:t>
      </w:r>
      <w:r w:rsidR="00F2344A" w:rsidRPr="00C73908">
        <w:rPr>
          <w:rFonts w:ascii="Times New Roman" w:hAnsi="Times New Roman" w:cs="Times New Roman"/>
          <w:lang w:val="en-IE"/>
        </w:rPr>
        <w:t xml:space="preserve">abour productivity, which is </w:t>
      </w:r>
      <w:r w:rsidR="00645B53">
        <w:rPr>
          <w:rFonts w:ascii="Times New Roman" w:hAnsi="Times New Roman" w:cs="Times New Roman"/>
          <w:lang w:val="en-IE"/>
        </w:rPr>
        <w:t>often</w:t>
      </w:r>
      <w:r w:rsidR="00F2344A" w:rsidRPr="00C73908">
        <w:rPr>
          <w:rFonts w:ascii="Times New Roman" w:hAnsi="Times New Roman" w:cs="Times New Roman"/>
          <w:lang w:val="en-IE"/>
        </w:rPr>
        <w:t xml:space="preserve"> calculated as value added per employee</w:t>
      </w:r>
      <w:r w:rsidR="001C3928" w:rsidRPr="00C73908">
        <w:rPr>
          <w:rFonts w:ascii="Times New Roman" w:hAnsi="Times New Roman" w:cs="Times New Roman"/>
          <w:lang w:val="en-IE"/>
        </w:rPr>
        <w:t>,</w:t>
      </w:r>
      <w:r w:rsidR="00F2344A" w:rsidRPr="00C73908">
        <w:rPr>
          <w:rFonts w:ascii="Times New Roman" w:hAnsi="Times New Roman" w:cs="Times New Roman"/>
          <w:lang w:val="en-IE"/>
        </w:rPr>
        <w:t xml:space="preserve"> and </w:t>
      </w:r>
      <w:r w:rsidR="009D2109" w:rsidRPr="00C73908">
        <w:rPr>
          <w:rFonts w:ascii="Times New Roman" w:hAnsi="Times New Roman" w:cs="Times New Roman"/>
          <w:lang w:val="en-IE"/>
        </w:rPr>
        <w:t xml:space="preserve">total factor productivity, </w:t>
      </w:r>
      <w:r w:rsidR="00877C5E" w:rsidRPr="00C73908">
        <w:rPr>
          <w:rFonts w:ascii="Times New Roman" w:hAnsi="Times New Roman" w:cs="Times New Roman"/>
          <w:lang w:val="en-IE"/>
        </w:rPr>
        <w:t xml:space="preserve">a </w:t>
      </w:r>
      <w:r w:rsidR="00327FAF">
        <w:rPr>
          <w:rFonts w:ascii="Times New Roman" w:hAnsi="Times New Roman" w:cs="Times New Roman"/>
          <w:lang w:val="en-IE"/>
        </w:rPr>
        <w:t>measure of productivity</w:t>
      </w:r>
      <w:r w:rsidR="00924036" w:rsidRPr="00C73908">
        <w:rPr>
          <w:rFonts w:ascii="Times New Roman" w:hAnsi="Times New Roman" w:cs="Times New Roman"/>
          <w:lang w:val="en-IE"/>
        </w:rPr>
        <w:t xml:space="preserve"> </w:t>
      </w:r>
      <w:r w:rsidR="00877C5E" w:rsidRPr="00C73908">
        <w:rPr>
          <w:rFonts w:ascii="Times New Roman" w:hAnsi="Times New Roman" w:cs="Times New Roman"/>
          <w:lang w:val="en-IE"/>
        </w:rPr>
        <w:t xml:space="preserve">which accounts for three factors of production: labour, </w:t>
      </w:r>
      <w:r w:rsidR="00CC5E6D" w:rsidRPr="00C73908">
        <w:rPr>
          <w:rFonts w:ascii="Times New Roman" w:hAnsi="Times New Roman" w:cs="Times New Roman"/>
          <w:lang w:val="en-IE"/>
        </w:rPr>
        <w:t>capital,</w:t>
      </w:r>
      <w:r w:rsidR="00877C5E" w:rsidRPr="00C73908">
        <w:rPr>
          <w:rFonts w:ascii="Times New Roman" w:hAnsi="Times New Roman" w:cs="Times New Roman"/>
          <w:lang w:val="en-IE"/>
        </w:rPr>
        <w:t xml:space="preserve"> and </w:t>
      </w:r>
      <w:r w:rsidR="0069058A" w:rsidRPr="00C73908">
        <w:rPr>
          <w:rFonts w:ascii="Times New Roman" w:hAnsi="Times New Roman" w:cs="Times New Roman"/>
          <w:lang w:val="en-IE"/>
        </w:rPr>
        <w:t xml:space="preserve">intermediate </w:t>
      </w:r>
      <w:r w:rsidR="00C16BA9">
        <w:rPr>
          <w:rFonts w:ascii="Times New Roman" w:hAnsi="Times New Roman" w:cs="Times New Roman"/>
          <w:lang w:val="en-IE"/>
        </w:rPr>
        <w:t>inputs</w:t>
      </w:r>
      <w:r w:rsidR="00855894" w:rsidRPr="00C73908">
        <w:rPr>
          <w:rFonts w:ascii="Times New Roman" w:hAnsi="Times New Roman" w:cs="Times New Roman"/>
          <w:lang w:val="en-IE"/>
        </w:rPr>
        <w:t>.</w:t>
      </w:r>
      <w:r w:rsidR="0050646E" w:rsidRPr="00C73908">
        <w:rPr>
          <w:rFonts w:ascii="Times New Roman" w:hAnsi="Times New Roman" w:cs="Times New Roman"/>
          <w:lang w:val="en-IE"/>
        </w:rPr>
        <w:t xml:space="preserve"> </w:t>
      </w:r>
      <w:r w:rsidR="00A84CBD" w:rsidRPr="00C73908">
        <w:rPr>
          <w:rFonts w:ascii="Times New Roman" w:hAnsi="Times New Roman" w:cs="Times New Roman"/>
          <w:lang w:val="en-IE"/>
        </w:rPr>
        <w:t>E</w:t>
      </w:r>
      <w:r w:rsidR="00B5331D" w:rsidRPr="00C73908">
        <w:rPr>
          <w:rFonts w:ascii="Times New Roman" w:hAnsi="Times New Roman" w:cs="Times New Roman"/>
          <w:lang w:val="en-IE"/>
        </w:rPr>
        <w:t xml:space="preserve">arly </w:t>
      </w:r>
      <w:r w:rsidR="00A84CBD" w:rsidRPr="00C73908">
        <w:rPr>
          <w:rFonts w:ascii="Times New Roman" w:hAnsi="Times New Roman" w:cs="Times New Roman"/>
          <w:lang w:val="en-IE"/>
        </w:rPr>
        <w:t xml:space="preserve">firm level </w:t>
      </w:r>
      <w:r w:rsidR="00B5331D" w:rsidRPr="00C73908">
        <w:rPr>
          <w:rFonts w:ascii="Times New Roman" w:hAnsi="Times New Roman" w:cs="Times New Roman"/>
          <w:lang w:val="en-IE"/>
        </w:rPr>
        <w:t>studies on the characteristics of</w:t>
      </w:r>
      <w:r w:rsidR="00996EB7" w:rsidRPr="00C73908">
        <w:rPr>
          <w:rFonts w:ascii="Times New Roman" w:hAnsi="Times New Roman" w:cs="Times New Roman"/>
          <w:lang w:val="en-IE"/>
        </w:rPr>
        <w:t xml:space="preserve"> American</w:t>
      </w:r>
      <w:r w:rsidR="00B5331D" w:rsidRPr="00C73908">
        <w:rPr>
          <w:rFonts w:ascii="Times New Roman" w:hAnsi="Times New Roman" w:cs="Times New Roman"/>
          <w:lang w:val="en-IE"/>
        </w:rPr>
        <w:t xml:space="preserve"> </w:t>
      </w:r>
      <w:r w:rsidR="00F26EE6" w:rsidRPr="00C73908">
        <w:rPr>
          <w:rFonts w:ascii="Times New Roman" w:hAnsi="Times New Roman" w:cs="Times New Roman"/>
          <w:lang w:val="en-IE"/>
        </w:rPr>
        <w:t xml:space="preserve">exporters by </w:t>
      </w:r>
      <w:r w:rsidR="00B14201" w:rsidRPr="00C73908">
        <w:rPr>
          <w:rFonts w:ascii="Times New Roman" w:hAnsi="Times New Roman" w:cs="Times New Roman"/>
          <w:lang w:val="en-IE"/>
        </w:rPr>
        <w:t xml:space="preserve">Bernard and Jensen </w:t>
      </w:r>
      <w:r w:rsidR="00F26EE6" w:rsidRPr="00C73908">
        <w:rPr>
          <w:rFonts w:ascii="Times New Roman" w:hAnsi="Times New Roman" w:cs="Times New Roman"/>
          <w:lang w:val="en-IE"/>
        </w:rPr>
        <w:t>(</w:t>
      </w:r>
      <w:r w:rsidR="00B749B6" w:rsidRPr="00C73908">
        <w:rPr>
          <w:rFonts w:ascii="Times New Roman" w:hAnsi="Times New Roman" w:cs="Times New Roman"/>
          <w:lang w:val="en-IE"/>
        </w:rPr>
        <w:t>1999, 2001)</w:t>
      </w:r>
      <w:r w:rsidR="00996EB7" w:rsidRPr="00C73908">
        <w:rPr>
          <w:rFonts w:ascii="Times New Roman" w:hAnsi="Times New Roman" w:cs="Times New Roman"/>
          <w:lang w:val="en-IE"/>
        </w:rPr>
        <w:t xml:space="preserve"> identif</w:t>
      </w:r>
      <w:r w:rsidR="00A84CBD" w:rsidRPr="00C73908">
        <w:rPr>
          <w:rFonts w:ascii="Times New Roman" w:hAnsi="Times New Roman" w:cs="Times New Roman"/>
          <w:lang w:val="en-IE"/>
        </w:rPr>
        <w:t>y</w:t>
      </w:r>
      <w:r w:rsidR="00996EB7" w:rsidRPr="00C73908">
        <w:rPr>
          <w:rFonts w:ascii="Times New Roman" w:hAnsi="Times New Roman" w:cs="Times New Roman"/>
          <w:lang w:val="en-IE"/>
        </w:rPr>
        <w:t xml:space="preserve"> </w:t>
      </w:r>
      <w:r w:rsidR="003D2E78" w:rsidRPr="00C73908">
        <w:rPr>
          <w:rFonts w:ascii="Times New Roman" w:hAnsi="Times New Roman" w:cs="Times New Roman"/>
          <w:lang w:val="en-IE"/>
        </w:rPr>
        <w:t>a strong</w:t>
      </w:r>
      <w:r w:rsidR="00996EB7" w:rsidRPr="00C73908">
        <w:rPr>
          <w:rFonts w:ascii="Times New Roman" w:hAnsi="Times New Roman" w:cs="Times New Roman"/>
          <w:lang w:val="en-IE"/>
        </w:rPr>
        <w:t xml:space="preserve"> link between firm productivity and export</w:t>
      </w:r>
      <w:r w:rsidR="003D2E78" w:rsidRPr="00C73908">
        <w:rPr>
          <w:rFonts w:ascii="Times New Roman" w:hAnsi="Times New Roman" w:cs="Times New Roman"/>
          <w:lang w:val="en-IE"/>
        </w:rPr>
        <w:t xml:space="preserve"> participation</w:t>
      </w:r>
      <w:r w:rsidR="00996EB7" w:rsidRPr="00C73908">
        <w:rPr>
          <w:rFonts w:ascii="Times New Roman" w:hAnsi="Times New Roman" w:cs="Times New Roman"/>
          <w:lang w:val="en-IE"/>
        </w:rPr>
        <w:t>.</w:t>
      </w:r>
      <w:r w:rsidR="00A727FD" w:rsidRPr="00C73908">
        <w:rPr>
          <w:rFonts w:ascii="Times New Roman" w:hAnsi="Times New Roman" w:cs="Times New Roman"/>
          <w:lang w:val="en-IE"/>
        </w:rPr>
        <w:t xml:space="preserve"> Their </w:t>
      </w:r>
      <w:r w:rsidR="00A67447" w:rsidRPr="00C73908">
        <w:rPr>
          <w:rFonts w:ascii="Times New Roman" w:hAnsi="Times New Roman" w:cs="Times New Roman"/>
          <w:lang w:val="en-IE"/>
        </w:rPr>
        <w:t xml:space="preserve">1999 </w:t>
      </w:r>
      <w:r w:rsidR="00A727FD" w:rsidRPr="00C73908">
        <w:rPr>
          <w:rFonts w:ascii="Times New Roman" w:hAnsi="Times New Roman" w:cs="Times New Roman"/>
          <w:lang w:val="en-IE"/>
        </w:rPr>
        <w:t>study</w:t>
      </w:r>
      <w:r w:rsidR="00A67447" w:rsidRPr="00C73908">
        <w:rPr>
          <w:rFonts w:ascii="Times New Roman" w:hAnsi="Times New Roman" w:cs="Times New Roman"/>
          <w:lang w:val="en-IE"/>
        </w:rPr>
        <w:t xml:space="preserve">, based on data from over 50,000 </w:t>
      </w:r>
      <w:r w:rsidR="003466AA" w:rsidRPr="00C73908">
        <w:rPr>
          <w:rFonts w:ascii="Times New Roman" w:hAnsi="Times New Roman" w:cs="Times New Roman"/>
          <w:lang w:val="en-IE"/>
        </w:rPr>
        <w:t xml:space="preserve">US </w:t>
      </w:r>
      <w:r w:rsidR="00A67447" w:rsidRPr="00C73908">
        <w:rPr>
          <w:rFonts w:ascii="Times New Roman" w:hAnsi="Times New Roman" w:cs="Times New Roman"/>
          <w:lang w:val="en-IE"/>
        </w:rPr>
        <w:t xml:space="preserve">manufacturing plants </w:t>
      </w:r>
      <w:r w:rsidR="00B65C2D" w:rsidRPr="00C73908">
        <w:rPr>
          <w:rFonts w:ascii="Times New Roman" w:hAnsi="Times New Roman" w:cs="Times New Roman"/>
          <w:lang w:val="en-IE"/>
        </w:rPr>
        <w:t>from 1984</w:t>
      </w:r>
      <w:r w:rsidR="00AA73DD" w:rsidRPr="00C73908">
        <w:rPr>
          <w:rFonts w:ascii="Times New Roman" w:hAnsi="Times New Roman" w:cs="Times New Roman"/>
          <w:lang w:val="en-IE"/>
        </w:rPr>
        <w:t xml:space="preserve"> to </w:t>
      </w:r>
      <w:r w:rsidR="00B65C2D" w:rsidRPr="00C73908">
        <w:rPr>
          <w:rFonts w:ascii="Times New Roman" w:hAnsi="Times New Roman" w:cs="Times New Roman"/>
          <w:lang w:val="en-IE"/>
        </w:rPr>
        <w:t>1992</w:t>
      </w:r>
      <w:r w:rsidR="00AA73DD" w:rsidRPr="00C73908">
        <w:rPr>
          <w:rFonts w:ascii="Times New Roman" w:hAnsi="Times New Roman" w:cs="Times New Roman"/>
          <w:lang w:val="en-IE"/>
        </w:rPr>
        <w:t>,</w:t>
      </w:r>
      <w:r w:rsidR="00B65C2D" w:rsidRPr="00C73908">
        <w:rPr>
          <w:rFonts w:ascii="Times New Roman" w:hAnsi="Times New Roman" w:cs="Times New Roman"/>
          <w:lang w:val="en-IE"/>
        </w:rPr>
        <w:t xml:space="preserve"> f</w:t>
      </w:r>
      <w:r w:rsidR="00A84CBD" w:rsidRPr="00C73908">
        <w:rPr>
          <w:rFonts w:ascii="Times New Roman" w:hAnsi="Times New Roman" w:cs="Times New Roman"/>
          <w:lang w:val="en-IE"/>
        </w:rPr>
        <w:t>inds</w:t>
      </w:r>
      <w:r w:rsidR="00B65C2D" w:rsidRPr="00C73908">
        <w:rPr>
          <w:rFonts w:ascii="Times New Roman" w:hAnsi="Times New Roman" w:cs="Times New Roman"/>
          <w:lang w:val="en-IE"/>
        </w:rPr>
        <w:t xml:space="preserve"> that</w:t>
      </w:r>
      <w:r w:rsidR="00AA73DD" w:rsidRPr="00C73908">
        <w:rPr>
          <w:rFonts w:ascii="Times New Roman" w:hAnsi="Times New Roman" w:cs="Times New Roman"/>
          <w:lang w:val="en-IE"/>
        </w:rPr>
        <w:t xml:space="preserve"> exporters </w:t>
      </w:r>
      <w:r w:rsidR="00A84CBD" w:rsidRPr="00C73908">
        <w:rPr>
          <w:rFonts w:ascii="Times New Roman" w:hAnsi="Times New Roman" w:cs="Times New Roman"/>
          <w:lang w:val="en-IE"/>
        </w:rPr>
        <w:t>a</w:t>
      </w:r>
      <w:r w:rsidR="00AA73DD" w:rsidRPr="00C73908">
        <w:rPr>
          <w:rFonts w:ascii="Times New Roman" w:hAnsi="Times New Roman" w:cs="Times New Roman"/>
          <w:lang w:val="en-IE"/>
        </w:rPr>
        <w:t xml:space="preserve">re </w:t>
      </w:r>
      <w:r w:rsidR="00437615" w:rsidRPr="00C73908">
        <w:rPr>
          <w:rFonts w:ascii="Times New Roman" w:hAnsi="Times New Roman" w:cs="Times New Roman"/>
          <w:lang w:val="en-IE"/>
        </w:rPr>
        <w:t xml:space="preserve">significantly larger and more productive </w:t>
      </w:r>
      <w:r w:rsidR="00973031" w:rsidRPr="00C73908">
        <w:rPr>
          <w:rFonts w:ascii="Times New Roman" w:hAnsi="Times New Roman" w:cs="Times New Roman"/>
          <w:lang w:val="en-IE"/>
        </w:rPr>
        <w:t xml:space="preserve">than non-exporters </w:t>
      </w:r>
      <w:r w:rsidR="00437615" w:rsidRPr="00C73908">
        <w:rPr>
          <w:rFonts w:ascii="Times New Roman" w:hAnsi="Times New Roman" w:cs="Times New Roman"/>
          <w:lang w:val="en-IE"/>
        </w:rPr>
        <w:t xml:space="preserve">with a </w:t>
      </w:r>
      <w:r w:rsidR="00973031" w:rsidRPr="00C73908">
        <w:rPr>
          <w:rFonts w:ascii="Times New Roman" w:hAnsi="Times New Roman" w:cs="Times New Roman"/>
          <w:lang w:val="en-IE"/>
        </w:rPr>
        <w:t xml:space="preserve">labour productivity </w:t>
      </w:r>
      <w:r w:rsidR="002A0F8C" w:rsidRPr="00C73908">
        <w:rPr>
          <w:rFonts w:ascii="Times New Roman" w:hAnsi="Times New Roman" w:cs="Times New Roman"/>
          <w:lang w:val="en-IE"/>
        </w:rPr>
        <w:t>differential of 12-24%</w:t>
      </w:r>
      <w:r w:rsidR="002B355C" w:rsidRPr="00C73908">
        <w:rPr>
          <w:rFonts w:ascii="Times New Roman" w:hAnsi="Times New Roman" w:cs="Times New Roman"/>
          <w:lang w:val="en-IE"/>
        </w:rPr>
        <w:t xml:space="preserve"> (measured as value added per worker)</w:t>
      </w:r>
      <w:r w:rsidR="00973031" w:rsidRPr="00C73908">
        <w:rPr>
          <w:rFonts w:ascii="Times New Roman" w:hAnsi="Times New Roman" w:cs="Times New Roman"/>
          <w:lang w:val="en-IE"/>
        </w:rPr>
        <w:t>.</w:t>
      </w:r>
      <w:r w:rsidR="007C5152" w:rsidRPr="00C73908">
        <w:rPr>
          <w:rFonts w:ascii="Times New Roman" w:hAnsi="Times New Roman" w:cs="Times New Roman"/>
          <w:lang w:val="en-IE"/>
        </w:rPr>
        <w:t xml:space="preserve"> </w:t>
      </w:r>
      <w:r w:rsidR="00462071" w:rsidRPr="00C73908">
        <w:rPr>
          <w:rFonts w:ascii="Times New Roman" w:hAnsi="Times New Roman" w:cs="Times New Roman"/>
          <w:lang w:val="en-IE"/>
        </w:rPr>
        <w:t xml:space="preserve">However, while exporters </w:t>
      </w:r>
      <w:r w:rsidR="00A84CBD" w:rsidRPr="00C73908">
        <w:rPr>
          <w:rFonts w:ascii="Times New Roman" w:hAnsi="Times New Roman" w:cs="Times New Roman"/>
          <w:lang w:val="en-IE"/>
        </w:rPr>
        <w:t>a</w:t>
      </w:r>
      <w:r w:rsidR="00462071" w:rsidRPr="00C73908">
        <w:rPr>
          <w:rFonts w:ascii="Times New Roman" w:hAnsi="Times New Roman" w:cs="Times New Roman"/>
          <w:lang w:val="en-IE"/>
        </w:rPr>
        <w:t xml:space="preserve">re found to </w:t>
      </w:r>
      <w:r w:rsidR="006358BB" w:rsidRPr="00C73908">
        <w:rPr>
          <w:rFonts w:ascii="Times New Roman" w:hAnsi="Times New Roman" w:cs="Times New Roman"/>
          <w:lang w:val="en-IE"/>
        </w:rPr>
        <w:t xml:space="preserve">be more </w:t>
      </w:r>
      <w:r w:rsidR="00811544" w:rsidRPr="00C73908">
        <w:rPr>
          <w:rFonts w:ascii="Times New Roman" w:hAnsi="Times New Roman" w:cs="Times New Roman"/>
          <w:lang w:val="en-IE"/>
        </w:rPr>
        <w:t xml:space="preserve">productive and </w:t>
      </w:r>
      <w:r w:rsidR="006260E0" w:rsidRPr="00C73908">
        <w:rPr>
          <w:rFonts w:ascii="Times New Roman" w:hAnsi="Times New Roman" w:cs="Times New Roman"/>
          <w:lang w:val="en-IE"/>
        </w:rPr>
        <w:t>have higher productivity</w:t>
      </w:r>
      <w:r w:rsidR="006358BB" w:rsidRPr="00C73908">
        <w:rPr>
          <w:rFonts w:ascii="Times New Roman" w:hAnsi="Times New Roman" w:cs="Times New Roman"/>
          <w:lang w:val="en-IE"/>
        </w:rPr>
        <w:t xml:space="preserve"> growth prior to exporting</w:t>
      </w:r>
      <w:r w:rsidR="006260E0" w:rsidRPr="00C73908">
        <w:rPr>
          <w:rFonts w:ascii="Times New Roman" w:hAnsi="Times New Roman" w:cs="Times New Roman"/>
          <w:lang w:val="en-IE"/>
        </w:rPr>
        <w:t>, the</w:t>
      </w:r>
      <w:r w:rsidR="003F08E0">
        <w:rPr>
          <w:rFonts w:ascii="Times New Roman" w:hAnsi="Times New Roman" w:cs="Times New Roman"/>
          <w:lang w:val="en-IE"/>
        </w:rPr>
        <w:t>y find</w:t>
      </w:r>
      <w:r w:rsidR="006260E0" w:rsidRPr="00C73908">
        <w:rPr>
          <w:rFonts w:ascii="Times New Roman" w:hAnsi="Times New Roman" w:cs="Times New Roman"/>
          <w:lang w:val="en-IE"/>
        </w:rPr>
        <w:t xml:space="preserve"> limited evidence of </w:t>
      </w:r>
      <w:r w:rsidR="00D06100" w:rsidRPr="00C73908">
        <w:rPr>
          <w:rFonts w:ascii="Times New Roman" w:hAnsi="Times New Roman" w:cs="Times New Roman"/>
          <w:lang w:val="en-IE"/>
        </w:rPr>
        <w:t>further productivity gains as a result of exporting.</w:t>
      </w:r>
      <w:r w:rsidR="00481C18" w:rsidRPr="00C73908">
        <w:rPr>
          <w:rFonts w:ascii="Times New Roman" w:hAnsi="Times New Roman" w:cs="Times New Roman"/>
          <w:lang w:val="en-IE"/>
        </w:rPr>
        <w:t xml:space="preserve"> </w:t>
      </w:r>
      <w:r w:rsidR="00BF360C" w:rsidRPr="00C73908">
        <w:rPr>
          <w:rFonts w:ascii="Times New Roman" w:hAnsi="Times New Roman" w:cs="Times New Roman"/>
          <w:lang w:val="en-IE"/>
        </w:rPr>
        <w:t>Following on from t</w:t>
      </w:r>
      <w:r w:rsidR="009F4012" w:rsidRPr="00C73908">
        <w:rPr>
          <w:rFonts w:ascii="Times New Roman" w:hAnsi="Times New Roman" w:cs="Times New Roman"/>
          <w:lang w:val="en-IE"/>
        </w:rPr>
        <w:t xml:space="preserve">he publication of </w:t>
      </w:r>
      <w:r w:rsidR="00F17B69" w:rsidRPr="00C73908">
        <w:rPr>
          <w:rFonts w:ascii="Times New Roman" w:hAnsi="Times New Roman" w:cs="Times New Roman"/>
          <w:lang w:val="en-IE"/>
        </w:rPr>
        <w:t>Bernard and Jensen’s influential papers</w:t>
      </w:r>
      <w:r w:rsidR="008F688F" w:rsidRPr="00C73908">
        <w:rPr>
          <w:rFonts w:ascii="Times New Roman" w:hAnsi="Times New Roman" w:cs="Times New Roman"/>
          <w:lang w:val="en-IE"/>
        </w:rPr>
        <w:t xml:space="preserve">, researchers from across the world began </w:t>
      </w:r>
      <w:r w:rsidR="00B51742" w:rsidRPr="00C73908">
        <w:rPr>
          <w:rFonts w:ascii="Times New Roman" w:hAnsi="Times New Roman" w:cs="Times New Roman"/>
          <w:lang w:val="en-IE"/>
        </w:rPr>
        <w:t xml:space="preserve">using </w:t>
      </w:r>
      <w:r w:rsidR="00F87632" w:rsidRPr="00C73908">
        <w:rPr>
          <w:rFonts w:ascii="Times New Roman" w:hAnsi="Times New Roman" w:cs="Times New Roman"/>
          <w:lang w:val="en-IE"/>
        </w:rPr>
        <w:t xml:space="preserve">micro data to </w:t>
      </w:r>
      <w:r w:rsidR="008F688F" w:rsidRPr="00C73908">
        <w:rPr>
          <w:rFonts w:ascii="Times New Roman" w:hAnsi="Times New Roman" w:cs="Times New Roman"/>
          <w:lang w:val="en-IE"/>
        </w:rPr>
        <w:t xml:space="preserve">analyse the </w:t>
      </w:r>
      <w:r w:rsidR="004028D3" w:rsidRPr="00C73908">
        <w:rPr>
          <w:rFonts w:ascii="Times New Roman" w:hAnsi="Times New Roman" w:cs="Times New Roman"/>
          <w:lang w:val="en-IE"/>
        </w:rPr>
        <w:t>relationship between firm characteristics and exports, with a particular focus on productivity</w:t>
      </w:r>
      <w:r w:rsidR="00221E6E" w:rsidRPr="00C73908">
        <w:rPr>
          <w:rFonts w:ascii="Times New Roman" w:hAnsi="Times New Roman" w:cs="Times New Roman"/>
          <w:lang w:val="en-IE"/>
        </w:rPr>
        <w:t>.</w:t>
      </w:r>
      <w:r w:rsidR="002062C3" w:rsidRPr="00C73908">
        <w:rPr>
          <w:rFonts w:ascii="Times New Roman" w:hAnsi="Times New Roman" w:cs="Times New Roman"/>
          <w:lang w:val="en-IE"/>
        </w:rPr>
        <w:t xml:space="preserve"> Wagner (2007) </w:t>
      </w:r>
      <w:r w:rsidR="00BB656D" w:rsidRPr="00C73908">
        <w:rPr>
          <w:rFonts w:ascii="Times New Roman" w:hAnsi="Times New Roman" w:cs="Times New Roman"/>
          <w:lang w:val="en-IE"/>
        </w:rPr>
        <w:t xml:space="preserve">surveys the results of 45 </w:t>
      </w:r>
      <w:r w:rsidR="00F87632" w:rsidRPr="00C73908">
        <w:rPr>
          <w:rFonts w:ascii="Times New Roman" w:hAnsi="Times New Roman" w:cs="Times New Roman"/>
          <w:lang w:val="en-IE"/>
        </w:rPr>
        <w:t xml:space="preserve">such </w:t>
      </w:r>
      <w:r w:rsidR="00BB656D" w:rsidRPr="00C73908">
        <w:rPr>
          <w:rFonts w:ascii="Times New Roman" w:hAnsi="Times New Roman" w:cs="Times New Roman"/>
          <w:lang w:val="en-IE"/>
        </w:rPr>
        <w:t xml:space="preserve">studies from </w:t>
      </w:r>
      <w:r w:rsidR="00970F85" w:rsidRPr="00C73908">
        <w:rPr>
          <w:rFonts w:ascii="Times New Roman" w:hAnsi="Times New Roman" w:cs="Times New Roman"/>
          <w:lang w:val="en-IE"/>
        </w:rPr>
        <w:t>33 countries</w:t>
      </w:r>
      <w:r w:rsidR="00DB379D" w:rsidRPr="00C73908">
        <w:rPr>
          <w:rFonts w:ascii="Times New Roman" w:hAnsi="Times New Roman" w:cs="Times New Roman"/>
          <w:lang w:val="en-IE"/>
        </w:rPr>
        <w:t xml:space="preserve"> and</w:t>
      </w:r>
      <w:r w:rsidR="00B9281B" w:rsidRPr="00C73908">
        <w:rPr>
          <w:rFonts w:ascii="Times New Roman" w:hAnsi="Times New Roman" w:cs="Times New Roman"/>
          <w:lang w:val="en-IE"/>
        </w:rPr>
        <w:t xml:space="preserve"> f</w:t>
      </w:r>
      <w:r w:rsidR="00402319" w:rsidRPr="00C73908">
        <w:rPr>
          <w:rFonts w:ascii="Times New Roman" w:hAnsi="Times New Roman" w:cs="Times New Roman"/>
          <w:lang w:val="en-IE"/>
        </w:rPr>
        <w:t>inds</w:t>
      </w:r>
      <w:r w:rsidR="00B9281B" w:rsidRPr="00C73908">
        <w:rPr>
          <w:rFonts w:ascii="Times New Roman" w:hAnsi="Times New Roman" w:cs="Times New Roman"/>
          <w:lang w:val="en-IE"/>
        </w:rPr>
        <w:t xml:space="preserve"> that </w:t>
      </w:r>
      <w:r w:rsidR="00000152" w:rsidRPr="00C73908">
        <w:rPr>
          <w:rFonts w:ascii="Times New Roman" w:hAnsi="Times New Roman" w:cs="Times New Roman"/>
          <w:lang w:val="en-IE"/>
        </w:rPr>
        <w:t>“</w:t>
      </w:r>
      <w:r w:rsidR="00B9281B" w:rsidRPr="00C73908">
        <w:rPr>
          <w:rFonts w:ascii="Times New Roman" w:hAnsi="Times New Roman" w:cs="Times New Roman"/>
          <w:lang w:val="en-IE"/>
        </w:rPr>
        <w:t>with only a few exceptions</w:t>
      </w:r>
      <w:r w:rsidR="00DB379D" w:rsidRPr="00C73908">
        <w:rPr>
          <w:rFonts w:ascii="Times New Roman" w:hAnsi="Times New Roman" w:cs="Times New Roman"/>
          <w:lang w:val="en-IE"/>
        </w:rPr>
        <w:t>,</w:t>
      </w:r>
      <w:r w:rsidR="00B9281B" w:rsidRPr="00C73908">
        <w:rPr>
          <w:rFonts w:ascii="Times New Roman" w:hAnsi="Times New Roman" w:cs="Times New Roman"/>
          <w:lang w:val="en-IE"/>
        </w:rPr>
        <w:t xml:space="preserve"> exporters are found to have higher productivity, and often higher productivity growth</w:t>
      </w:r>
      <w:r w:rsidR="00000152" w:rsidRPr="00C73908">
        <w:rPr>
          <w:rFonts w:ascii="Times New Roman" w:hAnsi="Times New Roman" w:cs="Times New Roman"/>
          <w:lang w:val="en-IE"/>
        </w:rPr>
        <w:t>”.</w:t>
      </w:r>
      <w:r w:rsidR="009D06C1" w:rsidRPr="00C73908">
        <w:rPr>
          <w:rFonts w:ascii="Times New Roman" w:hAnsi="Times New Roman" w:cs="Times New Roman"/>
          <w:lang w:val="en-IE"/>
        </w:rPr>
        <w:t xml:space="preserve"> </w:t>
      </w:r>
      <w:r w:rsidR="00F0598E" w:rsidRPr="00C73908">
        <w:rPr>
          <w:rFonts w:ascii="Times New Roman" w:hAnsi="Times New Roman" w:cs="Times New Roman"/>
          <w:lang w:val="en-IE"/>
        </w:rPr>
        <w:t>In other words, the most productive firms are most likely to export.</w:t>
      </w:r>
    </w:p>
    <w:p w14:paraId="196C0CA8" w14:textId="10AB9B3A" w:rsidR="0065709A" w:rsidRPr="00C73908" w:rsidRDefault="00B55920"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lastRenderedPageBreak/>
        <w:t>Sunk Costs Theory:</w:t>
      </w:r>
      <w:r w:rsidRPr="00C73908">
        <w:rPr>
          <w:rFonts w:ascii="Times New Roman" w:hAnsi="Times New Roman" w:cs="Times New Roman"/>
          <w:lang w:val="en-IE"/>
        </w:rPr>
        <w:t xml:space="preserve"> </w:t>
      </w:r>
      <w:r w:rsidR="007A3E71">
        <w:rPr>
          <w:rFonts w:ascii="Times New Roman" w:hAnsi="Times New Roman" w:cs="Times New Roman"/>
          <w:lang w:val="en-IE"/>
        </w:rPr>
        <w:t>O</w:t>
      </w:r>
      <w:r w:rsidR="006A04E2" w:rsidRPr="00C73908">
        <w:rPr>
          <w:rFonts w:ascii="Times New Roman" w:hAnsi="Times New Roman" w:cs="Times New Roman"/>
          <w:lang w:val="en-IE"/>
        </w:rPr>
        <w:t xml:space="preserve">ne of the most </w:t>
      </w:r>
      <w:r w:rsidR="000D611F" w:rsidRPr="00C73908">
        <w:rPr>
          <w:rFonts w:ascii="Times New Roman" w:hAnsi="Times New Roman" w:cs="Times New Roman"/>
          <w:lang w:val="en-IE"/>
        </w:rPr>
        <w:t xml:space="preserve">common </w:t>
      </w:r>
      <w:r w:rsidR="008B58F8" w:rsidRPr="00C73908">
        <w:rPr>
          <w:rFonts w:ascii="Times New Roman" w:hAnsi="Times New Roman" w:cs="Times New Roman"/>
          <w:lang w:val="en-IE"/>
        </w:rPr>
        <w:t>theories explaining th</w:t>
      </w:r>
      <w:r w:rsidR="007A3E71">
        <w:rPr>
          <w:rFonts w:ascii="Times New Roman" w:hAnsi="Times New Roman" w:cs="Times New Roman"/>
          <w:lang w:val="en-IE"/>
        </w:rPr>
        <w:t>e</w:t>
      </w:r>
      <w:r w:rsidR="008B58F8" w:rsidRPr="00C73908">
        <w:rPr>
          <w:rFonts w:ascii="Times New Roman" w:hAnsi="Times New Roman" w:cs="Times New Roman"/>
          <w:lang w:val="en-IE"/>
        </w:rPr>
        <w:t xml:space="preserve"> link </w:t>
      </w:r>
      <w:r w:rsidR="007A3E71">
        <w:rPr>
          <w:rFonts w:ascii="Times New Roman" w:hAnsi="Times New Roman" w:cs="Times New Roman"/>
          <w:lang w:val="en-IE"/>
        </w:rPr>
        <w:t xml:space="preserve">between productivity and exporting </w:t>
      </w:r>
      <w:r w:rsidR="008B58F8" w:rsidRPr="00C73908">
        <w:rPr>
          <w:rFonts w:ascii="Times New Roman" w:hAnsi="Times New Roman" w:cs="Times New Roman"/>
          <w:lang w:val="en-IE"/>
        </w:rPr>
        <w:t xml:space="preserve">is the ability of more productive firms to absorb the </w:t>
      </w:r>
      <w:r w:rsidR="007215CE" w:rsidRPr="00C73908">
        <w:rPr>
          <w:rFonts w:ascii="Times New Roman" w:hAnsi="Times New Roman" w:cs="Times New Roman"/>
          <w:lang w:val="en-IE"/>
        </w:rPr>
        <w:t xml:space="preserve">initial </w:t>
      </w:r>
      <w:r w:rsidR="006E71E3" w:rsidRPr="00C73908">
        <w:rPr>
          <w:rFonts w:ascii="Times New Roman" w:hAnsi="Times New Roman" w:cs="Times New Roman"/>
          <w:lang w:val="en-IE"/>
        </w:rPr>
        <w:t>entry</w:t>
      </w:r>
      <w:r w:rsidR="007215CE" w:rsidRPr="00C73908">
        <w:rPr>
          <w:rFonts w:ascii="Times New Roman" w:hAnsi="Times New Roman" w:cs="Times New Roman"/>
          <w:lang w:val="en-IE"/>
        </w:rPr>
        <w:t xml:space="preserve"> costs </w:t>
      </w:r>
      <w:r w:rsidR="00A57E66" w:rsidRPr="00C73908">
        <w:rPr>
          <w:rFonts w:ascii="Times New Roman" w:hAnsi="Times New Roman" w:cs="Times New Roman"/>
          <w:lang w:val="en-IE"/>
        </w:rPr>
        <w:t>incurred when</w:t>
      </w:r>
      <w:r w:rsidR="007215CE" w:rsidRPr="00C73908">
        <w:rPr>
          <w:rFonts w:ascii="Times New Roman" w:hAnsi="Times New Roman" w:cs="Times New Roman"/>
          <w:lang w:val="en-IE"/>
        </w:rPr>
        <w:t xml:space="preserve"> entering a new export market. </w:t>
      </w:r>
      <w:r w:rsidR="00D77F26" w:rsidRPr="00C73908">
        <w:rPr>
          <w:rFonts w:ascii="Times New Roman" w:hAnsi="Times New Roman" w:cs="Times New Roman"/>
          <w:lang w:val="en-IE"/>
        </w:rPr>
        <w:t>Th</w:t>
      </w:r>
      <w:r w:rsidR="00423E83" w:rsidRPr="00C73908">
        <w:rPr>
          <w:rFonts w:ascii="Times New Roman" w:hAnsi="Times New Roman" w:cs="Times New Roman"/>
          <w:lang w:val="en-IE"/>
        </w:rPr>
        <w:t>ese</w:t>
      </w:r>
      <w:r w:rsidR="002D469A" w:rsidRPr="00C73908">
        <w:rPr>
          <w:rFonts w:ascii="Times New Roman" w:hAnsi="Times New Roman" w:cs="Times New Roman"/>
          <w:lang w:val="en-IE"/>
        </w:rPr>
        <w:t xml:space="preserve"> </w:t>
      </w:r>
      <w:r w:rsidR="00415CAB" w:rsidRPr="00C73908">
        <w:rPr>
          <w:rFonts w:ascii="Times New Roman" w:hAnsi="Times New Roman" w:cs="Times New Roman"/>
          <w:lang w:val="en-IE"/>
        </w:rPr>
        <w:t xml:space="preserve">costs </w:t>
      </w:r>
      <w:r w:rsidR="002D469A" w:rsidRPr="00C73908">
        <w:rPr>
          <w:rFonts w:ascii="Times New Roman" w:hAnsi="Times New Roman" w:cs="Times New Roman"/>
          <w:lang w:val="en-IE"/>
        </w:rPr>
        <w:t>may</w:t>
      </w:r>
      <w:r w:rsidR="002027A5" w:rsidRPr="00C73908">
        <w:rPr>
          <w:rFonts w:ascii="Times New Roman" w:hAnsi="Times New Roman" w:cs="Times New Roman"/>
          <w:lang w:val="en-IE"/>
        </w:rPr>
        <w:t xml:space="preserve"> include </w:t>
      </w:r>
      <w:r w:rsidR="00626FFE" w:rsidRPr="00C73908">
        <w:rPr>
          <w:rFonts w:ascii="Times New Roman" w:hAnsi="Times New Roman" w:cs="Times New Roman"/>
          <w:lang w:val="en-IE"/>
        </w:rPr>
        <w:t>product development</w:t>
      </w:r>
      <w:r w:rsidR="001765BA" w:rsidRPr="00C73908">
        <w:rPr>
          <w:rFonts w:ascii="Times New Roman" w:hAnsi="Times New Roman" w:cs="Times New Roman"/>
          <w:lang w:val="en-IE"/>
        </w:rPr>
        <w:t xml:space="preserve"> and modification</w:t>
      </w:r>
      <w:r w:rsidR="00D829F7" w:rsidRPr="00C73908">
        <w:rPr>
          <w:rFonts w:ascii="Times New Roman" w:hAnsi="Times New Roman" w:cs="Times New Roman"/>
          <w:lang w:val="en-IE"/>
        </w:rPr>
        <w:t xml:space="preserve">, </w:t>
      </w:r>
      <w:r w:rsidR="001765BA" w:rsidRPr="00C73908">
        <w:rPr>
          <w:rFonts w:ascii="Times New Roman" w:hAnsi="Times New Roman" w:cs="Times New Roman"/>
          <w:lang w:val="en-IE"/>
        </w:rPr>
        <w:t xml:space="preserve">market research, distribution </w:t>
      </w:r>
      <w:r w:rsidR="00C07E79" w:rsidRPr="00C73908">
        <w:rPr>
          <w:rFonts w:ascii="Times New Roman" w:hAnsi="Times New Roman" w:cs="Times New Roman"/>
          <w:lang w:val="en-IE"/>
        </w:rPr>
        <w:t xml:space="preserve">and marketing </w:t>
      </w:r>
      <w:r w:rsidR="00A57E66" w:rsidRPr="00C73908">
        <w:rPr>
          <w:rFonts w:ascii="Times New Roman" w:hAnsi="Times New Roman" w:cs="Times New Roman"/>
          <w:lang w:val="en-IE"/>
        </w:rPr>
        <w:t>costs</w:t>
      </w:r>
      <w:r w:rsidR="001765BA" w:rsidRPr="00C73908">
        <w:rPr>
          <w:rFonts w:ascii="Times New Roman" w:hAnsi="Times New Roman" w:cs="Times New Roman"/>
          <w:lang w:val="en-IE"/>
        </w:rPr>
        <w:t xml:space="preserve"> and </w:t>
      </w:r>
      <w:r w:rsidR="00AD29DA" w:rsidRPr="00C73908">
        <w:rPr>
          <w:rFonts w:ascii="Times New Roman" w:hAnsi="Times New Roman" w:cs="Times New Roman"/>
          <w:lang w:val="en-IE"/>
        </w:rPr>
        <w:t xml:space="preserve">costs associated with </w:t>
      </w:r>
      <w:r w:rsidR="001765BA" w:rsidRPr="00C73908">
        <w:rPr>
          <w:rFonts w:ascii="Times New Roman" w:hAnsi="Times New Roman" w:cs="Times New Roman"/>
          <w:lang w:val="en-IE"/>
        </w:rPr>
        <w:t xml:space="preserve">regulatory compliance. </w:t>
      </w:r>
      <w:r w:rsidR="004E780D" w:rsidRPr="00C73908">
        <w:rPr>
          <w:rFonts w:ascii="Times New Roman" w:hAnsi="Times New Roman" w:cs="Times New Roman"/>
          <w:lang w:val="en-IE"/>
        </w:rPr>
        <w:t>S</w:t>
      </w:r>
      <w:r w:rsidR="00443BD3" w:rsidRPr="00C73908">
        <w:rPr>
          <w:rFonts w:ascii="Times New Roman" w:hAnsi="Times New Roman" w:cs="Times New Roman"/>
          <w:lang w:val="en-IE"/>
        </w:rPr>
        <w:t xml:space="preserve">unk </w:t>
      </w:r>
      <w:r w:rsidR="002D469A" w:rsidRPr="00C73908">
        <w:rPr>
          <w:rFonts w:ascii="Times New Roman" w:hAnsi="Times New Roman" w:cs="Times New Roman"/>
          <w:lang w:val="en-IE"/>
        </w:rPr>
        <w:t xml:space="preserve">costs </w:t>
      </w:r>
      <w:r w:rsidR="00372A44" w:rsidRPr="00C73908">
        <w:rPr>
          <w:rFonts w:ascii="Times New Roman" w:hAnsi="Times New Roman" w:cs="Times New Roman"/>
          <w:lang w:val="en-IE"/>
        </w:rPr>
        <w:t xml:space="preserve">have been shown to </w:t>
      </w:r>
      <w:r w:rsidR="00583459" w:rsidRPr="00C73908">
        <w:rPr>
          <w:rFonts w:ascii="Times New Roman" w:hAnsi="Times New Roman" w:cs="Times New Roman"/>
          <w:lang w:val="en-IE"/>
        </w:rPr>
        <w:t>be</w:t>
      </w:r>
      <w:r w:rsidR="00372A44" w:rsidRPr="00C73908">
        <w:rPr>
          <w:rFonts w:ascii="Times New Roman" w:hAnsi="Times New Roman" w:cs="Times New Roman"/>
          <w:lang w:val="en-IE"/>
        </w:rPr>
        <w:t xml:space="preserve"> a significant </w:t>
      </w:r>
      <w:r w:rsidR="00583459" w:rsidRPr="00C73908">
        <w:rPr>
          <w:rFonts w:ascii="Times New Roman" w:hAnsi="Times New Roman" w:cs="Times New Roman"/>
          <w:lang w:val="en-IE"/>
        </w:rPr>
        <w:t>influence</w:t>
      </w:r>
      <w:r w:rsidR="00372A44" w:rsidRPr="00C73908">
        <w:rPr>
          <w:rFonts w:ascii="Times New Roman" w:hAnsi="Times New Roman" w:cs="Times New Roman"/>
          <w:lang w:val="en-IE"/>
        </w:rPr>
        <w:t xml:space="preserve"> on </w:t>
      </w:r>
      <w:r w:rsidR="00225932" w:rsidRPr="00C73908">
        <w:rPr>
          <w:rFonts w:ascii="Times New Roman" w:hAnsi="Times New Roman" w:cs="Times New Roman"/>
          <w:lang w:val="en-IE"/>
        </w:rPr>
        <w:t>the</w:t>
      </w:r>
      <w:r w:rsidR="00372A44" w:rsidRPr="00C73908">
        <w:rPr>
          <w:rFonts w:ascii="Times New Roman" w:hAnsi="Times New Roman" w:cs="Times New Roman"/>
          <w:lang w:val="en-IE"/>
        </w:rPr>
        <w:t xml:space="preserve"> decision </w:t>
      </w:r>
      <w:r w:rsidR="00225932" w:rsidRPr="00C73908">
        <w:rPr>
          <w:rFonts w:ascii="Times New Roman" w:hAnsi="Times New Roman" w:cs="Times New Roman"/>
          <w:lang w:val="en-IE"/>
        </w:rPr>
        <w:t xml:space="preserve">to enter a new export market and </w:t>
      </w:r>
      <w:r w:rsidR="00583459" w:rsidRPr="00C73908">
        <w:rPr>
          <w:rFonts w:ascii="Times New Roman" w:hAnsi="Times New Roman" w:cs="Times New Roman"/>
          <w:lang w:val="en-IE"/>
        </w:rPr>
        <w:t>the decision to continue exporting (Krugman</w:t>
      </w:r>
      <w:r w:rsidR="00CA2660" w:rsidRPr="00C73908">
        <w:rPr>
          <w:rFonts w:ascii="Times New Roman" w:hAnsi="Times New Roman" w:cs="Times New Roman"/>
          <w:lang w:val="en-IE"/>
        </w:rPr>
        <w:t xml:space="preserve"> 1988</w:t>
      </w:r>
      <w:r w:rsidR="00BE4EFE" w:rsidRPr="00C73908">
        <w:rPr>
          <w:rFonts w:ascii="Times New Roman" w:hAnsi="Times New Roman" w:cs="Times New Roman"/>
          <w:lang w:val="en-IE"/>
        </w:rPr>
        <w:t>) (Dixit 1989)</w:t>
      </w:r>
      <w:r w:rsidR="00701D30" w:rsidRPr="00C73908">
        <w:rPr>
          <w:rFonts w:ascii="Times New Roman" w:hAnsi="Times New Roman" w:cs="Times New Roman"/>
          <w:lang w:val="en-IE"/>
        </w:rPr>
        <w:t>. Roberts and Tybout</w:t>
      </w:r>
      <w:r w:rsidR="00D552BE" w:rsidRPr="00C73908">
        <w:rPr>
          <w:rFonts w:ascii="Times New Roman" w:hAnsi="Times New Roman" w:cs="Times New Roman"/>
          <w:lang w:val="en-IE"/>
        </w:rPr>
        <w:t xml:space="preserve"> (1997) were among the first to </w:t>
      </w:r>
      <w:r w:rsidR="00443BD3" w:rsidRPr="00C73908">
        <w:rPr>
          <w:rFonts w:ascii="Times New Roman" w:hAnsi="Times New Roman" w:cs="Times New Roman"/>
          <w:lang w:val="en-IE"/>
        </w:rPr>
        <w:t xml:space="preserve">examine the impact of sunk costs on </w:t>
      </w:r>
      <w:r w:rsidR="00DE7003" w:rsidRPr="00C73908">
        <w:rPr>
          <w:rFonts w:ascii="Times New Roman" w:hAnsi="Times New Roman" w:cs="Times New Roman"/>
          <w:lang w:val="en-IE"/>
        </w:rPr>
        <w:t>export propensity using firm level data. The</w:t>
      </w:r>
      <w:r w:rsidR="00195662" w:rsidRPr="00C73908">
        <w:rPr>
          <w:rFonts w:ascii="Times New Roman" w:hAnsi="Times New Roman" w:cs="Times New Roman"/>
          <w:lang w:val="en-IE"/>
        </w:rPr>
        <w:t>ir research</w:t>
      </w:r>
      <w:r w:rsidR="004433B2" w:rsidRPr="00C73908">
        <w:rPr>
          <w:rFonts w:ascii="Times New Roman" w:hAnsi="Times New Roman" w:cs="Times New Roman"/>
          <w:lang w:val="en-IE"/>
        </w:rPr>
        <w:t>,</w:t>
      </w:r>
      <w:r w:rsidR="002E009A" w:rsidRPr="00C73908">
        <w:rPr>
          <w:rFonts w:ascii="Times New Roman" w:hAnsi="Times New Roman" w:cs="Times New Roman"/>
          <w:lang w:val="en-IE"/>
        </w:rPr>
        <w:t xml:space="preserve"> </w:t>
      </w:r>
      <w:r w:rsidR="00195662" w:rsidRPr="00C73908">
        <w:rPr>
          <w:rFonts w:ascii="Times New Roman" w:hAnsi="Times New Roman" w:cs="Times New Roman"/>
          <w:lang w:val="en-IE"/>
        </w:rPr>
        <w:t>based on</w:t>
      </w:r>
      <w:r w:rsidR="0098450A" w:rsidRPr="00C73908">
        <w:rPr>
          <w:rFonts w:ascii="Times New Roman" w:hAnsi="Times New Roman" w:cs="Times New Roman"/>
          <w:lang w:val="en-IE"/>
        </w:rPr>
        <w:t xml:space="preserve"> annual data from</w:t>
      </w:r>
      <w:r w:rsidR="00195662" w:rsidRPr="00C73908">
        <w:rPr>
          <w:rFonts w:ascii="Times New Roman" w:hAnsi="Times New Roman" w:cs="Times New Roman"/>
          <w:lang w:val="en-IE"/>
        </w:rPr>
        <w:t xml:space="preserve"> </w:t>
      </w:r>
      <w:r w:rsidR="000A12A0" w:rsidRPr="00C73908">
        <w:rPr>
          <w:rFonts w:ascii="Times New Roman" w:hAnsi="Times New Roman" w:cs="Times New Roman"/>
          <w:lang w:val="en-IE"/>
        </w:rPr>
        <w:t xml:space="preserve">1981-89 for </w:t>
      </w:r>
      <w:r w:rsidR="00195662" w:rsidRPr="00C73908">
        <w:rPr>
          <w:rFonts w:ascii="Times New Roman" w:hAnsi="Times New Roman" w:cs="Times New Roman"/>
          <w:lang w:val="en-IE"/>
        </w:rPr>
        <w:t>a panel of</w:t>
      </w:r>
      <w:r w:rsidR="000A12A0" w:rsidRPr="00C73908">
        <w:rPr>
          <w:rFonts w:ascii="Times New Roman" w:hAnsi="Times New Roman" w:cs="Times New Roman"/>
          <w:lang w:val="en-IE"/>
        </w:rPr>
        <w:t xml:space="preserve"> </w:t>
      </w:r>
      <w:r w:rsidR="00195662" w:rsidRPr="00C73908">
        <w:rPr>
          <w:rFonts w:ascii="Times New Roman" w:hAnsi="Times New Roman" w:cs="Times New Roman"/>
          <w:lang w:val="en-IE"/>
        </w:rPr>
        <w:t xml:space="preserve">Colombian manufacturing </w:t>
      </w:r>
      <w:r w:rsidR="0098450A" w:rsidRPr="00C73908">
        <w:rPr>
          <w:rFonts w:ascii="Times New Roman" w:hAnsi="Times New Roman" w:cs="Times New Roman"/>
          <w:lang w:val="en-IE"/>
        </w:rPr>
        <w:t>firms</w:t>
      </w:r>
      <w:r w:rsidR="004433B2" w:rsidRPr="00C73908">
        <w:rPr>
          <w:rFonts w:ascii="Times New Roman" w:hAnsi="Times New Roman" w:cs="Times New Roman"/>
          <w:lang w:val="en-IE"/>
        </w:rPr>
        <w:t>,</w:t>
      </w:r>
      <w:r w:rsidR="007A0B69" w:rsidRPr="00C73908">
        <w:rPr>
          <w:rFonts w:ascii="Times New Roman" w:hAnsi="Times New Roman" w:cs="Times New Roman"/>
          <w:lang w:val="en-IE"/>
        </w:rPr>
        <w:t xml:space="preserve"> </w:t>
      </w:r>
      <w:r w:rsidR="004433B2" w:rsidRPr="00C73908">
        <w:rPr>
          <w:rFonts w:ascii="Times New Roman" w:hAnsi="Times New Roman" w:cs="Times New Roman"/>
          <w:lang w:val="en-IE"/>
        </w:rPr>
        <w:t xml:space="preserve">found that </w:t>
      </w:r>
      <w:r w:rsidR="00D30F66" w:rsidRPr="00C73908">
        <w:rPr>
          <w:rFonts w:ascii="Times New Roman" w:hAnsi="Times New Roman" w:cs="Times New Roman"/>
          <w:lang w:val="en-IE"/>
        </w:rPr>
        <w:t>“sunk costs are a significant source of export-market persistence”</w:t>
      </w:r>
      <w:r w:rsidR="002B6BBE" w:rsidRPr="00C73908">
        <w:rPr>
          <w:rFonts w:ascii="Times New Roman" w:hAnsi="Times New Roman" w:cs="Times New Roman"/>
          <w:lang w:val="en-IE"/>
        </w:rPr>
        <w:t xml:space="preserve"> and that </w:t>
      </w:r>
      <w:r w:rsidR="001069A7" w:rsidRPr="00C73908">
        <w:rPr>
          <w:rFonts w:ascii="Times New Roman" w:hAnsi="Times New Roman" w:cs="Times New Roman"/>
          <w:lang w:val="en-IE"/>
        </w:rPr>
        <w:t xml:space="preserve">previous export history in a market </w:t>
      </w:r>
      <w:r w:rsidR="00EC6BC0" w:rsidRPr="00C73908">
        <w:rPr>
          <w:rFonts w:ascii="Times New Roman" w:hAnsi="Times New Roman" w:cs="Times New Roman"/>
          <w:lang w:val="en-IE"/>
        </w:rPr>
        <w:t>has a positive and s</w:t>
      </w:r>
      <w:r w:rsidR="00940E46" w:rsidRPr="00C73908">
        <w:rPr>
          <w:rFonts w:ascii="Times New Roman" w:hAnsi="Times New Roman" w:cs="Times New Roman"/>
          <w:lang w:val="en-IE"/>
        </w:rPr>
        <w:t>ignificant influence on</w:t>
      </w:r>
      <w:r w:rsidR="00EC6BC0" w:rsidRPr="00C73908">
        <w:rPr>
          <w:rFonts w:ascii="Times New Roman" w:hAnsi="Times New Roman" w:cs="Times New Roman"/>
          <w:lang w:val="en-IE"/>
        </w:rPr>
        <w:t xml:space="preserve"> </w:t>
      </w:r>
      <w:r w:rsidR="00B628A9" w:rsidRPr="00C73908">
        <w:rPr>
          <w:rFonts w:ascii="Times New Roman" w:hAnsi="Times New Roman" w:cs="Times New Roman"/>
          <w:lang w:val="en-IE"/>
        </w:rPr>
        <w:t>current activity in the market</w:t>
      </w:r>
      <w:r w:rsidR="00A83A00" w:rsidRPr="00C73908">
        <w:rPr>
          <w:rFonts w:ascii="Times New Roman" w:hAnsi="Times New Roman" w:cs="Times New Roman"/>
          <w:lang w:val="en-IE"/>
        </w:rPr>
        <w:t>.</w:t>
      </w:r>
      <w:r w:rsidR="00FB571F" w:rsidRPr="00C73908">
        <w:rPr>
          <w:rFonts w:ascii="Times New Roman" w:hAnsi="Times New Roman" w:cs="Times New Roman"/>
          <w:lang w:val="en-IE"/>
        </w:rPr>
        <w:t xml:space="preserve"> The</w:t>
      </w:r>
      <w:r w:rsidR="008D1A7D" w:rsidRPr="00C73908">
        <w:rPr>
          <w:rFonts w:ascii="Times New Roman" w:hAnsi="Times New Roman" w:cs="Times New Roman"/>
          <w:lang w:val="en-IE"/>
        </w:rPr>
        <w:t xml:space="preserve"> presence of</w:t>
      </w:r>
      <w:r w:rsidR="00FB571F" w:rsidRPr="00C73908">
        <w:rPr>
          <w:rFonts w:ascii="Times New Roman" w:hAnsi="Times New Roman" w:cs="Times New Roman"/>
          <w:lang w:val="en-IE"/>
        </w:rPr>
        <w:t xml:space="preserve"> sunk costs act</w:t>
      </w:r>
      <w:r w:rsidR="00C83E77" w:rsidRPr="00C73908">
        <w:rPr>
          <w:rFonts w:ascii="Times New Roman" w:hAnsi="Times New Roman" w:cs="Times New Roman"/>
          <w:lang w:val="en-IE"/>
        </w:rPr>
        <w:t>s</w:t>
      </w:r>
      <w:r w:rsidR="00FB571F" w:rsidRPr="00C73908">
        <w:rPr>
          <w:rFonts w:ascii="Times New Roman" w:hAnsi="Times New Roman" w:cs="Times New Roman"/>
          <w:lang w:val="en-IE"/>
        </w:rPr>
        <w:t xml:space="preserve"> as a barrier </w:t>
      </w:r>
      <w:r w:rsidR="00D11613" w:rsidRPr="00C73908">
        <w:rPr>
          <w:rFonts w:ascii="Times New Roman" w:hAnsi="Times New Roman" w:cs="Times New Roman"/>
          <w:lang w:val="en-IE"/>
        </w:rPr>
        <w:t xml:space="preserve">that only the </w:t>
      </w:r>
      <w:r w:rsidR="00825AAA" w:rsidRPr="00C73908">
        <w:rPr>
          <w:rFonts w:ascii="Times New Roman" w:hAnsi="Times New Roman" w:cs="Times New Roman"/>
          <w:lang w:val="en-IE"/>
        </w:rPr>
        <w:t>most</w:t>
      </w:r>
      <w:r w:rsidR="00D11613" w:rsidRPr="00C73908">
        <w:rPr>
          <w:rFonts w:ascii="Times New Roman" w:hAnsi="Times New Roman" w:cs="Times New Roman"/>
          <w:lang w:val="en-IE"/>
        </w:rPr>
        <w:t xml:space="preserve"> productive </w:t>
      </w:r>
      <w:r w:rsidR="008D1A7D" w:rsidRPr="00C73908">
        <w:rPr>
          <w:rFonts w:ascii="Times New Roman" w:hAnsi="Times New Roman" w:cs="Times New Roman"/>
          <w:lang w:val="en-IE"/>
        </w:rPr>
        <w:t>fi</w:t>
      </w:r>
      <w:r w:rsidR="00D11613" w:rsidRPr="00C73908">
        <w:rPr>
          <w:rFonts w:ascii="Times New Roman" w:hAnsi="Times New Roman" w:cs="Times New Roman"/>
          <w:lang w:val="en-IE"/>
        </w:rPr>
        <w:t xml:space="preserve">rms are able to </w:t>
      </w:r>
      <w:r w:rsidR="00825AAA" w:rsidRPr="00C73908">
        <w:rPr>
          <w:rFonts w:ascii="Times New Roman" w:hAnsi="Times New Roman" w:cs="Times New Roman"/>
          <w:lang w:val="en-IE"/>
        </w:rPr>
        <w:t>overcome</w:t>
      </w:r>
      <w:r w:rsidR="00372ED6" w:rsidRPr="00C73908">
        <w:rPr>
          <w:rFonts w:ascii="Times New Roman" w:hAnsi="Times New Roman" w:cs="Times New Roman"/>
          <w:lang w:val="en-IE"/>
        </w:rPr>
        <w:t xml:space="preserve">. </w:t>
      </w:r>
      <w:r w:rsidR="00145346" w:rsidRPr="00C73908">
        <w:rPr>
          <w:rFonts w:ascii="Times New Roman" w:hAnsi="Times New Roman" w:cs="Times New Roman"/>
          <w:lang w:val="en-IE"/>
        </w:rPr>
        <w:t>The result of this</w:t>
      </w:r>
      <w:r w:rsidR="00FD77B8" w:rsidRPr="00C73908">
        <w:rPr>
          <w:rFonts w:ascii="Times New Roman" w:hAnsi="Times New Roman" w:cs="Times New Roman"/>
          <w:lang w:val="en-IE"/>
        </w:rPr>
        <w:t xml:space="preserve">, as noted by Greenaway and Kneller (2004) </w:t>
      </w:r>
      <w:r w:rsidR="00790A43" w:rsidRPr="00C73908">
        <w:rPr>
          <w:rFonts w:ascii="Times New Roman" w:hAnsi="Times New Roman" w:cs="Times New Roman"/>
          <w:lang w:val="en-IE"/>
        </w:rPr>
        <w:t>in their study of</w:t>
      </w:r>
      <w:r w:rsidR="00FD77B8" w:rsidRPr="00C73908">
        <w:rPr>
          <w:rFonts w:ascii="Times New Roman" w:hAnsi="Times New Roman" w:cs="Times New Roman"/>
          <w:lang w:val="en-IE"/>
        </w:rPr>
        <w:t xml:space="preserve"> UK manufacturing firms</w:t>
      </w:r>
      <w:r w:rsidR="00790A43" w:rsidRPr="00C73908">
        <w:rPr>
          <w:rFonts w:ascii="Times New Roman" w:hAnsi="Times New Roman" w:cs="Times New Roman"/>
          <w:lang w:val="en-IE"/>
        </w:rPr>
        <w:t>,</w:t>
      </w:r>
      <w:r w:rsidR="00145346" w:rsidRPr="00C73908">
        <w:rPr>
          <w:rFonts w:ascii="Times New Roman" w:hAnsi="Times New Roman" w:cs="Times New Roman"/>
          <w:lang w:val="en-IE"/>
        </w:rPr>
        <w:t xml:space="preserve"> is that “self-selection</w:t>
      </w:r>
      <w:r w:rsidR="003F677D" w:rsidRPr="00C73908">
        <w:rPr>
          <w:rFonts w:ascii="Times New Roman" w:hAnsi="Times New Roman" w:cs="Times New Roman"/>
          <w:lang w:val="en-IE"/>
        </w:rPr>
        <w:t xml:space="preserve"> takes place, with larger and more productive firms</w:t>
      </w:r>
      <w:r w:rsidR="00145346" w:rsidRPr="00C73908">
        <w:rPr>
          <w:rFonts w:ascii="Times New Roman" w:hAnsi="Times New Roman" w:cs="Times New Roman"/>
          <w:lang w:val="en-IE"/>
        </w:rPr>
        <w:t xml:space="preserve"> </w:t>
      </w:r>
      <w:r w:rsidR="003F677D" w:rsidRPr="00C73908">
        <w:rPr>
          <w:rFonts w:ascii="Times New Roman" w:hAnsi="Times New Roman" w:cs="Times New Roman"/>
          <w:lang w:val="en-IE"/>
        </w:rPr>
        <w:t>entering export markets, and firms have to become more productive to enter.</w:t>
      </w:r>
      <w:r w:rsidR="00145346" w:rsidRPr="00C73908">
        <w:rPr>
          <w:rFonts w:ascii="Times New Roman" w:hAnsi="Times New Roman" w:cs="Times New Roman"/>
          <w:lang w:val="en-IE"/>
        </w:rPr>
        <w:t>”</w:t>
      </w:r>
      <w:r w:rsidR="00065D56" w:rsidRPr="00C73908">
        <w:rPr>
          <w:rFonts w:ascii="Times New Roman" w:hAnsi="Times New Roman" w:cs="Times New Roman"/>
          <w:lang w:val="en-IE"/>
        </w:rPr>
        <w:t xml:space="preserve"> </w:t>
      </w:r>
      <w:r w:rsidR="00035A09" w:rsidRPr="00C73908">
        <w:rPr>
          <w:rFonts w:ascii="Times New Roman" w:hAnsi="Times New Roman" w:cs="Times New Roman"/>
          <w:lang w:val="en-IE"/>
        </w:rPr>
        <w:t>However, r</w:t>
      </w:r>
      <w:r w:rsidR="00CC5FD7" w:rsidRPr="00C73908">
        <w:rPr>
          <w:rFonts w:ascii="Times New Roman" w:hAnsi="Times New Roman" w:cs="Times New Roman"/>
          <w:lang w:val="en-IE"/>
        </w:rPr>
        <w:t>esearch by Lawless et al</w:t>
      </w:r>
      <w:r w:rsidR="00035A09" w:rsidRPr="00C73908">
        <w:rPr>
          <w:rFonts w:ascii="Times New Roman" w:hAnsi="Times New Roman" w:cs="Times New Roman"/>
          <w:lang w:val="en-IE"/>
        </w:rPr>
        <w:t xml:space="preserve">. (2017) </w:t>
      </w:r>
      <w:r w:rsidR="00FA5912" w:rsidRPr="00C73908">
        <w:rPr>
          <w:rFonts w:ascii="Times New Roman" w:hAnsi="Times New Roman" w:cs="Times New Roman"/>
          <w:lang w:val="en-IE"/>
        </w:rPr>
        <w:t>on the export characteristics of Irish manufacturing firms sug</w:t>
      </w:r>
      <w:r w:rsidR="006F604D" w:rsidRPr="00C73908">
        <w:rPr>
          <w:rFonts w:ascii="Times New Roman" w:hAnsi="Times New Roman" w:cs="Times New Roman"/>
          <w:lang w:val="en-IE"/>
        </w:rPr>
        <w:t xml:space="preserve">gests that </w:t>
      </w:r>
      <w:r w:rsidR="00955DF8" w:rsidRPr="00C73908">
        <w:rPr>
          <w:rFonts w:ascii="Times New Roman" w:hAnsi="Times New Roman" w:cs="Times New Roman"/>
          <w:lang w:val="en-IE"/>
        </w:rPr>
        <w:t>market entry costs are</w:t>
      </w:r>
      <w:r w:rsidR="007F6A35" w:rsidRPr="00C73908">
        <w:rPr>
          <w:rFonts w:ascii="Times New Roman" w:hAnsi="Times New Roman" w:cs="Times New Roman"/>
          <w:lang w:val="en-IE"/>
        </w:rPr>
        <w:t xml:space="preserve"> not</w:t>
      </w:r>
      <w:r w:rsidR="00955DF8" w:rsidRPr="00C73908">
        <w:rPr>
          <w:rFonts w:ascii="Times New Roman" w:hAnsi="Times New Roman" w:cs="Times New Roman"/>
          <w:lang w:val="en-IE"/>
        </w:rPr>
        <w:t xml:space="preserve"> just an initial hurdle to overcome </w:t>
      </w:r>
      <w:r w:rsidR="00061E0C" w:rsidRPr="00C73908">
        <w:rPr>
          <w:rFonts w:ascii="Times New Roman" w:hAnsi="Times New Roman" w:cs="Times New Roman"/>
          <w:lang w:val="en-IE"/>
        </w:rPr>
        <w:t xml:space="preserve">when a firm begins exporting but rather </w:t>
      </w:r>
      <w:r w:rsidR="007F6A35" w:rsidRPr="00C73908">
        <w:rPr>
          <w:rFonts w:ascii="Times New Roman" w:hAnsi="Times New Roman" w:cs="Times New Roman"/>
          <w:lang w:val="en-IE"/>
        </w:rPr>
        <w:t>“there are ongoing hurdles or fixed costs associated with each new product introduced and each new export market entered.”</w:t>
      </w:r>
    </w:p>
    <w:p w14:paraId="5272720C" w14:textId="1CF97F42" w:rsidR="00D23D5B" w:rsidRPr="00C73908" w:rsidRDefault="00932537"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t>Learning by Exporting:</w:t>
      </w:r>
      <w:r w:rsidRPr="00C73908">
        <w:rPr>
          <w:rFonts w:ascii="Times New Roman" w:hAnsi="Times New Roman" w:cs="Times New Roman"/>
          <w:lang w:val="en-IE"/>
        </w:rPr>
        <w:t xml:space="preserve"> </w:t>
      </w:r>
      <w:r w:rsidR="005D0092" w:rsidRPr="00C73908">
        <w:rPr>
          <w:rFonts w:ascii="Times New Roman" w:hAnsi="Times New Roman" w:cs="Times New Roman"/>
          <w:lang w:val="en-IE"/>
        </w:rPr>
        <w:t xml:space="preserve">As well as the </w:t>
      </w:r>
      <w:r w:rsidR="00E43B88" w:rsidRPr="00C73908">
        <w:rPr>
          <w:rFonts w:ascii="Times New Roman" w:hAnsi="Times New Roman" w:cs="Times New Roman"/>
          <w:lang w:val="en-IE"/>
        </w:rPr>
        <w:t xml:space="preserve">impact of </w:t>
      </w:r>
      <w:r w:rsidR="005D0092" w:rsidRPr="00C73908">
        <w:rPr>
          <w:rFonts w:ascii="Times New Roman" w:hAnsi="Times New Roman" w:cs="Times New Roman"/>
          <w:lang w:val="en-IE"/>
        </w:rPr>
        <w:t>sunk costs</w:t>
      </w:r>
      <w:r w:rsidR="007336A4" w:rsidRPr="00C73908">
        <w:rPr>
          <w:rFonts w:ascii="Times New Roman" w:hAnsi="Times New Roman" w:cs="Times New Roman"/>
          <w:lang w:val="en-IE"/>
        </w:rPr>
        <w:t xml:space="preserve"> </w:t>
      </w:r>
      <w:r w:rsidR="00966DCA" w:rsidRPr="00C73908">
        <w:rPr>
          <w:rFonts w:ascii="Times New Roman" w:hAnsi="Times New Roman" w:cs="Times New Roman"/>
          <w:lang w:val="en-IE"/>
        </w:rPr>
        <w:t>which</w:t>
      </w:r>
      <w:r w:rsidR="00B15DE5" w:rsidRPr="00C73908">
        <w:rPr>
          <w:rFonts w:ascii="Times New Roman" w:hAnsi="Times New Roman" w:cs="Times New Roman"/>
          <w:lang w:val="en-IE"/>
        </w:rPr>
        <w:t xml:space="preserve"> requires that exporters have higher ex-ante productivity</w:t>
      </w:r>
      <w:r w:rsidR="00E43B88" w:rsidRPr="00C73908">
        <w:rPr>
          <w:rFonts w:ascii="Times New Roman" w:hAnsi="Times New Roman" w:cs="Times New Roman"/>
          <w:lang w:val="en-IE"/>
        </w:rPr>
        <w:t>,</w:t>
      </w:r>
      <w:r w:rsidR="004B7D5A" w:rsidRPr="00C73908">
        <w:rPr>
          <w:rFonts w:ascii="Times New Roman" w:hAnsi="Times New Roman" w:cs="Times New Roman"/>
          <w:lang w:val="en-IE"/>
        </w:rPr>
        <w:t xml:space="preserve"> there is some evidence to suggest that</w:t>
      </w:r>
      <w:r w:rsidR="00D77710" w:rsidRPr="00C73908">
        <w:rPr>
          <w:rFonts w:ascii="Times New Roman" w:hAnsi="Times New Roman" w:cs="Times New Roman"/>
          <w:lang w:val="en-IE"/>
        </w:rPr>
        <w:t xml:space="preserve"> the process of exporting can lead to</w:t>
      </w:r>
      <w:r w:rsidR="00297F57" w:rsidRPr="00C73908">
        <w:rPr>
          <w:rFonts w:ascii="Times New Roman" w:hAnsi="Times New Roman" w:cs="Times New Roman"/>
          <w:lang w:val="en-IE"/>
        </w:rPr>
        <w:t xml:space="preserve"> subsequent</w:t>
      </w:r>
      <w:r w:rsidR="00D77710" w:rsidRPr="00C73908">
        <w:rPr>
          <w:rFonts w:ascii="Times New Roman" w:hAnsi="Times New Roman" w:cs="Times New Roman"/>
          <w:lang w:val="en-IE"/>
        </w:rPr>
        <w:t xml:space="preserve"> productivity gains as</w:t>
      </w:r>
      <w:r w:rsidR="005D0092" w:rsidRPr="00C73908">
        <w:rPr>
          <w:rFonts w:ascii="Times New Roman" w:hAnsi="Times New Roman" w:cs="Times New Roman"/>
          <w:lang w:val="en-IE"/>
        </w:rPr>
        <w:t xml:space="preserve"> </w:t>
      </w:r>
      <w:r w:rsidR="0044136F" w:rsidRPr="00C73908">
        <w:rPr>
          <w:rFonts w:ascii="Times New Roman" w:hAnsi="Times New Roman" w:cs="Times New Roman"/>
          <w:lang w:val="en-IE"/>
        </w:rPr>
        <w:t>selling on international markets exposes companies to greater level</w:t>
      </w:r>
      <w:r w:rsidR="00B15DE5" w:rsidRPr="00C73908">
        <w:rPr>
          <w:rFonts w:ascii="Times New Roman" w:hAnsi="Times New Roman" w:cs="Times New Roman"/>
          <w:lang w:val="en-IE"/>
        </w:rPr>
        <w:t>s</w:t>
      </w:r>
      <w:r w:rsidR="0044136F" w:rsidRPr="00C73908">
        <w:rPr>
          <w:rFonts w:ascii="Times New Roman" w:hAnsi="Times New Roman" w:cs="Times New Roman"/>
          <w:lang w:val="en-IE"/>
        </w:rPr>
        <w:t xml:space="preserve"> of competition</w:t>
      </w:r>
      <w:r w:rsidR="00C07E79" w:rsidRPr="00C73908">
        <w:rPr>
          <w:rFonts w:ascii="Times New Roman" w:hAnsi="Times New Roman" w:cs="Times New Roman"/>
          <w:lang w:val="en-IE"/>
        </w:rPr>
        <w:t xml:space="preserve"> and can generate organizational learnings from more sophisticated buyer and market requirements</w:t>
      </w:r>
      <w:r w:rsidR="005E1CCC" w:rsidRPr="00C73908">
        <w:rPr>
          <w:rFonts w:ascii="Times New Roman" w:hAnsi="Times New Roman" w:cs="Times New Roman"/>
          <w:lang w:val="en-IE"/>
        </w:rPr>
        <w:t>. This</w:t>
      </w:r>
      <w:r w:rsidR="0044136F" w:rsidRPr="00C73908">
        <w:rPr>
          <w:rFonts w:ascii="Times New Roman" w:hAnsi="Times New Roman" w:cs="Times New Roman"/>
          <w:lang w:val="en-IE"/>
        </w:rPr>
        <w:t xml:space="preserve"> </w:t>
      </w:r>
      <w:r w:rsidR="000F2292" w:rsidRPr="00C73908">
        <w:rPr>
          <w:rFonts w:ascii="Times New Roman" w:hAnsi="Times New Roman" w:cs="Times New Roman"/>
          <w:lang w:val="en-IE"/>
        </w:rPr>
        <w:t>necessitates high levels of efficiency</w:t>
      </w:r>
      <w:r w:rsidR="001B552B" w:rsidRPr="00C73908">
        <w:rPr>
          <w:rFonts w:ascii="Times New Roman" w:hAnsi="Times New Roman" w:cs="Times New Roman"/>
          <w:lang w:val="en-IE"/>
        </w:rPr>
        <w:t xml:space="preserve"> </w:t>
      </w:r>
      <w:r w:rsidR="00483A16" w:rsidRPr="00C73908">
        <w:rPr>
          <w:rFonts w:ascii="Times New Roman" w:hAnsi="Times New Roman" w:cs="Times New Roman"/>
          <w:lang w:val="en-IE"/>
        </w:rPr>
        <w:t>in order</w:t>
      </w:r>
      <w:r w:rsidR="0059631A" w:rsidRPr="00C73908">
        <w:rPr>
          <w:rFonts w:ascii="Times New Roman" w:hAnsi="Times New Roman" w:cs="Times New Roman"/>
          <w:lang w:val="en-IE"/>
        </w:rPr>
        <w:t xml:space="preserve"> to </w:t>
      </w:r>
      <w:r w:rsidR="00483A16" w:rsidRPr="00C73908">
        <w:rPr>
          <w:rFonts w:ascii="Times New Roman" w:hAnsi="Times New Roman" w:cs="Times New Roman"/>
          <w:lang w:val="en-IE"/>
        </w:rPr>
        <w:t>achieve</w:t>
      </w:r>
      <w:r w:rsidR="0059631A" w:rsidRPr="00C73908">
        <w:rPr>
          <w:rFonts w:ascii="Times New Roman" w:hAnsi="Times New Roman" w:cs="Times New Roman"/>
          <w:lang w:val="en-IE"/>
        </w:rPr>
        <w:t xml:space="preserve"> economies of scale </w:t>
      </w:r>
      <w:r w:rsidR="001B552B" w:rsidRPr="00C73908">
        <w:rPr>
          <w:rFonts w:ascii="Times New Roman" w:hAnsi="Times New Roman" w:cs="Times New Roman"/>
          <w:lang w:val="en-IE"/>
        </w:rPr>
        <w:t>and</w:t>
      </w:r>
      <w:r w:rsidR="005E1CCC" w:rsidRPr="00C73908">
        <w:rPr>
          <w:rFonts w:ascii="Times New Roman" w:hAnsi="Times New Roman" w:cs="Times New Roman"/>
          <w:lang w:val="en-IE"/>
        </w:rPr>
        <w:t xml:space="preserve"> </w:t>
      </w:r>
      <w:r w:rsidR="00D93A7A" w:rsidRPr="00C73908">
        <w:rPr>
          <w:rFonts w:ascii="Times New Roman" w:hAnsi="Times New Roman" w:cs="Times New Roman"/>
          <w:lang w:val="en-IE"/>
        </w:rPr>
        <w:t xml:space="preserve">can </w:t>
      </w:r>
      <w:r w:rsidR="005E1CCC" w:rsidRPr="00C73908">
        <w:rPr>
          <w:rFonts w:ascii="Times New Roman" w:hAnsi="Times New Roman" w:cs="Times New Roman"/>
          <w:lang w:val="en-IE"/>
        </w:rPr>
        <w:t xml:space="preserve">lead to greater productivity improvements </w:t>
      </w:r>
      <w:r w:rsidR="0059631A" w:rsidRPr="00C73908">
        <w:rPr>
          <w:rFonts w:ascii="Times New Roman" w:hAnsi="Times New Roman" w:cs="Times New Roman"/>
          <w:lang w:val="en-IE"/>
        </w:rPr>
        <w:t xml:space="preserve">as a result </w:t>
      </w:r>
      <w:r w:rsidR="00CB30D1" w:rsidRPr="00C73908">
        <w:rPr>
          <w:rFonts w:ascii="Times New Roman" w:hAnsi="Times New Roman" w:cs="Times New Roman"/>
          <w:lang w:val="en-IE"/>
        </w:rPr>
        <w:t>(</w:t>
      </w:r>
      <w:r w:rsidR="000D7646" w:rsidRPr="00C73908">
        <w:rPr>
          <w:rFonts w:ascii="Times New Roman" w:hAnsi="Times New Roman" w:cs="Times New Roman"/>
          <w:lang w:val="en-IE"/>
        </w:rPr>
        <w:t>H</w:t>
      </w:r>
      <w:r w:rsidR="00065D56" w:rsidRPr="00C73908">
        <w:rPr>
          <w:rFonts w:ascii="Times New Roman" w:hAnsi="Times New Roman" w:cs="Times New Roman"/>
          <w:lang w:val="en-IE"/>
        </w:rPr>
        <w:t>ansen</w:t>
      </w:r>
      <w:r w:rsidR="000D7646" w:rsidRPr="00C73908">
        <w:rPr>
          <w:rFonts w:ascii="Times New Roman" w:hAnsi="Times New Roman" w:cs="Times New Roman"/>
          <w:lang w:val="en-IE"/>
        </w:rPr>
        <w:t xml:space="preserve"> 2010)</w:t>
      </w:r>
      <w:r w:rsidR="00C347FC" w:rsidRPr="00C73908">
        <w:rPr>
          <w:rFonts w:ascii="Times New Roman" w:hAnsi="Times New Roman" w:cs="Times New Roman"/>
          <w:lang w:val="en-IE"/>
        </w:rPr>
        <w:t>.</w:t>
      </w:r>
      <w:r w:rsidR="00FC61A6" w:rsidRPr="00C73908">
        <w:rPr>
          <w:rFonts w:ascii="Times New Roman" w:hAnsi="Times New Roman" w:cs="Times New Roman"/>
          <w:lang w:val="en-IE"/>
        </w:rPr>
        <w:t xml:space="preserve"> </w:t>
      </w:r>
      <w:r w:rsidR="00027C22" w:rsidRPr="00C73908">
        <w:rPr>
          <w:rFonts w:ascii="Times New Roman" w:hAnsi="Times New Roman" w:cs="Times New Roman"/>
          <w:lang w:val="en-IE"/>
        </w:rPr>
        <w:t xml:space="preserve">However, Wagner (2007) notes that the </w:t>
      </w:r>
      <w:r w:rsidR="00BC392F" w:rsidRPr="00C73908">
        <w:rPr>
          <w:rFonts w:ascii="Times New Roman" w:hAnsi="Times New Roman" w:cs="Times New Roman"/>
          <w:lang w:val="en-IE"/>
        </w:rPr>
        <w:t>empirical evidence for this</w:t>
      </w:r>
      <w:r w:rsidR="0086267B" w:rsidRPr="00C73908">
        <w:rPr>
          <w:rFonts w:ascii="Times New Roman" w:hAnsi="Times New Roman" w:cs="Times New Roman"/>
          <w:lang w:val="en-IE"/>
        </w:rPr>
        <w:t xml:space="preserve"> “learning by exporting”</w:t>
      </w:r>
      <w:r w:rsidR="00BC392F" w:rsidRPr="00C73908">
        <w:rPr>
          <w:rFonts w:ascii="Times New Roman" w:hAnsi="Times New Roman" w:cs="Times New Roman"/>
          <w:lang w:val="en-IE"/>
        </w:rPr>
        <w:t xml:space="preserve"> theory is </w:t>
      </w:r>
      <w:r w:rsidR="0071168E" w:rsidRPr="00C73908">
        <w:rPr>
          <w:rFonts w:ascii="Times New Roman" w:hAnsi="Times New Roman" w:cs="Times New Roman"/>
          <w:lang w:val="en-IE"/>
        </w:rPr>
        <w:t>mixed with most studies finding no strong evidence of productivity gains.</w:t>
      </w:r>
      <w:r w:rsidR="00407967" w:rsidRPr="00C73908">
        <w:rPr>
          <w:rFonts w:ascii="Times New Roman" w:hAnsi="Times New Roman" w:cs="Times New Roman"/>
          <w:lang w:val="en-IE"/>
        </w:rPr>
        <w:t xml:space="preserve"> </w:t>
      </w:r>
      <w:r w:rsidR="006A6071" w:rsidRPr="00C73908">
        <w:rPr>
          <w:rFonts w:ascii="Times New Roman" w:hAnsi="Times New Roman" w:cs="Times New Roman"/>
          <w:lang w:val="en-IE"/>
        </w:rPr>
        <w:t>The International Study Group on Exports and Productivity (2008)</w:t>
      </w:r>
      <w:r w:rsidR="00FC776D" w:rsidRPr="00C73908">
        <w:rPr>
          <w:rFonts w:ascii="Times New Roman" w:hAnsi="Times New Roman" w:cs="Times New Roman"/>
          <w:lang w:val="en-IE"/>
        </w:rPr>
        <w:t>,</w:t>
      </w:r>
      <w:r w:rsidR="002311D0" w:rsidRPr="00C73908">
        <w:rPr>
          <w:rFonts w:ascii="Times New Roman" w:hAnsi="Times New Roman" w:cs="Times New Roman"/>
          <w:lang w:val="en-IE"/>
        </w:rPr>
        <w:t xml:space="preserve"> which used </w:t>
      </w:r>
      <w:r w:rsidR="00A11DEC" w:rsidRPr="00C73908">
        <w:rPr>
          <w:rFonts w:ascii="Times New Roman" w:hAnsi="Times New Roman" w:cs="Times New Roman"/>
          <w:lang w:val="en-IE"/>
        </w:rPr>
        <w:t xml:space="preserve">firm level data from 14 countries and </w:t>
      </w:r>
      <w:r w:rsidR="00B648FE" w:rsidRPr="00C73908">
        <w:rPr>
          <w:rFonts w:ascii="Times New Roman" w:hAnsi="Times New Roman" w:cs="Times New Roman"/>
          <w:lang w:val="en-IE"/>
        </w:rPr>
        <w:t>a</w:t>
      </w:r>
      <w:r w:rsidR="008671BD" w:rsidRPr="00C73908">
        <w:rPr>
          <w:rFonts w:ascii="Times New Roman" w:hAnsi="Times New Roman" w:cs="Times New Roman"/>
          <w:lang w:val="en-IE"/>
        </w:rPr>
        <w:t>pplied a</w:t>
      </w:r>
      <w:r w:rsidR="00B648FE" w:rsidRPr="00C73908">
        <w:rPr>
          <w:rFonts w:ascii="Times New Roman" w:hAnsi="Times New Roman" w:cs="Times New Roman"/>
          <w:lang w:val="en-IE"/>
        </w:rPr>
        <w:t xml:space="preserve"> consistent</w:t>
      </w:r>
      <w:r w:rsidR="00407967" w:rsidRPr="00C73908">
        <w:rPr>
          <w:rFonts w:ascii="Times New Roman" w:hAnsi="Times New Roman" w:cs="Times New Roman"/>
          <w:lang w:val="en-IE"/>
        </w:rPr>
        <w:t xml:space="preserve"> methodology</w:t>
      </w:r>
      <w:r w:rsidR="00FC776D" w:rsidRPr="00C73908">
        <w:rPr>
          <w:rFonts w:ascii="Times New Roman" w:hAnsi="Times New Roman" w:cs="Times New Roman"/>
          <w:lang w:val="en-IE"/>
        </w:rPr>
        <w:t xml:space="preserve">, also finds limited evidence of </w:t>
      </w:r>
      <w:r w:rsidR="00C01D21" w:rsidRPr="00C73908">
        <w:rPr>
          <w:rFonts w:ascii="Times New Roman" w:hAnsi="Times New Roman" w:cs="Times New Roman"/>
          <w:lang w:val="en-IE"/>
        </w:rPr>
        <w:t>productivity benefits from exporting</w:t>
      </w:r>
      <w:r w:rsidR="00CA653A" w:rsidRPr="00C73908">
        <w:rPr>
          <w:rFonts w:ascii="Times New Roman" w:hAnsi="Times New Roman" w:cs="Times New Roman"/>
          <w:lang w:val="en-IE"/>
        </w:rPr>
        <w:t>.</w:t>
      </w:r>
    </w:p>
    <w:p w14:paraId="32908DD1" w14:textId="45BA66D5" w:rsidR="002048B8" w:rsidRPr="00C73908" w:rsidRDefault="005C1DEE" w:rsidP="008A6DF2">
      <w:pPr>
        <w:spacing w:after="240" w:line="360" w:lineRule="auto"/>
        <w:jc w:val="both"/>
        <w:rPr>
          <w:rFonts w:ascii="Times New Roman" w:hAnsi="Times New Roman" w:cs="Times New Roman"/>
          <w:lang w:val="en-IE"/>
        </w:rPr>
      </w:pPr>
      <w:r>
        <w:rPr>
          <w:rFonts w:ascii="Times New Roman" w:hAnsi="Times New Roman" w:cs="Times New Roman"/>
          <w:b/>
          <w:bCs/>
          <w:color w:val="0070C0"/>
          <w:lang w:val="en-IE"/>
        </w:rPr>
        <w:t>Empirical Analysis</w:t>
      </w:r>
      <w:r w:rsidR="006A7C7F" w:rsidRPr="00C73908">
        <w:rPr>
          <w:rFonts w:ascii="Times New Roman" w:hAnsi="Times New Roman" w:cs="Times New Roman"/>
          <w:b/>
          <w:bCs/>
          <w:color w:val="0070C0"/>
          <w:lang w:val="en-IE"/>
        </w:rPr>
        <w:t>:</w:t>
      </w:r>
      <w:r w:rsidR="006A7C7F" w:rsidRPr="00C73908">
        <w:rPr>
          <w:rFonts w:ascii="Times New Roman" w:hAnsi="Times New Roman" w:cs="Times New Roman"/>
          <w:color w:val="0070C0"/>
          <w:lang w:val="en-IE"/>
        </w:rPr>
        <w:t xml:space="preserve"> </w:t>
      </w:r>
      <w:r w:rsidR="000461FD" w:rsidRPr="00C73908">
        <w:rPr>
          <w:rFonts w:ascii="Times New Roman" w:hAnsi="Times New Roman" w:cs="Times New Roman"/>
          <w:lang w:val="en-IE"/>
        </w:rPr>
        <w:t xml:space="preserve">The </w:t>
      </w:r>
      <w:r w:rsidR="000B0DB0" w:rsidRPr="00C73908">
        <w:rPr>
          <w:rFonts w:ascii="Times New Roman" w:hAnsi="Times New Roman" w:cs="Times New Roman"/>
          <w:lang w:val="en-IE"/>
        </w:rPr>
        <w:t>impacts</w:t>
      </w:r>
      <w:r w:rsidR="000461FD" w:rsidRPr="00C73908">
        <w:rPr>
          <w:rFonts w:ascii="Times New Roman" w:hAnsi="Times New Roman" w:cs="Times New Roman"/>
          <w:lang w:val="en-IE"/>
        </w:rPr>
        <w:t xml:space="preserve"> of </w:t>
      </w:r>
      <w:r w:rsidR="00FD6A76" w:rsidRPr="00C73908">
        <w:rPr>
          <w:rFonts w:ascii="Times New Roman" w:hAnsi="Times New Roman" w:cs="Times New Roman"/>
          <w:lang w:val="en-IE"/>
        </w:rPr>
        <w:t>market entry</w:t>
      </w:r>
      <w:r w:rsidR="000461FD" w:rsidRPr="00C73908">
        <w:rPr>
          <w:rFonts w:ascii="Times New Roman" w:hAnsi="Times New Roman" w:cs="Times New Roman"/>
          <w:lang w:val="en-IE"/>
        </w:rPr>
        <w:t xml:space="preserve"> costs </w:t>
      </w:r>
      <w:r w:rsidR="000B0DB0" w:rsidRPr="00C73908">
        <w:rPr>
          <w:rFonts w:ascii="Times New Roman" w:hAnsi="Times New Roman" w:cs="Times New Roman"/>
          <w:lang w:val="en-IE"/>
        </w:rPr>
        <w:t xml:space="preserve">on export performance </w:t>
      </w:r>
      <w:r w:rsidR="000461FD" w:rsidRPr="00C73908">
        <w:rPr>
          <w:rFonts w:ascii="Times New Roman" w:hAnsi="Times New Roman" w:cs="Times New Roman"/>
          <w:lang w:val="en-IE"/>
        </w:rPr>
        <w:t xml:space="preserve">are </w:t>
      </w:r>
      <w:r w:rsidR="00F83038" w:rsidRPr="00C73908">
        <w:rPr>
          <w:rFonts w:ascii="Times New Roman" w:hAnsi="Times New Roman" w:cs="Times New Roman"/>
          <w:lang w:val="en-IE"/>
        </w:rPr>
        <w:t>modelled</w:t>
      </w:r>
      <w:r w:rsidR="000461FD" w:rsidRPr="00C73908">
        <w:rPr>
          <w:rFonts w:ascii="Times New Roman" w:hAnsi="Times New Roman" w:cs="Times New Roman"/>
          <w:lang w:val="en-IE"/>
        </w:rPr>
        <w:t xml:space="preserve"> in </w:t>
      </w:r>
      <w:r w:rsidR="00135936" w:rsidRPr="00C73908">
        <w:rPr>
          <w:rFonts w:ascii="Times New Roman" w:hAnsi="Times New Roman" w:cs="Times New Roman"/>
          <w:lang w:val="en-IE"/>
        </w:rPr>
        <w:t>Melitz</w:t>
      </w:r>
      <w:r w:rsidR="000461FD" w:rsidRPr="00C73908">
        <w:rPr>
          <w:rFonts w:ascii="Times New Roman" w:hAnsi="Times New Roman" w:cs="Times New Roman"/>
          <w:lang w:val="en-IE"/>
        </w:rPr>
        <w:t>’</w:t>
      </w:r>
      <w:r w:rsidR="00135936" w:rsidRPr="00C73908">
        <w:rPr>
          <w:rFonts w:ascii="Times New Roman" w:hAnsi="Times New Roman" w:cs="Times New Roman"/>
          <w:lang w:val="en-IE"/>
        </w:rPr>
        <w:t xml:space="preserve"> </w:t>
      </w:r>
      <w:r w:rsidR="000B0DB0" w:rsidRPr="00C73908">
        <w:rPr>
          <w:rFonts w:ascii="Times New Roman" w:hAnsi="Times New Roman" w:cs="Times New Roman"/>
          <w:lang w:val="en-IE"/>
        </w:rPr>
        <w:t xml:space="preserve">research </w:t>
      </w:r>
      <w:r w:rsidR="00135936" w:rsidRPr="00C73908">
        <w:rPr>
          <w:rFonts w:ascii="Times New Roman" w:hAnsi="Times New Roman" w:cs="Times New Roman"/>
          <w:lang w:val="en-IE"/>
        </w:rPr>
        <w:t xml:space="preserve">(2003) </w:t>
      </w:r>
      <w:r w:rsidR="000B0DB0" w:rsidRPr="00C73908">
        <w:rPr>
          <w:rFonts w:ascii="Times New Roman" w:hAnsi="Times New Roman" w:cs="Times New Roman"/>
          <w:lang w:val="en-IE"/>
        </w:rPr>
        <w:t xml:space="preserve">which </w:t>
      </w:r>
      <w:r w:rsidR="00190484" w:rsidRPr="00C73908">
        <w:rPr>
          <w:rFonts w:ascii="Times New Roman" w:hAnsi="Times New Roman" w:cs="Times New Roman"/>
          <w:lang w:val="en-IE"/>
        </w:rPr>
        <w:t>provides</w:t>
      </w:r>
      <w:r w:rsidR="0047329A" w:rsidRPr="00C73908">
        <w:rPr>
          <w:rFonts w:ascii="Times New Roman" w:hAnsi="Times New Roman" w:cs="Times New Roman"/>
          <w:lang w:val="en-IE"/>
        </w:rPr>
        <w:t xml:space="preserve"> a</w:t>
      </w:r>
      <w:r w:rsidR="00A245D9" w:rsidRPr="00C73908">
        <w:rPr>
          <w:rFonts w:ascii="Times New Roman" w:hAnsi="Times New Roman" w:cs="Times New Roman"/>
          <w:lang w:val="en-IE"/>
        </w:rPr>
        <w:t xml:space="preserve"> </w:t>
      </w:r>
      <w:r w:rsidR="00F83038" w:rsidRPr="00C73908">
        <w:rPr>
          <w:rFonts w:ascii="Times New Roman" w:hAnsi="Times New Roman" w:cs="Times New Roman"/>
          <w:lang w:val="en-IE"/>
        </w:rPr>
        <w:t xml:space="preserve">framework showing how </w:t>
      </w:r>
      <w:r w:rsidR="00953AB6" w:rsidRPr="00C73908">
        <w:rPr>
          <w:rFonts w:ascii="Times New Roman" w:hAnsi="Times New Roman" w:cs="Times New Roman"/>
          <w:lang w:val="en-IE"/>
        </w:rPr>
        <w:t>“exposure to trade will induce only the mo</w:t>
      </w:r>
      <w:r w:rsidR="00CE7CED" w:rsidRPr="00C73908">
        <w:rPr>
          <w:rFonts w:ascii="Times New Roman" w:hAnsi="Times New Roman" w:cs="Times New Roman"/>
          <w:lang w:val="en-IE"/>
        </w:rPr>
        <w:t>re productive firms to enter the export market</w:t>
      </w:r>
      <w:r w:rsidR="00E705B1" w:rsidRPr="00C73908">
        <w:rPr>
          <w:rFonts w:ascii="Times New Roman" w:hAnsi="Times New Roman" w:cs="Times New Roman"/>
          <w:lang w:val="en-IE"/>
        </w:rPr>
        <w:t xml:space="preserve"> and will simultaneously force the least productive firms to exit.”</w:t>
      </w:r>
      <w:r w:rsidR="00137D40" w:rsidRPr="00C73908">
        <w:rPr>
          <w:rFonts w:ascii="Times New Roman" w:hAnsi="Times New Roman" w:cs="Times New Roman"/>
          <w:lang w:val="en-IE"/>
        </w:rPr>
        <w:t xml:space="preserve"> The model </w:t>
      </w:r>
      <w:r w:rsidR="00974422" w:rsidRPr="00C73908">
        <w:rPr>
          <w:rFonts w:ascii="Times New Roman" w:hAnsi="Times New Roman" w:cs="Times New Roman"/>
          <w:lang w:val="en-IE"/>
        </w:rPr>
        <w:t xml:space="preserve">also </w:t>
      </w:r>
      <w:r w:rsidR="00137D40" w:rsidRPr="00C73908">
        <w:rPr>
          <w:rFonts w:ascii="Times New Roman" w:hAnsi="Times New Roman" w:cs="Times New Roman"/>
          <w:lang w:val="en-IE"/>
        </w:rPr>
        <w:t xml:space="preserve">predicts </w:t>
      </w:r>
      <w:r w:rsidR="00621DBA" w:rsidRPr="00C73908">
        <w:rPr>
          <w:rFonts w:ascii="Times New Roman" w:hAnsi="Times New Roman" w:cs="Times New Roman"/>
          <w:lang w:val="en-IE"/>
        </w:rPr>
        <w:t xml:space="preserve">that only the most productive firms can </w:t>
      </w:r>
      <w:r w:rsidR="00ED0328" w:rsidRPr="00C73908">
        <w:rPr>
          <w:rFonts w:ascii="Times New Roman" w:hAnsi="Times New Roman" w:cs="Times New Roman"/>
          <w:lang w:val="en-IE"/>
        </w:rPr>
        <w:t>achieve significant</w:t>
      </w:r>
      <w:r w:rsidR="000E6058" w:rsidRPr="00C73908">
        <w:rPr>
          <w:rFonts w:ascii="Times New Roman" w:hAnsi="Times New Roman" w:cs="Times New Roman"/>
          <w:lang w:val="en-IE"/>
        </w:rPr>
        <w:t xml:space="preserve"> export diversification and </w:t>
      </w:r>
      <w:r w:rsidR="00621DBA" w:rsidRPr="00C73908">
        <w:rPr>
          <w:rFonts w:ascii="Times New Roman" w:hAnsi="Times New Roman" w:cs="Times New Roman"/>
          <w:lang w:val="en-IE"/>
        </w:rPr>
        <w:t xml:space="preserve">enter the </w:t>
      </w:r>
      <w:r w:rsidR="00974422" w:rsidRPr="00C73908">
        <w:rPr>
          <w:rFonts w:ascii="Times New Roman" w:hAnsi="Times New Roman" w:cs="Times New Roman"/>
          <w:lang w:val="en-IE"/>
        </w:rPr>
        <w:t>least popular export markets.</w:t>
      </w:r>
      <w:r w:rsidR="0066401E" w:rsidRPr="00C73908">
        <w:rPr>
          <w:rFonts w:ascii="Times New Roman" w:hAnsi="Times New Roman" w:cs="Times New Roman"/>
          <w:lang w:val="en-IE"/>
        </w:rPr>
        <w:t xml:space="preserve"> </w:t>
      </w:r>
      <w:r w:rsidR="008D1731" w:rsidRPr="00C73908">
        <w:rPr>
          <w:rFonts w:ascii="Times New Roman" w:hAnsi="Times New Roman" w:cs="Times New Roman"/>
          <w:lang w:val="en-IE"/>
        </w:rPr>
        <w:t xml:space="preserve">These findings </w:t>
      </w:r>
      <w:r w:rsidR="00823D98" w:rsidRPr="00C73908">
        <w:rPr>
          <w:rFonts w:ascii="Times New Roman" w:hAnsi="Times New Roman" w:cs="Times New Roman"/>
          <w:lang w:val="en-IE"/>
        </w:rPr>
        <w:t xml:space="preserve">are consistent with </w:t>
      </w:r>
      <w:r w:rsidR="00E6652C" w:rsidRPr="00C73908">
        <w:rPr>
          <w:rFonts w:ascii="Times New Roman" w:hAnsi="Times New Roman" w:cs="Times New Roman"/>
          <w:lang w:val="en-IE"/>
        </w:rPr>
        <w:t xml:space="preserve">the </w:t>
      </w:r>
      <w:r w:rsidR="00ED0328" w:rsidRPr="00C73908">
        <w:rPr>
          <w:rFonts w:ascii="Times New Roman" w:hAnsi="Times New Roman" w:cs="Times New Roman"/>
          <w:lang w:val="en-IE"/>
        </w:rPr>
        <w:t xml:space="preserve">previously mentioned </w:t>
      </w:r>
      <w:r w:rsidR="000E6058" w:rsidRPr="00C73908">
        <w:rPr>
          <w:rFonts w:ascii="Times New Roman" w:hAnsi="Times New Roman" w:cs="Times New Roman"/>
          <w:lang w:val="en-IE"/>
        </w:rPr>
        <w:t>sunk costs</w:t>
      </w:r>
      <w:r w:rsidR="00E6652C" w:rsidRPr="00C73908">
        <w:rPr>
          <w:rFonts w:ascii="Times New Roman" w:hAnsi="Times New Roman" w:cs="Times New Roman"/>
          <w:lang w:val="en-IE"/>
        </w:rPr>
        <w:t xml:space="preserve"> theory</w:t>
      </w:r>
      <w:r w:rsidR="000E6058" w:rsidRPr="00C73908">
        <w:rPr>
          <w:rFonts w:ascii="Times New Roman" w:hAnsi="Times New Roman" w:cs="Times New Roman"/>
          <w:lang w:val="en-IE"/>
        </w:rPr>
        <w:t xml:space="preserve">. Lawless and Whelan (2008) </w:t>
      </w:r>
      <w:r w:rsidR="002A570E" w:rsidRPr="00C73908">
        <w:rPr>
          <w:rFonts w:ascii="Times New Roman" w:hAnsi="Times New Roman" w:cs="Times New Roman"/>
          <w:lang w:val="en-IE"/>
        </w:rPr>
        <w:t>provide an assessment of this model based on</w:t>
      </w:r>
      <w:r w:rsidR="0093166B" w:rsidRPr="00C73908">
        <w:rPr>
          <w:rFonts w:ascii="Times New Roman" w:hAnsi="Times New Roman" w:cs="Times New Roman"/>
          <w:lang w:val="en-IE"/>
        </w:rPr>
        <w:t xml:space="preserve"> </w:t>
      </w:r>
      <w:r w:rsidR="002912AE" w:rsidRPr="00C73908">
        <w:rPr>
          <w:rFonts w:ascii="Times New Roman" w:hAnsi="Times New Roman" w:cs="Times New Roman"/>
          <w:lang w:val="en-IE"/>
        </w:rPr>
        <w:t xml:space="preserve">firm level panel data </w:t>
      </w:r>
      <w:r w:rsidR="00BB0DDD" w:rsidRPr="00C73908">
        <w:rPr>
          <w:rFonts w:ascii="Times New Roman" w:hAnsi="Times New Roman" w:cs="Times New Roman"/>
          <w:lang w:val="en-IE"/>
        </w:rPr>
        <w:t xml:space="preserve">from Irish </w:t>
      </w:r>
      <w:r w:rsidR="009648FF" w:rsidRPr="00C73908">
        <w:rPr>
          <w:rFonts w:ascii="Times New Roman" w:hAnsi="Times New Roman" w:cs="Times New Roman"/>
          <w:lang w:val="en-IE"/>
        </w:rPr>
        <w:t>firms</w:t>
      </w:r>
      <w:r w:rsidR="00BB0DDD" w:rsidRPr="00C73908">
        <w:rPr>
          <w:rFonts w:ascii="Times New Roman" w:hAnsi="Times New Roman" w:cs="Times New Roman"/>
          <w:lang w:val="en-IE"/>
        </w:rPr>
        <w:t xml:space="preserve"> including data on</w:t>
      </w:r>
      <w:r w:rsidR="0093166B" w:rsidRPr="00C73908">
        <w:rPr>
          <w:rFonts w:ascii="Times New Roman" w:hAnsi="Times New Roman" w:cs="Times New Roman"/>
          <w:lang w:val="en-IE"/>
        </w:rPr>
        <w:t xml:space="preserve"> export destinations as well as firm characteristics. </w:t>
      </w:r>
      <w:r w:rsidR="00F22477" w:rsidRPr="00C73908">
        <w:rPr>
          <w:rFonts w:ascii="Times New Roman" w:hAnsi="Times New Roman" w:cs="Times New Roman"/>
          <w:lang w:val="en-IE"/>
        </w:rPr>
        <w:t xml:space="preserve">Their </w:t>
      </w:r>
      <w:r w:rsidR="006762D6" w:rsidRPr="00C73908">
        <w:rPr>
          <w:rFonts w:ascii="Times New Roman" w:hAnsi="Times New Roman" w:cs="Times New Roman"/>
          <w:lang w:val="en-IE"/>
        </w:rPr>
        <w:lastRenderedPageBreak/>
        <w:t>analysis shows</w:t>
      </w:r>
      <w:r w:rsidR="0083491B" w:rsidRPr="00C73908">
        <w:rPr>
          <w:rFonts w:ascii="Times New Roman" w:hAnsi="Times New Roman" w:cs="Times New Roman"/>
          <w:lang w:val="en-IE"/>
        </w:rPr>
        <w:t xml:space="preserve"> that the prediction of a productivity hierarchy </w:t>
      </w:r>
      <w:r w:rsidR="00A635F8" w:rsidRPr="00C73908">
        <w:rPr>
          <w:rFonts w:ascii="Times New Roman" w:hAnsi="Times New Roman" w:cs="Times New Roman"/>
          <w:lang w:val="en-IE"/>
        </w:rPr>
        <w:t xml:space="preserve">falls short of explaining the firm-market export </w:t>
      </w:r>
      <w:r w:rsidR="000A5F1A" w:rsidRPr="00C73908">
        <w:rPr>
          <w:rFonts w:ascii="Times New Roman" w:hAnsi="Times New Roman" w:cs="Times New Roman"/>
          <w:lang w:val="en-IE"/>
        </w:rPr>
        <w:t>patterns in their dataset and that</w:t>
      </w:r>
      <w:r w:rsidR="006762D6" w:rsidRPr="00C73908">
        <w:rPr>
          <w:rFonts w:ascii="Times New Roman" w:hAnsi="Times New Roman" w:cs="Times New Roman"/>
          <w:lang w:val="en-IE"/>
        </w:rPr>
        <w:t xml:space="preserve"> </w:t>
      </w:r>
      <w:r w:rsidR="00762E88" w:rsidRPr="00C73908">
        <w:rPr>
          <w:rFonts w:ascii="Times New Roman" w:hAnsi="Times New Roman" w:cs="Times New Roman"/>
          <w:lang w:val="en-IE"/>
        </w:rPr>
        <w:t>“no single firm factor can explain the observed data on export market participation</w:t>
      </w:r>
      <w:r w:rsidR="000A5F1A" w:rsidRPr="00C73908">
        <w:rPr>
          <w:rFonts w:ascii="Times New Roman" w:hAnsi="Times New Roman" w:cs="Times New Roman"/>
          <w:lang w:val="en-IE"/>
        </w:rPr>
        <w:t>.</w:t>
      </w:r>
      <w:r w:rsidR="0083491B" w:rsidRPr="00C73908">
        <w:rPr>
          <w:rFonts w:ascii="Times New Roman" w:hAnsi="Times New Roman" w:cs="Times New Roman"/>
          <w:lang w:val="en-IE"/>
        </w:rPr>
        <w:t>”</w:t>
      </w:r>
      <w:r w:rsidR="000A5F1A" w:rsidRPr="00C73908">
        <w:rPr>
          <w:rFonts w:ascii="Times New Roman" w:hAnsi="Times New Roman" w:cs="Times New Roman"/>
          <w:lang w:val="en-IE"/>
        </w:rPr>
        <w:t xml:space="preserve"> </w:t>
      </w:r>
      <w:r w:rsidR="001F6927" w:rsidRPr="00C73908">
        <w:rPr>
          <w:rFonts w:ascii="Times New Roman" w:hAnsi="Times New Roman" w:cs="Times New Roman"/>
          <w:lang w:val="en-IE"/>
        </w:rPr>
        <w:t xml:space="preserve">This suggests </w:t>
      </w:r>
      <w:r w:rsidR="00BF4896" w:rsidRPr="00C73908">
        <w:rPr>
          <w:rFonts w:ascii="Times New Roman" w:hAnsi="Times New Roman" w:cs="Times New Roman"/>
          <w:lang w:val="en-IE"/>
        </w:rPr>
        <w:t>that</w:t>
      </w:r>
      <w:r w:rsidR="00A3454D" w:rsidRPr="00C73908">
        <w:rPr>
          <w:rFonts w:ascii="Times New Roman" w:hAnsi="Times New Roman" w:cs="Times New Roman"/>
          <w:lang w:val="en-IE"/>
        </w:rPr>
        <w:t>,</w:t>
      </w:r>
      <w:r w:rsidR="00BF4896" w:rsidRPr="00C73908">
        <w:rPr>
          <w:rFonts w:ascii="Times New Roman" w:hAnsi="Times New Roman" w:cs="Times New Roman"/>
          <w:lang w:val="en-IE"/>
        </w:rPr>
        <w:t xml:space="preserve"> while exporters </w:t>
      </w:r>
      <w:r w:rsidR="005D5A41">
        <w:rPr>
          <w:rFonts w:ascii="Times New Roman" w:hAnsi="Times New Roman" w:cs="Times New Roman"/>
          <w:lang w:val="en-IE"/>
        </w:rPr>
        <w:t>tend to have higher</w:t>
      </w:r>
      <w:r w:rsidR="00BF4896" w:rsidRPr="00C73908">
        <w:rPr>
          <w:rFonts w:ascii="Times New Roman" w:hAnsi="Times New Roman" w:cs="Times New Roman"/>
          <w:lang w:val="en-IE"/>
        </w:rPr>
        <w:t xml:space="preserve"> productiv</w:t>
      </w:r>
      <w:r w:rsidR="005D5A41">
        <w:rPr>
          <w:rFonts w:ascii="Times New Roman" w:hAnsi="Times New Roman" w:cs="Times New Roman"/>
          <w:lang w:val="en-IE"/>
        </w:rPr>
        <w:t>ity</w:t>
      </w:r>
      <w:r w:rsidR="00BF4896" w:rsidRPr="00C73908">
        <w:rPr>
          <w:rFonts w:ascii="Times New Roman" w:hAnsi="Times New Roman" w:cs="Times New Roman"/>
          <w:lang w:val="en-IE"/>
        </w:rPr>
        <w:t xml:space="preserve"> than non-exporters,</w:t>
      </w:r>
      <w:r w:rsidR="00A3454D" w:rsidRPr="00C73908">
        <w:rPr>
          <w:rFonts w:ascii="Times New Roman" w:hAnsi="Times New Roman" w:cs="Times New Roman"/>
          <w:lang w:val="en-IE"/>
        </w:rPr>
        <w:t xml:space="preserve"> </w:t>
      </w:r>
      <w:r w:rsidR="00651176" w:rsidRPr="00C73908">
        <w:rPr>
          <w:rFonts w:ascii="Times New Roman" w:hAnsi="Times New Roman" w:cs="Times New Roman"/>
          <w:lang w:val="en-IE"/>
        </w:rPr>
        <w:t xml:space="preserve">other firm-specific factors </w:t>
      </w:r>
      <w:r w:rsidR="00931DDB" w:rsidRPr="00C73908">
        <w:rPr>
          <w:rFonts w:ascii="Times New Roman" w:hAnsi="Times New Roman" w:cs="Times New Roman"/>
          <w:lang w:val="en-IE"/>
        </w:rPr>
        <w:t xml:space="preserve">beyond productivity </w:t>
      </w:r>
      <w:r w:rsidR="00651176" w:rsidRPr="00C73908">
        <w:rPr>
          <w:rFonts w:ascii="Times New Roman" w:hAnsi="Times New Roman" w:cs="Times New Roman"/>
          <w:lang w:val="en-IE"/>
        </w:rPr>
        <w:t xml:space="preserve">play an important role in determining </w:t>
      </w:r>
      <w:r w:rsidR="00410FF7" w:rsidRPr="00C73908">
        <w:rPr>
          <w:rFonts w:ascii="Times New Roman" w:hAnsi="Times New Roman" w:cs="Times New Roman"/>
          <w:lang w:val="en-IE"/>
        </w:rPr>
        <w:t xml:space="preserve">firm export participation and </w:t>
      </w:r>
      <w:r w:rsidR="0059093A" w:rsidRPr="00C73908">
        <w:rPr>
          <w:rFonts w:ascii="Times New Roman" w:hAnsi="Times New Roman" w:cs="Times New Roman"/>
          <w:lang w:val="en-IE"/>
        </w:rPr>
        <w:t>level of export sale</w:t>
      </w:r>
      <w:r w:rsidR="00D65034" w:rsidRPr="00C73908">
        <w:rPr>
          <w:rFonts w:ascii="Times New Roman" w:hAnsi="Times New Roman" w:cs="Times New Roman"/>
          <w:lang w:val="en-IE"/>
        </w:rPr>
        <w:t>s.</w:t>
      </w:r>
    </w:p>
    <w:p w14:paraId="07C281B6" w14:textId="77777777" w:rsidR="0068066B" w:rsidRDefault="0000581D" w:rsidP="003E6436">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t xml:space="preserve">Irish </w:t>
      </w:r>
      <w:r w:rsidR="002320AC" w:rsidRPr="00C73908">
        <w:rPr>
          <w:rFonts w:ascii="Times New Roman" w:hAnsi="Times New Roman" w:cs="Times New Roman"/>
          <w:b/>
          <w:bCs/>
          <w:color w:val="0070C0"/>
          <w:lang w:val="en-IE"/>
        </w:rPr>
        <w:t>Context:</w:t>
      </w:r>
      <w:r w:rsidR="002320AC" w:rsidRPr="00C73908">
        <w:rPr>
          <w:rFonts w:ascii="Times New Roman" w:hAnsi="Times New Roman" w:cs="Times New Roman"/>
          <w:lang w:val="en-IE"/>
        </w:rPr>
        <w:t xml:space="preserve"> </w:t>
      </w:r>
      <w:r w:rsidR="008B335F" w:rsidRPr="00C73908">
        <w:rPr>
          <w:rFonts w:ascii="Times New Roman" w:hAnsi="Times New Roman" w:cs="Times New Roman"/>
          <w:lang w:val="en-IE"/>
        </w:rPr>
        <w:t xml:space="preserve">In addition to Lawless </w:t>
      </w:r>
      <w:r w:rsidR="00A9457E" w:rsidRPr="00C73908">
        <w:rPr>
          <w:rFonts w:ascii="Times New Roman" w:hAnsi="Times New Roman" w:cs="Times New Roman"/>
          <w:lang w:val="en-IE"/>
        </w:rPr>
        <w:t>and Whelan (2008), several other</w:t>
      </w:r>
      <w:r w:rsidR="00E27AE5" w:rsidRPr="00C73908">
        <w:rPr>
          <w:rFonts w:ascii="Times New Roman" w:hAnsi="Times New Roman" w:cs="Times New Roman"/>
          <w:lang w:val="en-IE"/>
        </w:rPr>
        <w:t xml:space="preserve"> studies have </w:t>
      </w:r>
      <w:r w:rsidR="00402ADB" w:rsidRPr="00C73908">
        <w:rPr>
          <w:rFonts w:ascii="Times New Roman" w:hAnsi="Times New Roman" w:cs="Times New Roman"/>
          <w:lang w:val="en-IE"/>
        </w:rPr>
        <w:t>examined</w:t>
      </w:r>
      <w:r w:rsidR="006F733C" w:rsidRPr="00C73908">
        <w:rPr>
          <w:rFonts w:ascii="Times New Roman" w:hAnsi="Times New Roman" w:cs="Times New Roman"/>
          <w:lang w:val="en-IE"/>
        </w:rPr>
        <w:t xml:space="preserve"> the firm-level determinants of export performance</w:t>
      </w:r>
      <w:r w:rsidR="003B1705" w:rsidRPr="00C73908">
        <w:rPr>
          <w:rFonts w:ascii="Times New Roman" w:hAnsi="Times New Roman" w:cs="Times New Roman"/>
          <w:lang w:val="en-IE"/>
        </w:rPr>
        <w:t xml:space="preserve"> </w:t>
      </w:r>
      <w:r w:rsidR="00A9457E" w:rsidRPr="00C73908">
        <w:rPr>
          <w:rFonts w:ascii="Times New Roman" w:hAnsi="Times New Roman" w:cs="Times New Roman"/>
          <w:lang w:val="en-IE"/>
        </w:rPr>
        <w:t>from an Irish perspective</w:t>
      </w:r>
      <w:r w:rsidR="003B1705" w:rsidRPr="00C73908">
        <w:rPr>
          <w:rFonts w:ascii="Times New Roman" w:hAnsi="Times New Roman" w:cs="Times New Roman"/>
          <w:lang w:val="en-IE"/>
        </w:rPr>
        <w:t xml:space="preserve">. </w:t>
      </w:r>
      <w:r w:rsidR="00620773" w:rsidRPr="00C73908">
        <w:rPr>
          <w:rFonts w:ascii="Times New Roman" w:hAnsi="Times New Roman" w:cs="Times New Roman"/>
          <w:lang w:val="en-IE"/>
        </w:rPr>
        <w:t>Research carried out by the ESRI (2006)</w:t>
      </w:r>
      <w:r w:rsidR="00D66786" w:rsidRPr="00C73908">
        <w:rPr>
          <w:rFonts w:ascii="Times New Roman" w:hAnsi="Times New Roman" w:cs="Times New Roman"/>
          <w:lang w:val="en-IE"/>
        </w:rPr>
        <w:t xml:space="preserve"> </w:t>
      </w:r>
      <w:r w:rsidR="007F2C7A" w:rsidRPr="00C73908">
        <w:rPr>
          <w:rFonts w:ascii="Times New Roman" w:hAnsi="Times New Roman" w:cs="Times New Roman"/>
          <w:lang w:val="en-IE"/>
        </w:rPr>
        <w:t xml:space="preserve">on </w:t>
      </w:r>
      <w:r w:rsidR="004B0921" w:rsidRPr="00C73908">
        <w:rPr>
          <w:rFonts w:ascii="Times New Roman" w:hAnsi="Times New Roman" w:cs="Times New Roman"/>
          <w:lang w:val="en-IE"/>
        </w:rPr>
        <w:t>a sample of</w:t>
      </w:r>
      <w:r w:rsidR="007F2C7A" w:rsidRPr="00C73908">
        <w:rPr>
          <w:rFonts w:ascii="Times New Roman" w:hAnsi="Times New Roman" w:cs="Times New Roman"/>
          <w:lang w:val="en-IE"/>
        </w:rPr>
        <w:t xml:space="preserve"> 3,058 </w:t>
      </w:r>
      <w:r w:rsidR="00A21470" w:rsidRPr="00C73908">
        <w:rPr>
          <w:rFonts w:ascii="Times New Roman" w:hAnsi="Times New Roman" w:cs="Times New Roman"/>
          <w:lang w:val="en-IE"/>
        </w:rPr>
        <w:t>exporters</w:t>
      </w:r>
      <w:r w:rsidR="00AE16B8" w:rsidRPr="00C73908">
        <w:rPr>
          <w:rFonts w:ascii="Times New Roman" w:hAnsi="Times New Roman" w:cs="Times New Roman"/>
          <w:lang w:val="en-IE"/>
        </w:rPr>
        <w:t xml:space="preserve"> </w:t>
      </w:r>
      <w:r w:rsidR="00407457" w:rsidRPr="00C73908">
        <w:rPr>
          <w:rFonts w:ascii="Times New Roman" w:hAnsi="Times New Roman" w:cs="Times New Roman"/>
          <w:lang w:val="en-IE"/>
        </w:rPr>
        <w:t xml:space="preserve">in the Republic of Ireland </w:t>
      </w:r>
      <w:r w:rsidR="00AE16B8" w:rsidRPr="00C73908">
        <w:rPr>
          <w:rFonts w:ascii="Times New Roman" w:hAnsi="Times New Roman" w:cs="Times New Roman"/>
          <w:lang w:val="en-IE"/>
        </w:rPr>
        <w:t>(both domestic and foreign owned)</w:t>
      </w:r>
      <w:r w:rsidR="00A21470" w:rsidRPr="00C73908">
        <w:rPr>
          <w:rFonts w:ascii="Times New Roman" w:hAnsi="Times New Roman" w:cs="Times New Roman"/>
          <w:lang w:val="en-IE"/>
        </w:rPr>
        <w:t xml:space="preserve"> </w:t>
      </w:r>
      <w:r w:rsidR="00AE16B8" w:rsidRPr="00C73908">
        <w:rPr>
          <w:rFonts w:ascii="Times New Roman" w:hAnsi="Times New Roman" w:cs="Times New Roman"/>
          <w:lang w:val="en-IE"/>
        </w:rPr>
        <w:t>f</w:t>
      </w:r>
      <w:r w:rsidR="00556996" w:rsidRPr="00C73908">
        <w:rPr>
          <w:rFonts w:ascii="Times New Roman" w:hAnsi="Times New Roman" w:cs="Times New Roman"/>
          <w:lang w:val="en-IE"/>
        </w:rPr>
        <w:t>inds</w:t>
      </w:r>
      <w:r w:rsidR="00AE16B8" w:rsidRPr="00C73908">
        <w:rPr>
          <w:rFonts w:ascii="Times New Roman" w:hAnsi="Times New Roman" w:cs="Times New Roman"/>
          <w:lang w:val="en-IE"/>
        </w:rPr>
        <w:t xml:space="preserve"> that higher </w:t>
      </w:r>
      <w:r w:rsidR="005C0FCB" w:rsidRPr="00C73908">
        <w:rPr>
          <w:rFonts w:ascii="Times New Roman" w:hAnsi="Times New Roman" w:cs="Times New Roman"/>
          <w:lang w:val="en-IE"/>
        </w:rPr>
        <w:t xml:space="preserve">levels of </w:t>
      </w:r>
      <w:r w:rsidR="00412772" w:rsidRPr="00C73908">
        <w:rPr>
          <w:rFonts w:ascii="Times New Roman" w:hAnsi="Times New Roman" w:cs="Times New Roman"/>
          <w:lang w:val="en-IE"/>
        </w:rPr>
        <w:t xml:space="preserve">labour </w:t>
      </w:r>
      <w:r w:rsidR="00AE16B8" w:rsidRPr="00C73908">
        <w:rPr>
          <w:rFonts w:ascii="Times New Roman" w:hAnsi="Times New Roman" w:cs="Times New Roman"/>
          <w:lang w:val="en-IE"/>
        </w:rPr>
        <w:t xml:space="preserve">productivity </w:t>
      </w:r>
      <w:r w:rsidR="005C0FCB" w:rsidRPr="00C73908">
        <w:rPr>
          <w:rFonts w:ascii="Times New Roman" w:hAnsi="Times New Roman" w:cs="Times New Roman"/>
          <w:lang w:val="en-IE"/>
        </w:rPr>
        <w:t>(measured as sales per employee)</w:t>
      </w:r>
      <w:r w:rsidR="00AE16B8" w:rsidRPr="00C73908">
        <w:rPr>
          <w:rFonts w:ascii="Times New Roman" w:hAnsi="Times New Roman" w:cs="Times New Roman"/>
          <w:lang w:val="en-IE"/>
        </w:rPr>
        <w:t xml:space="preserve"> </w:t>
      </w:r>
      <w:r w:rsidR="005E179A" w:rsidRPr="00C73908">
        <w:rPr>
          <w:rFonts w:ascii="Times New Roman" w:hAnsi="Times New Roman" w:cs="Times New Roman"/>
          <w:lang w:val="en-IE"/>
        </w:rPr>
        <w:t xml:space="preserve">increase the </w:t>
      </w:r>
      <w:r w:rsidR="00F62DD2" w:rsidRPr="00C73908">
        <w:rPr>
          <w:rFonts w:ascii="Times New Roman" w:hAnsi="Times New Roman" w:cs="Times New Roman"/>
          <w:lang w:val="en-IE"/>
        </w:rPr>
        <w:t xml:space="preserve">likelihood </w:t>
      </w:r>
      <w:r w:rsidR="002308B0" w:rsidRPr="00C73908">
        <w:rPr>
          <w:rFonts w:ascii="Times New Roman" w:hAnsi="Times New Roman" w:cs="Times New Roman"/>
          <w:lang w:val="en-IE"/>
        </w:rPr>
        <w:t xml:space="preserve">that a </w:t>
      </w:r>
      <w:r w:rsidR="00C00D88" w:rsidRPr="00C73908">
        <w:rPr>
          <w:rFonts w:ascii="Times New Roman" w:hAnsi="Times New Roman" w:cs="Times New Roman"/>
          <w:lang w:val="en-IE"/>
        </w:rPr>
        <w:t>firm exports</w:t>
      </w:r>
      <w:r w:rsidR="002308B0" w:rsidRPr="00C73908">
        <w:rPr>
          <w:rFonts w:ascii="Times New Roman" w:hAnsi="Times New Roman" w:cs="Times New Roman"/>
          <w:lang w:val="en-IE"/>
        </w:rPr>
        <w:t xml:space="preserve"> and that exports make up a greater share of </w:t>
      </w:r>
      <w:r w:rsidR="009F5561" w:rsidRPr="00C73908">
        <w:rPr>
          <w:rFonts w:ascii="Times New Roman" w:hAnsi="Times New Roman" w:cs="Times New Roman"/>
          <w:lang w:val="en-IE"/>
        </w:rPr>
        <w:t>turnover.</w:t>
      </w:r>
      <w:r w:rsidR="00897654">
        <w:rPr>
          <w:rFonts w:ascii="Times New Roman" w:hAnsi="Times New Roman" w:cs="Times New Roman"/>
          <w:lang w:val="en-IE"/>
        </w:rPr>
        <w:t xml:space="preserve"> However, it should be noted that sales per employee </w:t>
      </w:r>
      <w:r w:rsidR="00972C03">
        <w:rPr>
          <w:rFonts w:ascii="Times New Roman" w:hAnsi="Times New Roman" w:cs="Times New Roman"/>
          <w:lang w:val="en-IE"/>
        </w:rPr>
        <w:t>does not account for intermediate</w:t>
      </w:r>
      <w:r w:rsidR="009F5561" w:rsidRPr="00C73908">
        <w:rPr>
          <w:rFonts w:ascii="Times New Roman" w:hAnsi="Times New Roman" w:cs="Times New Roman"/>
          <w:lang w:val="en-IE"/>
        </w:rPr>
        <w:t xml:space="preserve"> </w:t>
      </w:r>
      <w:r w:rsidR="00972C03">
        <w:rPr>
          <w:rFonts w:ascii="Times New Roman" w:hAnsi="Times New Roman" w:cs="Times New Roman"/>
          <w:lang w:val="en-IE"/>
        </w:rPr>
        <w:t>inputs and is, therefore, more of an output</w:t>
      </w:r>
      <w:r w:rsidR="007049CF">
        <w:rPr>
          <w:rFonts w:ascii="Times New Roman" w:hAnsi="Times New Roman" w:cs="Times New Roman"/>
          <w:lang w:val="en-IE"/>
        </w:rPr>
        <w:t xml:space="preserve"> indicator compared with other productivity measures</w:t>
      </w:r>
      <w:r w:rsidR="00972C03">
        <w:rPr>
          <w:rFonts w:ascii="Times New Roman" w:hAnsi="Times New Roman" w:cs="Times New Roman"/>
          <w:lang w:val="en-IE"/>
        </w:rPr>
        <w:t xml:space="preserve">. </w:t>
      </w:r>
    </w:p>
    <w:p w14:paraId="21C9DEF9" w14:textId="0AB90C78" w:rsidR="0071084E" w:rsidRPr="00C73908" w:rsidRDefault="009F5561" w:rsidP="003E6436">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An</w:t>
      </w:r>
      <w:r w:rsidR="00AD5106" w:rsidRPr="00C73908">
        <w:rPr>
          <w:rFonts w:ascii="Times New Roman" w:hAnsi="Times New Roman" w:cs="Times New Roman"/>
          <w:lang w:val="en-IE"/>
        </w:rPr>
        <w:t xml:space="preserve"> a</w:t>
      </w:r>
      <w:r w:rsidR="00FD35C9" w:rsidRPr="00C73908">
        <w:rPr>
          <w:rFonts w:ascii="Times New Roman" w:hAnsi="Times New Roman" w:cs="Times New Roman"/>
          <w:lang w:val="en-IE"/>
        </w:rPr>
        <w:t xml:space="preserve">nalysis of </w:t>
      </w:r>
      <w:r w:rsidR="009F4054" w:rsidRPr="00C73908">
        <w:rPr>
          <w:rFonts w:ascii="Times New Roman" w:hAnsi="Times New Roman" w:cs="Times New Roman"/>
          <w:lang w:val="en-IE"/>
        </w:rPr>
        <w:t>approximately 5,000 manufacturing firms based on data from the Census of Industrial Production from 1992 to 2005</w:t>
      </w:r>
      <w:r w:rsidR="00AD5106" w:rsidRPr="00C73908">
        <w:rPr>
          <w:rFonts w:ascii="Times New Roman" w:hAnsi="Times New Roman" w:cs="Times New Roman"/>
          <w:lang w:val="en-IE"/>
        </w:rPr>
        <w:t xml:space="preserve"> by McCann (2009) produces several interesting findings</w:t>
      </w:r>
      <w:r w:rsidR="00F86F88" w:rsidRPr="00C73908">
        <w:rPr>
          <w:rFonts w:ascii="Times New Roman" w:hAnsi="Times New Roman" w:cs="Times New Roman"/>
          <w:lang w:val="en-IE"/>
        </w:rPr>
        <w:t>.</w:t>
      </w:r>
      <w:r w:rsidR="009F4054" w:rsidRPr="00C73908">
        <w:rPr>
          <w:rFonts w:ascii="Times New Roman" w:hAnsi="Times New Roman" w:cs="Times New Roman"/>
          <w:lang w:val="en-IE"/>
        </w:rPr>
        <w:t xml:space="preserve"> </w:t>
      </w:r>
      <w:r w:rsidR="00841D75">
        <w:rPr>
          <w:rFonts w:ascii="Times New Roman" w:hAnsi="Times New Roman" w:cs="Times New Roman"/>
          <w:lang w:val="en-IE"/>
        </w:rPr>
        <w:t>T</w:t>
      </w:r>
      <w:r w:rsidR="00F86F88" w:rsidRPr="00C73908">
        <w:rPr>
          <w:rFonts w:ascii="Times New Roman" w:hAnsi="Times New Roman" w:cs="Times New Roman"/>
          <w:lang w:val="en-IE"/>
        </w:rPr>
        <w:t xml:space="preserve">he </w:t>
      </w:r>
      <w:r w:rsidR="002D1DDB" w:rsidRPr="00C73908">
        <w:rPr>
          <w:rFonts w:ascii="Times New Roman" w:hAnsi="Times New Roman" w:cs="Times New Roman"/>
          <w:lang w:val="en-IE"/>
        </w:rPr>
        <w:t xml:space="preserve">analysis </w:t>
      </w:r>
      <w:r w:rsidR="00EC7A25" w:rsidRPr="00C73908">
        <w:rPr>
          <w:rFonts w:ascii="Times New Roman" w:hAnsi="Times New Roman" w:cs="Times New Roman"/>
          <w:lang w:val="en-IE"/>
        </w:rPr>
        <w:t xml:space="preserve">finds no evidence </w:t>
      </w:r>
      <w:r w:rsidR="00773CF2" w:rsidRPr="00C73908">
        <w:rPr>
          <w:rFonts w:ascii="Times New Roman" w:hAnsi="Times New Roman" w:cs="Times New Roman"/>
          <w:lang w:val="en-IE"/>
        </w:rPr>
        <w:t>that</w:t>
      </w:r>
      <w:r w:rsidR="00EC7A25" w:rsidRPr="00C73908">
        <w:rPr>
          <w:rFonts w:ascii="Times New Roman" w:hAnsi="Times New Roman" w:cs="Times New Roman"/>
          <w:lang w:val="en-IE"/>
        </w:rPr>
        <w:t xml:space="preserve"> </w:t>
      </w:r>
      <w:r w:rsidR="00773CF2" w:rsidRPr="00C73908">
        <w:rPr>
          <w:rFonts w:ascii="Times New Roman" w:hAnsi="Times New Roman" w:cs="Times New Roman"/>
          <w:lang w:val="en-IE"/>
        </w:rPr>
        <w:t>export</w:t>
      </w:r>
      <w:r w:rsidR="00222FCC" w:rsidRPr="00C73908">
        <w:rPr>
          <w:rFonts w:ascii="Times New Roman" w:hAnsi="Times New Roman" w:cs="Times New Roman"/>
          <w:lang w:val="en-IE"/>
        </w:rPr>
        <w:t>ers</w:t>
      </w:r>
      <w:r w:rsidR="00773CF2" w:rsidRPr="00C73908">
        <w:rPr>
          <w:rFonts w:ascii="Times New Roman" w:hAnsi="Times New Roman" w:cs="Times New Roman"/>
          <w:lang w:val="en-IE"/>
        </w:rPr>
        <w:t xml:space="preserve"> </w:t>
      </w:r>
      <w:r w:rsidR="00222FCC" w:rsidRPr="00C73908">
        <w:rPr>
          <w:rFonts w:ascii="Times New Roman" w:hAnsi="Times New Roman" w:cs="Times New Roman"/>
          <w:lang w:val="en-IE"/>
        </w:rPr>
        <w:t xml:space="preserve">have higher </w:t>
      </w:r>
      <w:r w:rsidR="006D48E1" w:rsidRPr="00C73908">
        <w:rPr>
          <w:rFonts w:ascii="Times New Roman" w:hAnsi="Times New Roman" w:cs="Times New Roman"/>
          <w:lang w:val="en-IE"/>
        </w:rPr>
        <w:t xml:space="preserve">ex-ante </w:t>
      </w:r>
      <w:r w:rsidR="00222FCC" w:rsidRPr="00C73908">
        <w:rPr>
          <w:rFonts w:ascii="Times New Roman" w:hAnsi="Times New Roman" w:cs="Times New Roman"/>
          <w:lang w:val="en-IE"/>
        </w:rPr>
        <w:t>productivity</w:t>
      </w:r>
      <w:r w:rsidR="00841D75">
        <w:rPr>
          <w:rFonts w:ascii="Times New Roman" w:hAnsi="Times New Roman" w:cs="Times New Roman"/>
          <w:lang w:val="en-IE"/>
        </w:rPr>
        <w:t xml:space="preserve"> </w:t>
      </w:r>
      <w:r w:rsidR="00222FCC" w:rsidRPr="00C73908">
        <w:rPr>
          <w:rFonts w:ascii="Times New Roman" w:hAnsi="Times New Roman" w:cs="Times New Roman"/>
          <w:lang w:val="en-IE"/>
        </w:rPr>
        <w:t xml:space="preserve">levels </w:t>
      </w:r>
      <w:r w:rsidR="0095587C">
        <w:rPr>
          <w:rFonts w:ascii="Times New Roman" w:hAnsi="Times New Roman" w:cs="Times New Roman"/>
          <w:lang w:val="en-IE"/>
        </w:rPr>
        <w:t>(measured as total factor productivity)</w:t>
      </w:r>
      <w:r w:rsidR="0095587C" w:rsidRPr="00C73908">
        <w:rPr>
          <w:rFonts w:ascii="Times New Roman" w:hAnsi="Times New Roman" w:cs="Times New Roman"/>
          <w:lang w:val="en-IE"/>
        </w:rPr>
        <w:t xml:space="preserve"> </w:t>
      </w:r>
      <w:r w:rsidR="006D48E1" w:rsidRPr="00C73908">
        <w:rPr>
          <w:rFonts w:ascii="Times New Roman" w:hAnsi="Times New Roman" w:cs="Times New Roman"/>
          <w:lang w:val="en-IE"/>
        </w:rPr>
        <w:t xml:space="preserve">than firms which remain domestically focused. </w:t>
      </w:r>
      <w:r w:rsidR="00825590" w:rsidRPr="00C73908">
        <w:rPr>
          <w:rFonts w:ascii="Times New Roman" w:hAnsi="Times New Roman" w:cs="Times New Roman"/>
          <w:lang w:val="en-IE"/>
        </w:rPr>
        <w:t>It is suggested</w:t>
      </w:r>
      <w:r w:rsidR="00113E07" w:rsidRPr="00C73908">
        <w:rPr>
          <w:rFonts w:ascii="Times New Roman" w:hAnsi="Times New Roman" w:cs="Times New Roman"/>
          <w:lang w:val="en-IE"/>
        </w:rPr>
        <w:t xml:space="preserve"> that </w:t>
      </w:r>
      <w:r w:rsidR="00B775B1" w:rsidRPr="00C73908">
        <w:rPr>
          <w:rFonts w:ascii="Times New Roman" w:hAnsi="Times New Roman" w:cs="Times New Roman"/>
          <w:lang w:val="en-IE"/>
        </w:rPr>
        <w:t xml:space="preserve">this could be due to </w:t>
      </w:r>
      <w:r w:rsidR="00113E07" w:rsidRPr="00C73908">
        <w:rPr>
          <w:rFonts w:ascii="Times New Roman" w:hAnsi="Times New Roman" w:cs="Times New Roman"/>
          <w:lang w:val="en-IE"/>
        </w:rPr>
        <w:t>Ir</w:t>
      </w:r>
      <w:r w:rsidR="00B775B1" w:rsidRPr="00C73908">
        <w:rPr>
          <w:rFonts w:ascii="Times New Roman" w:hAnsi="Times New Roman" w:cs="Times New Roman"/>
          <w:lang w:val="en-IE"/>
        </w:rPr>
        <w:t xml:space="preserve">eland’s </w:t>
      </w:r>
      <w:r w:rsidR="00715903" w:rsidRPr="00C73908">
        <w:rPr>
          <w:rFonts w:ascii="Times New Roman" w:hAnsi="Times New Roman" w:cs="Times New Roman"/>
          <w:lang w:val="en-IE"/>
        </w:rPr>
        <w:t>history of interventionist</w:t>
      </w:r>
      <w:r w:rsidR="00113E07" w:rsidRPr="00C73908">
        <w:rPr>
          <w:rFonts w:ascii="Times New Roman" w:hAnsi="Times New Roman" w:cs="Times New Roman"/>
          <w:lang w:val="en-IE"/>
        </w:rPr>
        <w:t xml:space="preserve"> trade promotion polic</w:t>
      </w:r>
      <w:r w:rsidR="00715903" w:rsidRPr="00C73908">
        <w:rPr>
          <w:rFonts w:ascii="Times New Roman" w:hAnsi="Times New Roman" w:cs="Times New Roman"/>
          <w:lang w:val="en-IE"/>
        </w:rPr>
        <w:t>ies</w:t>
      </w:r>
      <w:r w:rsidR="00113E07" w:rsidRPr="00C73908">
        <w:rPr>
          <w:rFonts w:ascii="Times New Roman" w:hAnsi="Times New Roman" w:cs="Times New Roman"/>
          <w:lang w:val="en-IE"/>
        </w:rPr>
        <w:t xml:space="preserve"> </w:t>
      </w:r>
      <w:r w:rsidR="0095587C">
        <w:rPr>
          <w:rFonts w:ascii="Times New Roman" w:hAnsi="Times New Roman" w:cs="Times New Roman"/>
          <w:lang w:val="en-IE"/>
        </w:rPr>
        <w:t>a</w:t>
      </w:r>
      <w:r w:rsidR="00DF5374" w:rsidRPr="00C73908">
        <w:rPr>
          <w:rFonts w:ascii="Times New Roman" w:hAnsi="Times New Roman" w:cs="Times New Roman"/>
          <w:lang w:val="en-IE"/>
        </w:rPr>
        <w:t>imed at helping companies to enter new export markets.</w:t>
      </w:r>
      <w:r w:rsidR="004C5FA1" w:rsidRPr="00C73908">
        <w:rPr>
          <w:rFonts w:ascii="Times New Roman" w:hAnsi="Times New Roman" w:cs="Times New Roman"/>
          <w:lang w:val="en-IE"/>
        </w:rPr>
        <w:t xml:space="preserve"> This may </w:t>
      </w:r>
      <w:r w:rsidR="004A0514" w:rsidRPr="00C73908">
        <w:rPr>
          <w:rFonts w:ascii="Times New Roman" w:hAnsi="Times New Roman" w:cs="Times New Roman"/>
          <w:lang w:val="en-IE"/>
        </w:rPr>
        <w:t>allow</w:t>
      </w:r>
      <w:r w:rsidR="00E838F5" w:rsidRPr="00C73908">
        <w:rPr>
          <w:rFonts w:ascii="Times New Roman" w:hAnsi="Times New Roman" w:cs="Times New Roman"/>
          <w:lang w:val="en-IE"/>
        </w:rPr>
        <w:t xml:space="preserve"> firms to overcome the entry costs of exporting and</w:t>
      </w:r>
      <w:r w:rsidR="004C5FA1" w:rsidRPr="00C73908">
        <w:rPr>
          <w:rFonts w:ascii="Times New Roman" w:hAnsi="Times New Roman" w:cs="Times New Roman"/>
          <w:lang w:val="en-IE"/>
        </w:rPr>
        <w:t xml:space="preserve"> </w:t>
      </w:r>
      <w:r w:rsidR="00567B14" w:rsidRPr="00C73908">
        <w:rPr>
          <w:rFonts w:ascii="Times New Roman" w:hAnsi="Times New Roman" w:cs="Times New Roman"/>
          <w:lang w:val="en-IE"/>
        </w:rPr>
        <w:t xml:space="preserve">“help </w:t>
      </w:r>
      <w:r w:rsidR="00675C53" w:rsidRPr="00C73908">
        <w:rPr>
          <w:rFonts w:ascii="Times New Roman" w:hAnsi="Times New Roman" w:cs="Times New Roman"/>
          <w:lang w:val="en-IE"/>
        </w:rPr>
        <w:t>fi</w:t>
      </w:r>
      <w:r w:rsidR="004C5FA1" w:rsidRPr="00C73908">
        <w:rPr>
          <w:rFonts w:ascii="Times New Roman" w:hAnsi="Times New Roman" w:cs="Times New Roman"/>
          <w:lang w:val="en-IE"/>
        </w:rPr>
        <w:t>rms who</w:t>
      </w:r>
      <w:r w:rsidR="0018784C" w:rsidRPr="00C73908">
        <w:rPr>
          <w:rFonts w:ascii="Times New Roman" w:hAnsi="Times New Roman" w:cs="Times New Roman"/>
          <w:lang w:val="en-IE"/>
        </w:rPr>
        <w:t xml:space="preserve"> </w:t>
      </w:r>
      <w:r w:rsidR="004C5FA1" w:rsidRPr="00C73908">
        <w:rPr>
          <w:rFonts w:ascii="Times New Roman" w:hAnsi="Times New Roman" w:cs="Times New Roman"/>
          <w:lang w:val="en-IE"/>
        </w:rPr>
        <w:t>would not have been productive enough in a Melitz-style laissez-faire world</w:t>
      </w:r>
      <w:r w:rsidR="0018784C" w:rsidRPr="00C73908">
        <w:rPr>
          <w:rFonts w:ascii="Times New Roman" w:hAnsi="Times New Roman" w:cs="Times New Roman"/>
          <w:lang w:val="en-IE"/>
        </w:rPr>
        <w:t xml:space="preserve"> </w:t>
      </w:r>
      <w:r w:rsidR="004C5FA1" w:rsidRPr="00C73908">
        <w:rPr>
          <w:rFonts w:ascii="Times New Roman" w:hAnsi="Times New Roman" w:cs="Times New Roman"/>
          <w:lang w:val="en-IE"/>
        </w:rPr>
        <w:t>to enter international markets.</w:t>
      </w:r>
      <w:r w:rsidR="00675C53" w:rsidRPr="00C73908">
        <w:rPr>
          <w:rFonts w:ascii="Times New Roman" w:hAnsi="Times New Roman" w:cs="Times New Roman"/>
          <w:lang w:val="en-IE"/>
        </w:rPr>
        <w:t>”</w:t>
      </w:r>
      <w:r w:rsidR="00DF5374" w:rsidRPr="00C73908">
        <w:rPr>
          <w:rFonts w:ascii="Times New Roman" w:hAnsi="Times New Roman" w:cs="Times New Roman"/>
          <w:lang w:val="en-IE"/>
        </w:rPr>
        <w:t xml:space="preserve"> </w:t>
      </w:r>
      <w:r w:rsidR="00675C53" w:rsidRPr="00C73908">
        <w:rPr>
          <w:rFonts w:ascii="Times New Roman" w:hAnsi="Times New Roman" w:cs="Times New Roman"/>
          <w:lang w:val="en-IE"/>
        </w:rPr>
        <w:t>The analysis</w:t>
      </w:r>
      <w:r w:rsidR="006D48E1" w:rsidRPr="00C73908">
        <w:rPr>
          <w:rFonts w:ascii="Times New Roman" w:hAnsi="Times New Roman" w:cs="Times New Roman"/>
          <w:lang w:val="en-IE"/>
        </w:rPr>
        <w:t xml:space="preserve"> does, however, </w:t>
      </w:r>
      <w:r w:rsidR="00AF5EAB" w:rsidRPr="00C73908">
        <w:rPr>
          <w:rFonts w:ascii="Times New Roman" w:hAnsi="Times New Roman" w:cs="Times New Roman"/>
          <w:lang w:val="en-IE"/>
        </w:rPr>
        <w:t>provide evidence in support of the learning by exporting theory</w:t>
      </w:r>
      <w:r w:rsidR="00951175" w:rsidRPr="00C73908">
        <w:rPr>
          <w:rFonts w:ascii="Times New Roman" w:hAnsi="Times New Roman" w:cs="Times New Roman"/>
          <w:lang w:val="en-IE"/>
        </w:rPr>
        <w:t xml:space="preserve"> as</w:t>
      </w:r>
      <w:r w:rsidR="00D85FD7" w:rsidRPr="00C73908">
        <w:rPr>
          <w:rFonts w:ascii="Times New Roman" w:hAnsi="Times New Roman" w:cs="Times New Roman"/>
          <w:lang w:val="en-IE"/>
        </w:rPr>
        <w:t xml:space="preserve"> “becoming an exporter significantly increases total factor productivity”</w:t>
      </w:r>
      <w:r w:rsidR="008E6A29" w:rsidRPr="00C73908">
        <w:rPr>
          <w:rFonts w:ascii="Times New Roman" w:hAnsi="Times New Roman" w:cs="Times New Roman"/>
          <w:lang w:val="en-IE"/>
        </w:rPr>
        <w:t>, significant</w:t>
      </w:r>
      <w:r w:rsidR="00A95000" w:rsidRPr="00C73908">
        <w:rPr>
          <w:rFonts w:ascii="Times New Roman" w:hAnsi="Times New Roman" w:cs="Times New Roman"/>
          <w:lang w:val="en-IE"/>
        </w:rPr>
        <w:t xml:space="preserve"> for up to four years after </w:t>
      </w:r>
      <w:r w:rsidR="008E6A29" w:rsidRPr="00C73908">
        <w:rPr>
          <w:rFonts w:ascii="Times New Roman" w:hAnsi="Times New Roman" w:cs="Times New Roman"/>
          <w:lang w:val="en-IE"/>
        </w:rPr>
        <w:t>entry</w:t>
      </w:r>
      <w:r w:rsidR="00951175" w:rsidRPr="00C73908">
        <w:rPr>
          <w:rFonts w:ascii="Times New Roman" w:hAnsi="Times New Roman" w:cs="Times New Roman"/>
          <w:lang w:val="en-IE"/>
        </w:rPr>
        <w:t xml:space="preserve">. </w:t>
      </w:r>
      <w:r w:rsidR="005F43BF">
        <w:rPr>
          <w:rFonts w:ascii="Times New Roman" w:hAnsi="Times New Roman" w:cs="Times New Roman"/>
          <w:lang w:val="en-IE"/>
        </w:rPr>
        <w:t>T</w:t>
      </w:r>
      <w:r w:rsidR="00951175" w:rsidRPr="00C73908">
        <w:rPr>
          <w:rFonts w:ascii="Times New Roman" w:hAnsi="Times New Roman" w:cs="Times New Roman"/>
          <w:lang w:val="en-IE"/>
        </w:rPr>
        <w:t xml:space="preserve">his is in contrast with the generally inconclusive findings of international research </w:t>
      </w:r>
      <w:r w:rsidR="00610A59" w:rsidRPr="00C73908">
        <w:rPr>
          <w:rFonts w:ascii="Times New Roman" w:hAnsi="Times New Roman" w:cs="Times New Roman"/>
          <w:lang w:val="en-IE"/>
        </w:rPr>
        <w:t xml:space="preserve">and the author suggests that this could </w:t>
      </w:r>
      <w:r w:rsidR="00825590" w:rsidRPr="00C73908">
        <w:rPr>
          <w:rFonts w:ascii="Times New Roman" w:hAnsi="Times New Roman" w:cs="Times New Roman"/>
          <w:lang w:val="en-IE"/>
        </w:rPr>
        <w:t xml:space="preserve">be due to </w:t>
      </w:r>
      <w:r w:rsidR="00995050" w:rsidRPr="00C73908">
        <w:rPr>
          <w:rFonts w:ascii="Times New Roman" w:hAnsi="Times New Roman" w:cs="Times New Roman"/>
          <w:lang w:val="en-IE"/>
        </w:rPr>
        <w:t>firm productivity being hampered by the relatively small size of the domestic market</w:t>
      </w:r>
      <w:r w:rsidR="0012616A" w:rsidRPr="00C73908">
        <w:rPr>
          <w:rFonts w:ascii="Times New Roman" w:hAnsi="Times New Roman" w:cs="Times New Roman"/>
          <w:lang w:val="en-IE"/>
        </w:rPr>
        <w:t xml:space="preserve"> prior to exporting</w:t>
      </w:r>
      <w:r w:rsidR="00995050" w:rsidRPr="00C73908">
        <w:rPr>
          <w:rFonts w:ascii="Times New Roman" w:hAnsi="Times New Roman" w:cs="Times New Roman"/>
          <w:lang w:val="en-IE"/>
        </w:rPr>
        <w:t xml:space="preserve">. </w:t>
      </w:r>
      <w:r w:rsidR="00A74A7D" w:rsidRPr="00C73908">
        <w:rPr>
          <w:rFonts w:ascii="Times New Roman" w:hAnsi="Times New Roman" w:cs="Times New Roman"/>
          <w:lang w:val="en-IE"/>
        </w:rPr>
        <w:t xml:space="preserve">The final finding is </w:t>
      </w:r>
      <w:r w:rsidR="004F3790" w:rsidRPr="00C73908">
        <w:rPr>
          <w:rFonts w:ascii="Times New Roman" w:hAnsi="Times New Roman" w:cs="Times New Roman"/>
          <w:lang w:val="en-IE"/>
        </w:rPr>
        <w:t>that firms which stop exporting experience an almost equal and inverse result</w:t>
      </w:r>
      <w:r w:rsidR="00A67A0E" w:rsidRPr="00C73908">
        <w:rPr>
          <w:rFonts w:ascii="Times New Roman" w:hAnsi="Times New Roman" w:cs="Times New Roman"/>
          <w:lang w:val="en-IE"/>
        </w:rPr>
        <w:t xml:space="preserve"> compared </w:t>
      </w:r>
      <w:r w:rsidR="00EC7144" w:rsidRPr="00C73908">
        <w:rPr>
          <w:rFonts w:ascii="Times New Roman" w:hAnsi="Times New Roman" w:cs="Times New Roman"/>
          <w:lang w:val="en-IE"/>
        </w:rPr>
        <w:t xml:space="preserve">to new exporters which </w:t>
      </w:r>
      <w:r w:rsidR="00190F26" w:rsidRPr="00C73908">
        <w:rPr>
          <w:rFonts w:ascii="Times New Roman" w:hAnsi="Times New Roman" w:cs="Times New Roman"/>
          <w:lang w:val="en-IE"/>
        </w:rPr>
        <w:t>“</w:t>
      </w:r>
      <w:r w:rsidR="00EC7144" w:rsidRPr="00C73908">
        <w:rPr>
          <w:rFonts w:ascii="Times New Roman" w:hAnsi="Times New Roman" w:cs="Times New Roman"/>
          <w:lang w:val="en-IE"/>
        </w:rPr>
        <w:t xml:space="preserve">suggests a role for policy in encouraging </w:t>
      </w:r>
      <w:r w:rsidR="00190F26" w:rsidRPr="00C73908">
        <w:rPr>
          <w:rFonts w:ascii="Times New Roman" w:hAnsi="Times New Roman" w:cs="Times New Roman"/>
          <w:lang w:val="en-IE"/>
        </w:rPr>
        <w:t>fi</w:t>
      </w:r>
      <w:r w:rsidR="00EC7144" w:rsidRPr="00C73908">
        <w:rPr>
          <w:rFonts w:ascii="Times New Roman" w:hAnsi="Times New Roman" w:cs="Times New Roman"/>
          <w:lang w:val="en-IE"/>
        </w:rPr>
        <w:t>rms to continue to export.</w:t>
      </w:r>
      <w:r w:rsidR="00190F26" w:rsidRPr="00C73908">
        <w:rPr>
          <w:rFonts w:ascii="Times New Roman" w:hAnsi="Times New Roman" w:cs="Times New Roman"/>
          <w:lang w:val="en-IE"/>
        </w:rPr>
        <w:t>”</w:t>
      </w:r>
    </w:p>
    <w:p w14:paraId="05703DC3" w14:textId="62A02637" w:rsidR="00B01567" w:rsidRPr="00C73908" w:rsidRDefault="00004C7D"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t>Hypothes</w:t>
      </w:r>
      <w:r w:rsidR="00B01567" w:rsidRPr="00C73908">
        <w:rPr>
          <w:rFonts w:ascii="Times New Roman" w:hAnsi="Times New Roman" w:cs="Times New Roman"/>
          <w:b/>
          <w:bCs/>
          <w:color w:val="0070C0"/>
          <w:lang w:val="en-IE"/>
        </w:rPr>
        <w:t xml:space="preserve">is: </w:t>
      </w:r>
      <w:r w:rsidR="007B7128">
        <w:rPr>
          <w:rFonts w:ascii="Times New Roman" w:hAnsi="Times New Roman" w:cs="Times New Roman"/>
          <w:lang w:val="en-IE"/>
        </w:rPr>
        <w:t>Overall, it is expected that</w:t>
      </w:r>
      <w:r w:rsidR="00896114">
        <w:rPr>
          <w:rFonts w:ascii="Times New Roman" w:hAnsi="Times New Roman" w:cs="Times New Roman"/>
          <w:lang w:val="en-IE"/>
        </w:rPr>
        <w:t xml:space="preserve"> </w:t>
      </w:r>
      <w:r w:rsidR="006933C5">
        <w:rPr>
          <w:rFonts w:ascii="Times New Roman" w:hAnsi="Times New Roman" w:cs="Times New Roman"/>
          <w:lang w:val="en-IE"/>
        </w:rPr>
        <w:t xml:space="preserve">there is a positive relationship between </w:t>
      </w:r>
      <w:r w:rsidR="00896114">
        <w:rPr>
          <w:rFonts w:ascii="Times New Roman" w:hAnsi="Times New Roman" w:cs="Times New Roman"/>
          <w:lang w:val="en-IE"/>
        </w:rPr>
        <w:t>productivity</w:t>
      </w:r>
      <w:r w:rsidR="00530C71" w:rsidRPr="00C73908">
        <w:rPr>
          <w:rFonts w:ascii="Times New Roman" w:hAnsi="Times New Roman" w:cs="Times New Roman"/>
          <w:lang w:val="en-IE"/>
        </w:rPr>
        <w:t xml:space="preserve"> </w:t>
      </w:r>
      <w:r w:rsidR="00896114">
        <w:rPr>
          <w:rFonts w:ascii="Times New Roman" w:hAnsi="Times New Roman" w:cs="Times New Roman"/>
          <w:lang w:val="en-IE"/>
        </w:rPr>
        <w:t xml:space="preserve">levels </w:t>
      </w:r>
      <w:r w:rsidR="006933C5">
        <w:rPr>
          <w:rFonts w:ascii="Times New Roman" w:hAnsi="Times New Roman" w:cs="Times New Roman"/>
          <w:lang w:val="en-IE"/>
        </w:rPr>
        <w:t xml:space="preserve">and export performance. </w:t>
      </w:r>
      <w:r w:rsidR="00FB0D0E">
        <w:rPr>
          <w:rFonts w:ascii="Times New Roman" w:hAnsi="Times New Roman" w:cs="Times New Roman"/>
          <w:lang w:val="en-IE"/>
        </w:rPr>
        <w:t>However, while t</w:t>
      </w:r>
      <w:r w:rsidR="00B3739C">
        <w:rPr>
          <w:rFonts w:ascii="Times New Roman" w:hAnsi="Times New Roman" w:cs="Times New Roman"/>
          <w:lang w:val="en-IE"/>
        </w:rPr>
        <w:t>his</w:t>
      </w:r>
      <w:r w:rsidR="003B29E3">
        <w:rPr>
          <w:rFonts w:ascii="Times New Roman" w:hAnsi="Times New Roman" w:cs="Times New Roman"/>
          <w:lang w:val="en-IE"/>
        </w:rPr>
        <w:t xml:space="preserve"> positive</w:t>
      </w:r>
      <w:r w:rsidR="005D75F7">
        <w:rPr>
          <w:rFonts w:ascii="Times New Roman" w:hAnsi="Times New Roman" w:cs="Times New Roman"/>
          <w:lang w:val="en-IE"/>
        </w:rPr>
        <w:t xml:space="preserve"> relationship has been widely </w:t>
      </w:r>
      <w:r w:rsidR="002F4459">
        <w:rPr>
          <w:rFonts w:ascii="Times New Roman" w:hAnsi="Times New Roman" w:cs="Times New Roman"/>
          <w:lang w:val="en-IE"/>
        </w:rPr>
        <w:t xml:space="preserve">identified in the </w:t>
      </w:r>
      <w:r w:rsidR="003B29E3">
        <w:rPr>
          <w:rFonts w:ascii="Times New Roman" w:hAnsi="Times New Roman" w:cs="Times New Roman"/>
          <w:lang w:val="en-IE"/>
        </w:rPr>
        <w:t xml:space="preserve">international </w:t>
      </w:r>
      <w:r w:rsidR="002F4459">
        <w:rPr>
          <w:rFonts w:ascii="Times New Roman" w:hAnsi="Times New Roman" w:cs="Times New Roman"/>
          <w:lang w:val="en-IE"/>
        </w:rPr>
        <w:t>literature</w:t>
      </w:r>
      <w:r w:rsidR="00B3739C">
        <w:rPr>
          <w:rFonts w:ascii="Times New Roman" w:hAnsi="Times New Roman" w:cs="Times New Roman"/>
          <w:lang w:val="en-IE"/>
        </w:rPr>
        <w:t>,</w:t>
      </w:r>
      <w:r w:rsidR="002F4459">
        <w:rPr>
          <w:rFonts w:ascii="Times New Roman" w:hAnsi="Times New Roman" w:cs="Times New Roman"/>
          <w:lang w:val="en-IE"/>
        </w:rPr>
        <w:t xml:space="preserve"> </w:t>
      </w:r>
      <w:r w:rsidR="003C6BE4">
        <w:rPr>
          <w:rFonts w:ascii="Times New Roman" w:hAnsi="Times New Roman" w:cs="Times New Roman"/>
          <w:lang w:val="en-IE"/>
        </w:rPr>
        <w:t xml:space="preserve">the </w:t>
      </w:r>
      <w:r w:rsidR="006933C5">
        <w:rPr>
          <w:rFonts w:ascii="Times New Roman" w:hAnsi="Times New Roman" w:cs="Times New Roman"/>
          <w:lang w:val="en-IE"/>
        </w:rPr>
        <w:t xml:space="preserve">evidence from </w:t>
      </w:r>
      <w:r w:rsidR="003C6BE4">
        <w:rPr>
          <w:rFonts w:ascii="Times New Roman" w:hAnsi="Times New Roman" w:cs="Times New Roman"/>
          <w:lang w:val="en-IE"/>
        </w:rPr>
        <w:t>empirical studies of Irish firms</w:t>
      </w:r>
      <w:r w:rsidR="006933C5">
        <w:rPr>
          <w:rFonts w:ascii="Times New Roman" w:hAnsi="Times New Roman" w:cs="Times New Roman"/>
          <w:lang w:val="en-IE"/>
        </w:rPr>
        <w:t xml:space="preserve"> is relatively mixed</w:t>
      </w:r>
      <w:r w:rsidR="00D97C47">
        <w:rPr>
          <w:rFonts w:ascii="Times New Roman" w:hAnsi="Times New Roman" w:cs="Times New Roman"/>
          <w:lang w:val="en-IE"/>
        </w:rPr>
        <w:t xml:space="preserve">. </w:t>
      </w:r>
      <w:r w:rsidR="00DA5EFB" w:rsidRPr="00C73908">
        <w:rPr>
          <w:rFonts w:ascii="Times New Roman" w:hAnsi="Times New Roman" w:cs="Times New Roman"/>
          <w:lang w:val="en-IE"/>
        </w:rPr>
        <w:t xml:space="preserve">Similarly, </w:t>
      </w:r>
      <w:r w:rsidR="00F72336" w:rsidRPr="00C73908">
        <w:rPr>
          <w:rFonts w:ascii="Times New Roman" w:hAnsi="Times New Roman" w:cs="Times New Roman"/>
          <w:lang w:val="en-IE"/>
        </w:rPr>
        <w:t xml:space="preserve">it is expected that </w:t>
      </w:r>
      <w:r w:rsidR="00375D15" w:rsidRPr="00C73908">
        <w:rPr>
          <w:rFonts w:ascii="Times New Roman" w:hAnsi="Times New Roman" w:cs="Times New Roman"/>
          <w:lang w:val="en-IE"/>
        </w:rPr>
        <w:t xml:space="preserve">companies which undertake projects </w:t>
      </w:r>
      <w:r w:rsidR="00D5774C" w:rsidRPr="00C73908">
        <w:rPr>
          <w:rFonts w:ascii="Times New Roman" w:hAnsi="Times New Roman" w:cs="Times New Roman"/>
          <w:lang w:val="en-IE"/>
        </w:rPr>
        <w:t>aimed at increasing</w:t>
      </w:r>
      <w:r w:rsidR="00375D15" w:rsidRPr="00C73908">
        <w:rPr>
          <w:rFonts w:ascii="Times New Roman" w:hAnsi="Times New Roman" w:cs="Times New Roman"/>
          <w:lang w:val="en-IE"/>
        </w:rPr>
        <w:t xml:space="preserve"> </w:t>
      </w:r>
      <w:r w:rsidR="006A6B12" w:rsidRPr="00C73908">
        <w:rPr>
          <w:rFonts w:ascii="Times New Roman" w:hAnsi="Times New Roman" w:cs="Times New Roman"/>
          <w:lang w:val="en-IE"/>
        </w:rPr>
        <w:t xml:space="preserve">production capacity and </w:t>
      </w:r>
      <w:r w:rsidR="00D5774C" w:rsidRPr="00C73908">
        <w:rPr>
          <w:rFonts w:ascii="Times New Roman" w:hAnsi="Times New Roman" w:cs="Times New Roman"/>
          <w:lang w:val="en-IE"/>
        </w:rPr>
        <w:t xml:space="preserve">improving </w:t>
      </w:r>
      <w:r w:rsidR="00375D15" w:rsidRPr="00C73908">
        <w:rPr>
          <w:rFonts w:ascii="Times New Roman" w:hAnsi="Times New Roman" w:cs="Times New Roman"/>
          <w:lang w:val="en-IE"/>
        </w:rPr>
        <w:t xml:space="preserve">efficiency </w:t>
      </w:r>
      <w:r w:rsidR="002D36B8" w:rsidRPr="00C73908">
        <w:rPr>
          <w:rFonts w:ascii="Times New Roman" w:hAnsi="Times New Roman" w:cs="Times New Roman"/>
          <w:lang w:val="en-IE"/>
        </w:rPr>
        <w:t xml:space="preserve">will </w:t>
      </w:r>
      <w:r w:rsidR="00AB08E8" w:rsidRPr="00C73908">
        <w:rPr>
          <w:rFonts w:ascii="Times New Roman" w:hAnsi="Times New Roman" w:cs="Times New Roman"/>
          <w:lang w:val="en-IE"/>
        </w:rPr>
        <w:t xml:space="preserve">experience subsequent </w:t>
      </w:r>
      <w:r w:rsidR="001D3514" w:rsidRPr="00C73908">
        <w:rPr>
          <w:rFonts w:ascii="Times New Roman" w:hAnsi="Times New Roman" w:cs="Times New Roman"/>
          <w:lang w:val="en-IE"/>
        </w:rPr>
        <w:t xml:space="preserve">benefits in terms of </w:t>
      </w:r>
      <w:r w:rsidR="001D5920" w:rsidRPr="00C73908">
        <w:rPr>
          <w:rFonts w:ascii="Times New Roman" w:hAnsi="Times New Roman" w:cs="Times New Roman"/>
          <w:lang w:val="en-IE"/>
        </w:rPr>
        <w:t xml:space="preserve">increased </w:t>
      </w:r>
      <w:r w:rsidR="001D3514" w:rsidRPr="00C73908">
        <w:rPr>
          <w:rFonts w:ascii="Times New Roman" w:hAnsi="Times New Roman" w:cs="Times New Roman"/>
          <w:lang w:val="en-IE"/>
        </w:rPr>
        <w:t>export</w:t>
      </w:r>
      <w:r w:rsidR="00CC7097" w:rsidRPr="00C73908">
        <w:rPr>
          <w:rFonts w:ascii="Times New Roman" w:hAnsi="Times New Roman" w:cs="Times New Roman"/>
          <w:lang w:val="en-IE"/>
        </w:rPr>
        <w:t>s</w:t>
      </w:r>
      <w:r w:rsidR="001D3514" w:rsidRPr="00C73908">
        <w:rPr>
          <w:rFonts w:ascii="Times New Roman" w:hAnsi="Times New Roman" w:cs="Times New Roman"/>
          <w:lang w:val="en-IE"/>
        </w:rPr>
        <w:t>.</w:t>
      </w:r>
    </w:p>
    <w:p w14:paraId="7B0FDCB4" w14:textId="10CF145B" w:rsidR="00010AC9" w:rsidRPr="00C73908" w:rsidRDefault="00B21DCA" w:rsidP="008A6DF2">
      <w:pPr>
        <w:pStyle w:val="Heading1"/>
        <w:numPr>
          <w:ilvl w:val="1"/>
          <w:numId w:val="4"/>
        </w:numPr>
        <w:spacing w:after="240" w:line="360" w:lineRule="auto"/>
        <w:jc w:val="both"/>
        <w:rPr>
          <w:rFonts w:ascii="Times New Roman" w:hAnsi="Times New Roman" w:cs="Times New Roman"/>
          <w:b/>
          <w:bCs/>
          <w:color w:val="0070C0"/>
          <w:lang w:val="en-IE"/>
        </w:rPr>
      </w:pPr>
      <w:bookmarkStart w:id="11" w:name="_Toc67143557"/>
      <w:bookmarkStart w:id="12" w:name="_Toc69198798"/>
      <w:r w:rsidRPr="00C73908">
        <w:rPr>
          <w:rFonts w:ascii="Times New Roman" w:hAnsi="Times New Roman" w:cs="Times New Roman"/>
          <w:b/>
          <w:bCs/>
          <w:color w:val="0070C0"/>
          <w:lang w:val="en-IE"/>
        </w:rPr>
        <w:lastRenderedPageBreak/>
        <w:t>Innovation</w:t>
      </w:r>
      <w:bookmarkEnd w:id="11"/>
      <w:bookmarkEnd w:id="12"/>
    </w:p>
    <w:p w14:paraId="14C9C6E9" w14:textId="0161E9AE" w:rsidR="005C5D8E" w:rsidRPr="00C73908" w:rsidRDefault="007673FC"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The relationship between i</w:t>
      </w:r>
      <w:r w:rsidR="00B21DCA" w:rsidRPr="00C73908">
        <w:rPr>
          <w:rFonts w:ascii="Times New Roman" w:hAnsi="Times New Roman" w:cs="Times New Roman"/>
          <w:lang w:val="en-IE"/>
        </w:rPr>
        <w:t>nnovation</w:t>
      </w:r>
      <w:r w:rsidR="00657690" w:rsidRPr="00C73908">
        <w:rPr>
          <w:rFonts w:ascii="Times New Roman" w:hAnsi="Times New Roman" w:cs="Times New Roman"/>
          <w:lang w:val="en-IE"/>
        </w:rPr>
        <w:t xml:space="preserve"> </w:t>
      </w:r>
      <w:r w:rsidRPr="00C73908">
        <w:rPr>
          <w:rFonts w:ascii="Times New Roman" w:hAnsi="Times New Roman" w:cs="Times New Roman"/>
          <w:lang w:val="en-IE"/>
        </w:rPr>
        <w:t xml:space="preserve">and export performance </w:t>
      </w:r>
      <w:r w:rsidR="00003D6F" w:rsidRPr="00C73908">
        <w:rPr>
          <w:rFonts w:ascii="Times New Roman" w:hAnsi="Times New Roman" w:cs="Times New Roman"/>
          <w:lang w:val="en-IE"/>
        </w:rPr>
        <w:t>has also</w:t>
      </w:r>
      <w:r w:rsidR="00415325" w:rsidRPr="00C73908">
        <w:rPr>
          <w:rFonts w:ascii="Times New Roman" w:hAnsi="Times New Roman" w:cs="Times New Roman"/>
          <w:lang w:val="en-IE"/>
        </w:rPr>
        <w:t xml:space="preserve"> received a lot of attention in the literature on firm </w:t>
      </w:r>
      <w:r w:rsidR="00AC6B9A">
        <w:rPr>
          <w:rFonts w:ascii="Times New Roman" w:hAnsi="Times New Roman" w:cs="Times New Roman"/>
          <w:lang w:val="en-IE"/>
        </w:rPr>
        <w:t xml:space="preserve">level </w:t>
      </w:r>
      <w:r w:rsidR="00415325" w:rsidRPr="00C73908">
        <w:rPr>
          <w:rFonts w:ascii="Times New Roman" w:hAnsi="Times New Roman" w:cs="Times New Roman"/>
          <w:lang w:val="en-IE"/>
        </w:rPr>
        <w:t>export determinants</w:t>
      </w:r>
      <w:r w:rsidR="0044438D" w:rsidRPr="00C73908">
        <w:rPr>
          <w:rFonts w:ascii="Times New Roman" w:hAnsi="Times New Roman" w:cs="Times New Roman"/>
          <w:lang w:val="en-IE"/>
        </w:rPr>
        <w:t>.</w:t>
      </w:r>
      <w:r w:rsidR="00091804" w:rsidRPr="00C73908">
        <w:rPr>
          <w:rFonts w:ascii="Times New Roman" w:hAnsi="Times New Roman" w:cs="Times New Roman"/>
          <w:lang w:val="en-IE"/>
        </w:rPr>
        <w:t xml:space="preserve"> </w:t>
      </w:r>
      <w:r w:rsidR="00BE4A53" w:rsidRPr="00C73908">
        <w:rPr>
          <w:rFonts w:ascii="Times New Roman" w:hAnsi="Times New Roman" w:cs="Times New Roman"/>
          <w:lang w:val="en-IE"/>
        </w:rPr>
        <w:t xml:space="preserve">Innovation is defined </w:t>
      </w:r>
      <w:r w:rsidR="0043532B" w:rsidRPr="00C73908">
        <w:rPr>
          <w:rFonts w:ascii="Times New Roman" w:hAnsi="Times New Roman" w:cs="Times New Roman"/>
          <w:lang w:val="en-IE"/>
        </w:rPr>
        <w:t xml:space="preserve">by the </w:t>
      </w:r>
      <w:r w:rsidR="00F151E8" w:rsidRPr="00C73908">
        <w:rPr>
          <w:rFonts w:ascii="Times New Roman" w:hAnsi="Times New Roman" w:cs="Times New Roman"/>
          <w:lang w:val="en-IE"/>
        </w:rPr>
        <w:t xml:space="preserve">OECD </w:t>
      </w:r>
      <w:r w:rsidR="00DD0964" w:rsidRPr="00C73908">
        <w:rPr>
          <w:rFonts w:ascii="Times New Roman" w:hAnsi="Times New Roman" w:cs="Times New Roman"/>
          <w:lang w:val="en-IE"/>
        </w:rPr>
        <w:t>(20</w:t>
      </w:r>
      <w:r w:rsidR="0071271F" w:rsidRPr="00C73908">
        <w:rPr>
          <w:rFonts w:ascii="Times New Roman" w:hAnsi="Times New Roman" w:cs="Times New Roman"/>
          <w:lang w:val="en-IE"/>
        </w:rPr>
        <w:t>18</w:t>
      </w:r>
      <w:r w:rsidR="00DD0964" w:rsidRPr="00C73908">
        <w:rPr>
          <w:rFonts w:ascii="Times New Roman" w:hAnsi="Times New Roman" w:cs="Times New Roman"/>
          <w:lang w:val="en-IE"/>
        </w:rPr>
        <w:t xml:space="preserve">) </w:t>
      </w:r>
      <w:r w:rsidR="00F151E8" w:rsidRPr="00C73908">
        <w:rPr>
          <w:rFonts w:ascii="Times New Roman" w:hAnsi="Times New Roman" w:cs="Times New Roman"/>
          <w:lang w:val="en-IE"/>
        </w:rPr>
        <w:t>as “</w:t>
      </w:r>
      <w:r w:rsidR="0071271F" w:rsidRPr="00C73908">
        <w:rPr>
          <w:rFonts w:ascii="Times New Roman" w:hAnsi="Times New Roman" w:cs="Times New Roman"/>
          <w:lang w:val="en-IE"/>
        </w:rPr>
        <w:t>a new or improved product or process (or combination thereof) that differs significantly from the unit’s previous products or processes and that has been made available to potential users (product) or brought into use by the unit (process)</w:t>
      </w:r>
      <w:r w:rsidR="00F151E8" w:rsidRPr="00C73908">
        <w:rPr>
          <w:rFonts w:ascii="Times New Roman" w:hAnsi="Times New Roman" w:cs="Times New Roman"/>
          <w:lang w:val="en-IE"/>
        </w:rPr>
        <w:t>”</w:t>
      </w:r>
      <w:r w:rsidR="00074065" w:rsidRPr="00C73908">
        <w:rPr>
          <w:rFonts w:ascii="Times New Roman" w:hAnsi="Times New Roman" w:cs="Times New Roman"/>
          <w:lang w:val="en-IE"/>
        </w:rPr>
        <w:t xml:space="preserve"> with the </w:t>
      </w:r>
      <w:r w:rsidR="000948A6" w:rsidRPr="00C73908">
        <w:rPr>
          <w:rFonts w:ascii="Times New Roman" w:hAnsi="Times New Roman" w:cs="Times New Roman"/>
          <w:lang w:val="en-IE"/>
        </w:rPr>
        <w:t>overall objective</w:t>
      </w:r>
      <w:r w:rsidR="00B2538F">
        <w:rPr>
          <w:rFonts w:ascii="Times New Roman" w:hAnsi="Times New Roman" w:cs="Times New Roman"/>
          <w:lang w:val="en-IE"/>
        </w:rPr>
        <w:t xml:space="preserve"> </w:t>
      </w:r>
      <w:r w:rsidR="0058041C" w:rsidRPr="00C73908">
        <w:rPr>
          <w:rFonts w:ascii="Times New Roman" w:hAnsi="Times New Roman" w:cs="Times New Roman"/>
          <w:lang w:val="en-IE"/>
        </w:rPr>
        <w:t xml:space="preserve">of </w:t>
      </w:r>
      <w:r w:rsidR="00F51651" w:rsidRPr="00C73908">
        <w:rPr>
          <w:rFonts w:ascii="Times New Roman" w:hAnsi="Times New Roman" w:cs="Times New Roman"/>
          <w:lang w:val="en-IE"/>
        </w:rPr>
        <w:t>genera</w:t>
      </w:r>
      <w:r w:rsidR="0058041C" w:rsidRPr="00C73908">
        <w:rPr>
          <w:rFonts w:ascii="Times New Roman" w:hAnsi="Times New Roman" w:cs="Times New Roman"/>
          <w:lang w:val="en-IE"/>
        </w:rPr>
        <w:t>ting a competitive advantage</w:t>
      </w:r>
      <w:r w:rsidR="00D37BE9">
        <w:rPr>
          <w:rFonts w:ascii="Times New Roman" w:hAnsi="Times New Roman" w:cs="Times New Roman"/>
          <w:lang w:val="en-IE"/>
        </w:rPr>
        <w:t xml:space="preserve"> and </w:t>
      </w:r>
      <w:r w:rsidR="00D37BE9" w:rsidRPr="00C73908">
        <w:rPr>
          <w:rFonts w:ascii="Times New Roman" w:hAnsi="Times New Roman" w:cs="Times New Roman"/>
          <w:lang w:val="en-IE"/>
        </w:rPr>
        <w:t>improving firm performance</w:t>
      </w:r>
      <w:r w:rsidR="001F1281" w:rsidRPr="00C73908">
        <w:rPr>
          <w:rFonts w:ascii="Times New Roman" w:hAnsi="Times New Roman" w:cs="Times New Roman"/>
          <w:lang w:val="en-IE"/>
        </w:rPr>
        <w:t xml:space="preserve">. </w:t>
      </w:r>
      <w:r w:rsidR="006D38AA" w:rsidRPr="00C73908">
        <w:rPr>
          <w:rFonts w:ascii="Times New Roman" w:hAnsi="Times New Roman" w:cs="Times New Roman"/>
          <w:lang w:val="en-IE"/>
        </w:rPr>
        <w:t>T</w:t>
      </w:r>
      <w:r w:rsidR="001F1281" w:rsidRPr="00C73908">
        <w:rPr>
          <w:rFonts w:ascii="Times New Roman" w:hAnsi="Times New Roman" w:cs="Times New Roman"/>
          <w:lang w:val="en-IE"/>
        </w:rPr>
        <w:t xml:space="preserve">he majority </w:t>
      </w:r>
      <w:r w:rsidR="004E21A9" w:rsidRPr="00C73908">
        <w:rPr>
          <w:rFonts w:ascii="Times New Roman" w:hAnsi="Times New Roman" w:cs="Times New Roman"/>
          <w:lang w:val="en-IE"/>
        </w:rPr>
        <w:t xml:space="preserve">of </w:t>
      </w:r>
      <w:r w:rsidR="00E21672" w:rsidRPr="00C73908">
        <w:rPr>
          <w:rFonts w:ascii="Times New Roman" w:hAnsi="Times New Roman" w:cs="Times New Roman"/>
          <w:lang w:val="en-IE"/>
        </w:rPr>
        <w:t xml:space="preserve">the </w:t>
      </w:r>
      <w:r w:rsidR="004E21A9" w:rsidRPr="00C73908">
        <w:rPr>
          <w:rFonts w:ascii="Times New Roman" w:hAnsi="Times New Roman" w:cs="Times New Roman"/>
          <w:lang w:val="en-IE"/>
        </w:rPr>
        <w:t xml:space="preserve">research to date has looked at the link between exporting and product innovation </w:t>
      </w:r>
      <w:r w:rsidR="00E151B3" w:rsidRPr="00C73908">
        <w:rPr>
          <w:rFonts w:ascii="Times New Roman" w:hAnsi="Times New Roman" w:cs="Times New Roman"/>
          <w:lang w:val="en-IE"/>
        </w:rPr>
        <w:t xml:space="preserve">which </w:t>
      </w:r>
      <w:r w:rsidR="00917EDB">
        <w:rPr>
          <w:rFonts w:ascii="Times New Roman" w:hAnsi="Times New Roman" w:cs="Times New Roman"/>
          <w:lang w:val="en-IE"/>
        </w:rPr>
        <w:t>involves</w:t>
      </w:r>
      <w:r w:rsidR="0086579E" w:rsidRPr="00C73908">
        <w:rPr>
          <w:rFonts w:ascii="Times New Roman" w:hAnsi="Times New Roman" w:cs="Times New Roman"/>
          <w:lang w:val="en-IE"/>
        </w:rPr>
        <w:t xml:space="preserve"> the</w:t>
      </w:r>
      <w:r w:rsidR="00E151B3" w:rsidRPr="00C73908">
        <w:rPr>
          <w:rFonts w:ascii="Times New Roman" w:hAnsi="Times New Roman" w:cs="Times New Roman"/>
          <w:lang w:val="en-IE"/>
        </w:rPr>
        <w:t xml:space="preserve"> introduction of new </w:t>
      </w:r>
      <w:r w:rsidR="00CA3FF2" w:rsidRPr="00C73908">
        <w:rPr>
          <w:rFonts w:ascii="Times New Roman" w:hAnsi="Times New Roman" w:cs="Times New Roman"/>
          <w:lang w:val="en-IE"/>
        </w:rPr>
        <w:t>good</w:t>
      </w:r>
      <w:r w:rsidR="00023CFA" w:rsidRPr="00C73908">
        <w:rPr>
          <w:rFonts w:ascii="Times New Roman" w:hAnsi="Times New Roman" w:cs="Times New Roman"/>
          <w:lang w:val="en-IE"/>
        </w:rPr>
        <w:t>s</w:t>
      </w:r>
      <w:r w:rsidR="00CA3FF2" w:rsidRPr="00C73908">
        <w:rPr>
          <w:rFonts w:ascii="Times New Roman" w:hAnsi="Times New Roman" w:cs="Times New Roman"/>
          <w:lang w:val="en-IE"/>
        </w:rPr>
        <w:t xml:space="preserve"> and services</w:t>
      </w:r>
      <w:r w:rsidR="00E151B3" w:rsidRPr="00C73908">
        <w:rPr>
          <w:rFonts w:ascii="Times New Roman" w:hAnsi="Times New Roman" w:cs="Times New Roman"/>
          <w:lang w:val="en-IE"/>
        </w:rPr>
        <w:t xml:space="preserve"> </w:t>
      </w:r>
      <w:r w:rsidR="00CA3FF2" w:rsidRPr="00C73908">
        <w:rPr>
          <w:rFonts w:ascii="Times New Roman" w:hAnsi="Times New Roman" w:cs="Times New Roman"/>
          <w:lang w:val="en-IE"/>
        </w:rPr>
        <w:t>or</w:t>
      </w:r>
      <w:r w:rsidR="00E151B3" w:rsidRPr="00C73908">
        <w:rPr>
          <w:rFonts w:ascii="Times New Roman" w:hAnsi="Times New Roman" w:cs="Times New Roman"/>
          <w:lang w:val="en-IE"/>
        </w:rPr>
        <w:t xml:space="preserve"> significant</w:t>
      </w:r>
      <w:r w:rsidR="00CA3FF2" w:rsidRPr="00C73908">
        <w:rPr>
          <w:rFonts w:ascii="Times New Roman" w:hAnsi="Times New Roman" w:cs="Times New Roman"/>
          <w:lang w:val="en-IE"/>
        </w:rPr>
        <w:t xml:space="preserve"> </w:t>
      </w:r>
      <w:r w:rsidR="000244FE" w:rsidRPr="00C73908">
        <w:rPr>
          <w:rFonts w:ascii="Times New Roman" w:hAnsi="Times New Roman" w:cs="Times New Roman"/>
          <w:lang w:val="en-IE"/>
        </w:rPr>
        <w:t>changes</w:t>
      </w:r>
      <w:r w:rsidR="00CA3FF2" w:rsidRPr="00C73908">
        <w:rPr>
          <w:rFonts w:ascii="Times New Roman" w:hAnsi="Times New Roman" w:cs="Times New Roman"/>
          <w:lang w:val="en-IE"/>
        </w:rPr>
        <w:t xml:space="preserve"> to </w:t>
      </w:r>
      <w:r w:rsidR="00023CFA" w:rsidRPr="00C73908">
        <w:rPr>
          <w:rFonts w:ascii="Times New Roman" w:hAnsi="Times New Roman" w:cs="Times New Roman"/>
          <w:lang w:val="en-IE"/>
        </w:rPr>
        <w:t xml:space="preserve">the </w:t>
      </w:r>
      <w:r w:rsidR="0000422D" w:rsidRPr="00C73908">
        <w:rPr>
          <w:rFonts w:ascii="Times New Roman" w:hAnsi="Times New Roman" w:cs="Times New Roman"/>
          <w:lang w:val="en-IE"/>
        </w:rPr>
        <w:t>characteristics or intended uses of existing products.</w:t>
      </w:r>
      <w:r w:rsidR="00E21672" w:rsidRPr="00C73908">
        <w:rPr>
          <w:rFonts w:ascii="Times New Roman" w:hAnsi="Times New Roman" w:cs="Times New Roman"/>
          <w:lang w:val="en-IE"/>
        </w:rPr>
        <w:t xml:space="preserve"> </w:t>
      </w:r>
      <w:r w:rsidR="0086579E" w:rsidRPr="00C73908">
        <w:rPr>
          <w:rFonts w:ascii="Times New Roman" w:hAnsi="Times New Roman" w:cs="Times New Roman"/>
          <w:lang w:val="en-IE"/>
        </w:rPr>
        <w:t>A</w:t>
      </w:r>
      <w:r w:rsidR="00CB404A" w:rsidRPr="00C73908">
        <w:rPr>
          <w:rFonts w:ascii="Times New Roman" w:hAnsi="Times New Roman" w:cs="Times New Roman"/>
          <w:lang w:val="en-IE"/>
        </w:rPr>
        <w:t xml:space="preserve"> wide range of measures</w:t>
      </w:r>
      <w:r w:rsidR="00AC49F4" w:rsidRPr="00C73908">
        <w:rPr>
          <w:rFonts w:ascii="Times New Roman" w:hAnsi="Times New Roman" w:cs="Times New Roman"/>
          <w:lang w:val="en-IE"/>
        </w:rPr>
        <w:t xml:space="preserve"> </w:t>
      </w:r>
      <w:r w:rsidR="0086579E" w:rsidRPr="00C73908">
        <w:rPr>
          <w:rFonts w:ascii="Times New Roman" w:hAnsi="Times New Roman" w:cs="Times New Roman"/>
          <w:lang w:val="en-IE"/>
        </w:rPr>
        <w:t xml:space="preserve">are </w:t>
      </w:r>
      <w:r w:rsidR="00AC49F4" w:rsidRPr="00C73908">
        <w:rPr>
          <w:rFonts w:ascii="Times New Roman" w:hAnsi="Times New Roman" w:cs="Times New Roman"/>
          <w:lang w:val="en-IE"/>
        </w:rPr>
        <w:t xml:space="preserve">used in the literature </w:t>
      </w:r>
      <w:r w:rsidR="00216C7E" w:rsidRPr="00C73908">
        <w:rPr>
          <w:rFonts w:ascii="Times New Roman" w:hAnsi="Times New Roman" w:cs="Times New Roman"/>
          <w:lang w:val="en-IE"/>
        </w:rPr>
        <w:t>as</w:t>
      </w:r>
      <w:r w:rsidR="00AC49F4" w:rsidRPr="00C73908">
        <w:rPr>
          <w:rFonts w:ascii="Times New Roman" w:hAnsi="Times New Roman" w:cs="Times New Roman"/>
          <w:lang w:val="en-IE"/>
        </w:rPr>
        <w:t xml:space="preserve"> </w:t>
      </w:r>
      <w:r w:rsidR="00CC0B94" w:rsidRPr="00C73908">
        <w:rPr>
          <w:rFonts w:ascii="Times New Roman" w:hAnsi="Times New Roman" w:cs="Times New Roman"/>
          <w:lang w:val="en-IE"/>
        </w:rPr>
        <w:t>indicat</w:t>
      </w:r>
      <w:r w:rsidR="00216C7E" w:rsidRPr="00C73908">
        <w:rPr>
          <w:rFonts w:ascii="Times New Roman" w:hAnsi="Times New Roman" w:cs="Times New Roman"/>
          <w:lang w:val="en-IE"/>
        </w:rPr>
        <w:t>ors</w:t>
      </w:r>
      <w:r w:rsidR="002948D2" w:rsidRPr="00C73908">
        <w:rPr>
          <w:rFonts w:ascii="Times New Roman" w:hAnsi="Times New Roman" w:cs="Times New Roman"/>
          <w:lang w:val="en-IE"/>
        </w:rPr>
        <w:t xml:space="preserve"> of</w:t>
      </w:r>
      <w:r w:rsidR="00AC49F4" w:rsidRPr="00C73908">
        <w:rPr>
          <w:rFonts w:ascii="Times New Roman" w:hAnsi="Times New Roman" w:cs="Times New Roman"/>
          <w:lang w:val="en-IE"/>
        </w:rPr>
        <w:t xml:space="preserve"> </w:t>
      </w:r>
      <w:r w:rsidR="00CB426F" w:rsidRPr="00C73908">
        <w:rPr>
          <w:rFonts w:ascii="Times New Roman" w:hAnsi="Times New Roman" w:cs="Times New Roman"/>
          <w:lang w:val="en-IE"/>
        </w:rPr>
        <w:t xml:space="preserve">firm level </w:t>
      </w:r>
      <w:r w:rsidR="00AC49F4" w:rsidRPr="00C73908">
        <w:rPr>
          <w:rFonts w:ascii="Times New Roman" w:hAnsi="Times New Roman" w:cs="Times New Roman"/>
          <w:lang w:val="en-IE"/>
        </w:rPr>
        <w:t xml:space="preserve">innovation. </w:t>
      </w:r>
      <w:r w:rsidR="00615C97" w:rsidRPr="00C73908">
        <w:rPr>
          <w:rFonts w:ascii="Times New Roman" w:hAnsi="Times New Roman" w:cs="Times New Roman"/>
          <w:lang w:val="en-IE"/>
        </w:rPr>
        <w:t>These measures generally fall under two categories: input measures</w:t>
      </w:r>
      <w:r w:rsidR="00A16D5E" w:rsidRPr="00C73908">
        <w:rPr>
          <w:rFonts w:ascii="Times New Roman" w:hAnsi="Times New Roman" w:cs="Times New Roman"/>
          <w:lang w:val="en-IE"/>
        </w:rPr>
        <w:t>,</w:t>
      </w:r>
      <w:r w:rsidR="00615C97" w:rsidRPr="00C73908">
        <w:rPr>
          <w:rFonts w:ascii="Times New Roman" w:hAnsi="Times New Roman" w:cs="Times New Roman"/>
          <w:lang w:val="en-IE"/>
        </w:rPr>
        <w:t xml:space="preserve"> such as </w:t>
      </w:r>
      <w:r w:rsidR="00E21672" w:rsidRPr="00C73908">
        <w:rPr>
          <w:rFonts w:ascii="Times New Roman" w:hAnsi="Times New Roman" w:cs="Times New Roman"/>
          <w:lang w:val="en-IE"/>
        </w:rPr>
        <w:t>R&amp;D expenditure</w:t>
      </w:r>
      <w:r w:rsidR="00A16D5E" w:rsidRPr="00C73908">
        <w:rPr>
          <w:rFonts w:ascii="Times New Roman" w:hAnsi="Times New Roman" w:cs="Times New Roman"/>
          <w:lang w:val="en-IE"/>
        </w:rPr>
        <w:t>,</w:t>
      </w:r>
      <w:r w:rsidR="00A1308D" w:rsidRPr="00C73908">
        <w:rPr>
          <w:rFonts w:ascii="Times New Roman" w:hAnsi="Times New Roman" w:cs="Times New Roman"/>
          <w:lang w:val="en-IE"/>
        </w:rPr>
        <w:t xml:space="preserve"> </w:t>
      </w:r>
      <w:r w:rsidR="005C2B67" w:rsidRPr="00C73908">
        <w:rPr>
          <w:rFonts w:ascii="Times New Roman" w:hAnsi="Times New Roman" w:cs="Times New Roman"/>
          <w:lang w:val="en-IE"/>
        </w:rPr>
        <w:t>R&amp;D</w:t>
      </w:r>
      <w:r w:rsidR="00E21672" w:rsidRPr="00C73908">
        <w:rPr>
          <w:rFonts w:ascii="Times New Roman" w:hAnsi="Times New Roman" w:cs="Times New Roman"/>
          <w:lang w:val="en-IE"/>
        </w:rPr>
        <w:t xml:space="preserve"> intensity </w:t>
      </w:r>
      <w:r w:rsidR="00A16D5E" w:rsidRPr="00C73908">
        <w:rPr>
          <w:rFonts w:ascii="Times New Roman" w:hAnsi="Times New Roman" w:cs="Times New Roman"/>
          <w:lang w:val="en-IE"/>
        </w:rPr>
        <w:t xml:space="preserve">and </w:t>
      </w:r>
      <w:r w:rsidR="00F82C77" w:rsidRPr="00C73908">
        <w:rPr>
          <w:rFonts w:ascii="Times New Roman" w:hAnsi="Times New Roman" w:cs="Times New Roman"/>
          <w:lang w:val="en-IE"/>
        </w:rPr>
        <w:t xml:space="preserve">employment in </w:t>
      </w:r>
      <w:r w:rsidR="00A16D5E" w:rsidRPr="00C73908">
        <w:rPr>
          <w:rFonts w:ascii="Times New Roman" w:hAnsi="Times New Roman" w:cs="Times New Roman"/>
          <w:lang w:val="en-IE"/>
        </w:rPr>
        <w:t>R&amp;D</w:t>
      </w:r>
      <w:r w:rsidR="00042833">
        <w:rPr>
          <w:rFonts w:ascii="Times New Roman" w:hAnsi="Times New Roman" w:cs="Times New Roman"/>
          <w:lang w:val="en-IE"/>
        </w:rPr>
        <w:t xml:space="preserve"> departments</w:t>
      </w:r>
      <w:r w:rsidR="00A16D5E" w:rsidRPr="00C73908">
        <w:rPr>
          <w:rFonts w:ascii="Times New Roman" w:hAnsi="Times New Roman" w:cs="Times New Roman"/>
          <w:lang w:val="en-IE"/>
        </w:rPr>
        <w:t xml:space="preserve">, and output </w:t>
      </w:r>
      <w:r w:rsidR="000C30C7" w:rsidRPr="00C73908">
        <w:rPr>
          <w:rFonts w:ascii="Times New Roman" w:hAnsi="Times New Roman" w:cs="Times New Roman"/>
          <w:lang w:val="en-IE"/>
        </w:rPr>
        <w:t xml:space="preserve">measures including </w:t>
      </w:r>
      <w:r w:rsidR="007B297A" w:rsidRPr="00C73908">
        <w:rPr>
          <w:rFonts w:ascii="Times New Roman" w:hAnsi="Times New Roman" w:cs="Times New Roman"/>
          <w:lang w:val="en-IE"/>
        </w:rPr>
        <w:t xml:space="preserve">sales generated by </w:t>
      </w:r>
      <w:r w:rsidR="000C30C7" w:rsidRPr="00C73908">
        <w:rPr>
          <w:rFonts w:ascii="Times New Roman" w:hAnsi="Times New Roman" w:cs="Times New Roman"/>
          <w:lang w:val="en-IE"/>
        </w:rPr>
        <w:t>new product</w:t>
      </w:r>
      <w:r w:rsidR="007B297A" w:rsidRPr="00C73908">
        <w:rPr>
          <w:rFonts w:ascii="Times New Roman" w:hAnsi="Times New Roman" w:cs="Times New Roman"/>
          <w:lang w:val="en-IE"/>
        </w:rPr>
        <w:t>s</w:t>
      </w:r>
      <w:r w:rsidR="00370E78" w:rsidRPr="00C73908">
        <w:rPr>
          <w:rFonts w:ascii="Times New Roman" w:hAnsi="Times New Roman" w:cs="Times New Roman"/>
          <w:lang w:val="en-IE"/>
        </w:rPr>
        <w:t xml:space="preserve">, </w:t>
      </w:r>
      <w:r w:rsidR="00EE3EB1" w:rsidRPr="00C73908">
        <w:rPr>
          <w:rFonts w:ascii="Times New Roman" w:hAnsi="Times New Roman" w:cs="Times New Roman"/>
          <w:lang w:val="en-IE"/>
        </w:rPr>
        <w:t xml:space="preserve">number of </w:t>
      </w:r>
      <w:r w:rsidR="00F21833" w:rsidRPr="00C73908">
        <w:rPr>
          <w:rFonts w:ascii="Times New Roman" w:hAnsi="Times New Roman" w:cs="Times New Roman"/>
          <w:lang w:val="en-IE"/>
        </w:rPr>
        <w:t>patents</w:t>
      </w:r>
      <w:r w:rsidR="00EE3EB1" w:rsidRPr="00C73908">
        <w:rPr>
          <w:rFonts w:ascii="Times New Roman" w:hAnsi="Times New Roman" w:cs="Times New Roman"/>
          <w:lang w:val="en-IE"/>
        </w:rPr>
        <w:t xml:space="preserve"> held</w:t>
      </w:r>
      <w:r w:rsidR="00F21833" w:rsidRPr="00C73908">
        <w:rPr>
          <w:rFonts w:ascii="Times New Roman" w:hAnsi="Times New Roman" w:cs="Times New Roman"/>
          <w:lang w:val="en-IE"/>
        </w:rPr>
        <w:t>,</w:t>
      </w:r>
      <w:r w:rsidR="00F47958" w:rsidRPr="00C73908">
        <w:rPr>
          <w:rFonts w:ascii="Times New Roman" w:hAnsi="Times New Roman" w:cs="Times New Roman"/>
          <w:lang w:val="en-IE"/>
        </w:rPr>
        <w:t xml:space="preserve"> </w:t>
      </w:r>
      <w:r w:rsidR="00703586" w:rsidRPr="00C73908">
        <w:rPr>
          <w:rFonts w:ascii="Times New Roman" w:hAnsi="Times New Roman" w:cs="Times New Roman"/>
          <w:lang w:val="en-IE"/>
        </w:rPr>
        <w:t>as well as</w:t>
      </w:r>
      <w:r w:rsidR="00F47958" w:rsidRPr="00C73908">
        <w:rPr>
          <w:rFonts w:ascii="Times New Roman" w:hAnsi="Times New Roman" w:cs="Times New Roman"/>
          <w:lang w:val="en-IE"/>
        </w:rPr>
        <w:t xml:space="preserve"> </w:t>
      </w:r>
      <w:r w:rsidR="00AB2DFC" w:rsidRPr="00C73908">
        <w:rPr>
          <w:rFonts w:ascii="Times New Roman" w:hAnsi="Times New Roman" w:cs="Times New Roman"/>
          <w:lang w:val="en-IE"/>
        </w:rPr>
        <w:t>bespoke</w:t>
      </w:r>
      <w:r w:rsidR="004E026C" w:rsidRPr="00C73908">
        <w:rPr>
          <w:rFonts w:ascii="Times New Roman" w:hAnsi="Times New Roman" w:cs="Times New Roman"/>
          <w:lang w:val="en-IE"/>
        </w:rPr>
        <w:t xml:space="preserve"> </w:t>
      </w:r>
      <w:r w:rsidR="001B7AFE" w:rsidRPr="00C73908">
        <w:rPr>
          <w:rFonts w:ascii="Times New Roman" w:hAnsi="Times New Roman" w:cs="Times New Roman"/>
          <w:lang w:val="en-IE"/>
        </w:rPr>
        <w:t>indicators</w:t>
      </w:r>
      <w:r w:rsidR="004E026C" w:rsidRPr="00C73908">
        <w:rPr>
          <w:rFonts w:ascii="Times New Roman" w:hAnsi="Times New Roman" w:cs="Times New Roman"/>
          <w:lang w:val="en-IE"/>
        </w:rPr>
        <w:t xml:space="preserve"> </w:t>
      </w:r>
      <w:r w:rsidR="00370E78" w:rsidRPr="00C73908">
        <w:rPr>
          <w:rFonts w:ascii="Times New Roman" w:hAnsi="Times New Roman" w:cs="Times New Roman"/>
          <w:lang w:val="en-IE"/>
        </w:rPr>
        <w:t>of</w:t>
      </w:r>
      <w:r w:rsidR="004E026C" w:rsidRPr="00C73908">
        <w:rPr>
          <w:rFonts w:ascii="Times New Roman" w:hAnsi="Times New Roman" w:cs="Times New Roman"/>
          <w:lang w:val="en-IE"/>
        </w:rPr>
        <w:t xml:space="preserve"> </w:t>
      </w:r>
      <w:r w:rsidR="001B7AFE" w:rsidRPr="00C73908">
        <w:rPr>
          <w:rFonts w:ascii="Times New Roman" w:hAnsi="Times New Roman" w:cs="Times New Roman"/>
          <w:lang w:val="en-IE"/>
        </w:rPr>
        <w:t>process innovations.</w:t>
      </w:r>
      <w:r w:rsidR="00370E78" w:rsidRPr="00C73908">
        <w:rPr>
          <w:rFonts w:ascii="Times New Roman" w:hAnsi="Times New Roman" w:cs="Times New Roman"/>
          <w:lang w:val="en-IE"/>
        </w:rPr>
        <w:t xml:space="preserve"> </w:t>
      </w:r>
      <w:r w:rsidR="001F757C" w:rsidRPr="00C73908">
        <w:rPr>
          <w:rFonts w:ascii="Times New Roman" w:hAnsi="Times New Roman" w:cs="Times New Roman"/>
          <w:lang w:val="en-IE"/>
        </w:rPr>
        <w:t>Empirical studies</w:t>
      </w:r>
      <w:r w:rsidR="00BD33AB" w:rsidRPr="00C73908">
        <w:rPr>
          <w:rFonts w:ascii="Times New Roman" w:hAnsi="Times New Roman" w:cs="Times New Roman"/>
          <w:lang w:val="en-IE"/>
        </w:rPr>
        <w:t xml:space="preserve"> on t</w:t>
      </w:r>
      <w:r w:rsidR="001B343F" w:rsidRPr="00C73908">
        <w:rPr>
          <w:rFonts w:ascii="Times New Roman" w:hAnsi="Times New Roman" w:cs="Times New Roman"/>
          <w:lang w:val="en-IE"/>
        </w:rPr>
        <w:t xml:space="preserve">he </w:t>
      </w:r>
      <w:r w:rsidR="002A2057" w:rsidRPr="00C73908">
        <w:rPr>
          <w:rFonts w:ascii="Times New Roman" w:hAnsi="Times New Roman" w:cs="Times New Roman"/>
          <w:lang w:val="en-IE"/>
        </w:rPr>
        <w:t xml:space="preserve">firm level </w:t>
      </w:r>
      <w:r w:rsidR="001B343F" w:rsidRPr="00C73908">
        <w:rPr>
          <w:rFonts w:ascii="Times New Roman" w:hAnsi="Times New Roman" w:cs="Times New Roman"/>
          <w:lang w:val="en-IE"/>
        </w:rPr>
        <w:t xml:space="preserve">impact of innovation activities </w:t>
      </w:r>
      <w:r w:rsidR="001F757C" w:rsidRPr="00C73908">
        <w:rPr>
          <w:rFonts w:ascii="Times New Roman" w:hAnsi="Times New Roman" w:cs="Times New Roman"/>
          <w:lang w:val="en-IE"/>
        </w:rPr>
        <w:t xml:space="preserve">have </w:t>
      </w:r>
      <w:r w:rsidR="005049A6" w:rsidRPr="00C73908">
        <w:rPr>
          <w:rFonts w:ascii="Times New Roman" w:hAnsi="Times New Roman" w:cs="Times New Roman"/>
          <w:lang w:val="en-IE"/>
        </w:rPr>
        <w:t xml:space="preserve">had </w:t>
      </w:r>
      <w:r w:rsidR="00521B48" w:rsidRPr="00C73908">
        <w:rPr>
          <w:rFonts w:ascii="Times New Roman" w:hAnsi="Times New Roman" w:cs="Times New Roman"/>
          <w:lang w:val="en-IE"/>
        </w:rPr>
        <w:t xml:space="preserve">some </w:t>
      </w:r>
      <w:r w:rsidR="005049A6" w:rsidRPr="00C73908">
        <w:rPr>
          <w:rFonts w:ascii="Times New Roman" w:hAnsi="Times New Roman" w:cs="Times New Roman"/>
          <w:lang w:val="en-IE"/>
        </w:rPr>
        <w:t>mixed results</w:t>
      </w:r>
      <w:r w:rsidR="00521B48" w:rsidRPr="00C73908">
        <w:rPr>
          <w:rFonts w:ascii="Times New Roman" w:hAnsi="Times New Roman" w:cs="Times New Roman"/>
          <w:lang w:val="en-IE"/>
        </w:rPr>
        <w:t xml:space="preserve"> and</w:t>
      </w:r>
      <w:r w:rsidR="00F468A7" w:rsidRPr="00C73908">
        <w:rPr>
          <w:rFonts w:ascii="Times New Roman" w:hAnsi="Times New Roman" w:cs="Times New Roman"/>
        </w:rPr>
        <w:t xml:space="preserve"> </w:t>
      </w:r>
      <w:r w:rsidR="00F468A7" w:rsidRPr="00C73908">
        <w:rPr>
          <w:rFonts w:ascii="Times New Roman" w:hAnsi="Times New Roman" w:cs="Times New Roman"/>
          <w:lang w:val="en-IE"/>
        </w:rPr>
        <w:t>Van Beveren &amp; Vandenbussche (2010) note that the findings of these studies may depend on the types of innovation measures used.</w:t>
      </w:r>
      <w:r w:rsidR="005049A6" w:rsidRPr="00C73908">
        <w:rPr>
          <w:rFonts w:ascii="Times New Roman" w:hAnsi="Times New Roman" w:cs="Times New Roman"/>
          <w:lang w:val="en-IE"/>
        </w:rPr>
        <w:t xml:space="preserve"> </w:t>
      </w:r>
      <w:r w:rsidR="00F468A7" w:rsidRPr="00C73908">
        <w:rPr>
          <w:rFonts w:ascii="Times New Roman" w:hAnsi="Times New Roman" w:cs="Times New Roman"/>
          <w:lang w:val="en-IE"/>
        </w:rPr>
        <w:t>However,</w:t>
      </w:r>
      <w:r w:rsidR="005049A6" w:rsidRPr="00C73908">
        <w:rPr>
          <w:rFonts w:ascii="Times New Roman" w:hAnsi="Times New Roman" w:cs="Times New Roman"/>
          <w:lang w:val="en-IE"/>
        </w:rPr>
        <w:t xml:space="preserve"> product innovation</w:t>
      </w:r>
      <w:r w:rsidR="001F757C" w:rsidRPr="00C73908">
        <w:rPr>
          <w:rFonts w:ascii="Times New Roman" w:hAnsi="Times New Roman" w:cs="Times New Roman"/>
          <w:lang w:val="en-IE"/>
        </w:rPr>
        <w:t xml:space="preserve"> </w:t>
      </w:r>
      <w:r w:rsidR="00A231D5" w:rsidRPr="00C73908">
        <w:rPr>
          <w:rFonts w:ascii="Times New Roman" w:hAnsi="Times New Roman" w:cs="Times New Roman"/>
          <w:lang w:val="en-IE"/>
        </w:rPr>
        <w:t>is consistently shown to have a positive impact on</w:t>
      </w:r>
      <w:r w:rsidR="002457BB" w:rsidRPr="00C73908">
        <w:rPr>
          <w:rFonts w:ascii="Times New Roman" w:hAnsi="Times New Roman" w:cs="Times New Roman"/>
          <w:lang w:val="en-IE"/>
        </w:rPr>
        <w:t xml:space="preserve"> </w:t>
      </w:r>
      <w:r w:rsidR="00B60E4F" w:rsidRPr="00C73908">
        <w:rPr>
          <w:rFonts w:ascii="Times New Roman" w:hAnsi="Times New Roman" w:cs="Times New Roman"/>
          <w:lang w:val="en-IE"/>
        </w:rPr>
        <w:t xml:space="preserve">export </w:t>
      </w:r>
      <w:r w:rsidR="00903317" w:rsidRPr="00C73908">
        <w:rPr>
          <w:rFonts w:ascii="Times New Roman" w:hAnsi="Times New Roman" w:cs="Times New Roman"/>
          <w:lang w:val="en-IE"/>
        </w:rPr>
        <w:t>performance.</w:t>
      </w:r>
      <w:r w:rsidR="00C07E79" w:rsidRPr="00C73908">
        <w:rPr>
          <w:rFonts w:ascii="Times New Roman" w:hAnsi="Times New Roman" w:cs="Times New Roman"/>
          <w:lang w:val="en-IE"/>
        </w:rPr>
        <w:t xml:space="preserve"> This manifests itself</w:t>
      </w:r>
      <w:r w:rsidR="00903317" w:rsidRPr="00C73908">
        <w:rPr>
          <w:rFonts w:ascii="Times New Roman" w:hAnsi="Times New Roman" w:cs="Times New Roman"/>
          <w:lang w:val="en-IE"/>
        </w:rPr>
        <w:t xml:space="preserve"> </w:t>
      </w:r>
      <w:r w:rsidR="00C07E79" w:rsidRPr="00C73908">
        <w:rPr>
          <w:rFonts w:ascii="Times New Roman" w:hAnsi="Times New Roman" w:cs="Times New Roman"/>
          <w:lang w:val="en-IE"/>
        </w:rPr>
        <w:t xml:space="preserve">in </w:t>
      </w:r>
      <w:r w:rsidR="00F32B4F" w:rsidRPr="00C73908">
        <w:rPr>
          <w:rFonts w:ascii="Times New Roman" w:hAnsi="Times New Roman" w:cs="Times New Roman"/>
          <w:lang w:val="en-IE"/>
        </w:rPr>
        <w:t xml:space="preserve">the </w:t>
      </w:r>
      <w:r w:rsidR="00C07E79" w:rsidRPr="00C73908">
        <w:rPr>
          <w:rFonts w:ascii="Times New Roman" w:hAnsi="Times New Roman" w:cs="Times New Roman"/>
          <w:lang w:val="en-IE"/>
        </w:rPr>
        <w:t>supportive policy measures</w:t>
      </w:r>
      <w:r w:rsidR="0043427C" w:rsidRPr="00C73908">
        <w:rPr>
          <w:rFonts w:ascii="Times New Roman" w:hAnsi="Times New Roman" w:cs="Times New Roman"/>
          <w:lang w:val="en-IE"/>
        </w:rPr>
        <w:t>, such as tax credits and grant funding for R&amp;D projects,</w:t>
      </w:r>
      <w:r w:rsidR="00D2655D" w:rsidRPr="00C73908">
        <w:rPr>
          <w:rFonts w:ascii="Times New Roman" w:hAnsi="Times New Roman" w:cs="Times New Roman"/>
          <w:lang w:val="en-IE"/>
        </w:rPr>
        <w:t xml:space="preserve"> </w:t>
      </w:r>
      <w:r w:rsidR="0095606E" w:rsidRPr="00C73908">
        <w:rPr>
          <w:rFonts w:ascii="Times New Roman" w:hAnsi="Times New Roman" w:cs="Times New Roman"/>
          <w:lang w:val="en-IE"/>
        </w:rPr>
        <w:t xml:space="preserve">which are commonplace in many countries </w:t>
      </w:r>
      <w:r w:rsidR="006A1D92" w:rsidRPr="00C73908">
        <w:rPr>
          <w:rFonts w:ascii="Times New Roman" w:hAnsi="Times New Roman" w:cs="Times New Roman"/>
          <w:lang w:val="en-IE"/>
        </w:rPr>
        <w:t>to incentivise and support</w:t>
      </w:r>
      <w:r w:rsidR="00C07E79" w:rsidRPr="00C73908">
        <w:rPr>
          <w:rFonts w:ascii="Times New Roman" w:hAnsi="Times New Roman" w:cs="Times New Roman"/>
          <w:lang w:val="en-IE"/>
        </w:rPr>
        <w:t xml:space="preserve"> companies </w:t>
      </w:r>
      <w:r w:rsidR="00870404" w:rsidRPr="00C73908">
        <w:rPr>
          <w:rFonts w:ascii="Times New Roman" w:hAnsi="Times New Roman" w:cs="Times New Roman"/>
          <w:lang w:val="en-IE"/>
        </w:rPr>
        <w:t>to undertake innovation</w:t>
      </w:r>
      <w:r w:rsidR="00C07E79" w:rsidRPr="00C73908">
        <w:rPr>
          <w:rFonts w:ascii="Times New Roman" w:hAnsi="Times New Roman" w:cs="Times New Roman"/>
          <w:lang w:val="en-IE"/>
        </w:rPr>
        <w:t>.</w:t>
      </w:r>
    </w:p>
    <w:p w14:paraId="7F5C1791" w14:textId="308967C8" w:rsidR="002C7E38" w:rsidRPr="00C73908" w:rsidRDefault="00013FD6"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Early r</w:t>
      </w:r>
      <w:r w:rsidR="00B92836" w:rsidRPr="00C73908">
        <w:rPr>
          <w:rFonts w:ascii="Times New Roman" w:hAnsi="Times New Roman" w:cs="Times New Roman"/>
          <w:lang w:val="en-IE"/>
        </w:rPr>
        <w:t xml:space="preserve">esearch </w:t>
      </w:r>
      <w:r w:rsidR="00B622EA" w:rsidRPr="00C73908">
        <w:rPr>
          <w:rFonts w:ascii="Times New Roman" w:hAnsi="Times New Roman" w:cs="Times New Roman"/>
          <w:lang w:val="en-IE"/>
        </w:rPr>
        <w:t xml:space="preserve">in </w:t>
      </w:r>
      <w:r w:rsidR="006F0558" w:rsidRPr="00C73908">
        <w:rPr>
          <w:rFonts w:ascii="Times New Roman" w:hAnsi="Times New Roman" w:cs="Times New Roman"/>
          <w:lang w:val="en-IE"/>
        </w:rPr>
        <w:t>international</w:t>
      </w:r>
      <w:r w:rsidR="00C10B66" w:rsidRPr="00C73908">
        <w:rPr>
          <w:rFonts w:ascii="Times New Roman" w:hAnsi="Times New Roman" w:cs="Times New Roman"/>
          <w:lang w:val="en-IE"/>
        </w:rPr>
        <w:t xml:space="preserve"> trade theory</w:t>
      </w:r>
      <w:r w:rsidR="00B92836" w:rsidRPr="00C73908">
        <w:rPr>
          <w:rFonts w:ascii="Times New Roman" w:hAnsi="Times New Roman" w:cs="Times New Roman"/>
          <w:lang w:val="en-IE"/>
        </w:rPr>
        <w:t xml:space="preserve"> </w:t>
      </w:r>
      <w:r w:rsidR="006F0558" w:rsidRPr="00C73908">
        <w:rPr>
          <w:rFonts w:ascii="Times New Roman" w:hAnsi="Times New Roman" w:cs="Times New Roman"/>
          <w:lang w:val="en-IE"/>
        </w:rPr>
        <w:t>such as</w:t>
      </w:r>
      <w:r w:rsidR="008D5E96" w:rsidRPr="00C73908">
        <w:rPr>
          <w:rFonts w:ascii="Times New Roman" w:hAnsi="Times New Roman" w:cs="Times New Roman"/>
          <w:lang w:val="en-IE"/>
        </w:rPr>
        <w:t xml:space="preserve"> </w:t>
      </w:r>
      <w:r w:rsidR="006F0558" w:rsidRPr="00C73908">
        <w:rPr>
          <w:rFonts w:ascii="Times New Roman" w:hAnsi="Times New Roman" w:cs="Times New Roman"/>
          <w:lang w:val="en-IE"/>
        </w:rPr>
        <w:t>t</w:t>
      </w:r>
      <w:r w:rsidR="008D5E96" w:rsidRPr="00C73908">
        <w:rPr>
          <w:rFonts w:ascii="Times New Roman" w:hAnsi="Times New Roman" w:cs="Times New Roman"/>
          <w:lang w:val="en-IE"/>
        </w:rPr>
        <w:t>he technology gap theory</w:t>
      </w:r>
      <w:r w:rsidR="00380B98" w:rsidRPr="00C73908">
        <w:rPr>
          <w:rFonts w:ascii="Times New Roman" w:hAnsi="Times New Roman" w:cs="Times New Roman"/>
          <w:lang w:val="en-IE"/>
        </w:rPr>
        <w:t>,</w:t>
      </w:r>
      <w:r w:rsidR="00AA13F5" w:rsidRPr="00C73908">
        <w:rPr>
          <w:rFonts w:ascii="Times New Roman" w:hAnsi="Times New Roman" w:cs="Times New Roman"/>
          <w:lang w:val="en-IE"/>
        </w:rPr>
        <w:t xml:space="preserve"> </w:t>
      </w:r>
      <w:r w:rsidR="006319C1" w:rsidRPr="00C73908">
        <w:rPr>
          <w:rFonts w:ascii="Times New Roman" w:hAnsi="Times New Roman" w:cs="Times New Roman"/>
          <w:lang w:val="en-IE"/>
        </w:rPr>
        <w:t xml:space="preserve">developed by </w:t>
      </w:r>
      <w:r w:rsidR="002722DE" w:rsidRPr="00C73908">
        <w:rPr>
          <w:rFonts w:ascii="Times New Roman" w:hAnsi="Times New Roman" w:cs="Times New Roman"/>
          <w:lang w:val="en-IE"/>
        </w:rPr>
        <w:t>Posner (1961)</w:t>
      </w:r>
      <w:r w:rsidR="00AA13F5" w:rsidRPr="00C73908">
        <w:rPr>
          <w:rFonts w:ascii="Times New Roman" w:hAnsi="Times New Roman" w:cs="Times New Roman"/>
          <w:lang w:val="en-IE"/>
        </w:rPr>
        <w:t xml:space="preserve"> </w:t>
      </w:r>
      <w:r w:rsidR="00910763" w:rsidRPr="00C73908">
        <w:rPr>
          <w:rFonts w:ascii="Times New Roman" w:hAnsi="Times New Roman" w:cs="Times New Roman"/>
          <w:lang w:val="en-IE"/>
        </w:rPr>
        <w:t>and</w:t>
      </w:r>
      <w:r w:rsidR="001E1805" w:rsidRPr="00C73908">
        <w:rPr>
          <w:rFonts w:ascii="Times New Roman" w:hAnsi="Times New Roman" w:cs="Times New Roman"/>
          <w:lang w:val="en-IE"/>
        </w:rPr>
        <w:t xml:space="preserve"> expanded on </w:t>
      </w:r>
      <w:r w:rsidR="009D3C92" w:rsidRPr="00C73908">
        <w:rPr>
          <w:rFonts w:ascii="Times New Roman" w:hAnsi="Times New Roman" w:cs="Times New Roman"/>
          <w:lang w:val="en-IE"/>
        </w:rPr>
        <w:t>by</w:t>
      </w:r>
      <w:r w:rsidR="001E1805" w:rsidRPr="00C73908">
        <w:rPr>
          <w:rFonts w:ascii="Times New Roman" w:hAnsi="Times New Roman" w:cs="Times New Roman"/>
          <w:lang w:val="en-IE"/>
        </w:rPr>
        <w:t xml:space="preserve"> </w:t>
      </w:r>
      <w:r w:rsidR="00A9397E" w:rsidRPr="00C73908">
        <w:rPr>
          <w:rFonts w:ascii="Times New Roman" w:hAnsi="Times New Roman" w:cs="Times New Roman"/>
          <w:lang w:val="en-IE"/>
        </w:rPr>
        <w:t>the product life cycle theory (Vernon, 19</w:t>
      </w:r>
      <w:r w:rsidR="00BB1AD0" w:rsidRPr="00C73908">
        <w:rPr>
          <w:rFonts w:ascii="Times New Roman" w:hAnsi="Times New Roman" w:cs="Times New Roman"/>
          <w:lang w:val="en-IE"/>
        </w:rPr>
        <w:t>6</w:t>
      </w:r>
      <w:r w:rsidR="00A9397E" w:rsidRPr="00C73908">
        <w:rPr>
          <w:rFonts w:ascii="Times New Roman" w:hAnsi="Times New Roman" w:cs="Times New Roman"/>
          <w:lang w:val="en-IE"/>
        </w:rPr>
        <w:t>6</w:t>
      </w:r>
      <w:r w:rsidR="0015371B" w:rsidRPr="00C73908">
        <w:rPr>
          <w:rFonts w:ascii="Times New Roman" w:hAnsi="Times New Roman" w:cs="Times New Roman"/>
          <w:lang w:val="en-IE"/>
        </w:rPr>
        <w:t>)</w:t>
      </w:r>
      <w:r w:rsidRPr="00C73908">
        <w:rPr>
          <w:rFonts w:ascii="Times New Roman" w:hAnsi="Times New Roman" w:cs="Times New Roman"/>
          <w:lang w:val="en-IE"/>
        </w:rPr>
        <w:t xml:space="preserve">, </w:t>
      </w:r>
      <w:r w:rsidR="00EF00FF" w:rsidRPr="00C73908">
        <w:rPr>
          <w:rFonts w:ascii="Times New Roman" w:hAnsi="Times New Roman" w:cs="Times New Roman"/>
          <w:lang w:val="en-IE"/>
        </w:rPr>
        <w:t>allude to</w:t>
      </w:r>
      <w:r w:rsidR="00207AC0" w:rsidRPr="00C73908">
        <w:rPr>
          <w:rFonts w:ascii="Times New Roman" w:hAnsi="Times New Roman" w:cs="Times New Roman"/>
          <w:lang w:val="en-IE"/>
        </w:rPr>
        <w:t xml:space="preserve"> </w:t>
      </w:r>
      <w:r w:rsidR="0041042F" w:rsidRPr="00C73908">
        <w:rPr>
          <w:rFonts w:ascii="Times New Roman" w:hAnsi="Times New Roman" w:cs="Times New Roman"/>
          <w:lang w:val="en-IE"/>
        </w:rPr>
        <w:t>the</w:t>
      </w:r>
      <w:r w:rsidR="00207AC0" w:rsidRPr="00C73908">
        <w:rPr>
          <w:rFonts w:ascii="Times New Roman" w:hAnsi="Times New Roman" w:cs="Times New Roman"/>
          <w:lang w:val="en-IE"/>
        </w:rPr>
        <w:t xml:space="preserve"> importan</w:t>
      </w:r>
      <w:r w:rsidR="0041042F" w:rsidRPr="00C73908">
        <w:rPr>
          <w:rFonts w:ascii="Times New Roman" w:hAnsi="Times New Roman" w:cs="Times New Roman"/>
          <w:lang w:val="en-IE"/>
        </w:rPr>
        <w:t>ce</w:t>
      </w:r>
      <w:r w:rsidR="008C46E3" w:rsidRPr="00C73908">
        <w:rPr>
          <w:rFonts w:ascii="Times New Roman" w:hAnsi="Times New Roman" w:cs="Times New Roman"/>
          <w:lang w:val="en-IE"/>
        </w:rPr>
        <w:t xml:space="preserve"> </w:t>
      </w:r>
      <w:r w:rsidR="0041042F" w:rsidRPr="00C73908">
        <w:rPr>
          <w:rFonts w:ascii="Times New Roman" w:hAnsi="Times New Roman" w:cs="Times New Roman"/>
          <w:lang w:val="en-IE"/>
        </w:rPr>
        <w:t>of</w:t>
      </w:r>
      <w:r w:rsidR="008C46E3" w:rsidRPr="00C73908">
        <w:rPr>
          <w:rFonts w:ascii="Times New Roman" w:hAnsi="Times New Roman" w:cs="Times New Roman"/>
          <w:lang w:val="en-IE"/>
        </w:rPr>
        <w:t xml:space="preserve"> innovation </w:t>
      </w:r>
      <w:r w:rsidR="0041042F" w:rsidRPr="00C73908">
        <w:rPr>
          <w:rFonts w:ascii="Times New Roman" w:hAnsi="Times New Roman" w:cs="Times New Roman"/>
          <w:lang w:val="en-IE"/>
        </w:rPr>
        <w:t>for companies entering new markets</w:t>
      </w:r>
      <w:r w:rsidR="0015371B" w:rsidRPr="00C73908">
        <w:rPr>
          <w:rFonts w:ascii="Times New Roman" w:hAnsi="Times New Roman" w:cs="Times New Roman"/>
          <w:lang w:val="en-IE"/>
        </w:rPr>
        <w:t xml:space="preserve">. </w:t>
      </w:r>
      <w:r w:rsidR="00D57FA4" w:rsidRPr="00C73908">
        <w:rPr>
          <w:rFonts w:ascii="Times New Roman" w:hAnsi="Times New Roman" w:cs="Times New Roman"/>
          <w:lang w:val="en-IE"/>
        </w:rPr>
        <w:t>These theories</w:t>
      </w:r>
      <w:r w:rsidR="002D5844" w:rsidRPr="00C73908">
        <w:rPr>
          <w:rFonts w:ascii="Times New Roman" w:hAnsi="Times New Roman" w:cs="Times New Roman"/>
        </w:rPr>
        <w:t xml:space="preserve"> </w:t>
      </w:r>
      <w:r w:rsidR="002D5844" w:rsidRPr="00C73908">
        <w:rPr>
          <w:rFonts w:ascii="Times New Roman" w:hAnsi="Times New Roman" w:cs="Times New Roman"/>
          <w:lang w:val="en-IE"/>
        </w:rPr>
        <w:t>suggest</w:t>
      </w:r>
      <w:r w:rsidR="007E31D2" w:rsidRPr="00C73908">
        <w:rPr>
          <w:rFonts w:ascii="Times New Roman" w:hAnsi="Times New Roman" w:cs="Times New Roman"/>
          <w:lang w:val="en-IE"/>
        </w:rPr>
        <w:t xml:space="preserve"> </w:t>
      </w:r>
      <w:r w:rsidR="002D5844" w:rsidRPr="00C73908">
        <w:rPr>
          <w:rFonts w:ascii="Times New Roman" w:hAnsi="Times New Roman" w:cs="Times New Roman"/>
          <w:lang w:val="en-IE"/>
        </w:rPr>
        <w:t xml:space="preserve">that patterns of </w:t>
      </w:r>
      <w:r w:rsidR="008D778C" w:rsidRPr="00C73908">
        <w:rPr>
          <w:rFonts w:ascii="Times New Roman" w:hAnsi="Times New Roman" w:cs="Times New Roman"/>
          <w:lang w:val="en-IE"/>
        </w:rPr>
        <w:t xml:space="preserve">international </w:t>
      </w:r>
      <w:r w:rsidR="002D5844" w:rsidRPr="00C73908">
        <w:rPr>
          <w:rFonts w:ascii="Times New Roman" w:hAnsi="Times New Roman" w:cs="Times New Roman"/>
          <w:lang w:val="en-IE"/>
        </w:rPr>
        <w:t>trade are determined by a continuing process of innovation and</w:t>
      </w:r>
      <w:r w:rsidR="007E31D2" w:rsidRPr="00C73908">
        <w:rPr>
          <w:rFonts w:ascii="Times New Roman" w:hAnsi="Times New Roman" w:cs="Times New Roman"/>
          <w:lang w:val="en-IE"/>
        </w:rPr>
        <w:t xml:space="preserve"> </w:t>
      </w:r>
      <w:r w:rsidR="002D5844" w:rsidRPr="00C73908">
        <w:rPr>
          <w:rFonts w:ascii="Times New Roman" w:hAnsi="Times New Roman" w:cs="Times New Roman"/>
          <w:lang w:val="en-IE"/>
        </w:rPr>
        <w:t xml:space="preserve">technology transfer. </w:t>
      </w:r>
      <w:r w:rsidR="00182944" w:rsidRPr="00C73908">
        <w:rPr>
          <w:rFonts w:ascii="Times New Roman" w:hAnsi="Times New Roman" w:cs="Times New Roman"/>
          <w:lang w:val="en-IE"/>
        </w:rPr>
        <w:t>Through p</w:t>
      </w:r>
      <w:r w:rsidR="002D5844" w:rsidRPr="00C73908">
        <w:rPr>
          <w:rFonts w:ascii="Times New Roman" w:hAnsi="Times New Roman" w:cs="Times New Roman"/>
          <w:lang w:val="en-IE"/>
        </w:rPr>
        <w:t xml:space="preserve">roduct innovation firms </w:t>
      </w:r>
      <w:r w:rsidR="00182944" w:rsidRPr="00C73908">
        <w:rPr>
          <w:rFonts w:ascii="Times New Roman" w:hAnsi="Times New Roman" w:cs="Times New Roman"/>
          <w:lang w:val="en-IE"/>
        </w:rPr>
        <w:t>can</w:t>
      </w:r>
      <w:r w:rsidR="00A568E4" w:rsidRPr="00C73908">
        <w:rPr>
          <w:rFonts w:ascii="Times New Roman" w:hAnsi="Times New Roman" w:cs="Times New Roman"/>
          <w:lang w:val="en-IE"/>
        </w:rPr>
        <w:t xml:space="preserve"> </w:t>
      </w:r>
      <w:r w:rsidR="002D5844" w:rsidRPr="00C73908">
        <w:rPr>
          <w:rFonts w:ascii="Times New Roman" w:hAnsi="Times New Roman" w:cs="Times New Roman"/>
          <w:lang w:val="en-IE"/>
        </w:rPr>
        <w:t>increase the variety</w:t>
      </w:r>
      <w:r w:rsidR="00A568E4" w:rsidRPr="00C73908">
        <w:rPr>
          <w:rFonts w:ascii="Times New Roman" w:hAnsi="Times New Roman" w:cs="Times New Roman"/>
          <w:lang w:val="en-IE"/>
        </w:rPr>
        <w:t xml:space="preserve"> and quality of </w:t>
      </w:r>
      <w:r w:rsidR="002D5844" w:rsidRPr="00C73908">
        <w:rPr>
          <w:rFonts w:ascii="Times New Roman" w:hAnsi="Times New Roman" w:cs="Times New Roman"/>
          <w:lang w:val="en-IE"/>
        </w:rPr>
        <w:t xml:space="preserve">products </w:t>
      </w:r>
      <w:r w:rsidR="00A568E4" w:rsidRPr="00C73908">
        <w:rPr>
          <w:rFonts w:ascii="Times New Roman" w:hAnsi="Times New Roman" w:cs="Times New Roman"/>
          <w:lang w:val="en-IE"/>
        </w:rPr>
        <w:t>and enhance their attractiveness to</w:t>
      </w:r>
      <w:r w:rsidR="002D5844" w:rsidRPr="00C73908">
        <w:rPr>
          <w:rFonts w:ascii="Times New Roman" w:hAnsi="Times New Roman" w:cs="Times New Roman"/>
          <w:lang w:val="en-IE"/>
        </w:rPr>
        <w:t xml:space="preserve"> customers</w:t>
      </w:r>
      <w:r w:rsidR="00182944" w:rsidRPr="00C73908">
        <w:rPr>
          <w:rFonts w:ascii="Times New Roman" w:hAnsi="Times New Roman" w:cs="Times New Roman"/>
          <w:lang w:val="en-IE"/>
        </w:rPr>
        <w:t xml:space="preserve">. This </w:t>
      </w:r>
      <w:r w:rsidR="008D778C" w:rsidRPr="00C73908">
        <w:rPr>
          <w:rFonts w:ascii="Times New Roman" w:hAnsi="Times New Roman" w:cs="Times New Roman"/>
          <w:lang w:val="en-IE"/>
        </w:rPr>
        <w:t xml:space="preserve">allows them to </w:t>
      </w:r>
      <w:r w:rsidR="00991D07" w:rsidRPr="00C73908">
        <w:rPr>
          <w:rFonts w:ascii="Times New Roman" w:hAnsi="Times New Roman" w:cs="Times New Roman"/>
          <w:lang w:val="en-IE"/>
        </w:rPr>
        <w:t>generate a competitive advantage on international markets</w:t>
      </w:r>
      <w:r w:rsidR="000732B0" w:rsidRPr="00C73908">
        <w:rPr>
          <w:rFonts w:ascii="Times New Roman" w:hAnsi="Times New Roman" w:cs="Times New Roman"/>
          <w:lang w:val="en-IE"/>
        </w:rPr>
        <w:t>.</w:t>
      </w:r>
      <w:r w:rsidR="00AB2DFC" w:rsidRPr="00C73908">
        <w:rPr>
          <w:rFonts w:ascii="Times New Roman" w:hAnsi="Times New Roman" w:cs="Times New Roman"/>
          <w:lang w:val="en-IE"/>
        </w:rPr>
        <w:t xml:space="preserve"> </w:t>
      </w:r>
      <w:r w:rsidR="009F3920" w:rsidRPr="00C73908">
        <w:rPr>
          <w:rFonts w:ascii="Times New Roman" w:hAnsi="Times New Roman" w:cs="Times New Roman"/>
          <w:lang w:val="en-IE"/>
        </w:rPr>
        <w:t>M</w:t>
      </w:r>
      <w:r w:rsidR="00156B5D" w:rsidRPr="00C73908">
        <w:rPr>
          <w:rFonts w:ascii="Times New Roman" w:hAnsi="Times New Roman" w:cs="Times New Roman"/>
          <w:lang w:val="en-IE"/>
        </w:rPr>
        <w:t>icro-economic</w:t>
      </w:r>
      <w:r w:rsidR="003F645B" w:rsidRPr="00C73908">
        <w:rPr>
          <w:rFonts w:ascii="Times New Roman" w:hAnsi="Times New Roman" w:cs="Times New Roman"/>
          <w:lang w:val="en-IE"/>
        </w:rPr>
        <w:t xml:space="preserve"> studies</w:t>
      </w:r>
      <w:r w:rsidR="00302777" w:rsidRPr="00C73908">
        <w:rPr>
          <w:rFonts w:ascii="Times New Roman" w:hAnsi="Times New Roman" w:cs="Times New Roman"/>
          <w:lang w:val="en-IE"/>
        </w:rPr>
        <w:t xml:space="preserve"> </w:t>
      </w:r>
      <w:r w:rsidR="009F3920" w:rsidRPr="00C73908">
        <w:rPr>
          <w:rFonts w:ascii="Times New Roman" w:hAnsi="Times New Roman" w:cs="Times New Roman"/>
          <w:lang w:val="en-IE"/>
        </w:rPr>
        <w:t>analysing</w:t>
      </w:r>
      <w:r w:rsidR="007F2587" w:rsidRPr="00C73908">
        <w:rPr>
          <w:rFonts w:ascii="Times New Roman" w:hAnsi="Times New Roman" w:cs="Times New Roman"/>
          <w:lang w:val="en-IE"/>
        </w:rPr>
        <w:t xml:space="preserve"> firm level data</w:t>
      </w:r>
      <w:r w:rsidR="00302777" w:rsidRPr="00C73908">
        <w:rPr>
          <w:rFonts w:ascii="Times New Roman" w:hAnsi="Times New Roman" w:cs="Times New Roman"/>
          <w:lang w:val="en-IE"/>
        </w:rPr>
        <w:t xml:space="preserve"> </w:t>
      </w:r>
      <w:r w:rsidR="009F3920" w:rsidRPr="00C73908">
        <w:rPr>
          <w:rFonts w:ascii="Times New Roman" w:hAnsi="Times New Roman" w:cs="Times New Roman"/>
          <w:lang w:val="en-IE"/>
        </w:rPr>
        <w:t>have also identified a strong link</w:t>
      </w:r>
      <w:r w:rsidR="007F2587" w:rsidRPr="00C73908">
        <w:rPr>
          <w:rFonts w:ascii="Times New Roman" w:hAnsi="Times New Roman" w:cs="Times New Roman"/>
          <w:lang w:val="en-IE"/>
        </w:rPr>
        <w:t xml:space="preserve"> between </w:t>
      </w:r>
      <w:r w:rsidR="00302777" w:rsidRPr="00C73908">
        <w:rPr>
          <w:rFonts w:ascii="Times New Roman" w:hAnsi="Times New Roman" w:cs="Times New Roman"/>
          <w:lang w:val="en-IE"/>
        </w:rPr>
        <w:t xml:space="preserve">innovation </w:t>
      </w:r>
      <w:r w:rsidR="009F3920" w:rsidRPr="00C73908">
        <w:rPr>
          <w:rFonts w:ascii="Times New Roman" w:hAnsi="Times New Roman" w:cs="Times New Roman"/>
          <w:lang w:val="en-IE"/>
        </w:rPr>
        <w:t xml:space="preserve">activity </w:t>
      </w:r>
      <w:r w:rsidR="00083700" w:rsidRPr="00C73908">
        <w:rPr>
          <w:rFonts w:ascii="Times New Roman" w:hAnsi="Times New Roman" w:cs="Times New Roman"/>
          <w:lang w:val="en-IE"/>
        </w:rPr>
        <w:t>and</w:t>
      </w:r>
      <w:r w:rsidR="00302777" w:rsidRPr="00C73908">
        <w:rPr>
          <w:rFonts w:ascii="Times New Roman" w:hAnsi="Times New Roman" w:cs="Times New Roman"/>
          <w:lang w:val="en-IE"/>
        </w:rPr>
        <w:t xml:space="preserve"> export</w:t>
      </w:r>
      <w:r w:rsidR="00083700" w:rsidRPr="00C73908">
        <w:rPr>
          <w:rFonts w:ascii="Times New Roman" w:hAnsi="Times New Roman" w:cs="Times New Roman"/>
          <w:lang w:val="en-IE"/>
        </w:rPr>
        <w:t xml:space="preserve">ing. </w:t>
      </w:r>
      <w:r w:rsidR="00550F17" w:rsidRPr="00C73908">
        <w:rPr>
          <w:rFonts w:ascii="Times New Roman" w:hAnsi="Times New Roman" w:cs="Times New Roman"/>
          <w:lang w:val="en-IE"/>
        </w:rPr>
        <w:t xml:space="preserve">Bernard and Jensen (1999) find that </w:t>
      </w:r>
      <w:r w:rsidR="00C15507" w:rsidRPr="00C73908">
        <w:rPr>
          <w:rFonts w:ascii="Times New Roman" w:hAnsi="Times New Roman" w:cs="Times New Roman"/>
          <w:lang w:val="en-IE"/>
        </w:rPr>
        <w:t xml:space="preserve">the introduction of </w:t>
      </w:r>
      <w:r w:rsidR="00550F17" w:rsidRPr="00C73908">
        <w:rPr>
          <w:rFonts w:ascii="Times New Roman" w:hAnsi="Times New Roman" w:cs="Times New Roman"/>
          <w:lang w:val="en-IE"/>
        </w:rPr>
        <w:t>new product</w:t>
      </w:r>
      <w:r w:rsidR="00C15507" w:rsidRPr="00C73908">
        <w:rPr>
          <w:rFonts w:ascii="Times New Roman" w:hAnsi="Times New Roman" w:cs="Times New Roman"/>
          <w:lang w:val="en-IE"/>
        </w:rPr>
        <w:t xml:space="preserve">s has a significant positive effect on export probability among American </w:t>
      </w:r>
      <w:r w:rsidR="006701CE" w:rsidRPr="00C73908">
        <w:rPr>
          <w:rFonts w:ascii="Times New Roman" w:hAnsi="Times New Roman" w:cs="Times New Roman"/>
          <w:lang w:val="en-IE"/>
        </w:rPr>
        <w:t>manufacturers.</w:t>
      </w:r>
    </w:p>
    <w:p w14:paraId="378802A2" w14:textId="77777777" w:rsidR="00E14FF5" w:rsidRDefault="00F75205"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t>Firm Level Empirical Studies:</w:t>
      </w:r>
      <w:r w:rsidRPr="00C73908">
        <w:rPr>
          <w:rFonts w:ascii="Times New Roman" w:hAnsi="Times New Roman" w:cs="Times New Roman"/>
          <w:lang w:val="en-IE"/>
        </w:rPr>
        <w:t xml:space="preserve"> </w:t>
      </w:r>
      <w:r w:rsidR="00941036" w:rsidRPr="00C73908">
        <w:rPr>
          <w:rFonts w:ascii="Times New Roman" w:hAnsi="Times New Roman" w:cs="Times New Roman"/>
          <w:lang w:val="en-IE"/>
        </w:rPr>
        <w:t xml:space="preserve">Love </w:t>
      </w:r>
      <w:r w:rsidR="007B6C43" w:rsidRPr="00C73908">
        <w:rPr>
          <w:rFonts w:ascii="Times New Roman" w:hAnsi="Times New Roman" w:cs="Times New Roman"/>
          <w:lang w:val="en-IE"/>
        </w:rPr>
        <w:t xml:space="preserve">and Roper </w:t>
      </w:r>
      <w:r w:rsidR="00941036" w:rsidRPr="00C73908">
        <w:rPr>
          <w:rFonts w:ascii="Times New Roman" w:hAnsi="Times New Roman" w:cs="Times New Roman"/>
          <w:lang w:val="en-IE"/>
        </w:rPr>
        <w:t>(20</w:t>
      </w:r>
      <w:r w:rsidR="002F31C6" w:rsidRPr="00C73908">
        <w:rPr>
          <w:rFonts w:ascii="Times New Roman" w:hAnsi="Times New Roman" w:cs="Times New Roman"/>
          <w:lang w:val="en-IE"/>
        </w:rPr>
        <w:t>02</w:t>
      </w:r>
      <w:r w:rsidR="00941036" w:rsidRPr="00C73908">
        <w:rPr>
          <w:rFonts w:ascii="Times New Roman" w:hAnsi="Times New Roman" w:cs="Times New Roman"/>
          <w:lang w:val="en-IE"/>
        </w:rPr>
        <w:t>)</w:t>
      </w:r>
      <w:r w:rsidR="005A6AEB" w:rsidRPr="00C73908">
        <w:rPr>
          <w:rFonts w:ascii="Times New Roman" w:hAnsi="Times New Roman" w:cs="Times New Roman"/>
          <w:lang w:val="en-IE"/>
        </w:rPr>
        <w:t>, building on earlier research from Wakelin (1998),</w:t>
      </w:r>
      <w:r w:rsidR="00941036" w:rsidRPr="00C73908">
        <w:rPr>
          <w:rFonts w:ascii="Times New Roman" w:hAnsi="Times New Roman" w:cs="Times New Roman"/>
          <w:lang w:val="en-IE"/>
        </w:rPr>
        <w:t xml:space="preserve"> </w:t>
      </w:r>
      <w:r w:rsidR="007B6C43" w:rsidRPr="00C73908">
        <w:rPr>
          <w:rFonts w:ascii="Times New Roman" w:hAnsi="Times New Roman" w:cs="Times New Roman"/>
          <w:lang w:val="en-IE"/>
        </w:rPr>
        <w:t xml:space="preserve">examine the links between </w:t>
      </w:r>
      <w:r w:rsidR="003C38A5" w:rsidRPr="00C73908">
        <w:rPr>
          <w:rFonts w:ascii="Times New Roman" w:hAnsi="Times New Roman" w:cs="Times New Roman"/>
          <w:lang w:val="en-IE"/>
        </w:rPr>
        <w:t>innovation and export</w:t>
      </w:r>
      <w:r w:rsidR="008F16B7" w:rsidRPr="00C73908">
        <w:rPr>
          <w:rFonts w:ascii="Times New Roman" w:hAnsi="Times New Roman" w:cs="Times New Roman"/>
          <w:lang w:val="en-IE"/>
        </w:rPr>
        <w:t xml:space="preserve">ing </w:t>
      </w:r>
      <w:r w:rsidR="00B72C78" w:rsidRPr="00C73908">
        <w:rPr>
          <w:rFonts w:ascii="Times New Roman" w:hAnsi="Times New Roman" w:cs="Times New Roman"/>
          <w:lang w:val="en-IE"/>
        </w:rPr>
        <w:t>using firm level data from 1,700 UK manufacturing plants and 1,300 German plants</w:t>
      </w:r>
      <w:r w:rsidR="00F93C7C" w:rsidRPr="00C73908">
        <w:rPr>
          <w:rFonts w:ascii="Times New Roman" w:hAnsi="Times New Roman" w:cs="Times New Roman"/>
          <w:lang w:val="en-IE"/>
        </w:rPr>
        <w:t xml:space="preserve">. </w:t>
      </w:r>
      <w:r w:rsidR="00F468A7" w:rsidRPr="00C73908">
        <w:rPr>
          <w:rFonts w:ascii="Times New Roman" w:hAnsi="Times New Roman" w:cs="Times New Roman"/>
          <w:lang w:val="en-IE"/>
        </w:rPr>
        <w:t>Different v</w:t>
      </w:r>
      <w:r w:rsidR="00217475" w:rsidRPr="00C73908">
        <w:rPr>
          <w:rFonts w:ascii="Times New Roman" w:hAnsi="Times New Roman" w:cs="Times New Roman"/>
          <w:lang w:val="en-IE"/>
        </w:rPr>
        <w:t>ariables are used to represent</w:t>
      </w:r>
      <w:r w:rsidR="00B15C93" w:rsidRPr="00C73908">
        <w:rPr>
          <w:rFonts w:ascii="Times New Roman" w:hAnsi="Times New Roman" w:cs="Times New Roman"/>
          <w:lang w:val="en-IE"/>
        </w:rPr>
        <w:t xml:space="preserve"> the inputs</w:t>
      </w:r>
      <w:r w:rsidR="00C87002" w:rsidRPr="00C73908">
        <w:rPr>
          <w:rFonts w:ascii="Times New Roman" w:hAnsi="Times New Roman" w:cs="Times New Roman"/>
          <w:lang w:val="en-IE"/>
        </w:rPr>
        <w:t xml:space="preserve"> (a dummy variable </w:t>
      </w:r>
      <w:r w:rsidR="00AB6AD9" w:rsidRPr="00C73908">
        <w:rPr>
          <w:rFonts w:ascii="Times New Roman" w:hAnsi="Times New Roman" w:cs="Times New Roman"/>
          <w:lang w:val="en-IE"/>
        </w:rPr>
        <w:t>for</w:t>
      </w:r>
      <w:r w:rsidR="00C87002" w:rsidRPr="00C73908">
        <w:rPr>
          <w:rFonts w:ascii="Times New Roman" w:hAnsi="Times New Roman" w:cs="Times New Roman"/>
          <w:lang w:val="en-IE"/>
        </w:rPr>
        <w:t xml:space="preserve"> in-house R&amp;D department)</w:t>
      </w:r>
      <w:r w:rsidR="00B15C93" w:rsidRPr="00C73908">
        <w:rPr>
          <w:rFonts w:ascii="Times New Roman" w:hAnsi="Times New Roman" w:cs="Times New Roman"/>
          <w:lang w:val="en-IE"/>
        </w:rPr>
        <w:t xml:space="preserve"> </w:t>
      </w:r>
      <w:r w:rsidR="00AC2AF7" w:rsidRPr="00C73908">
        <w:rPr>
          <w:rFonts w:ascii="Times New Roman" w:hAnsi="Times New Roman" w:cs="Times New Roman"/>
          <w:lang w:val="en-IE"/>
        </w:rPr>
        <w:t>and outputs</w:t>
      </w:r>
      <w:r w:rsidR="004530A0" w:rsidRPr="00C73908">
        <w:rPr>
          <w:rFonts w:ascii="Times New Roman" w:hAnsi="Times New Roman" w:cs="Times New Roman"/>
          <w:lang w:val="en-IE"/>
        </w:rPr>
        <w:t xml:space="preserve"> (new products</w:t>
      </w:r>
      <w:r w:rsidR="008658F6" w:rsidRPr="00C73908">
        <w:rPr>
          <w:rFonts w:ascii="Times New Roman" w:hAnsi="Times New Roman" w:cs="Times New Roman"/>
          <w:lang w:val="en-IE"/>
        </w:rPr>
        <w:t xml:space="preserve"> introduced</w:t>
      </w:r>
      <w:r w:rsidR="00833EBB" w:rsidRPr="00C73908">
        <w:rPr>
          <w:rFonts w:ascii="Times New Roman" w:hAnsi="Times New Roman" w:cs="Times New Roman"/>
          <w:lang w:val="en-IE"/>
        </w:rPr>
        <w:t>)</w:t>
      </w:r>
      <w:r w:rsidR="00B15C93" w:rsidRPr="00C73908">
        <w:rPr>
          <w:rFonts w:ascii="Times New Roman" w:hAnsi="Times New Roman" w:cs="Times New Roman"/>
          <w:lang w:val="en-IE"/>
        </w:rPr>
        <w:t xml:space="preserve"> </w:t>
      </w:r>
      <w:r w:rsidR="004530A0" w:rsidRPr="00C73908">
        <w:rPr>
          <w:rFonts w:ascii="Times New Roman" w:hAnsi="Times New Roman" w:cs="Times New Roman"/>
          <w:lang w:val="en-IE"/>
        </w:rPr>
        <w:t xml:space="preserve">of </w:t>
      </w:r>
      <w:r w:rsidR="00B15C93" w:rsidRPr="00C73908">
        <w:rPr>
          <w:rFonts w:ascii="Times New Roman" w:hAnsi="Times New Roman" w:cs="Times New Roman"/>
          <w:lang w:val="en-IE"/>
        </w:rPr>
        <w:t>innovation</w:t>
      </w:r>
      <w:r w:rsidR="00AC2AF7" w:rsidRPr="00C73908">
        <w:rPr>
          <w:rFonts w:ascii="Times New Roman" w:hAnsi="Times New Roman" w:cs="Times New Roman"/>
          <w:lang w:val="en-IE"/>
        </w:rPr>
        <w:t xml:space="preserve"> as well as the </w:t>
      </w:r>
      <w:r w:rsidR="00471F96" w:rsidRPr="00C73908">
        <w:rPr>
          <w:rFonts w:ascii="Times New Roman" w:hAnsi="Times New Roman" w:cs="Times New Roman"/>
          <w:lang w:val="en-IE"/>
        </w:rPr>
        <w:t>possibility of regional, sectoral or supply chain spill overs</w:t>
      </w:r>
      <w:r w:rsidR="00684E0E" w:rsidRPr="00C73908">
        <w:rPr>
          <w:rFonts w:ascii="Times New Roman" w:hAnsi="Times New Roman" w:cs="Times New Roman"/>
          <w:lang w:val="en-IE"/>
        </w:rPr>
        <w:t xml:space="preserve"> or benefits accrued as a result of proximity to innovative </w:t>
      </w:r>
      <w:r w:rsidR="00684E0E" w:rsidRPr="00C73908">
        <w:rPr>
          <w:rFonts w:ascii="Times New Roman" w:hAnsi="Times New Roman" w:cs="Times New Roman"/>
          <w:lang w:val="en-IE"/>
        </w:rPr>
        <w:lastRenderedPageBreak/>
        <w:t>firms</w:t>
      </w:r>
      <w:r w:rsidR="00471F96" w:rsidRPr="00C73908">
        <w:rPr>
          <w:rFonts w:ascii="Times New Roman" w:hAnsi="Times New Roman" w:cs="Times New Roman"/>
          <w:lang w:val="en-IE"/>
        </w:rPr>
        <w:t>.</w:t>
      </w:r>
      <w:r w:rsidR="00D00E04" w:rsidRPr="00C73908">
        <w:rPr>
          <w:rFonts w:ascii="Times New Roman" w:hAnsi="Times New Roman" w:cs="Times New Roman"/>
          <w:lang w:val="en-IE"/>
        </w:rPr>
        <w:t xml:space="preserve"> </w:t>
      </w:r>
      <w:r w:rsidR="003F0F0C" w:rsidRPr="00C73908">
        <w:rPr>
          <w:rFonts w:ascii="Times New Roman" w:hAnsi="Times New Roman" w:cs="Times New Roman"/>
          <w:lang w:val="en-IE"/>
        </w:rPr>
        <w:t>They find that “Product innovation, however measured, has a strong effect on the probability and propensity to export in both countries” and that innovative UK firms are more likely to experience spill over benefits</w:t>
      </w:r>
      <w:r w:rsidR="00B53C5B" w:rsidRPr="00C73908">
        <w:rPr>
          <w:rFonts w:ascii="Times New Roman" w:hAnsi="Times New Roman" w:cs="Times New Roman"/>
          <w:lang w:val="en-IE"/>
        </w:rPr>
        <w:t xml:space="preserve"> of innovation undertaken elsewhere. </w:t>
      </w:r>
      <w:r w:rsidR="00C93DB8" w:rsidRPr="00C73908">
        <w:rPr>
          <w:rFonts w:ascii="Times New Roman" w:hAnsi="Times New Roman" w:cs="Times New Roman"/>
          <w:lang w:val="en-IE"/>
        </w:rPr>
        <w:t>Gourlay et al. (2005) study the determinants of export behaviour for a panel of over 1</w:t>
      </w:r>
      <w:r w:rsidR="00EF678B" w:rsidRPr="00C73908">
        <w:rPr>
          <w:rFonts w:ascii="Times New Roman" w:hAnsi="Times New Roman" w:cs="Times New Roman"/>
          <w:lang w:val="en-IE"/>
        </w:rPr>
        <w:t>,</w:t>
      </w:r>
      <w:r w:rsidR="00C93DB8" w:rsidRPr="00C73908">
        <w:rPr>
          <w:rFonts w:ascii="Times New Roman" w:hAnsi="Times New Roman" w:cs="Times New Roman"/>
          <w:lang w:val="en-IE"/>
        </w:rPr>
        <w:t>000 UK service firms for the period 1988 to 2001 using R&amp;D intensity (R&amp;D expenditure as a percentage of sales) as an indicator of innovation, and find that R&amp;D intensity has</w:t>
      </w:r>
      <w:r w:rsidR="00075C5E" w:rsidRPr="00C73908">
        <w:rPr>
          <w:rFonts w:ascii="Times New Roman" w:hAnsi="Times New Roman" w:cs="Times New Roman"/>
          <w:lang w:val="en-IE"/>
        </w:rPr>
        <w:t xml:space="preserve"> a</w:t>
      </w:r>
      <w:r w:rsidR="00C93DB8" w:rsidRPr="00C73908">
        <w:rPr>
          <w:rFonts w:ascii="Times New Roman" w:hAnsi="Times New Roman" w:cs="Times New Roman"/>
          <w:lang w:val="en-IE"/>
        </w:rPr>
        <w:t xml:space="preserve"> strong positive effect on both the probability and intensity of exporting, “R&amp;D intensity, we find a positive impact on export probability, thereby supporting technology and proprietary based explanations of exporting.”</w:t>
      </w:r>
    </w:p>
    <w:p w14:paraId="1AB36F30" w14:textId="7EC19CDF" w:rsidR="0059686F" w:rsidRPr="00C73908" w:rsidRDefault="005B392B"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Positive links between innovation and export</w:t>
      </w:r>
      <w:r w:rsidR="00E83A20" w:rsidRPr="00C73908">
        <w:rPr>
          <w:rFonts w:ascii="Times New Roman" w:hAnsi="Times New Roman" w:cs="Times New Roman"/>
          <w:lang w:val="en-IE"/>
        </w:rPr>
        <w:t>ing</w:t>
      </w:r>
      <w:r w:rsidR="00EB4FC5" w:rsidRPr="00C73908">
        <w:rPr>
          <w:rFonts w:ascii="Times New Roman" w:hAnsi="Times New Roman" w:cs="Times New Roman"/>
          <w:lang w:val="en-IE"/>
        </w:rPr>
        <w:t xml:space="preserve"> </w:t>
      </w:r>
      <w:r w:rsidR="007A70A3">
        <w:rPr>
          <w:rFonts w:ascii="Times New Roman" w:hAnsi="Times New Roman" w:cs="Times New Roman"/>
          <w:lang w:val="en-IE"/>
        </w:rPr>
        <w:t>have</w:t>
      </w:r>
      <w:r w:rsidR="00EB4FC5" w:rsidRPr="00C73908">
        <w:rPr>
          <w:rFonts w:ascii="Times New Roman" w:hAnsi="Times New Roman" w:cs="Times New Roman"/>
          <w:lang w:val="en-IE"/>
        </w:rPr>
        <w:t xml:space="preserve"> also </w:t>
      </w:r>
      <w:r w:rsidR="007A70A3">
        <w:rPr>
          <w:rFonts w:ascii="Times New Roman" w:hAnsi="Times New Roman" w:cs="Times New Roman"/>
          <w:lang w:val="en-IE"/>
        </w:rPr>
        <w:t xml:space="preserve">been </w:t>
      </w:r>
      <w:r w:rsidR="00EB4FC5" w:rsidRPr="00C73908">
        <w:rPr>
          <w:rFonts w:ascii="Times New Roman" w:hAnsi="Times New Roman" w:cs="Times New Roman"/>
          <w:lang w:val="en-IE"/>
        </w:rPr>
        <w:t>observed in</w:t>
      </w:r>
      <w:r w:rsidR="00C96B0B" w:rsidRPr="00C73908">
        <w:rPr>
          <w:rFonts w:ascii="Times New Roman" w:hAnsi="Times New Roman" w:cs="Times New Roman"/>
          <w:lang w:val="en-IE"/>
        </w:rPr>
        <w:t xml:space="preserve"> </w:t>
      </w:r>
      <w:r w:rsidR="0051400D" w:rsidRPr="00C73908">
        <w:rPr>
          <w:rFonts w:ascii="Times New Roman" w:hAnsi="Times New Roman" w:cs="Times New Roman"/>
          <w:lang w:val="en-IE"/>
        </w:rPr>
        <w:t xml:space="preserve">various </w:t>
      </w:r>
      <w:r w:rsidR="002656A1" w:rsidRPr="00C73908">
        <w:rPr>
          <w:rFonts w:ascii="Times New Roman" w:hAnsi="Times New Roman" w:cs="Times New Roman"/>
          <w:lang w:val="en-IE"/>
        </w:rPr>
        <w:t>other countries</w:t>
      </w:r>
      <w:r w:rsidR="00012262" w:rsidRPr="00C73908">
        <w:rPr>
          <w:rFonts w:ascii="Times New Roman" w:hAnsi="Times New Roman" w:cs="Times New Roman"/>
          <w:lang w:val="en-IE"/>
        </w:rPr>
        <w:t>. Becker and Egger (2013)</w:t>
      </w:r>
      <w:r w:rsidR="00CA1133" w:rsidRPr="00C73908">
        <w:rPr>
          <w:rFonts w:ascii="Times New Roman" w:hAnsi="Times New Roman" w:cs="Times New Roman"/>
          <w:lang w:val="en-IE"/>
        </w:rPr>
        <w:t xml:space="preserve"> </w:t>
      </w:r>
      <w:r w:rsidR="00504985" w:rsidRPr="00C73908">
        <w:rPr>
          <w:rFonts w:ascii="Times New Roman" w:hAnsi="Times New Roman" w:cs="Times New Roman"/>
          <w:lang w:val="en-IE"/>
        </w:rPr>
        <w:t xml:space="preserve">examine the impacts of product and process innovations on the export propensity of </w:t>
      </w:r>
      <w:r w:rsidR="002D7889" w:rsidRPr="00C73908">
        <w:rPr>
          <w:rFonts w:ascii="Times New Roman" w:hAnsi="Times New Roman" w:cs="Times New Roman"/>
          <w:lang w:val="en-IE"/>
        </w:rPr>
        <w:t xml:space="preserve">over 1,500 </w:t>
      </w:r>
      <w:r w:rsidR="005F79DC" w:rsidRPr="00C73908">
        <w:rPr>
          <w:rFonts w:ascii="Times New Roman" w:hAnsi="Times New Roman" w:cs="Times New Roman"/>
          <w:lang w:val="en-IE"/>
        </w:rPr>
        <w:t xml:space="preserve">German manufacturing firms. </w:t>
      </w:r>
      <w:r w:rsidR="00F26DFC">
        <w:rPr>
          <w:rFonts w:ascii="Times New Roman" w:hAnsi="Times New Roman" w:cs="Times New Roman"/>
          <w:lang w:val="en-IE"/>
        </w:rPr>
        <w:t>Using</w:t>
      </w:r>
      <w:r w:rsidR="00CA1133" w:rsidRPr="00C73908">
        <w:rPr>
          <w:rFonts w:ascii="Times New Roman" w:hAnsi="Times New Roman" w:cs="Times New Roman"/>
          <w:lang w:val="en-IE"/>
        </w:rPr>
        <w:t xml:space="preserve"> a propensity </w:t>
      </w:r>
      <w:r w:rsidR="005F53A5" w:rsidRPr="00C73908">
        <w:rPr>
          <w:rFonts w:ascii="Times New Roman" w:hAnsi="Times New Roman" w:cs="Times New Roman"/>
          <w:lang w:val="en-IE"/>
        </w:rPr>
        <w:t xml:space="preserve">score </w:t>
      </w:r>
      <w:r w:rsidR="00CA1133" w:rsidRPr="00C73908">
        <w:rPr>
          <w:rFonts w:ascii="Times New Roman" w:hAnsi="Times New Roman" w:cs="Times New Roman"/>
          <w:lang w:val="en-IE"/>
        </w:rPr>
        <w:t xml:space="preserve">matching approach to </w:t>
      </w:r>
      <w:r w:rsidR="00845D25" w:rsidRPr="00C73908">
        <w:rPr>
          <w:rFonts w:ascii="Times New Roman" w:hAnsi="Times New Roman" w:cs="Times New Roman"/>
          <w:lang w:val="en-IE"/>
        </w:rPr>
        <w:t xml:space="preserve">account for </w:t>
      </w:r>
      <w:r w:rsidR="002B6FF8" w:rsidRPr="00C73908">
        <w:rPr>
          <w:rFonts w:ascii="Times New Roman" w:hAnsi="Times New Roman" w:cs="Times New Roman"/>
          <w:lang w:val="en-IE"/>
        </w:rPr>
        <w:t xml:space="preserve">endogeneity </w:t>
      </w:r>
      <w:r w:rsidR="006C21F1" w:rsidRPr="00C73908">
        <w:rPr>
          <w:rFonts w:ascii="Times New Roman" w:hAnsi="Times New Roman" w:cs="Times New Roman"/>
          <w:lang w:val="en-IE"/>
        </w:rPr>
        <w:t>issues</w:t>
      </w:r>
      <w:r w:rsidR="00F26DFC">
        <w:rPr>
          <w:rFonts w:ascii="Times New Roman" w:hAnsi="Times New Roman" w:cs="Times New Roman"/>
          <w:lang w:val="en-IE"/>
        </w:rPr>
        <w:t xml:space="preserve">, they </w:t>
      </w:r>
      <w:r w:rsidR="002B6FF8" w:rsidRPr="00C73908">
        <w:rPr>
          <w:rFonts w:ascii="Times New Roman" w:hAnsi="Times New Roman" w:cs="Times New Roman"/>
          <w:lang w:val="en-IE"/>
        </w:rPr>
        <w:t xml:space="preserve">find that </w:t>
      </w:r>
      <w:r w:rsidR="008D630A" w:rsidRPr="00C73908">
        <w:rPr>
          <w:rFonts w:ascii="Times New Roman" w:hAnsi="Times New Roman" w:cs="Times New Roman"/>
          <w:lang w:val="en-IE"/>
        </w:rPr>
        <w:t>“there is a strong, positive role to play for</w:t>
      </w:r>
      <w:r w:rsidR="006C21F1" w:rsidRPr="00C73908">
        <w:rPr>
          <w:rFonts w:ascii="Times New Roman" w:hAnsi="Times New Roman" w:cs="Times New Roman"/>
          <w:lang w:val="en-IE"/>
        </w:rPr>
        <w:t xml:space="preserve"> </w:t>
      </w:r>
      <w:r w:rsidR="008D630A" w:rsidRPr="00C73908">
        <w:rPr>
          <w:rFonts w:ascii="Times New Roman" w:hAnsi="Times New Roman" w:cs="Times New Roman"/>
          <w:lang w:val="en-IE"/>
        </w:rPr>
        <w:t>product innovation for a firm’s propensity to expor</w:t>
      </w:r>
      <w:r w:rsidR="007B50A3" w:rsidRPr="00C73908">
        <w:rPr>
          <w:rFonts w:ascii="Times New Roman" w:hAnsi="Times New Roman" w:cs="Times New Roman"/>
          <w:lang w:val="en-IE"/>
        </w:rPr>
        <w:t>t</w:t>
      </w:r>
      <w:r w:rsidR="00A622F3" w:rsidRPr="00C73908">
        <w:rPr>
          <w:rFonts w:ascii="Times New Roman" w:hAnsi="Times New Roman" w:cs="Times New Roman"/>
          <w:lang w:val="en-IE"/>
        </w:rPr>
        <w:t>.</w:t>
      </w:r>
      <w:r w:rsidR="007B50A3" w:rsidRPr="00C73908">
        <w:rPr>
          <w:rFonts w:ascii="Times New Roman" w:hAnsi="Times New Roman" w:cs="Times New Roman"/>
          <w:lang w:val="en-IE"/>
        </w:rPr>
        <w:t>”</w:t>
      </w:r>
      <w:r w:rsidR="00976CDF" w:rsidRPr="00C73908">
        <w:rPr>
          <w:rFonts w:ascii="Times New Roman" w:hAnsi="Times New Roman" w:cs="Times New Roman"/>
          <w:lang w:val="en-IE"/>
        </w:rPr>
        <w:t xml:space="preserve"> </w:t>
      </w:r>
      <w:r w:rsidR="00F26DFC">
        <w:rPr>
          <w:rFonts w:ascii="Times New Roman" w:hAnsi="Times New Roman" w:cs="Times New Roman"/>
          <w:lang w:val="en-IE"/>
        </w:rPr>
        <w:t>P</w:t>
      </w:r>
      <w:r w:rsidR="00976CDF" w:rsidRPr="00C73908">
        <w:rPr>
          <w:rFonts w:ascii="Times New Roman" w:hAnsi="Times New Roman" w:cs="Times New Roman"/>
          <w:lang w:val="en-IE"/>
        </w:rPr>
        <w:t xml:space="preserve">rocess innovation </w:t>
      </w:r>
      <w:r w:rsidR="00A01432" w:rsidRPr="00C73908">
        <w:rPr>
          <w:rFonts w:ascii="Times New Roman" w:hAnsi="Times New Roman" w:cs="Times New Roman"/>
          <w:lang w:val="en-IE"/>
        </w:rPr>
        <w:t xml:space="preserve">alone </w:t>
      </w:r>
      <w:r w:rsidR="00F26DFC">
        <w:rPr>
          <w:rFonts w:ascii="Times New Roman" w:hAnsi="Times New Roman" w:cs="Times New Roman"/>
          <w:lang w:val="en-IE"/>
        </w:rPr>
        <w:t>is not found to</w:t>
      </w:r>
      <w:r w:rsidR="00A01432" w:rsidRPr="00C73908">
        <w:rPr>
          <w:rFonts w:ascii="Times New Roman" w:hAnsi="Times New Roman" w:cs="Times New Roman"/>
          <w:lang w:val="en-IE"/>
        </w:rPr>
        <w:t xml:space="preserve"> </w:t>
      </w:r>
      <w:r w:rsidR="00976CDF" w:rsidRPr="00C73908">
        <w:rPr>
          <w:rFonts w:ascii="Times New Roman" w:hAnsi="Times New Roman" w:cs="Times New Roman"/>
          <w:lang w:val="en-IE"/>
        </w:rPr>
        <w:t xml:space="preserve">have a significant </w:t>
      </w:r>
      <w:r w:rsidR="00A01432" w:rsidRPr="00C73908">
        <w:rPr>
          <w:rFonts w:ascii="Times New Roman" w:hAnsi="Times New Roman" w:cs="Times New Roman"/>
          <w:lang w:val="en-IE"/>
        </w:rPr>
        <w:t>impact on export propensity.</w:t>
      </w:r>
      <w:r w:rsidR="00590D73" w:rsidRPr="00C73908">
        <w:rPr>
          <w:rFonts w:ascii="Times New Roman" w:hAnsi="Times New Roman" w:cs="Times New Roman"/>
          <w:lang w:val="en-IE"/>
        </w:rPr>
        <w:t xml:space="preserve"> </w:t>
      </w:r>
      <w:r w:rsidR="00AB40A9" w:rsidRPr="00C73908">
        <w:rPr>
          <w:rFonts w:ascii="Times New Roman" w:hAnsi="Times New Roman" w:cs="Times New Roman"/>
          <w:lang w:val="en-IE"/>
        </w:rPr>
        <w:t>In a similar analysis of Spanish manufacturing firms</w:t>
      </w:r>
      <w:r w:rsidR="00A622F3" w:rsidRPr="00C73908">
        <w:rPr>
          <w:rFonts w:ascii="Times New Roman" w:hAnsi="Times New Roman" w:cs="Times New Roman"/>
          <w:lang w:val="en-IE"/>
        </w:rPr>
        <w:t xml:space="preserve">, </w:t>
      </w:r>
      <w:r w:rsidR="004A0942" w:rsidRPr="00C73908">
        <w:rPr>
          <w:rFonts w:ascii="Times New Roman" w:hAnsi="Times New Roman" w:cs="Times New Roman"/>
          <w:lang w:val="en-IE"/>
        </w:rPr>
        <w:t xml:space="preserve">Caldera (2010) finds that both product and process innovation </w:t>
      </w:r>
      <w:r w:rsidR="00535A6B" w:rsidRPr="00C73908">
        <w:rPr>
          <w:rFonts w:ascii="Times New Roman" w:hAnsi="Times New Roman" w:cs="Times New Roman"/>
          <w:lang w:val="en-IE"/>
        </w:rPr>
        <w:t>increase</w:t>
      </w:r>
      <w:r w:rsidR="0071646D" w:rsidRPr="00C73908">
        <w:rPr>
          <w:rFonts w:ascii="Times New Roman" w:hAnsi="Times New Roman" w:cs="Times New Roman"/>
          <w:lang w:val="en-IE"/>
        </w:rPr>
        <w:t xml:space="preserve"> firm’s propensity to export</w:t>
      </w:r>
      <w:r w:rsidR="00F62813" w:rsidRPr="00C73908">
        <w:rPr>
          <w:rFonts w:ascii="Times New Roman" w:hAnsi="Times New Roman" w:cs="Times New Roman"/>
          <w:lang w:val="en-IE"/>
        </w:rPr>
        <w:t>.</w:t>
      </w:r>
      <w:r w:rsidR="00930FC3" w:rsidRPr="00C73908">
        <w:rPr>
          <w:rFonts w:ascii="Times New Roman" w:hAnsi="Times New Roman" w:cs="Times New Roman"/>
          <w:lang w:val="en-IE"/>
        </w:rPr>
        <w:t xml:space="preserve"> </w:t>
      </w:r>
      <w:r w:rsidR="007B2E34" w:rsidRPr="00C73908">
        <w:rPr>
          <w:rFonts w:ascii="Times New Roman" w:hAnsi="Times New Roman" w:cs="Times New Roman"/>
          <w:lang w:val="en-IE"/>
        </w:rPr>
        <w:t>However, o</w:t>
      </w:r>
      <w:r w:rsidR="00930FC3" w:rsidRPr="00C73908">
        <w:rPr>
          <w:rFonts w:ascii="Times New Roman" w:hAnsi="Times New Roman" w:cs="Times New Roman"/>
          <w:lang w:val="en-IE"/>
        </w:rPr>
        <w:t>ther</w:t>
      </w:r>
      <w:r w:rsidR="00BC3576" w:rsidRPr="00C73908">
        <w:rPr>
          <w:rFonts w:ascii="Times New Roman" w:hAnsi="Times New Roman" w:cs="Times New Roman"/>
          <w:lang w:val="en-IE"/>
        </w:rPr>
        <w:t xml:space="preserve"> empirical</w:t>
      </w:r>
      <w:r w:rsidR="00930FC3" w:rsidRPr="00C73908">
        <w:rPr>
          <w:rFonts w:ascii="Times New Roman" w:hAnsi="Times New Roman" w:cs="Times New Roman"/>
          <w:lang w:val="en-IE"/>
        </w:rPr>
        <w:t xml:space="preserve"> studies</w:t>
      </w:r>
      <w:r w:rsidR="00782BCE" w:rsidRPr="00C73908">
        <w:rPr>
          <w:rFonts w:ascii="Times New Roman" w:hAnsi="Times New Roman" w:cs="Times New Roman"/>
          <w:lang w:val="en-IE"/>
        </w:rPr>
        <w:t xml:space="preserve">, such as </w:t>
      </w:r>
      <w:r w:rsidR="000D6C87" w:rsidRPr="00C73908">
        <w:rPr>
          <w:rFonts w:ascii="Times New Roman" w:hAnsi="Times New Roman" w:cs="Times New Roman"/>
          <w:lang w:val="en-IE"/>
        </w:rPr>
        <w:t>Van Beveren and Vandenbussche (2010) using data for Belgian firms</w:t>
      </w:r>
      <w:r w:rsidR="00BC3576" w:rsidRPr="00C73908">
        <w:rPr>
          <w:rFonts w:ascii="Times New Roman" w:hAnsi="Times New Roman" w:cs="Times New Roman"/>
          <w:lang w:val="en-IE"/>
        </w:rPr>
        <w:t xml:space="preserve"> </w:t>
      </w:r>
      <w:r w:rsidR="000D6C87" w:rsidRPr="00C73908">
        <w:rPr>
          <w:rFonts w:ascii="Times New Roman" w:hAnsi="Times New Roman" w:cs="Times New Roman"/>
          <w:lang w:val="en-IE"/>
        </w:rPr>
        <w:t xml:space="preserve">and </w:t>
      </w:r>
      <w:r w:rsidR="005100DD" w:rsidRPr="00C73908">
        <w:rPr>
          <w:rFonts w:ascii="Times New Roman" w:hAnsi="Times New Roman" w:cs="Times New Roman"/>
          <w:lang w:val="en-IE"/>
        </w:rPr>
        <w:t xml:space="preserve">Damijan et al. (2010) for Slovenia, </w:t>
      </w:r>
      <w:r w:rsidR="00D4536A" w:rsidRPr="00C73908">
        <w:rPr>
          <w:rFonts w:ascii="Times New Roman" w:hAnsi="Times New Roman" w:cs="Times New Roman"/>
          <w:lang w:val="en-IE"/>
        </w:rPr>
        <w:t xml:space="preserve">find no significant effect of either product or process innovation on </w:t>
      </w:r>
      <w:r w:rsidR="00003D6F" w:rsidRPr="00C73908">
        <w:rPr>
          <w:rFonts w:ascii="Times New Roman" w:hAnsi="Times New Roman" w:cs="Times New Roman"/>
          <w:lang w:val="en-IE"/>
        </w:rPr>
        <w:t>export propensity</w:t>
      </w:r>
      <w:r w:rsidR="00F03858" w:rsidRPr="00C73908">
        <w:rPr>
          <w:rFonts w:ascii="Times New Roman" w:hAnsi="Times New Roman" w:cs="Times New Roman"/>
          <w:lang w:val="en-IE"/>
        </w:rPr>
        <w:t xml:space="preserve"> at the firm level</w:t>
      </w:r>
      <w:r w:rsidR="005100DD" w:rsidRPr="00C73908">
        <w:rPr>
          <w:rFonts w:ascii="Times New Roman" w:hAnsi="Times New Roman" w:cs="Times New Roman"/>
          <w:lang w:val="en-IE"/>
        </w:rPr>
        <w:t>.</w:t>
      </w:r>
    </w:p>
    <w:p w14:paraId="31288D6A" w14:textId="78C076F6" w:rsidR="004801E1" w:rsidRPr="00C73908" w:rsidRDefault="00B73D44"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t>Effects on the Intensive Margin of Exports:</w:t>
      </w:r>
      <w:r w:rsidRPr="00C73908">
        <w:rPr>
          <w:rFonts w:ascii="Times New Roman" w:hAnsi="Times New Roman" w:cs="Times New Roman"/>
          <w:lang w:val="en-IE"/>
        </w:rPr>
        <w:t xml:space="preserve"> </w:t>
      </w:r>
      <w:r w:rsidR="004801E1" w:rsidRPr="00C73908">
        <w:rPr>
          <w:rFonts w:ascii="Times New Roman" w:hAnsi="Times New Roman" w:cs="Times New Roman"/>
          <w:lang w:val="en-IE"/>
        </w:rPr>
        <w:t>While there is a vast body of literature examining the impact of innovation on the extensive margin of exports by looking at export participation and entry/exit into markets, there has been less focus on the intensive margin</w:t>
      </w:r>
      <w:r w:rsidR="0018257A">
        <w:rPr>
          <w:rFonts w:ascii="Times New Roman" w:hAnsi="Times New Roman" w:cs="Times New Roman"/>
          <w:lang w:val="en-IE"/>
        </w:rPr>
        <w:t>; that is</w:t>
      </w:r>
      <w:r w:rsidR="004801E1" w:rsidRPr="00C73908">
        <w:rPr>
          <w:rFonts w:ascii="Times New Roman" w:hAnsi="Times New Roman" w:cs="Times New Roman"/>
          <w:lang w:val="en-IE"/>
        </w:rPr>
        <w:t xml:space="preserve"> changes in the value of exports to existing markets. This is </w:t>
      </w:r>
      <w:r w:rsidR="00EE5577">
        <w:rPr>
          <w:rFonts w:ascii="Times New Roman" w:hAnsi="Times New Roman" w:cs="Times New Roman"/>
          <w:lang w:val="en-IE"/>
        </w:rPr>
        <w:t>despite the fact</w:t>
      </w:r>
      <w:r w:rsidR="004801E1" w:rsidRPr="00C73908">
        <w:rPr>
          <w:rFonts w:ascii="Times New Roman" w:hAnsi="Times New Roman" w:cs="Times New Roman"/>
          <w:lang w:val="en-IE"/>
        </w:rPr>
        <w:t xml:space="preserve"> that several studies analysing country level trade data have found that the majority of trade growth in recent decades is due to the intensive margin rather than the extensive margin (Felbermayr and Kohler, 2006</w:t>
      </w:r>
      <w:r w:rsidR="000715B7" w:rsidRPr="00C73908">
        <w:rPr>
          <w:rFonts w:ascii="Times New Roman" w:hAnsi="Times New Roman" w:cs="Times New Roman"/>
          <w:lang w:val="en-IE"/>
        </w:rPr>
        <w:t xml:space="preserve">; </w:t>
      </w:r>
      <w:r w:rsidR="004801E1" w:rsidRPr="00C73908">
        <w:rPr>
          <w:rFonts w:ascii="Times New Roman" w:hAnsi="Times New Roman" w:cs="Times New Roman"/>
          <w:lang w:val="en-IE"/>
        </w:rPr>
        <w:t>Helpman et al., 2008). Ellio</w:t>
      </w:r>
      <w:r w:rsidR="00680945" w:rsidRPr="00C73908">
        <w:rPr>
          <w:rFonts w:ascii="Times New Roman" w:hAnsi="Times New Roman" w:cs="Times New Roman"/>
          <w:lang w:val="en-IE"/>
        </w:rPr>
        <w:t>t</w:t>
      </w:r>
      <w:r w:rsidR="004801E1" w:rsidRPr="00C73908">
        <w:rPr>
          <w:rFonts w:ascii="Times New Roman" w:hAnsi="Times New Roman" w:cs="Times New Roman"/>
          <w:lang w:val="en-IE"/>
        </w:rPr>
        <w:t>t et al. (20</w:t>
      </w:r>
      <w:r w:rsidR="0032783A" w:rsidRPr="00C73908">
        <w:rPr>
          <w:rFonts w:ascii="Times New Roman" w:hAnsi="Times New Roman" w:cs="Times New Roman"/>
          <w:lang w:val="en-IE"/>
        </w:rPr>
        <w:t>20</w:t>
      </w:r>
      <w:r w:rsidR="004801E1" w:rsidRPr="00C73908">
        <w:rPr>
          <w:rFonts w:ascii="Times New Roman" w:hAnsi="Times New Roman" w:cs="Times New Roman"/>
          <w:lang w:val="en-IE"/>
        </w:rPr>
        <w:t xml:space="preserve">) </w:t>
      </w:r>
      <w:r w:rsidR="00351613">
        <w:rPr>
          <w:rFonts w:ascii="Times New Roman" w:hAnsi="Times New Roman" w:cs="Times New Roman"/>
          <w:lang w:val="en-IE"/>
        </w:rPr>
        <w:t>analyse</w:t>
      </w:r>
      <w:r w:rsidR="004801E1" w:rsidRPr="00C73908">
        <w:rPr>
          <w:rFonts w:ascii="Times New Roman" w:hAnsi="Times New Roman" w:cs="Times New Roman"/>
          <w:lang w:val="en-IE"/>
        </w:rPr>
        <w:t xml:space="preserve"> firm level data from a panel of French manufacturing firms for the period of 1999 to 2007 to investigate the effects of innovation on both the extensive and intensive margins of exports. They find that R&amp;D expenditure has a positive and significant impact on total exports with this increase being primarily driven by the intensive margin. On the other hand, they find limited evidence that innovation leads to an increase in total exports through diversification into new markets (the extensive margin). “By innovating and replacing obsolete products with new ones, innovating exporters are able to maintain their market shares in foreign markets while non-innovators see their exports falling.” Tavassoli (2018) and D’Angelo (2012) also provide evidence of the positive effects of product and process innovations on export intensity for Swedish and Italian firms respectively.</w:t>
      </w:r>
    </w:p>
    <w:p w14:paraId="0442C609" w14:textId="204922DA" w:rsidR="000710A0" w:rsidRPr="00C73908" w:rsidRDefault="00B73D44"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lastRenderedPageBreak/>
        <w:t>Collaborative Innovation:</w:t>
      </w:r>
      <w:r w:rsidRPr="00C73908">
        <w:rPr>
          <w:rFonts w:ascii="Times New Roman" w:hAnsi="Times New Roman" w:cs="Times New Roman"/>
          <w:lang w:val="en-IE"/>
        </w:rPr>
        <w:t xml:space="preserve"> </w:t>
      </w:r>
      <w:r w:rsidR="000710A0" w:rsidRPr="00C73908">
        <w:rPr>
          <w:rFonts w:ascii="Times New Roman" w:hAnsi="Times New Roman" w:cs="Times New Roman"/>
          <w:lang w:val="en-IE"/>
        </w:rPr>
        <w:t>Over the past twenty years, there has been a rapid growth in the number of studies examining the benefits of open or collaborative innovation at the firm level. Various definitions have been put forward but, broadly speaking, collaborative innovation refers to firm</w:t>
      </w:r>
      <w:r w:rsidR="00DB6478" w:rsidRPr="00C73908">
        <w:rPr>
          <w:rFonts w:ascii="Times New Roman" w:hAnsi="Times New Roman" w:cs="Times New Roman"/>
          <w:lang w:val="en-IE"/>
        </w:rPr>
        <w:t>s</w:t>
      </w:r>
      <w:r w:rsidR="000710A0" w:rsidRPr="00C73908">
        <w:rPr>
          <w:rFonts w:ascii="Times New Roman" w:hAnsi="Times New Roman" w:cs="Times New Roman"/>
          <w:lang w:val="en-IE"/>
        </w:rPr>
        <w:t xml:space="preserve"> engag</w:t>
      </w:r>
      <w:r w:rsidR="00DB6478" w:rsidRPr="00C73908">
        <w:rPr>
          <w:rFonts w:ascii="Times New Roman" w:hAnsi="Times New Roman" w:cs="Times New Roman"/>
          <w:lang w:val="en-IE"/>
        </w:rPr>
        <w:t>ing</w:t>
      </w:r>
      <w:r w:rsidR="000710A0" w:rsidRPr="00C73908">
        <w:rPr>
          <w:rFonts w:ascii="Times New Roman" w:hAnsi="Times New Roman" w:cs="Times New Roman"/>
          <w:lang w:val="en-IE"/>
        </w:rPr>
        <w:t xml:space="preserve"> with external actors in research projects</w:t>
      </w:r>
      <w:r w:rsidR="002045B3" w:rsidRPr="00C73908">
        <w:rPr>
          <w:rFonts w:ascii="Times New Roman" w:hAnsi="Times New Roman" w:cs="Times New Roman"/>
          <w:lang w:val="en-IE"/>
        </w:rPr>
        <w:t>. In</w:t>
      </w:r>
      <w:r w:rsidR="000710A0" w:rsidRPr="00C73908">
        <w:rPr>
          <w:rFonts w:ascii="Times New Roman" w:hAnsi="Times New Roman" w:cs="Times New Roman"/>
          <w:lang w:val="en-IE"/>
        </w:rPr>
        <w:t xml:space="preserve">dustry networks and research partnerships with third level institutions </w:t>
      </w:r>
      <w:r w:rsidR="002045B3" w:rsidRPr="00C73908">
        <w:rPr>
          <w:rFonts w:ascii="Times New Roman" w:hAnsi="Times New Roman" w:cs="Times New Roman"/>
          <w:lang w:val="en-IE"/>
        </w:rPr>
        <w:t>are</w:t>
      </w:r>
      <w:r w:rsidR="000710A0" w:rsidRPr="00C73908">
        <w:rPr>
          <w:rFonts w:ascii="Times New Roman" w:hAnsi="Times New Roman" w:cs="Times New Roman"/>
          <w:lang w:val="en-IE"/>
        </w:rPr>
        <w:t xml:space="preserve"> the most common forms. Cooperative arrangements can improve the innovation performance of firms by allowing them to share the costs and reduce the risks of undertaking research and providing access to expertise </w:t>
      </w:r>
      <w:r w:rsidR="00516596" w:rsidRPr="00C73908">
        <w:rPr>
          <w:rFonts w:ascii="Times New Roman" w:hAnsi="Times New Roman" w:cs="Times New Roman"/>
          <w:lang w:val="en-IE"/>
        </w:rPr>
        <w:t xml:space="preserve">and equipment </w:t>
      </w:r>
      <w:r w:rsidR="000710A0" w:rsidRPr="00C73908">
        <w:rPr>
          <w:rFonts w:ascii="Times New Roman" w:hAnsi="Times New Roman" w:cs="Times New Roman"/>
          <w:lang w:val="en-IE"/>
        </w:rPr>
        <w:t>that may not be available internally. Research on external innovation linkages of Irish manufacturing plants based on data from 1994-2008 by Vahter et al. (2014) finds that, although large firms are more likely to be engaged in collaborative R&amp;D, the benefits in terms of improved innovation performance are proportionately more important for small firms. Ganotakis and Love (2011) examine the effects of collaborative innovation on the export propensity of UK firms in high-tech industries and find that firms with “commercial collaborative agreements are more likely to export.” D’Angelo (2012), using panel data on Italian manufacturing SMEs, finds that external R&amp;D linkages, particularly with universities, have a positive influence on firm’s export intensity and suggests an important role for public policy in supporting collaborative research programmes.</w:t>
      </w:r>
    </w:p>
    <w:p w14:paraId="54950468" w14:textId="12C08714" w:rsidR="007535F8" w:rsidRPr="00C73908" w:rsidRDefault="008B6F92"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t>Effects of Exporting on Innovation:</w:t>
      </w:r>
      <w:r w:rsidRPr="00C73908">
        <w:rPr>
          <w:rFonts w:ascii="Times New Roman" w:hAnsi="Times New Roman" w:cs="Times New Roman"/>
          <w:lang w:val="en-IE"/>
        </w:rPr>
        <w:t xml:space="preserve"> </w:t>
      </w:r>
      <w:r w:rsidR="00E16DBC" w:rsidRPr="00C73908">
        <w:rPr>
          <w:rFonts w:ascii="Times New Roman" w:hAnsi="Times New Roman" w:cs="Times New Roman"/>
          <w:lang w:val="en-IE"/>
        </w:rPr>
        <w:t>In addition to the effects of innovation on exporting, t</w:t>
      </w:r>
      <w:r w:rsidR="00AA71BB" w:rsidRPr="00C73908">
        <w:rPr>
          <w:rFonts w:ascii="Times New Roman" w:hAnsi="Times New Roman" w:cs="Times New Roman"/>
          <w:lang w:val="en-IE"/>
        </w:rPr>
        <w:t xml:space="preserve">here is </w:t>
      </w:r>
      <w:r w:rsidR="00401E43" w:rsidRPr="00C73908">
        <w:rPr>
          <w:rFonts w:ascii="Times New Roman" w:hAnsi="Times New Roman" w:cs="Times New Roman"/>
          <w:lang w:val="en-IE"/>
        </w:rPr>
        <w:t xml:space="preserve">also </w:t>
      </w:r>
      <w:r w:rsidR="00E45038" w:rsidRPr="00C73908">
        <w:rPr>
          <w:rFonts w:ascii="Times New Roman" w:hAnsi="Times New Roman" w:cs="Times New Roman"/>
          <w:lang w:val="en-IE"/>
        </w:rPr>
        <w:t xml:space="preserve">some evidence </w:t>
      </w:r>
      <w:r w:rsidR="00EB0685" w:rsidRPr="00C73908">
        <w:rPr>
          <w:rFonts w:ascii="Times New Roman" w:hAnsi="Times New Roman" w:cs="Times New Roman"/>
          <w:lang w:val="en-IE"/>
        </w:rPr>
        <w:t xml:space="preserve">that causality </w:t>
      </w:r>
      <w:r w:rsidR="006D522F">
        <w:rPr>
          <w:rFonts w:ascii="Times New Roman" w:hAnsi="Times New Roman" w:cs="Times New Roman"/>
          <w:lang w:val="en-IE"/>
        </w:rPr>
        <w:t xml:space="preserve">may </w:t>
      </w:r>
      <w:r w:rsidR="00EB0685" w:rsidRPr="00C73908">
        <w:rPr>
          <w:rFonts w:ascii="Times New Roman" w:hAnsi="Times New Roman" w:cs="Times New Roman"/>
          <w:lang w:val="en-IE"/>
        </w:rPr>
        <w:t>run from exporting to innovation</w:t>
      </w:r>
      <w:r w:rsidR="00196DEA" w:rsidRPr="00C73908">
        <w:rPr>
          <w:rFonts w:ascii="Times New Roman" w:hAnsi="Times New Roman" w:cs="Times New Roman"/>
          <w:lang w:val="en-IE"/>
        </w:rPr>
        <w:t xml:space="preserve">. </w:t>
      </w:r>
      <w:r w:rsidR="001864E3" w:rsidRPr="00C73908">
        <w:rPr>
          <w:rFonts w:ascii="Times New Roman" w:hAnsi="Times New Roman" w:cs="Times New Roman"/>
          <w:lang w:val="en-IE"/>
        </w:rPr>
        <w:t>E</w:t>
      </w:r>
      <w:r w:rsidR="00196DEA" w:rsidRPr="00C73908">
        <w:rPr>
          <w:rFonts w:ascii="Times New Roman" w:hAnsi="Times New Roman" w:cs="Times New Roman"/>
          <w:lang w:val="en-IE"/>
        </w:rPr>
        <w:t xml:space="preserve">xporting </w:t>
      </w:r>
      <w:r w:rsidR="00C146E3" w:rsidRPr="00C73908">
        <w:rPr>
          <w:rFonts w:ascii="Times New Roman" w:hAnsi="Times New Roman" w:cs="Times New Roman"/>
          <w:lang w:val="en-IE"/>
        </w:rPr>
        <w:t>can lead</w:t>
      </w:r>
      <w:r w:rsidR="00196DEA" w:rsidRPr="00C73908">
        <w:rPr>
          <w:rFonts w:ascii="Times New Roman" w:hAnsi="Times New Roman" w:cs="Times New Roman"/>
          <w:lang w:val="en-IE"/>
        </w:rPr>
        <w:t xml:space="preserve"> to increased innovation activity at the firm level</w:t>
      </w:r>
      <w:r w:rsidR="00616B9C" w:rsidRPr="00C73908">
        <w:rPr>
          <w:rFonts w:ascii="Times New Roman" w:hAnsi="Times New Roman" w:cs="Times New Roman"/>
          <w:lang w:val="en-IE"/>
        </w:rPr>
        <w:t xml:space="preserve"> through a ‘learning by exporting’</w:t>
      </w:r>
      <w:r w:rsidR="00C146E3" w:rsidRPr="00C73908">
        <w:rPr>
          <w:rFonts w:ascii="Times New Roman" w:hAnsi="Times New Roman" w:cs="Times New Roman"/>
          <w:lang w:val="en-IE"/>
        </w:rPr>
        <w:t xml:space="preserve"> </w:t>
      </w:r>
      <w:r w:rsidR="00616B9C" w:rsidRPr="00C73908">
        <w:rPr>
          <w:rFonts w:ascii="Times New Roman" w:hAnsi="Times New Roman" w:cs="Times New Roman"/>
          <w:lang w:val="en-IE"/>
        </w:rPr>
        <w:t>effect</w:t>
      </w:r>
      <w:r w:rsidR="001864E3" w:rsidRPr="00C73908">
        <w:rPr>
          <w:rFonts w:ascii="Times New Roman" w:hAnsi="Times New Roman" w:cs="Times New Roman"/>
          <w:lang w:val="en-IE"/>
        </w:rPr>
        <w:t>, as mentioned earlier in the context of productivity improvements</w:t>
      </w:r>
      <w:r w:rsidR="00616B9C" w:rsidRPr="00C73908">
        <w:rPr>
          <w:rFonts w:ascii="Times New Roman" w:hAnsi="Times New Roman" w:cs="Times New Roman"/>
          <w:lang w:val="en-IE"/>
        </w:rPr>
        <w:t>.</w:t>
      </w:r>
      <w:r w:rsidR="002257E8" w:rsidRPr="00C73908">
        <w:rPr>
          <w:rFonts w:ascii="Times New Roman" w:hAnsi="Times New Roman" w:cs="Times New Roman"/>
          <w:lang w:val="en-IE"/>
        </w:rPr>
        <w:t xml:space="preserve"> </w:t>
      </w:r>
      <w:r w:rsidR="002D29A3" w:rsidRPr="00C73908">
        <w:rPr>
          <w:rFonts w:ascii="Times New Roman" w:hAnsi="Times New Roman" w:cs="Times New Roman"/>
          <w:lang w:val="en-IE"/>
        </w:rPr>
        <w:t xml:space="preserve">In a study of Spanish manufacturing firms, </w:t>
      </w:r>
      <w:r w:rsidR="009A1F40" w:rsidRPr="00C73908">
        <w:rPr>
          <w:rFonts w:ascii="Times New Roman" w:hAnsi="Times New Roman" w:cs="Times New Roman"/>
          <w:lang w:val="en-IE"/>
        </w:rPr>
        <w:t>Golovko and Valentini (2011)</w:t>
      </w:r>
      <w:r w:rsidR="003E26B3" w:rsidRPr="00C73908">
        <w:rPr>
          <w:rFonts w:ascii="Times New Roman" w:hAnsi="Times New Roman" w:cs="Times New Roman"/>
          <w:lang w:val="en-IE"/>
        </w:rPr>
        <w:t xml:space="preserve"> find that </w:t>
      </w:r>
      <w:r w:rsidR="002F5EFE" w:rsidRPr="00C73908">
        <w:rPr>
          <w:rFonts w:ascii="Times New Roman" w:hAnsi="Times New Roman" w:cs="Times New Roman"/>
          <w:lang w:val="en-IE"/>
        </w:rPr>
        <w:t xml:space="preserve">exporting </w:t>
      </w:r>
      <w:r w:rsidR="002D29A3" w:rsidRPr="00C73908">
        <w:rPr>
          <w:rFonts w:ascii="Times New Roman" w:hAnsi="Times New Roman" w:cs="Times New Roman"/>
          <w:lang w:val="en-IE"/>
        </w:rPr>
        <w:t xml:space="preserve">leads to </w:t>
      </w:r>
      <w:r w:rsidR="002F5EFE" w:rsidRPr="00C73908">
        <w:rPr>
          <w:rFonts w:ascii="Times New Roman" w:hAnsi="Times New Roman" w:cs="Times New Roman"/>
          <w:lang w:val="en-IE"/>
        </w:rPr>
        <w:t>improved innovation performance</w:t>
      </w:r>
      <w:r w:rsidR="008B29FF" w:rsidRPr="00C73908">
        <w:rPr>
          <w:rFonts w:ascii="Times New Roman" w:hAnsi="Times New Roman" w:cs="Times New Roman"/>
          <w:lang w:val="en-IE"/>
        </w:rPr>
        <w:t>. A</w:t>
      </w:r>
      <w:r w:rsidR="002F5EFE" w:rsidRPr="00C73908">
        <w:rPr>
          <w:rFonts w:ascii="Times New Roman" w:hAnsi="Times New Roman" w:cs="Times New Roman"/>
          <w:lang w:val="en-IE"/>
        </w:rPr>
        <w:t>t the same time,</w:t>
      </w:r>
      <w:r w:rsidR="003D3AA0" w:rsidRPr="00C73908">
        <w:rPr>
          <w:rFonts w:ascii="Times New Roman" w:hAnsi="Times New Roman" w:cs="Times New Roman"/>
          <w:lang w:val="en-IE"/>
        </w:rPr>
        <w:t xml:space="preserve"> firms can </w:t>
      </w:r>
      <w:r w:rsidR="008762E8" w:rsidRPr="00C73908">
        <w:rPr>
          <w:rFonts w:ascii="Times New Roman" w:hAnsi="Times New Roman" w:cs="Times New Roman"/>
          <w:lang w:val="en-IE"/>
        </w:rPr>
        <w:t xml:space="preserve">grow exports </w:t>
      </w:r>
      <w:r w:rsidR="008B29FF" w:rsidRPr="00C73908">
        <w:rPr>
          <w:rFonts w:ascii="Times New Roman" w:hAnsi="Times New Roman" w:cs="Times New Roman"/>
          <w:lang w:val="en-IE"/>
        </w:rPr>
        <w:t>through innovation with new and improved</w:t>
      </w:r>
      <w:r w:rsidR="003D3AA0" w:rsidRPr="00C73908">
        <w:rPr>
          <w:rFonts w:ascii="Times New Roman" w:hAnsi="Times New Roman" w:cs="Times New Roman"/>
          <w:lang w:val="en-IE"/>
        </w:rPr>
        <w:t xml:space="preserve"> </w:t>
      </w:r>
      <w:r w:rsidR="00FB194B" w:rsidRPr="00C73908">
        <w:rPr>
          <w:rFonts w:ascii="Times New Roman" w:hAnsi="Times New Roman" w:cs="Times New Roman"/>
          <w:lang w:val="en-IE"/>
        </w:rPr>
        <w:t>products</w:t>
      </w:r>
      <w:r w:rsidR="00436268" w:rsidRPr="00C73908">
        <w:rPr>
          <w:rFonts w:ascii="Times New Roman" w:hAnsi="Times New Roman" w:cs="Times New Roman"/>
          <w:lang w:val="en-IE"/>
        </w:rPr>
        <w:t>.</w:t>
      </w:r>
      <w:r w:rsidR="002F5EFE" w:rsidRPr="00C73908">
        <w:rPr>
          <w:rFonts w:ascii="Times New Roman" w:hAnsi="Times New Roman" w:cs="Times New Roman"/>
          <w:lang w:val="en-IE"/>
        </w:rPr>
        <w:t xml:space="preserve"> </w:t>
      </w:r>
      <w:r w:rsidR="002257E8" w:rsidRPr="00C73908">
        <w:rPr>
          <w:rFonts w:ascii="Times New Roman" w:hAnsi="Times New Roman" w:cs="Times New Roman"/>
          <w:lang w:val="en-IE"/>
        </w:rPr>
        <w:t>Girma et al. (2008)</w:t>
      </w:r>
      <w:r w:rsidR="0053759D" w:rsidRPr="00C73908">
        <w:rPr>
          <w:rFonts w:ascii="Times New Roman" w:hAnsi="Times New Roman" w:cs="Times New Roman"/>
          <w:lang w:val="en-IE"/>
        </w:rPr>
        <w:t xml:space="preserve"> investigate th</w:t>
      </w:r>
      <w:r w:rsidR="00191F31" w:rsidRPr="00C73908">
        <w:rPr>
          <w:rFonts w:ascii="Times New Roman" w:hAnsi="Times New Roman" w:cs="Times New Roman"/>
          <w:lang w:val="en-IE"/>
        </w:rPr>
        <w:t>is</w:t>
      </w:r>
      <w:r w:rsidR="0053759D" w:rsidRPr="00C73908">
        <w:rPr>
          <w:rFonts w:ascii="Times New Roman" w:hAnsi="Times New Roman" w:cs="Times New Roman"/>
          <w:lang w:val="en-IE"/>
        </w:rPr>
        <w:t xml:space="preserve"> possib</w:t>
      </w:r>
      <w:r w:rsidR="00191F31" w:rsidRPr="00C73908">
        <w:rPr>
          <w:rFonts w:ascii="Times New Roman" w:hAnsi="Times New Roman" w:cs="Times New Roman"/>
          <w:lang w:val="en-IE"/>
        </w:rPr>
        <w:t>le</w:t>
      </w:r>
      <w:r w:rsidR="0053759D" w:rsidRPr="00C73908">
        <w:rPr>
          <w:rFonts w:ascii="Times New Roman" w:hAnsi="Times New Roman" w:cs="Times New Roman"/>
          <w:lang w:val="en-IE"/>
        </w:rPr>
        <w:t xml:space="preserve"> </w:t>
      </w:r>
      <w:r w:rsidR="00191F31" w:rsidRPr="00C73908">
        <w:rPr>
          <w:rFonts w:ascii="Times New Roman" w:hAnsi="Times New Roman" w:cs="Times New Roman"/>
          <w:lang w:val="en-IE"/>
        </w:rPr>
        <w:t>two-way</w:t>
      </w:r>
      <w:r w:rsidR="0053759D" w:rsidRPr="00C73908">
        <w:rPr>
          <w:rFonts w:ascii="Times New Roman" w:hAnsi="Times New Roman" w:cs="Times New Roman"/>
          <w:lang w:val="en-IE"/>
        </w:rPr>
        <w:t xml:space="preserve"> </w:t>
      </w:r>
      <w:r w:rsidR="007E18BD" w:rsidRPr="00C73908">
        <w:rPr>
          <w:rFonts w:ascii="Times New Roman" w:hAnsi="Times New Roman" w:cs="Times New Roman"/>
          <w:lang w:val="en-IE"/>
        </w:rPr>
        <w:t xml:space="preserve">relationship between exports and R&amp;D </w:t>
      </w:r>
      <w:r w:rsidR="00FC5CEC" w:rsidRPr="00C73908">
        <w:rPr>
          <w:rFonts w:ascii="Times New Roman" w:hAnsi="Times New Roman" w:cs="Times New Roman"/>
          <w:lang w:val="en-IE"/>
        </w:rPr>
        <w:t>among UK and Irish firms using dummy variables for R&amp;D expenditure and export</w:t>
      </w:r>
      <w:r w:rsidR="009C7531" w:rsidRPr="00C73908">
        <w:rPr>
          <w:rFonts w:ascii="Times New Roman" w:hAnsi="Times New Roman" w:cs="Times New Roman"/>
          <w:lang w:val="en-IE"/>
        </w:rPr>
        <w:t>s and controlling for other variables such as firm size and average wages</w:t>
      </w:r>
      <w:r w:rsidR="00CB5AF1" w:rsidRPr="00C73908">
        <w:rPr>
          <w:rFonts w:ascii="Times New Roman" w:hAnsi="Times New Roman" w:cs="Times New Roman"/>
          <w:lang w:val="en-IE"/>
        </w:rPr>
        <w:t>.</w:t>
      </w:r>
      <w:r w:rsidR="00D02D01" w:rsidRPr="00C73908">
        <w:rPr>
          <w:rFonts w:ascii="Times New Roman" w:hAnsi="Times New Roman" w:cs="Times New Roman"/>
          <w:lang w:val="en-IE"/>
        </w:rPr>
        <w:t xml:space="preserve"> They find that</w:t>
      </w:r>
      <w:r w:rsidR="00353486" w:rsidRPr="00C73908">
        <w:rPr>
          <w:rFonts w:ascii="Times New Roman" w:hAnsi="Times New Roman" w:cs="Times New Roman"/>
          <w:lang w:val="en-IE"/>
        </w:rPr>
        <w:t xml:space="preserve"> </w:t>
      </w:r>
      <w:r w:rsidR="005800E3" w:rsidRPr="00C73908">
        <w:rPr>
          <w:rFonts w:ascii="Times New Roman" w:hAnsi="Times New Roman" w:cs="Times New Roman"/>
          <w:lang w:val="en-IE"/>
        </w:rPr>
        <w:t xml:space="preserve">past </w:t>
      </w:r>
      <w:r w:rsidR="00353486" w:rsidRPr="00C73908">
        <w:rPr>
          <w:rFonts w:ascii="Times New Roman" w:hAnsi="Times New Roman" w:cs="Times New Roman"/>
          <w:lang w:val="en-IE"/>
        </w:rPr>
        <w:t xml:space="preserve">R&amp;D </w:t>
      </w:r>
      <w:r w:rsidR="005800E3" w:rsidRPr="00C73908">
        <w:rPr>
          <w:rFonts w:ascii="Times New Roman" w:hAnsi="Times New Roman" w:cs="Times New Roman"/>
          <w:lang w:val="en-IE"/>
        </w:rPr>
        <w:t xml:space="preserve">activity plays </w:t>
      </w:r>
      <w:r w:rsidR="00353486" w:rsidRPr="00C73908">
        <w:rPr>
          <w:rFonts w:ascii="Times New Roman" w:hAnsi="Times New Roman" w:cs="Times New Roman"/>
          <w:lang w:val="en-IE"/>
        </w:rPr>
        <w:t>a major role in determining the probability of exporting</w:t>
      </w:r>
      <w:r w:rsidR="005800E3" w:rsidRPr="00C73908">
        <w:rPr>
          <w:rFonts w:ascii="Times New Roman" w:hAnsi="Times New Roman" w:cs="Times New Roman"/>
          <w:lang w:val="en-IE"/>
        </w:rPr>
        <w:t xml:space="preserve"> for Irish firms</w:t>
      </w:r>
      <w:r w:rsidR="00CB4053" w:rsidRPr="00C73908">
        <w:rPr>
          <w:rFonts w:ascii="Times New Roman" w:hAnsi="Times New Roman" w:cs="Times New Roman"/>
          <w:lang w:val="en-IE"/>
        </w:rPr>
        <w:t xml:space="preserve"> while domestic Irish exporters also benefit from</w:t>
      </w:r>
      <w:r w:rsidR="00AC42B5" w:rsidRPr="00C73908">
        <w:rPr>
          <w:rFonts w:ascii="Times New Roman" w:hAnsi="Times New Roman" w:cs="Times New Roman"/>
          <w:lang w:val="en-IE"/>
        </w:rPr>
        <w:t xml:space="preserve"> </w:t>
      </w:r>
      <w:r w:rsidR="00CB4053" w:rsidRPr="00C73908">
        <w:rPr>
          <w:rFonts w:ascii="Times New Roman" w:hAnsi="Times New Roman" w:cs="Times New Roman"/>
          <w:lang w:val="en-IE"/>
        </w:rPr>
        <w:t>“</w:t>
      </w:r>
      <w:r w:rsidR="00AC42B5" w:rsidRPr="00C73908">
        <w:rPr>
          <w:rFonts w:ascii="Times New Roman" w:hAnsi="Times New Roman" w:cs="Times New Roman"/>
          <w:lang w:val="en-IE"/>
        </w:rPr>
        <w:t>large</w:t>
      </w:r>
      <w:r w:rsidR="003273CE" w:rsidRPr="00C73908">
        <w:rPr>
          <w:rFonts w:ascii="Times New Roman" w:hAnsi="Times New Roman" w:cs="Times New Roman"/>
          <w:lang w:val="en-IE"/>
        </w:rPr>
        <w:t xml:space="preserve"> </w:t>
      </w:r>
      <w:r w:rsidR="00AC42B5" w:rsidRPr="00C73908">
        <w:rPr>
          <w:rFonts w:ascii="Times New Roman" w:hAnsi="Times New Roman" w:cs="Times New Roman"/>
          <w:lang w:val="en-IE"/>
        </w:rPr>
        <w:t>and significant direct learning-by-exporting effects</w:t>
      </w:r>
      <w:r w:rsidR="00CB4053" w:rsidRPr="00C73908">
        <w:rPr>
          <w:rFonts w:ascii="Times New Roman" w:hAnsi="Times New Roman" w:cs="Times New Roman"/>
          <w:lang w:val="en-IE"/>
        </w:rPr>
        <w:t xml:space="preserve">” </w:t>
      </w:r>
      <w:r w:rsidR="00003821" w:rsidRPr="00C73908">
        <w:rPr>
          <w:rFonts w:ascii="Times New Roman" w:hAnsi="Times New Roman" w:cs="Times New Roman"/>
          <w:lang w:val="en-IE"/>
        </w:rPr>
        <w:t>where previous exporting experience leads to increased R&amp;D activity</w:t>
      </w:r>
      <w:r w:rsidR="00BF7684" w:rsidRPr="00C73908">
        <w:rPr>
          <w:rFonts w:ascii="Times New Roman" w:hAnsi="Times New Roman" w:cs="Times New Roman"/>
          <w:lang w:val="en-IE"/>
        </w:rPr>
        <w:t xml:space="preserve">. UK firms, on the other hand, show no significant effects of </w:t>
      </w:r>
      <w:r w:rsidR="00706D77" w:rsidRPr="00C73908">
        <w:rPr>
          <w:rFonts w:ascii="Times New Roman" w:hAnsi="Times New Roman" w:cs="Times New Roman"/>
          <w:lang w:val="en-IE"/>
        </w:rPr>
        <w:t xml:space="preserve">previous </w:t>
      </w:r>
      <w:r w:rsidR="00BF7684" w:rsidRPr="00C73908">
        <w:rPr>
          <w:rFonts w:ascii="Times New Roman" w:hAnsi="Times New Roman" w:cs="Times New Roman"/>
          <w:lang w:val="en-IE"/>
        </w:rPr>
        <w:t>exporting on innovation.</w:t>
      </w:r>
      <w:r w:rsidR="00E4737D" w:rsidRPr="00C73908">
        <w:rPr>
          <w:rFonts w:ascii="Times New Roman" w:hAnsi="Times New Roman" w:cs="Times New Roman"/>
          <w:lang w:val="en-IE"/>
        </w:rPr>
        <w:t xml:space="preserve"> </w:t>
      </w:r>
      <w:r w:rsidR="00B442D4" w:rsidRPr="00C73908">
        <w:rPr>
          <w:rFonts w:ascii="Times New Roman" w:hAnsi="Times New Roman" w:cs="Times New Roman"/>
          <w:lang w:val="en-IE"/>
        </w:rPr>
        <w:t xml:space="preserve">There are several </w:t>
      </w:r>
      <w:r w:rsidR="003E3345" w:rsidRPr="00C73908">
        <w:rPr>
          <w:rFonts w:ascii="Times New Roman" w:hAnsi="Times New Roman" w:cs="Times New Roman"/>
          <w:lang w:val="en-IE"/>
        </w:rPr>
        <w:t xml:space="preserve">possible reasons for the </w:t>
      </w:r>
      <w:r w:rsidR="00A40495" w:rsidRPr="00C73908">
        <w:rPr>
          <w:rFonts w:ascii="Times New Roman" w:hAnsi="Times New Roman" w:cs="Times New Roman"/>
          <w:lang w:val="en-IE"/>
        </w:rPr>
        <w:t xml:space="preserve">apparent </w:t>
      </w:r>
      <w:r w:rsidR="003E3345" w:rsidRPr="00C73908">
        <w:rPr>
          <w:rFonts w:ascii="Times New Roman" w:hAnsi="Times New Roman" w:cs="Times New Roman"/>
          <w:lang w:val="en-IE"/>
        </w:rPr>
        <w:t xml:space="preserve">presence of this learning-by-exporting </w:t>
      </w:r>
      <w:r w:rsidR="00A40495" w:rsidRPr="00C73908">
        <w:rPr>
          <w:rFonts w:ascii="Times New Roman" w:hAnsi="Times New Roman" w:cs="Times New Roman"/>
          <w:lang w:val="en-IE"/>
        </w:rPr>
        <w:t>effect</w:t>
      </w:r>
      <w:r w:rsidR="009E3D21" w:rsidRPr="00C73908">
        <w:rPr>
          <w:rFonts w:ascii="Times New Roman" w:hAnsi="Times New Roman" w:cs="Times New Roman"/>
          <w:lang w:val="en-IE"/>
        </w:rPr>
        <w:t xml:space="preserve"> in Irish firms</w:t>
      </w:r>
      <w:r w:rsidR="00A40495" w:rsidRPr="00C73908">
        <w:rPr>
          <w:rFonts w:ascii="Times New Roman" w:hAnsi="Times New Roman" w:cs="Times New Roman"/>
          <w:lang w:val="en-IE"/>
        </w:rPr>
        <w:t>.</w:t>
      </w:r>
      <w:r w:rsidR="009F5401" w:rsidRPr="00C73908">
        <w:rPr>
          <w:rFonts w:ascii="Times New Roman" w:hAnsi="Times New Roman" w:cs="Times New Roman"/>
          <w:lang w:val="en-IE"/>
        </w:rPr>
        <w:t xml:space="preserve"> Higher R&amp;D intensity among Irish firms may</w:t>
      </w:r>
      <w:r w:rsidR="00EF3DB4" w:rsidRPr="00C73908">
        <w:rPr>
          <w:rFonts w:ascii="Times New Roman" w:hAnsi="Times New Roman" w:cs="Times New Roman"/>
          <w:lang w:val="en-IE"/>
        </w:rPr>
        <w:t xml:space="preserve"> </w:t>
      </w:r>
      <w:r w:rsidR="00100E83" w:rsidRPr="00C73908">
        <w:rPr>
          <w:rFonts w:ascii="Times New Roman" w:hAnsi="Times New Roman" w:cs="Times New Roman"/>
          <w:lang w:val="en-IE"/>
        </w:rPr>
        <w:t xml:space="preserve">indicate </w:t>
      </w:r>
      <w:r w:rsidR="00C222D0" w:rsidRPr="00C73908">
        <w:rPr>
          <w:rFonts w:ascii="Times New Roman" w:hAnsi="Times New Roman" w:cs="Times New Roman"/>
          <w:lang w:val="en-IE"/>
        </w:rPr>
        <w:t xml:space="preserve">that they have </w:t>
      </w:r>
      <w:r w:rsidR="0090220C" w:rsidRPr="00C73908">
        <w:rPr>
          <w:rFonts w:ascii="Times New Roman" w:hAnsi="Times New Roman" w:cs="Times New Roman"/>
          <w:lang w:val="en-IE"/>
        </w:rPr>
        <w:t>“</w:t>
      </w:r>
      <w:r w:rsidR="00C222D0" w:rsidRPr="00C73908">
        <w:rPr>
          <w:rFonts w:ascii="Times New Roman" w:hAnsi="Times New Roman" w:cs="Times New Roman"/>
          <w:lang w:val="en-IE"/>
        </w:rPr>
        <w:t>higher absorptive capacity to assimilate the knowledge that is being transferred from exporting</w:t>
      </w:r>
      <w:r w:rsidR="0090220C" w:rsidRPr="00C73908">
        <w:rPr>
          <w:rFonts w:ascii="Times New Roman" w:hAnsi="Times New Roman" w:cs="Times New Roman"/>
          <w:lang w:val="en-IE"/>
        </w:rPr>
        <w:t>.</w:t>
      </w:r>
      <w:r w:rsidR="00C222D0" w:rsidRPr="00C73908">
        <w:rPr>
          <w:rFonts w:ascii="Times New Roman" w:hAnsi="Times New Roman" w:cs="Times New Roman"/>
          <w:lang w:val="en-IE"/>
        </w:rPr>
        <w:t>”</w:t>
      </w:r>
      <w:r w:rsidR="0090220C" w:rsidRPr="00C73908">
        <w:rPr>
          <w:rFonts w:ascii="Times New Roman" w:hAnsi="Times New Roman" w:cs="Times New Roman"/>
          <w:lang w:val="en-IE"/>
        </w:rPr>
        <w:t xml:space="preserve"> </w:t>
      </w:r>
      <w:r w:rsidR="00380580" w:rsidRPr="00C73908">
        <w:rPr>
          <w:rFonts w:ascii="Times New Roman" w:hAnsi="Times New Roman" w:cs="Times New Roman"/>
          <w:lang w:val="en-IE"/>
        </w:rPr>
        <w:t xml:space="preserve">Ireland is </w:t>
      </w:r>
      <w:r w:rsidR="00B71F6D" w:rsidRPr="00C73908">
        <w:rPr>
          <w:rFonts w:ascii="Times New Roman" w:hAnsi="Times New Roman" w:cs="Times New Roman"/>
          <w:lang w:val="en-IE"/>
        </w:rPr>
        <w:t xml:space="preserve">also </w:t>
      </w:r>
      <w:r w:rsidR="00380580" w:rsidRPr="00C73908">
        <w:rPr>
          <w:rFonts w:ascii="Times New Roman" w:hAnsi="Times New Roman" w:cs="Times New Roman"/>
          <w:lang w:val="en-IE"/>
        </w:rPr>
        <w:t>a small, highly specialized economy</w:t>
      </w:r>
      <w:r w:rsidR="00B71F6D" w:rsidRPr="00C73908">
        <w:rPr>
          <w:rFonts w:ascii="Times New Roman" w:hAnsi="Times New Roman" w:cs="Times New Roman"/>
          <w:lang w:val="en-IE"/>
        </w:rPr>
        <w:t xml:space="preserve"> and</w:t>
      </w:r>
      <w:r w:rsidR="006A2869" w:rsidRPr="00C73908">
        <w:rPr>
          <w:rFonts w:ascii="Times New Roman" w:hAnsi="Times New Roman" w:cs="Times New Roman"/>
          <w:lang w:val="en-IE"/>
        </w:rPr>
        <w:t>,</w:t>
      </w:r>
      <w:r w:rsidR="00B71F6D" w:rsidRPr="00C73908">
        <w:rPr>
          <w:rFonts w:ascii="Times New Roman" w:hAnsi="Times New Roman" w:cs="Times New Roman"/>
          <w:lang w:val="en-IE"/>
        </w:rPr>
        <w:t xml:space="preserve"> </w:t>
      </w:r>
      <w:r w:rsidR="006A2869" w:rsidRPr="00C73908">
        <w:rPr>
          <w:rFonts w:ascii="Times New Roman" w:hAnsi="Times New Roman" w:cs="Times New Roman"/>
          <w:lang w:val="en-IE"/>
        </w:rPr>
        <w:t>therefore</w:t>
      </w:r>
      <w:r w:rsidR="00E40AC9" w:rsidRPr="00C73908">
        <w:rPr>
          <w:rFonts w:ascii="Times New Roman" w:hAnsi="Times New Roman" w:cs="Times New Roman"/>
          <w:lang w:val="en-IE"/>
        </w:rPr>
        <w:t>,</w:t>
      </w:r>
      <w:r w:rsidR="00380580" w:rsidRPr="00C73908">
        <w:rPr>
          <w:rFonts w:ascii="Times New Roman" w:hAnsi="Times New Roman" w:cs="Times New Roman"/>
          <w:lang w:val="en-IE"/>
        </w:rPr>
        <w:t xml:space="preserve"> exposure to larger</w:t>
      </w:r>
      <w:r w:rsidR="006A2869" w:rsidRPr="00C73908">
        <w:rPr>
          <w:rFonts w:ascii="Times New Roman" w:hAnsi="Times New Roman" w:cs="Times New Roman"/>
          <w:lang w:val="en-IE"/>
        </w:rPr>
        <w:t>,</w:t>
      </w:r>
      <w:r w:rsidR="00380580" w:rsidRPr="00C73908">
        <w:rPr>
          <w:rFonts w:ascii="Times New Roman" w:hAnsi="Times New Roman" w:cs="Times New Roman"/>
          <w:lang w:val="en-IE"/>
        </w:rPr>
        <w:t xml:space="preserve"> more sophisticated markets </w:t>
      </w:r>
      <w:r w:rsidR="00EF1660">
        <w:rPr>
          <w:rFonts w:ascii="Times New Roman" w:hAnsi="Times New Roman" w:cs="Times New Roman"/>
          <w:lang w:val="en-IE"/>
        </w:rPr>
        <w:t>may be more</w:t>
      </w:r>
      <w:r w:rsidR="00380580" w:rsidRPr="00C73908">
        <w:rPr>
          <w:rFonts w:ascii="Times New Roman" w:hAnsi="Times New Roman" w:cs="Times New Roman"/>
          <w:lang w:val="en-IE"/>
        </w:rPr>
        <w:t xml:space="preserve"> likely to impact on</w:t>
      </w:r>
      <w:r w:rsidR="00E33735">
        <w:rPr>
          <w:rFonts w:ascii="Times New Roman" w:hAnsi="Times New Roman" w:cs="Times New Roman"/>
          <w:lang w:val="en-IE"/>
        </w:rPr>
        <w:t xml:space="preserve"> a</w:t>
      </w:r>
      <w:r w:rsidR="00380580" w:rsidRPr="00C73908">
        <w:rPr>
          <w:rFonts w:ascii="Times New Roman" w:hAnsi="Times New Roman" w:cs="Times New Roman"/>
          <w:lang w:val="en-IE"/>
        </w:rPr>
        <w:t xml:space="preserve"> company’s future </w:t>
      </w:r>
      <w:r w:rsidR="000E5047">
        <w:rPr>
          <w:rFonts w:ascii="Times New Roman" w:hAnsi="Times New Roman" w:cs="Times New Roman"/>
          <w:lang w:val="en-IE"/>
        </w:rPr>
        <w:t>innovation activities</w:t>
      </w:r>
      <w:r w:rsidR="00380580" w:rsidRPr="00C73908">
        <w:rPr>
          <w:rFonts w:ascii="Times New Roman" w:hAnsi="Times New Roman" w:cs="Times New Roman"/>
          <w:lang w:val="en-IE"/>
        </w:rPr>
        <w:t xml:space="preserve"> </w:t>
      </w:r>
      <w:r w:rsidR="00E40AC9" w:rsidRPr="00C73908">
        <w:rPr>
          <w:rFonts w:ascii="Times New Roman" w:hAnsi="Times New Roman" w:cs="Times New Roman"/>
          <w:lang w:val="en-IE"/>
        </w:rPr>
        <w:t>and</w:t>
      </w:r>
      <w:r w:rsidR="00380580" w:rsidRPr="00C73908">
        <w:rPr>
          <w:rFonts w:ascii="Times New Roman" w:hAnsi="Times New Roman" w:cs="Times New Roman"/>
          <w:lang w:val="en-IE"/>
        </w:rPr>
        <w:t xml:space="preserve"> pipeline of products under development</w:t>
      </w:r>
      <w:r w:rsidR="000D17F7" w:rsidRPr="00C73908">
        <w:rPr>
          <w:rFonts w:ascii="Times New Roman" w:hAnsi="Times New Roman" w:cs="Times New Roman"/>
          <w:lang w:val="en-IE"/>
        </w:rPr>
        <w:t>.</w:t>
      </w:r>
    </w:p>
    <w:p w14:paraId="5F966681" w14:textId="7132DA99" w:rsidR="00051598" w:rsidRPr="00C73908" w:rsidRDefault="008B6F92"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lastRenderedPageBreak/>
        <w:t>Irish Context:</w:t>
      </w:r>
      <w:r w:rsidRPr="00C73908">
        <w:rPr>
          <w:rFonts w:ascii="Times New Roman" w:hAnsi="Times New Roman" w:cs="Times New Roman"/>
          <w:lang w:val="en-IE"/>
        </w:rPr>
        <w:t xml:space="preserve"> </w:t>
      </w:r>
      <w:r w:rsidR="001D7D41" w:rsidRPr="00C73908">
        <w:rPr>
          <w:rFonts w:ascii="Times New Roman" w:hAnsi="Times New Roman" w:cs="Times New Roman"/>
          <w:lang w:val="en-IE"/>
        </w:rPr>
        <w:t xml:space="preserve">Several studies have examined the </w:t>
      </w:r>
      <w:r w:rsidR="0077617D" w:rsidRPr="00C73908">
        <w:rPr>
          <w:rFonts w:ascii="Times New Roman" w:hAnsi="Times New Roman" w:cs="Times New Roman"/>
          <w:lang w:val="en-IE"/>
        </w:rPr>
        <w:t>effects of R&amp;D and innovation</w:t>
      </w:r>
      <w:r w:rsidR="001D7D41" w:rsidRPr="00C73908">
        <w:rPr>
          <w:rFonts w:ascii="Times New Roman" w:hAnsi="Times New Roman" w:cs="Times New Roman"/>
          <w:lang w:val="en-IE"/>
        </w:rPr>
        <w:t xml:space="preserve"> </w:t>
      </w:r>
      <w:r w:rsidR="0077617D" w:rsidRPr="00C73908">
        <w:rPr>
          <w:rFonts w:ascii="Times New Roman" w:hAnsi="Times New Roman" w:cs="Times New Roman"/>
          <w:lang w:val="en-IE"/>
        </w:rPr>
        <w:t xml:space="preserve">on </w:t>
      </w:r>
      <w:r w:rsidR="00803AB6" w:rsidRPr="00C73908">
        <w:rPr>
          <w:rFonts w:ascii="Times New Roman" w:hAnsi="Times New Roman" w:cs="Times New Roman"/>
          <w:lang w:val="en-IE"/>
        </w:rPr>
        <w:t xml:space="preserve">firm level </w:t>
      </w:r>
      <w:r w:rsidR="0077617D" w:rsidRPr="00C73908">
        <w:rPr>
          <w:rFonts w:ascii="Times New Roman" w:hAnsi="Times New Roman" w:cs="Times New Roman"/>
          <w:lang w:val="en-IE"/>
        </w:rPr>
        <w:t>export p</w:t>
      </w:r>
      <w:r w:rsidR="00803AB6" w:rsidRPr="00C73908">
        <w:rPr>
          <w:rFonts w:ascii="Times New Roman" w:hAnsi="Times New Roman" w:cs="Times New Roman"/>
          <w:lang w:val="en-IE"/>
        </w:rPr>
        <w:t xml:space="preserve">erformance from an Irish perspective. </w:t>
      </w:r>
      <w:r w:rsidR="00AD36B3" w:rsidRPr="00C73908">
        <w:rPr>
          <w:rFonts w:ascii="Times New Roman" w:hAnsi="Times New Roman" w:cs="Times New Roman"/>
          <w:lang w:val="en-IE"/>
        </w:rPr>
        <w:t xml:space="preserve">Firm level </w:t>
      </w:r>
      <w:r w:rsidR="00781958">
        <w:rPr>
          <w:rFonts w:ascii="Times New Roman" w:hAnsi="Times New Roman" w:cs="Times New Roman"/>
          <w:lang w:val="en-IE"/>
        </w:rPr>
        <w:t>analysis</w:t>
      </w:r>
      <w:r w:rsidR="00AD36B3" w:rsidRPr="00C73908">
        <w:rPr>
          <w:rFonts w:ascii="Times New Roman" w:hAnsi="Times New Roman" w:cs="Times New Roman"/>
          <w:lang w:val="en-IE"/>
        </w:rPr>
        <w:t xml:space="preserve"> on </w:t>
      </w:r>
      <w:r w:rsidR="00781958">
        <w:rPr>
          <w:rFonts w:ascii="Times New Roman" w:hAnsi="Times New Roman" w:cs="Times New Roman"/>
          <w:lang w:val="en-IE"/>
        </w:rPr>
        <w:t xml:space="preserve">the </w:t>
      </w:r>
      <w:r w:rsidR="00AD36B3" w:rsidRPr="00C73908">
        <w:rPr>
          <w:rFonts w:ascii="Times New Roman" w:hAnsi="Times New Roman" w:cs="Times New Roman"/>
          <w:lang w:val="en-IE"/>
        </w:rPr>
        <w:t xml:space="preserve">determinants of export propensity and </w:t>
      </w:r>
      <w:r w:rsidR="00C533BC">
        <w:rPr>
          <w:rFonts w:ascii="Times New Roman" w:hAnsi="Times New Roman" w:cs="Times New Roman"/>
          <w:lang w:val="en-IE"/>
        </w:rPr>
        <w:t>intensity</w:t>
      </w:r>
      <w:r w:rsidR="00AD36B3" w:rsidRPr="00C73908">
        <w:rPr>
          <w:rFonts w:ascii="Times New Roman" w:hAnsi="Times New Roman" w:cs="Times New Roman"/>
          <w:lang w:val="en-IE"/>
        </w:rPr>
        <w:t xml:space="preserve"> by t</w:t>
      </w:r>
      <w:r w:rsidR="0013616D" w:rsidRPr="00C73908">
        <w:rPr>
          <w:rFonts w:ascii="Times New Roman" w:hAnsi="Times New Roman" w:cs="Times New Roman"/>
          <w:lang w:val="en-IE"/>
        </w:rPr>
        <w:t>he ESRI (200</w:t>
      </w:r>
      <w:r w:rsidR="000433CC" w:rsidRPr="00C73908">
        <w:rPr>
          <w:rFonts w:ascii="Times New Roman" w:hAnsi="Times New Roman" w:cs="Times New Roman"/>
          <w:lang w:val="en-IE"/>
        </w:rPr>
        <w:t>6</w:t>
      </w:r>
      <w:r w:rsidR="0013616D" w:rsidRPr="00C73908">
        <w:rPr>
          <w:rFonts w:ascii="Times New Roman" w:hAnsi="Times New Roman" w:cs="Times New Roman"/>
          <w:lang w:val="en-IE"/>
        </w:rPr>
        <w:t xml:space="preserve">) </w:t>
      </w:r>
      <w:r w:rsidR="00AD36B3" w:rsidRPr="00C73908">
        <w:rPr>
          <w:rFonts w:ascii="Times New Roman" w:hAnsi="Times New Roman" w:cs="Times New Roman"/>
          <w:lang w:val="en-IE"/>
        </w:rPr>
        <w:t>shows</w:t>
      </w:r>
      <w:r w:rsidR="0013616D" w:rsidRPr="00C73908">
        <w:rPr>
          <w:rFonts w:ascii="Times New Roman" w:hAnsi="Times New Roman" w:cs="Times New Roman"/>
          <w:lang w:val="en-IE"/>
        </w:rPr>
        <w:t xml:space="preserve"> that </w:t>
      </w:r>
      <w:r w:rsidR="002C6F51" w:rsidRPr="00C73908">
        <w:rPr>
          <w:rFonts w:ascii="Times New Roman" w:hAnsi="Times New Roman" w:cs="Times New Roman"/>
          <w:lang w:val="en-IE"/>
        </w:rPr>
        <w:t xml:space="preserve">R&amp;D </w:t>
      </w:r>
      <w:r w:rsidR="00831A17" w:rsidRPr="00C73908">
        <w:rPr>
          <w:rFonts w:ascii="Times New Roman" w:hAnsi="Times New Roman" w:cs="Times New Roman"/>
          <w:lang w:val="en-IE"/>
        </w:rPr>
        <w:t xml:space="preserve">active firms </w:t>
      </w:r>
      <w:r w:rsidR="002C6F51" w:rsidRPr="00C73908">
        <w:rPr>
          <w:rFonts w:ascii="Times New Roman" w:hAnsi="Times New Roman" w:cs="Times New Roman"/>
          <w:lang w:val="en-IE"/>
        </w:rPr>
        <w:t>(</w:t>
      </w:r>
      <w:r w:rsidR="0025064A" w:rsidRPr="00C73908">
        <w:rPr>
          <w:rFonts w:ascii="Times New Roman" w:hAnsi="Times New Roman" w:cs="Times New Roman"/>
          <w:lang w:val="en-IE"/>
        </w:rPr>
        <w:t>using</w:t>
      </w:r>
      <w:r w:rsidR="002C6F51" w:rsidRPr="00C73908">
        <w:rPr>
          <w:rFonts w:ascii="Times New Roman" w:hAnsi="Times New Roman" w:cs="Times New Roman"/>
          <w:lang w:val="en-IE"/>
        </w:rPr>
        <w:t xml:space="preserve"> </w:t>
      </w:r>
      <w:r w:rsidR="00AE494E" w:rsidRPr="00C73908">
        <w:rPr>
          <w:rFonts w:ascii="Times New Roman" w:hAnsi="Times New Roman" w:cs="Times New Roman"/>
          <w:lang w:val="en-IE"/>
        </w:rPr>
        <w:t xml:space="preserve">internal </w:t>
      </w:r>
      <w:r w:rsidR="00121AA8" w:rsidRPr="00C73908">
        <w:rPr>
          <w:rFonts w:ascii="Times New Roman" w:hAnsi="Times New Roman" w:cs="Times New Roman"/>
          <w:lang w:val="en-IE"/>
        </w:rPr>
        <w:t xml:space="preserve">employment in </w:t>
      </w:r>
      <w:r w:rsidR="002C6F51" w:rsidRPr="00C73908">
        <w:rPr>
          <w:rFonts w:ascii="Times New Roman" w:hAnsi="Times New Roman" w:cs="Times New Roman"/>
          <w:lang w:val="en-IE"/>
        </w:rPr>
        <w:t>R&amp;D</w:t>
      </w:r>
      <w:r w:rsidR="00AE494E" w:rsidRPr="00C73908">
        <w:rPr>
          <w:rFonts w:ascii="Times New Roman" w:hAnsi="Times New Roman" w:cs="Times New Roman"/>
          <w:lang w:val="en-IE"/>
        </w:rPr>
        <w:t xml:space="preserve"> </w:t>
      </w:r>
      <w:r w:rsidR="0025064A" w:rsidRPr="00C73908">
        <w:rPr>
          <w:rFonts w:ascii="Times New Roman" w:hAnsi="Times New Roman" w:cs="Times New Roman"/>
          <w:lang w:val="en-IE"/>
        </w:rPr>
        <w:t xml:space="preserve">as a </w:t>
      </w:r>
      <w:r w:rsidR="00121AA8" w:rsidRPr="00C73908">
        <w:rPr>
          <w:rFonts w:ascii="Times New Roman" w:hAnsi="Times New Roman" w:cs="Times New Roman"/>
          <w:lang w:val="en-IE"/>
        </w:rPr>
        <w:t>measure of R&amp;D activity</w:t>
      </w:r>
      <w:r w:rsidR="00AE494E" w:rsidRPr="00C73908">
        <w:rPr>
          <w:rFonts w:ascii="Times New Roman" w:hAnsi="Times New Roman" w:cs="Times New Roman"/>
          <w:lang w:val="en-IE"/>
        </w:rPr>
        <w:t xml:space="preserve">) </w:t>
      </w:r>
      <w:r w:rsidR="00831A17" w:rsidRPr="00C73908">
        <w:rPr>
          <w:rFonts w:ascii="Times New Roman" w:hAnsi="Times New Roman" w:cs="Times New Roman"/>
          <w:lang w:val="en-IE"/>
        </w:rPr>
        <w:t>are more likely to</w:t>
      </w:r>
      <w:r w:rsidR="009950F0" w:rsidRPr="00C73908">
        <w:rPr>
          <w:rFonts w:ascii="Times New Roman" w:hAnsi="Times New Roman" w:cs="Times New Roman"/>
          <w:lang w:val="en-IE"/>
        </w:rPr>
        <w:t xml:space="preserve"> export and </w:t>
      </w:r>
      <w:r w:rsidR="00B55530">
        <w:rPr>
          <w:rFonts w:ascii="Times New Roman" w:hAnsi="Times New Roman" w:cs="Times New Roman"/>
          <w:lang w:val="en-IE"/>
        </w:rPr>
        <w:t>tend to</w:t>
      </w:r>
      <w:r w:rsidR="009950F0" w:rsidRPr="00C73908">
        <w:rPr>
          <w:rFonts w:ascii="Times New Roman" w:hAnsi="Times New Roman" w:cs="Times New Roman"/>
          <w:lang w:val="en-IE"/>
        </w:rPr>
        <w:t xml:space="preserve"> export a larger share of </w:t>
      </w:r>
      <w:r w:rsidR="00A661B9" w:rsidRPr="00C73908">
        <w:rPr>
          <w:rFonts w:ascii="Times New Roman" w:hAnsi="Times New Roman" w:cs="Times New Roman"/>
          <w:lang w:val="en-IE"/>
        </w:rPr>
        <w:t>their</w:t>
      </w:r>
      <w:r w:rsidR="009950F0" w:rsidRPr="00C73908">
        <w:rPr>
          <w:rFonts w:ascii="Times New Roman" w:hAnsi="Times New Roman" w:cs="Times New Roman"/>
          <w:lang w:val="en-IE"/>
        </w:rPr>
        <w:t xml:space="preserve"> output</w:t>
      </w:r>
      <w:r w:rsidR="001560E4" w:rsidRPr="00C73908">
        <w:rPr>
          <w:rFonts w:ascii="Times New Roman" w:hAnsi="Times New Roman" w:cs="Times New Roman"/>
          <w:lang w:val="en-IE"/>
        </w:rPr>
        <w:t xml:space="preserve">. </w:t>
      </w:r>
      <w:r w:rsidR="002C6F51" w:rsidRPr="00C73908">
        <w:rPr>
          <w:rFonts w:ascii="Times New Roman" w:hAnsi="Times New Roman" w:cs="Times New Roman"/>
          <w:lang w:val="en-IE"/>
        </w:rPr>
        <w:t xml:space="preserve"> </w:t>
      </w:r>
      <w:r w:rsidR="00051598" w:rsidRPr="00C73908">
        <w:rPr>
          <w:rFonts w:ascii="Times New Roman" w:hAnsi="Times New Roman" w:cs="Times New Roman"/>
          <w:lang w:val="en-IE"/>
        </w:rPr>
        <w:t>Lawless</w:t>
      </w:r>
      <w:r w:rsidR="006E0432" w:rsidRPr="00C73908">
        <w:rPr>
          <w:rFonts w:ascii="Times New Roman" w:hAnsi="Times New Roman" w:cs="Times New Roman"/>
          <w:lang w:val="en-IE"/>
        </w:rPr>
        <w:t xml:space="preserve"> et al.</w:t>
      </w:r>
      <w:r w:rsidR="00051598" w:rsidRPr="00C73908">
        <w:rPr>
          <w:rFonts w:ascii="Times New Roman" w:hAnsi="Times New Roman" w:cs="Times New Roman"/>
          <w:lang w:val="en-IE"/>
        </w:rPr>
        <w:t xml:space="preserve"> (2017)</w:t>
      </w:r>
      <w:r w:rsidR="004D010D" w:rsidRPr="00C73908">
        <w:rPr>
          <w:rFonts w:ascii="Times New Roman" w:hAnsi="Times New Roman" w:cs="Times New Roman"/>
          <w:lang w:val="en-IE"/>
        </w:rPr>
        <w:t xml:space="preserve"> </w:t>
      </w:r>
      <w:r w:rsidR="00C01CC2" w:rsidRPr="00C73908">
        <w:rPr>
          <w:rFonts w:ascii="Times New Roman" w:hAnsi="Times New Roman" w:cs="Times New Roman"/>
          <w:lang w:val="en-IE"/>
        </w:rPr>
        <w:t xml:space="preserve">produce several interesting findings in their </w:t>
      </w:r>
      <w:r w:rsidR="00A64BBC" w:rsidRPr="00C73908">
        <w:rPr>
          <w:rFonts w:ascii="Times New Roman" w:hAnsi="Times New Roman" w:cs="Times New Roman"/>
          <w:lang w:val="en-IE"/>
        </w:rPr>
        <w:t>study</w:t>
      </w:r>
      <w:r w:rsidR="0027348F" w:rsidRPr="00C73908">
        <w:rPr>
          <w:rFonts w:ascii="Times New Roman" w:hAnsi="Times New Roman" w:cs="Times New Roman"/>
          <w:lang w:val="en-IE"/>
        </w:rPr>
        <w:t xml:space="preserve"> of</w:t>
      </w:r>
      <w:r w:rsidR="00A64BBC" w:rsidRPr="00C73908">
        <w:rPr>
          <w:rFonts w:ascii="Times New Roman" w:hAnsi="Times New Roman" w:cs="Times New Roman"/>
          <w:lang w:val="en-IE"/>
        </w:rPr>
        <w:t xml:space="preserve"> </w:t>
      </w:r>
      <w:r w:rsidR="00446B31" w:rsidRPr="00C73908">
        <w:rPr>
          <w:rFonts w:ascii="Times New Roman" w:hAnsi="Times New Roman" w:cs="Times New Roman"/>
          <w:lang w:val="en-IE"/>
        </w:rPr>
        <w:t xml:space="preserve">the trade patterns of Irish manufacturing firms </w:t>
      </w:r>
      <w:r w:rsidR="0027348F" w:rsidRPr="00C73908">
        <w:rPr>
          <w:rFonts w:ascii="Times New Roman" w:hAnsi="Times New Roman" w:cs="Times New Roman"/>
          <w:lang w:val="en-IE"/>
        </w:rPr>
        <w:t xml:space="preserve">which </w:t>
      </w:r>
      <w:r w:rsidR="00446B31" w:rsidRPr="00C73908">
        <w:rPr>
          <w:rFonts w:ascii="Times New Roman" w:hAnsi="Times New Roman" w:cs="Times New Roman"/>
          <w:lang w:val="en-IE"/>
        </w:rPr>
        <w:t>us</w:t>
      </w:r>
      <w:r w:rsidR="0027348F" w:rsidRPr="00C73908">
        <w:rPr>
          <w:rFonts w:ascii="Times New Roman" w:hAnsi="Times New Roman" w:cs="Times New Roman"/>
          <w:lang w:val="en-IE"/>
        </w:rPr>
        <w:t>es</w:t>
      </w:r>
      <w:r w:rsidR="00446B31" w:rsidRPr="00C73908">
        <w:rPr>
          <w:rFonts w:ascii="Times New Roman" w:hAnsi="Times New Roman" w:cs="Times New Roman"/>
          <w:lang w:val="en-IE"/>
        </w:rPr>
        <w:t xml:space="preserve"> </w:t>
      </w:r>
      <w:r w:rsidR="00194148" w:rsidRPr="00C73908">
        <w:rPr>
          <w:rFonts w:ascii="Times New Roman" w:hAnsi="Times New Roman" w:cs="Times New Roman"/>
          <w:lang w:val="en-IE"/>
        </w:rPr>
        <w:t xml:space="preserve">a dataset of </w:t>
      </w:r>
      <w:r w:rsidR="00446B31" w:rsidRPr="00C73908">
        <w:rPr>
          <w:rFonts w:ascii="Times New Roman" w:hAnsi="Times New Roman" w:cs="Times New Roman"/>
          <w:lang w:val="en-IE"/>
        </w:rPr>
        <w:t xml:space="preserve">highly granular product-destination </w:t>
      </w:r>
      <w:r w:rsidR="00194148" w:rsidRPr="00C73908">
        <w:rPr>
          <w:rFonts w:ascii="Times New Roman" w:hAnsi="Times New Roman" w:cs="Times New Roman"/>
          <w:lang w:val="en-IE"/>
        </w:rPr>
        <w:t>data and enterprise characteristics.</w:t>
      </w:r>
      <w:r w:rsidR="00726570" w:rsidRPr="00C73908">
        <w:rPr>
          <w:rFonts w:ascii="Times New Roman" w:hAnsi="Times New Roman" w:cs="Times New Roman"/>
          <w:lang w:val="en-IE"/>
        </w:rPr>
        <w:t xml:space="preserve"> </w:t>
      </w:r>
      <w:r w:rsidR="0016075C" w:rsidRPr="00C73908">
        <w:rPr>
          <w:rFonts w:ascii="Times New Roman" w:hAnsi="Times New Roman" w:cs="Times New Roman"/>
          <w:lang w:val="en-IE"/>
        </w:rPr>
        <w:t>They find that</w:t>
      </w:r>
      <w:r w:rsidR="00FA64DB" w:rsidRPr="00C73908">
        <w:rPr>
          <w:rFonts w:ascii="Times New Roman" w:hAnsi="Times New Roman" w:cs="Times New Roman"/>
          <w:lang w:val="en-IE"/>
        </w:rPr>
        <w:t xml:space="preserve"> exporting </w:t>
      </w:r>
      <w:r w:rsidR="006335DD" w:rsidRPr="00C73908">
        <w:rPr>
          <w:rFonts w:ascii="Times New Roman" w:hAnsi="Times New Roman" w:cs="Times New Roman"/>
          <w:lang w:val="en-IE"/>
        </w:rPr>
        <w:t>is</w:t>
      </w:r>
      <w:r w:rsidR="00FA64DB" w:rsidRPr="00C73908">
        <w:rPr>
          <w:rFonts w:ascii="Times New Roman" w:hAnsi="Times New Roman" w:cs="Times New Roman"/>
          <w:lang w:val="en-IE"/>
        </w:rPr>
        <w:t xml:space="preserve"> highly dynamic </w:t>
      </w:r>
      <w:r w:rsidR="006335DD" w:rsidRPr="00C73908">
        <w:rPr>
          <w:rFonts w:ascii="Times New Roman" w:hAnsi="Times New Roman" w:cs="Times New Roman"/>
          <w:lang w:val="en-IE"/>
        </w:rPr>
        <w:t xml:space="preserve">with continuing exporters showing </w:t>
      </w:r>
      <w:r w:rsidR="008354EE" w:rsidRPr="00C73908">
        <w:rPr>
          <w:rFonts w:ascii="Times New Roman" w:hAnsi="Times New Roman" w:cs="Times New Roman"/>
          <w:lang w:val="en-IE"/>
        </w:rPr>
        <w:t>high levels of entry and exit in both products and destinations</w:t>
      </w:r>
      <w:r w:rsidR="00993C4E" w:rsidRPr="00C73908">
        <w:rPr>
          <w:rFonts w:ascii="Times New Roman" w:hAnsi="Times New Roman" w:cs="Times New Roman"/>
          <w:lang w:val="en-IE"/>
        </w:rPr>
        <w:t xml:space="preserve"> and that, while short term changes in export</w:t>
      </w:r>
      <w:r w:rsidR="00782F8A" w:rsidRPr="00C73908">
        <w:rPr>
          <w:rFonts w:ascii="Times New Roman" w:hAnsi="Times New Roman" w:cs="Times New Roman"/>
          <w:lang w:val="en-IE"/>
        </w:rPr>
        <w:t xml:space="preserve"> volumes </w:t>
      </w:r>
      <w:r w:rsidR="006D7238" w:rsidRPr="00C73908">
        <w:rPr>
          <w:rFonts w:ascii="Times New Roman" w:hAnsi="Times New Roman" w:cs="Times New Roman"/>
          <w:lang w:val="en-IE"/>
        </w:rPr>
        <w:t>are driven by existing product-market combinations, “in the long run the drivers of export growth are expansion of market and product portfolios</w:t>
      </w:r>
      <w:r w:rsidR="008354EE" w:rsidRPr="00C73908">
        <w:rPr>
          <w:rFonts w:ascii="Times New Roman" w:hAnsi="Times New Roman" w:cs="Times New Roman"/>
          <w:lang w:val="en-IE"/>
        </w:rPr>
        <w:t>.</w:t>
      </w:r>
      <w:r w:rsidR="006D7238" w:rsidRPr="00C73908">
        <w:rPr>
          <w:rFonts w:ascii="Times New Roman" w:hAnsi="Times New Roman" w:cs="Times New Roman"/>
          <w:lang w:val="en-IE"/>
        </w:rPr>
        <w:t>”</w:t>
      </w:r>
      <w:r w:rsidR="004C082F" w:rsidRPr="00C73908">
        <w:rPr>
          <w:rFonts w:ascii="Times New Roman" w:hAnsi="Times New Roman" w:cs="Times New Roman"/>
          <w:lang w:val="en-IE"/>
        </w:rPr>
        <w:t xml:space="preserve"> </w:t>
      </w:r>
      <w:r w:rsidR="00EA656D" w:rsidRPr="00C73908">
        <w:rPr>
          <w:rFonts w:ascii="Times New Roman" w:hAnsi="Times New Roman" w:cs="Times New Roman"/>
          <w:lang w:val="en-IE"/>
        </w:rPr>
        <w:t>This highlights</w:t>
      </w:r>
      <w:r w:rsidR="004C082F" w:rsidRPr="00C73908">
        <w:rPr>
          <w:rFonts w:ascii="Times New Roman" w:hAnsi="Times New Roman" w:cs="Times New Roman"/>
          <w:lang w:val="en-IE"/>
        </w:rPr>
        <w:t xml:space="preserve"> the </w:t>
      </w:r>
      <w:r w:rsidR="00EA656D" w:rsidRPr="00C73908">
        <w:rPr>
          <w:rFonts w:ascii="Times New Roman" w:hAnsi="Times New Roman" w:cs="Times New Roman"/>
          <w:lang w:val="en-IE"/>
        </w:rPr>
        <w:t xml:space="preserve">importance of product </w:t>
      </w:r>
      <w:r w:rsidR="00AE0EA2">
        <w:rPr>
          <w:rFonts w:ascii="Times New Roman" w:hAnsi="Times New Roman" w:cs="Times New Roman"/>
          <w:lang w:val="en-IE"/>
        </w:rPr>
        <w:t>innovation</w:t>
      </w:r>
      <w:r w:rsidR="00EA656D" w:rsidRPr="00C73908">
        <w:rPr>
          <w:rFonts w:ascii="Times New Roman" w:hAnsi="Times New Roman" w:cs="Times New Roman"/>
          <w:lang w:val="en-IE"/>
        </w:rPr>
        <w:t xml:space="preserve"> </w:t>
      </w:r>
      <w:r w:rsidR="00BA5C2E" w:rsidRPr="00C73908">
        <w:rPr>
          <w:rFonts w:ascii="Times New Roman" w:hAnsi="Times New Roman" w:cs="Times New Roman"/>
          <w:lang w:val="en-IE"/>
        </w:rPr>
        <w:t xml:space="preserve">and </w:t>
      </w:r>
      <w:r w:rsidR="00AE0EA2">
        <w:rPr>
          <w:rFonts w:ascii="Times New Roman" w:hAnsi="Times New Roman" w:cs="Times New Roman"/>
          <w:lang w:val="en-IE"/>
        </w:rPr>
        <w:t>marke</w:t>
      </w:r>
      <w:r w:rsidR="00BA5C2E" w:rsidRPr="00C73908">
        <w:rPr>
          <w:rFonts w:ascii="Times New Roman" w:hAnsi="Times New Roman" w:cs="Times New Roman"/>
          <w:lang w:val="en-IE"/>
        </w:rPr>
        <w:t xml:space="preserve">t diversification </w:t>
      </w:r>
      <w:r w:rsidR="003A4D12" w:rsidRPr="00C73908">
        <w:rPr>
          <w:rFonts w:ascii="Times New Roman" w:hAnsi="Times New Roman" w:cs="Times New Roman"/>
          <w:lang w:val="en-IE"/>
        </w:rPr>
        <w:t xml:space="preserve">to </w:t>
      </w:r>
      <w:r w:rsidR="004341D7">
        <w:rPr>
          <w:rFonts w:ascii="Times New Roman" w:hAnsi="Times New Roman" w:cs="Times New Roman"/>
          <w:lang w:val="en-IE"/>
        </w:rPr>
        <w:t>enable</w:t>
      </w:r>
      <w:r w:rsidR="00BA5C2E" w:rsidRPr="00C73908">
        <w:rPr>
          <w:rFonts w:ascii="Times New Roman" w:hAnsi="Times New Roman" w:cs="Times New Roman"/>
          <w:lang w:val="en-IE"/>
        </w:rPr>
        <w:t xml:space="preserve"> firms to be</w:t>
      </w:r>
      <w:r w:rsidR="004C082F" w:rsidRPr="00C73908">
        <w:rPr>
          <w:rFonts w:ascii="Times New Roman" w:hAnsi="Times New Roman" w:cs="Times New Roman"/>
          <w:lang w:val="en-IE"/>
        </w:rPr>
        <w:t xml:space="preserve"> flexible in the face of changing market conditions</w:t>
      </w:r>
      <w:r w:rsidR="00745021">
        <w:rPr>
          <w:rFonts w:ascii="Times New Roman" w:hAnsi="Times New Roman" w:cs="Times New Roman"/>
          <w:lang w:val="en-IE"/>
        </w:rPr>
        <w:t xml:space="preserve"> and </w:t>
      </w:r>
      <w:r w:rsidR="00960E68">
        <w:rPr>
          <w:rFonts w:ascii="Times New Roman" w:hAnsi="Times New Roman" w:cs="Times New Roman"/>
          <w:lang w:val="en-IE"/>
        </w:rPr>
        <w:t xml:space="preserve">achieve long-term </w:t>
      </w:r>
      <w:r w:rsidR="00AE0EA2">
        <w:rPr>
          <w:rFonts w:ascii="Times New Roman" w:hAnsi="Times New Roman" w:cs="Times New Roman"/>
          <w:lang w:val="en-IE"/>
        </w:rPr>
        <w:t xml:space="preserve">export </w:t>
      </w:r>
      <w:r w:rsidR="00960E68">
        <w:rPr>
          <w:rFonts w:ascii="Times New Roman" w:hAnsi="Times New Roman" w:cs="Times New Roman"/>
          <w:lang w:val="en-IE"/>
        </w:rPr>
        <w:t>growth</w:t>
      </w:r>
      <w:r w:rsidR="00BA5C2E" w:rsidRPr="00C73908">
        <w:rPr>
          <w:rFonts w:ascii="Times New Roman" w:hAnsi="Times New Roman" w:cs="Times New Roman"/>
          <w:lang w:val="en-IE"/>
        </w:rPr>
        <w:t>.</w:t>
      </w:r>
    </w:p>
    <w:p w14:paraId="0F643903" w14:textId="4CB307F2" w:rsidR="0078248A" w:rsidRDefault="00C52487"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t>Hypothesis</w:t>
      </w:r>
      <w:r w:rsidR="00FE5A97" w:rsidRPr="00C73908">
        <w:rPr>
          <w:rFonts w:ascii="Times New Roman" w:hAnsi="Times New Roman" w:cs="Times New Roman"/>
          <w:b/>
          <w:bCs/>
          <w:color w:val="0070C0"/>
          <w:lang w:val="en-IE"/>
        </w:rPr>
        <w:t>:</w:t>
      </w:r>
      <w:r w:rsidR="00FE5A97" w:rsidRPr="00C73908">
        <w:rPr>
          <w:rFonts w:ascii="Times New Roman" w:hAnsi="Times New Roman" w:cs="Times New Roman"/>
          <w:lang w:val="en-IE"/>
        </w:rPr>
        <w:t xml:space="preserve"> </w:t>
      </w:r>
      <w:r w:rsidR="00DD1548">
        <w:rPr>
          <w:rFonts w:ascii="Times New Roman" w:hAnsi="Times New Roman" w:cs="Times New Roman"/>
          <w:lang w:val="en-IE"/>
        </w:rPr>
        <w:t>There is a</w:t>
      </w:r>
      <w:r w:rsidR="00A04F08" w:rsidRPr="00C73908">
        <w:rPr>
          <w:rFonts w:ascii="Times New Roman" w:hAnsi="Times New Roman" w:cs="Times New Roman"/>
          <w:lang w:val="en-IE"/>
        </w:rPr>
        <w:t xml:space="preserve"> positive</w:t>
      </w:r>
      <w:r w:rsidR="00DD1548">
        <w:rPr>
          <w:rFonts w:ascii="Times New Roman" w:hAnsi="Times New Roman" w:cs="Times New Roman"/>
          <w:lang w:val="en-IE"/>
        </w:rPr>
        <w:t xml:space="preserve"> relationship between firm level </w:t>
      </w:r>
      <w:r w:rsidR="00DD1548" w:rsidRPr="00C73908">
        <w:rPr>
          <w:rFonts w:ascii="Times New Roman" w:hAnsi="Times New Roman" w:cs="Times New Roman"/>
          <w:lang w:val="en-IE"/>
        </w:rPr>
        <w:t xml:space="preserve">export performance </w:t>
      </w:r>
      <w:r w:rsidR="00DD1548">
        <w:rPr>
          <w:rFonts w:ascii="Times New Roman" w:hAnsi="Times New Roman" w:cs="Times New Roman"/>
          <w:lang w:val="en-IE"/>
        </w:rPr>
        <w:t>and</w:t>
      </w:r>
      <w:r w:rsidR="00652E18" w:rsidRPr="00C73908">
        <w:rPr>
          <w:rFonts w:ascii="Times New Roman" w:hAnsi="Times New Roman" w:cs="Times New Roman"/>
          <w:lang w:val="en-IE"/>
        </w:rPr>
        <w:t xml:space="preserve"> the three indicators of innovation; </w:t>
      </w:r>
      <w:r w:rsidR="00DA08EB" w:rsidRPr="00C73908">
        <w:rPr>
          <w:rFonts w:ascii="Times New Roman" w:hAnsi="Times New Roman" w:cs="Times New Roman"/>
          <w:lang w:val="en-IE"/>
        </w:rPr>
        <w:t xml:space="preserve">R&amp;D intensity, new product development and </w:t>
      </w:r>
      <w:r w:rsidR="00E00551" w:rsidRPr="00C73908">
        <w:rPr>
          <w:rFonts w:ascii="Times New Roman" w:hAnsi="Times New Roman" w:cs="Times New Roman"/>
          <w:lang w:val="en-IE"/>
        </w:rPr>
        <w:t>engagement in collaborative innovation</w:t>
      </w:r>
      <w:r w:rsidR="00DB396C" w:rsidRPr="00C73908">
        <w:rPr>
          <w:rFonts w:ascii="Times New Roman" w:hAnsi="Times New Roman" w:cs="Times New Roman"/>
          <w:lang w:val="en-IE"/>
        </w:rPr>
        <w:t>.</w:t>
      </w:r>
    </w:p>
    <w:p w14:paraId="58A75801" w14:textId="77777777" w:rsidR="00FB3E67" w:rsidRPr="00C73908" w:rsidRDefault="00FB3E67" w:rsidP="008A6DF2">
      <w:pPr>
        <w:spacing w:after="240" w:line="360" w:lineRule="auto"/>
        <w:jc w:val="both"/>
        <w:rPr>
          <w:rFonts w:ascii="Times New Roman" w:hAnsi="Times New Roman" w:cs="Times New Roman"/>
          <w:lang w:val="en-IE"/>
        </w:rPr>
      </w:pPr>
    </w:p>
    <w:p w14:paraId="16649463" w14:textId="441F33DB" w:rsidR="00625661" w:rsidRPr="00C73908" w:rsidRDefault="00760736" w:rsidP="008A6DF2">
      <w:pPr>
        <w:pStyle w:val="Heading1"/>
        <w:numPr>
          <w:ilvl w:val="1"/>
          <w:numId w:val="4"/>
        </w:numPr>
        <w:spacing w:after="240" w:line="360" w:lineRule="auto"/>
        <w:jc w:val="both"/>
        <w:rPr>
          <w:rFonts w:ascii="Times New Roman" w:hAnsi="Times New Roman" w:cs="Times New Roman"/>
          <w:b/>
          <w:bCs/>
          <w:color w:val="0070C0"/>
          <w:lang w:val="en-IE"/>
        </w:rPr>
      </w:pPr>
      <w:bookmarkStart w:id="13" w:name="_Toc67143558"/>
      <w:bookmarkStart w:id="14" w:name="_Toc69198799"/>
      <w:bookmarkStart w:id="15" w:name="_Hlk62833115"/>
      <w:r w:rsidRPr="00C73908">
        <w:rPr>
          <w:rFonts w:ascii="Times New Roman" w:hAnsi="Times New Roman" w:cs="Times New Roman"/>
          <w:b/>
          <w:bCs/>
          <w:color w:val="0070C0"/>
          <w:lang w:val="en-IE"/>
        </w:rPr>
        <w:t>Skill Levels</w:t>
      </w:r>
      <w:bookmarkEnd w:id="13"/>
      <w:bookmarkEnd w:id="14"/>
    </w:p>
    <w:bookmarkEnd w:id="15"/>
    <w:p w14:paraId="3F985222" w14:textId="3811DF58" w:rsidR="000302EE" w:rsidRPr="00C73908" w:rsidRDefault="00DA3DE1"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t>Export</w:t>
      </w:r>
      <w:r w:rsidR="005D54DD" w:rsidRPr="00C73908">
        <w:rPr>
          <w:rFonts w:ascii="Times New Roman" w:hAnsi="Times New Roman" w:cs="Times New Roman"/>
          <w:b/>
          <w:bCs/>
          <w:color w:val="0070C0"/>
          <w:lang w:val="en-IE"/>
        </w:rPr>
        <w:t>s and Average Wage Levels:</w:t>
      </w:r>
      <w:r w:rsidR="005D54DD" w:rsidRPr="00C73908">
        <w:rPr>
          <w:rFonts w:ascii="Times New Roman" w:hAnsi="Times New Roman" w:cs="Times New Roman"/>
          <w:lang w:val="en-IE"/>
        </w:rPr>
        <w:t xml:space="preserve"> </w:t>
      </w:r>
      <w:r w:rsidR="003979BB" w:rsidRPr="00C73908">
        <w:rPr>
          <w:rFonts w:ascii="Times New Roman" w:hAnsi="Times New Roman" w:cs="Times New Roman"/>
          <w:lang w:val="en-IE"/>
        </w:rPr>
        <w:t xml:space="preserve">The literature </w:t>
      </w:r>
      <w:r w:rsidR="008A4DDA" w:rsidRPr="00C73908">
        <w:rPr>
          <w:rFonts w:ascii="Times New Roman" w:hAnsi="Times New Roman" w:cs="Times New Roman"/>
          <w:lang w:val="en-IE"/>
        </w:rPr>
        <w:t xml:space="preserve">on firm level determinants </w:t>
      </w:r>
      <w:r w:rsidR="00556BBF" w:rsidRPr="00C73908">
        <w:rPr>
          <w:rFonts w:ascii="Times New Roman" w:hAnsi="Times New Roman" w:cs="Times New Roman"/>
          <w:lang w:val="en-IE"/>
        </w:rPr>
        <w:t xml:space="preserve">of export performance </w:t>
      </w:r>
      <w:r w:rsidR="008A4DDA" w:rsidRPr="00C73908">
        <w:rPr>
          <w:rFonts w:ascii="Times New Roman" w:hAnsi="Times New Roman" w:cs="Times New Roman"/>
          <w:lang w:val="en-IE"/>
        </w:rPr>
        <w:t>ha</w:t>
      </w:r>
      <w:r w:rsidR="003979BB" w:rsidRPr="00C73908">
        <w:rPr>
          <w:rFonts w:ascii="Times New Roman" w:hAnsi="Times New Roman" w:cs="Times New Roman"/>
          <w:lang w:val="en-IE"/>
        </w:rPr>
        <w:t>s</w:t>
      </w:r>
      <w:r w:rsidR="008A4DDA" w:rsidRPr="00C73908">
        <w:rPr>
          <w:rFonts w:ascii="Times New Roman" w:hAnsi="Times New Roman" w:cs="Times New Roman"/>
          <w:lang w:val="en-IE"/>
        </w:rPr>
        <w:t xml:space="preserve"> </w:t>
      </w:r>
      <w:r w:rsidR="00556BBF" w:rsidRPr="00C73908">
        <w:rPr>
          <w:rFonts w:ascii="Times New Roman" w:hAnsi="Times New Roman" w:cs="Times New Roman"/>
          <w:lang w:val="en-IE"/>
        </w:rPr>
        <w:t xml:space="preserve">largely focused on the </w:t>
      </w:r>
      <w:r w:rsidR="00327C13" w:rsidRPr="00C73908">
        <w:rPr>
          <w:rFonts w:ascii="Times New Roman" w:hAnsi="Times New Roman" w:cs="Times New Roman"/>
          <w:lang w:val="en-IE"/>
        </w:rPr>
        <w:t xml:space="preserve">impact of </w:t>
      </w:r>
      <w:r w:rsidR="00556BBF" w:rsidRPr="00C73908">
        <w:rPr>
          <w:rFonts w:ascii="Times New Roman" w:hAnsi="Times New Roman" w:cs="Times New Roman"/>
          <w:lang w:val="en-IE"/>
        </w:rPr>
        <w:t>observable</w:t>
      </w:r>
      <w:r w:rsidR="00327C13" w:rsidRPr="00C73908">
        <w:rPr>
          <w:rFonts w:ascii="Times New Roman" w:hAnsi="Times New Roman" w:cs="Times New Roman"/>
          <w:lang w:val="en-IE"/>
        </w:rPr>
        <w:t>, quantifiable firm characteristics</w:t>
      </w:r>
      <w:r w:rsidR="004C575B" w:rsidRPr="00C73908">
        <w:rPr>
          <w:rFonts w:ascii="Times New Roman" w:hAnsi="Times New Roman" w:cs="Times New Roman"/>
          <w:lang w:val="en-IE"/>
        </w:rPr>
        <w:t>,</w:t>
      </w:r>
      <w:r w:rsidR="00DC3F17" w:rsidRPr="00C73908">
        <w:rPr>
          <w:rFonts w:ascii="Times New Roman" w:hAnsi="Times New Roman" w:cs="Times New Roman"/>
          <w:lang w:val="en-IE"/>
        </w:rPr>
        <w:t xml:space="preserve"> such as firm size, productivity and R&amp;D </w:t>
      </w:r>
      <w:r w:rsidR="002B0D49" w:rsidRPr="00C73908">
        <w:rPr>
          <w:rFonts w:ascii="Times New Roman" w:hAnsi="Times New Roman" w:cs="Times New Roman"/>
          <w:lang w:val="en-IE"/>
        </w:rPr>
        <w:t>intensity</w:t>
      </w:r>
      <w:r w:rsidR="004C575B" w:rsidRPr="00C73908">
        <w:rPr>
          <w:rFonts w:ascii="Times New Roman" w:hAnsi="Times New Roman" w:cs="Times New Roman"/>
          <w:lang w:val="en-IE"/>
        </w:rPr>
        <w:t>, rather</w:t>
      </w:r>
      <w:r w:rsidR="002B0D49" w:rsidRPr="00C73908">
        <w:rPr>
          <w:rFonts w:ascii="Times New Roman" w:hAnsi="Times New Roman" w:cs="Times New Roman"/>
          <w:lang w:val="en-IE"/>
        </w:rPr>
        <w:t xml:space="preserve"> than</w:t>
      </w:r>
      <w:r w:rsidR="00452546" w:rsidRPr="00C73908">
        <w:rPr>
          <w:rFonts w:ascii="Times New Roman" w:hAnsi="Times New Roman" w:cs="Times New Roman"/>
          <w:lang w:val="en-IE"/>
        </w:rPr>
        <w:t xml:space="preserve"> those</w:t>
      </w:r>
      <w:r w:rsidR="00DC3F17" w:rsidRPr="00C73908">
        <w:rPr>
          <w:rFonts w:ascii="Times New Roman" w:hAnsi="Times New Roman" w:cs="Times New Roman"/>
          <w:lang w:val="en-IE"/>
        </w:rPr>
        <w:t xml:space="preserve"> factor</w:t>
      </w:r>
      <w:r w:rsidR="00066B8B" w:rsidRPr="00C73908">
        <w:rPr>
          <w:rFonts w:ascii="Times New Roman" w:hAnsi="Times New Roman" w:cs="Times New Roman"/>
          <w:lang w:val="en-IE"/>
        </w:rPr>
        <w:t>s</w:t>
      </w:r>
      <w:r w:rsidR="00DC3F17" w:rsidRPr="00C73908">
        <w:rPr>
          <w:rFonts w:ascii="Times New Roman" w:hAnsi="Times New Roman" w:cs="Times New Roman"/>
          <w:lang w:val="en-IE"/>
        </w:rPr>
        <w:t xml:space="preserve"> </w:t>
      </w:r>
      <w:r w:rsidR="00452546" w:rsidRPr="00C73908">
        <w:rPr>
          <w:rFonts w:ascii="Times New Roman" w:hAnsi="Times New Roman" w:cs="Times New Roman"/>
          <w:lang w:val="en-IE"/>
        </w:rPr>
        <w:t>that are more difficult to identify and measure</w:t>
      </w:r>
      <w:r w:rsidR="00F2634E" w:rsidRPr="00C73908">
        <w:rPr>
          <w:rFonts w:ascii="Times New Roman" w:hAnsi="Times New Roman" w:cs="Times New Roman"/>
          <w:lang w:val="en-IE"/>
        </w:rPr>
        <w:t xml:space="preserve">. </w:t>
      </w:r>
      <w:r w:rsidR="00DA671C" w:rsidRPr="00C73908">
        <w:rPr>
          <w:rFonts w:ascii="Times New Roman" w:hAnsi="Times New Roman" w:cs="Times New Roman"/>
          <w:lang w:val="en-IE"/>
        </w:rPr>
        <w:t>One such factor</w:t>
      </w:r>
      <w:r w:rsidR="00F25F51" w:rsidRPr="00C73908">
        <w:rPr>
          <w:rFonts w:ascii="Times New Roman" w:hAnsi="Times New Roman" w:cs="Times New Roman"/>
          <w:lang w:val="en-IE"/>
        </w:rPr>
        <w:t xml:space="preserve">, which has received limited attention in empirical studies </w:t>
      </w:r>
      <w:r w:rsidR="004C255C" w:rsidRPr="00C73908">
        <w:rPr>
          <w:rFonts w:ascii="Times New Roman" w:hAnsi="Times New Roman" w:cs="Times New Roman"/>
          <w:lang w:val="en-IE"/>
        </w:rPr>
        <w:t>to date</w:t>
      </w:r>
      <w:r w:rsidR="00F25F51" w:rsidRPr="00C73908">
        <w:rPr>
          <w:rFonts w:ascii="Times New Roman" w:hAnsi="Times New Roman" w:cs="Times New Roman"/>
          <w:lang w:val="en-IE"/>
        </w:rPr>
        <w:t>,</w:t>
      </w:r>
      <w:r w:rsidR="00DA671C" w:rsidRPr="00C73908">
        <w:rPr>
          <w:rFonts w:ascii="Times New Roman" w:hAnsi="Times New Roman" w:cs="Times New Roman"/>
          <w:lang w:val="en-IE"/>
        </w:rPr>
        <w:t xml:space="preserve"> is the link between </w:t>
      </w:r>
      <w:r w:rsidR="00277FFE" w:rsidRPr="00C73908">
        <w:rPr>
          <w:rFonts w:ascii="Times New Roman" w:hAnsi="Times New Roman" w:cs="Times New Roman"/>
          <w:lang w:val="en-IE"/>
        </w:rPr>
        <w:t>exports</w:t>
      </w:r>
      <w:r w:rsidR="002D154C" w:rsidRPr="00C73908">
        <w:rPr>
          <w:rFonts w:ascii="Times New Roman" w:hAnsi="Times New Roman" w:cs="Times New Roman"/>
          <w:lang w:val="en-IE"/>
        </w:rPr>
        <w:t xml:space="preserve"> and </w:t>
      </w:r>
      <w:r w:rsidR="00682CB0" w:rsidRPr="00C73908">
        <w:rPr>
          <w:rFonts w:ascii="Times New Roman" w:hAnsi="Times New Roman" w:cs="Times New Roman"/>
          <w:lang w:val="en-IE"/>
        </w:rPr>
        <w:t xml:space="preserve">labour </w:t>
      </w:r>
      <w:r w:rsidR="00D63E69" w:rsidRPr="00C73908">
        <w:rPr>
          <w:rFonts w:ascii="Times New Roman" w:hAnsi="Times New Roman" w:cs="Times New Roman"/>
          <w:lang w:val="en-IE"/>
        </w:rPr>
        <w:t>inputs</w:t>
      </w:r>
      <w:r w:rsidR="00682CB0" w:rsidRPr="00C73908">
        <w:rPr>
          <w:rFonts w:ascii="Times New Roman" w:hAnsi="Times New Roman" w:cs="Times New Roman"/>
          <w:lang w:val="en-IE"/>
        </w:rPr>
        <w:t xml:space="preserve"> </w:t>
      </w:r>
      <w:r w:rsidR="00D63E69" w:rsidRPr="00C73908">
        <w:rPr>
          <w:rFonts w:ascii="Times New Roman" w:hAnsi="Times New Roman" w:cs="Times New Roman"/>
          <w:lang w:val="en-IE"/>
        </w:rPr>
        <w:t xml:space="preserve">including both the characteristics of senior management and of the </w:t>
      </w:r>
      <w:r w:rsidR="00A73BFA" w:rsidRPr="00C73908">
        <w:rPr>
          <w:rFonts w:ascii="Times New Roman" w:hAnsi="Times New Roman" w:cs="Times New Roman"/>
          <w:lang w:val="en-IE"/>
        </w:rPr>
        <w:t>w</w:t>
      </w:r>
      <w:r w:rsidR="00D63E69" w:rsidRPr="00C73908">
        <w:rPr>
          <w:rFonts w:ascii="Times New Roman" w:hAnsi="Times New Roman" w:cs="Times New Roman"/>
          <w:lang w:val="en-IE"/>
        </w:rPr>
        <w:t>ider workforce</w:t>
      </w:r>
      <w:r w:rsidR="00E170D4" w:rsidRPr="00C73908">
        <w:rPr>
          <w:rFonts w:ascii="Times New Roman" w:hAnsi="Times New Roman" w:cs="Times New Roman"/>
          <w:lang w:val="en-IE"/>
        </w:rPr>
        <w:t>.</w:t>
      </w:r>
      <w:r w:rsidR="00935517" w:rsidRPr="00C73908">
        <w:rPr>
          <w:rFonts w:ascii="Times New Roman" w:hAnsi="Times New Roman" w:cs="Times New Roman"/>
          <w:lang w:val="en-IE"/>
        </w:rPr>
        <w:t xml:space="preserve"> </w:t>
      </w:r>
      <w:r w:rsidR="00561407" w:rsidRPr="00C73908">
        <w:rPr>
          <w:rFonts w:ascii="Times New Roman" w:hAnsi="Times New Roman" w:cs="Times New Roman"/>
          <w:lang w:val="en-IE"/>
        </w:rPr>
        <w:t>A</w:t>
      </w:r>
      <w:r w:rsidR="00117970" w:rsidRPr="00C73908">
        <w:rPr>
          <w:rFonts w:ascii="Times New Roman" w:hAnsi="Times New Roman" w:cs="Times New Roman"/>
          <w:lang w:val="en-IE"/>
        </w:rPr>
        <w:t xml:space="preserve">verage wages are </w:t>
      </w:r>
      <w:r w:rsidR="00561407" w:rsidRPr="00C73908">
        <w:rPr>
          <w:rFonts w:ascii="Times New Roman" w:hAnsi="Times New Roman" w:cs="Times New Roman"/>
          <w:lang w:val="en-IE"/>
        </w:rPr>
        <w:t xml:space="preserve">often </w:t>
      </w:r>
      <w:r w:rsidR="00117970" w:rsidRPr="00C73908">
        <w:rPr>
          <w:rFonts w:ascii="Times New Roman" w:hAnsi="Times New Roman" w:cs="Times New Roman"/>
          <w:lang w:val="en-IE"/>
        </w:rPr>
        <w:t xml:space="preserve">used as a proxy for the skill level of </w:t>
      </w:r>
      <w:r w:rsidR="00AD0EBE" w:rsidRPr="00C73908">
        <w:rPr>
          <w:rFonts w:ascii="Times New Roman" w:hAnsi="Times New Roman" w:cs="Times New Roman"/>
          <w:lang w:val="en-IE"/>
        </w:rPr>
        <w:t>a firm’s workforce</w:t>
      </w:r>
      <w:r w:rsidR="00201837" w:rsidRPr="00C73908">
        <w:rPr>
          <w:rFonts w:ascii="Times New Roman" w:hAnsi="Times New Roman" w:cs="Times New Roman"/>
          <w:lang w:val="en-IE"/>
        </w:rPr>
        <w:t xml:space="preserve"> </w:t>
      </w:r>
      <w:r w:rsidR="00561407" w:rsidRPr="00C73908">
        <w:rPr>
          <w:rFonts w:ascii="Times New Roman" w:hAnsi="Times New Roman" w:cs="Times New Roman"/>
          <w:lang w:val="en-IE"/>
        </w:rPr>
        <w:t xml:space="preserve">and </w:t>
      </w:r>
      <w:r w:rsidR="004938ED" w:rsidRPr="00C73908">
        <w:rPr>
          <w:rFonts w:ascii="Times New Roman" w:hAnsi="Times New Roman" w:cs="Times New Roman"/>
          <w:lang w:val="en-IE"/>
        </w:rPr>
        <w:t xml:space="preserve">several empirical studies have found </w:t>
      </w:r>
      <w:r w:rsidR="00606035" w:rsidRPr="00C73908">
        <w:rPr>
          <w:rFonts w:ascii="Times New Roman" w:hAnsi="Times New Roman" w:cs="Times New Roman"/>
          <w:lang w:val="en-IE"/>
        </w:rPr>
        <w:t>that exporters tend to pay higher wages than non-exporters</w:t>
      </w:r>
      <w:r w:rsidR="004938ED" w:rsidRPr="00C73908">
        <w:rPr>
          <w:rFonts w:ascii="Times New Roman" w:hAnsi="Times New Roman" w:cs="Times New Roman"/>
          <w:lang w:val="en-IE"/>
        </w:rPr>
        <w:t xml:space="preserve"> </w:t>
      </w:r>
      <w:r w:rsidR="00201837" w:rsidRPr="00C73908">
        <w:rPr>
          <w:rFonts w:ascii="Times New Roman" w:hAnsi="Times New Roman" w:cs="Times New Roman"/>
          <w:lang w:val="en-IE"/>
        </w:rPr>
        <w:t>(Bernard and Jensen, 1999</w:t>
      </w:r>
      <w:r w:rsidR="00D05499" w:rsidRPr="00C73908">
        <w:rPr>
          <w:rFonts w:ascii="Times New Roman" w:hAnsi="Times New Roman" w:cs="Times New Roman"/>
          <w:lang w:val="en-IE"/>
        </w:rPr>
        <w:t>; Brakman et al., 2020</w:t>
      </w:r>
      <w:r w:rsidR="00201837" w:rsidRPr="00C73908">
        <w:rPr>
          <w:rFonts w:ascii="Times New Roman" w:hAnsi="Times New Roman" w:cs="Times New Roman"/>
          <w:lang w:val="en-IE"/>
        </w:rPr>
        <w:t>)</w:t>
      </w:r>
      <w:r w:rsidR="00935517" w:rsidRPr="00C73908">
        <w:rPr>
          <w:rFonts w:ascii="Times New Roman" w:hAnsi="Times New Roman" w:cs="Times New Roman"/>
          <w:lang w:val="en-IE"/>
        </w:rPr>
        <w:t xml:space="preserve">. </w:t>
      </w:r>
      <w:r w:rsidR="00A05BF8" w:rsidRPr="00C73908">
        <w:rPr>
          <w:rFonts w:ascii="Times New Roman" w:hAnsi="Times New Roman" w:cs="Times New Roman"/>
          <w:lang w:val="en-IE"/>
        </w:rPr>
        <w:t xml:space="preserve">Schank et al. (2010) use granular employee-employer data to examine the direction of causality in the export-wage relationship among German firms and find that “the exporter wage premium does already exist in the years before firms start to export, and that it does not increase in the following years.” </w:t>
      </w:r>
      <w:r w:rsidR="004B0AB6" w:rsidRPr="00C73908">
        <w:rPr>
          <w:rFonts w:ascii="Times New Roman" w:hAnsi="Times New Roman" w:cs="Times New Roman"/>
          <w:lang w:val="en-IE"/>
        </w:rPr>
        <w:t>Munch and Skaksen (2006)</w:t>
      </w:r>
      <w:r w:rsidR="007D1DA0" w:rsidRPr="00C73908">
        <w:rPr>
          <w:rFonts w:ascii="Times New Roman" w:hAnsi="Times New Roman" w:cs="Times New Roman"/>
          <w:lang w:val="en-IE"/>
        </w:rPr>
        <w:t xml:space="preserve"> show that this </w:t>
      </w:r>
      <w:r w:rsidR="001F51E1" w:rsidRPr="00C73908">
        <w:rPr>
          <w:rFonts w:ascii="Times New Roman" w:hAnsi="Times New Roman" w:cs="Times New Roman"/>
          <w:lang w:val="en-IE"/>
        </w:rPr>
        <w:t xml:space="preserve">positive link </w:t>
      </w:r>
      <w:r w:rsidR="00C65698" w:rsidRPr="00C73908">
        <w:rPr>
          <w:rFonts w:ascii="Times New Roman" w:hAnsi="Times New Roman" w:cs="Times New Roman"/>
          <w:lang w:val="en-IE"/>
        </w:rPr>
        <w:t xml:space="preserve">between exporting and wage levels can even be found after </w:t>
      </w:r>
      <w:r w:rsidR="00412A94" w:rsidRPr="00C73908">
        <w:rPr>
          <w:rFonts w:ascii="Times New Roman" w:hAnsi="Times New Roman" w:cs="Times New Roman"/>
          <w:lang w:val="en-IE"/>
        </w:rPr>
        <w:t>controlling for heterogeneity</w:t>
      </w:r>
      <w:r w:rsidR="00F4275F" w:rsidRPr="00C73908">
        <w:rPr>
          <w:rFonts w:ascii="Times New Roman" w:hAnsi="Times New Roman" w:cs="Times New Roman"/>
          <w:lang w:val="en-IE"/>
        </w:rPr>
        <w:t xml:space="preserve"> </w:t>
      </w:r>
      <w:r w:rsidR="00DC7A58" w:rsidRPr="00C73908">
        <w:rPr>
          <w:rFonts w:ascii="Times New Roman" w:hAnsi="Times New Roman" w:cs="Times New Roman"/>
          <w:lang w:val="en-IE"/>
        </w:rPr>
        <w:t xml:space="preserve">among employees </w:t>
      </w:r>
      <w:r w:rsidR="00F4275F" w:rsidRPr="00C73908">
        <w:rPr>
          <w:rFonts w:ascii="Times New Roman" w:hAnsi="Times New Roman" w:cs="Times New Roman"/>
          <w:lang w:val="en-IE"/>
        </w:rPr>
        <w:t>in Danish firms</w:t>
      </w:r>
      <w:r w:rsidR="00F00100" w:rsidRPr="00C73908">
        <w:rPr>
          <w:rFonts w:ascii="Times New Roman" w:hAnsi="Times New Roman" w:cs="Times New Roman"/>
          <w:lang w:val="en-IE"/>
        </w:rPr>
        <w:t>. They a</w:t>
      </w:r>
      <w:r w:rsidR="00412A94" w:rsidRPr="00C73908">
        <w:rPr>
          <w:rFonts w:ascii="Times New Roman" w:hAnsi="Times New Roman" w:cs="Times New Roman"/>
          <w:lang w:val="en-IE"/>
        </w:rPr>
        <w:t>rgue that</w:t>
      </w:r>
      <w:r w:rsidR="004B0AB6" w:rsidRPr="00C73908">
        <w:rPr>
          <w:rFonts w:ascii="Times New Roman" w:hAnsi="Times New Roman" w:cs="Times New Roman"/>
          <w:lang w:val="en-IE"/>
        </w:rPr>
        <w:t xml:space="preserve"> </w:t>
      </w:r>
      <w:r w:rsidR="00FA7274" w:rsidRPr="00C73908">
        <w:rPr>
          <w:rFonts w:ascii="Times New Roman" w:hAnsi="Times New Roman" w:cs="Times New Roman"/>
          <w:lang w:val="en-IE"/>
        </w:rPr>
        <w:t xml:space="preserve">this </w:t>
      </w:r>
      <w:r w:rsidR="00527AA1" w:rsidRPr="00C73908">
        <w:rPr>
          <w:rFonts w:ascii="Times New Roman" w:hAnsi="Times New Roman" w:cs="Times New Roman"/>
          <w:lang w:val="en-IE"/>
        </w:rPr>
        <w:t>disparity</w:t>
      </w:r>
      <w:r w:rsidR="00E85AD9" w:rsidRPr="00C73908">
        <w:rPr>
          <w:rFonts w:ascii="Times New Roman" w:hAnsi="Times New Roman" w:cs="Times New Roman"/>
          <w:lang w:val="en-IE"/>
        </w:rPr>
        <w:t xml:space="preserve"> </w:t>
      </w:r>
      <w:r w:rsidR="00F4275F" w:rsidRPr="00C73908">
        <w:rPr>
          <w:rFonts w:ascii="Times New Roman" w:hAnsi="Times New Roman" w:cs="Times New Roman"/>
          <w:lang w:val="en-IE"/>
        </w:rPr>
        <w:t>is due to</w:t>
      </w:r>
      <w:r w:rsidR="00B0659C" w:rsidRPr="00C73908">
        <w:rPr>
          <w:rFonts w:ascii="Times New Roman" w:hAnsi="Times New Roman" w:cs="Times New Roman"/>
          <w:lang w:val="en-IE"/>
        </w:rPr>
        <w:t xml:space="preserve"> higher </w:t>
      </w:r>
      <w:r w:rsidR="00FA7274" w:rsidRPr="00C73908">
        <w:rPr>
          <w:rFonts w:ascii="Times New Roman" w:hAnsi="Times New Roman" w:cs="Times New Roman"/>
          <w:lang w:val="en-IE"/>
        </w:rPr>
        <w:t>skill intensit</w:t>
      </w:r>
      <w:r w:rsidR="00F4275F" w:rsidRPr="00C73908">
        <w:rPr>
          <w:rFonts w:ascii="Times New Roman" w:hAnsi="Times New Roman" w:cs="Times New Roman"/>
          <w:lang w:val="en-IE"/>
        </w:rPr>
        <w:t>ies</w:t>
      </w:r>
      <w:r w:rsidR="00FA7274" w:rsidRPr="00C73908">
        <w:rPr>
          <w:rFonts w:ascii="Times New Roman" w:hAnsi="Times New Roman" w:cs="Times New Roman"/>
          <w:lang w:val="en-IE"/>
        </w:rPr>
        <w:t xml:space="preserve"> </w:t>
      </w:r>
      <w:r w:rsidR="00F00100" w:rsidRPr="00C73908">
        <w:rPr>
          <w:rFonts w:ascii="Times New Roman" w:hAnsi="Times New Roman" w:cs="Times New Roman"/>
          <w:lang w:val="en-IE"/>
        </w:rPr>
        <w:t xml:space="preserve">among exporters which allows them to differentiate their products and compete on international markets. </w:t>
      </w:r>
      <w:r w:rsidR="00A8711D" w:rsidRPr="00C73908">
        <w:rPr>
          <w:rFonts w:ascii="Times New Roman" w:hAnsi="Times New Roman" w:cs="Times New Roman"/>
          <w:lang w:val="en-IE"/>
        </w:rPr>
        <w:t xml:space="preserve">On the other hand, </w:t>
      </w:r>
      <w:r w:rsidR="004D380E" w:rsidRPr="00C73908">
        <w:rPr>
          <w:rFonts w:ascii="Times New Roman" w:hAnsi="Times New Roman" w:cs="Times New Roman"/>
          <w:lang w:val="en-IE"/>
        </w:rPr>
        <w:t>the ESRI (2006)</w:t>
      </w:r>
      <w:r w:rsidR="00A26074" w:rsidRPr="00C73908">
        <w:rPr>
          <w:rFonts w:ascii="Times New Roman" w:hAnsi="Times New Roman" w:cs="Times New Roman"/>
          <w:lang w:val="en-IE"/>
        </w:rPr>
        <w:t xml:space="preserve"> find no strong evidence </w:t>
      </w:r>
      <w:r w:rsidR="00E333C8" w:rsidRPr="00C73908">
        <w:rPr>
          <w:rFonts w:ascii="Times New Roman" w:hAnsi="Times New Roman" w:cs="Times New Roman"/>
          <w:lang w:val="en-IE"/>
        </w:rPr>
        <w:t xml:space="preserve">that </w:t>
      </w:r>
      <w:r w:rsidR="00124542">
        <w:rPr>
          <w:rFonts w:ascii="Times New Roman" w:hAnsi="Times New Roman" w:cs="Times New Roman"/>
          <w:lang w:val="en-IE"/>
        </w:rPr>
        <w:t>average wages</w:t>
      </w:r>
      <w:r w:rsidR="00E333C8" w:rsidRPr="00C73908">
        <w:rPr>
          <w:rFonts w:ascii="Times New Roman" w:hAnsi="Times New Roman" w:cs="Times New Roman"/>
          <w:lang w:val="en-IE"/>
        </w:rPr>
        <w:t xml:space="preserve"> ha</w:t>
      </w:r>
      <w:r w:rsidR="00124542">
        <w:rPr>
          <w:rFonts w:ascii="Times New Roman" w:hAnsi="Times New Roman" w:cs="Times New Roman"/>
          <w:lang w:val="en-IE"/>
        </w:rPr>
        <w:t>ve</w:t>
      </w:r>
      <w:r w:rsidR="00E333C8" w:rsidRPr="00C73908">
        <w:rPr>
          <w:rFonts w:ascii="Times New Roman" w:hAnsi="Times New Roman" w:cs="Times New Roman"/>
          <w:lang w:val="en-IE"/>
        </w:rPr>
        <w:t xml:space="preserve"> an effect on either </w:t>
      </w:r>
      <w:r w:rsidR="00551133" w:rsidRPr="00C73908">
        <w:rPr>
          <w:rFonts w:ascii="Times New Roman" w:hAnsi="Times New Roman" w:cs="Times New Roman"/>
          <w:lang w:val="en-IE"/>
        </w:rPr>
        <w:t>the likelihood of exporting or export intensity</w:t>
      </w:r>
      <w:r w:rsidR="00483731">
        <w:rPr>
          <w:rFonts w:ascii="Times New Roman" w:hAnsi="Times New Roman" w:cs="Times New Roman"/>
          <w:lang w:val="en-IE"/>
        </w:rPr>
        <w:t xml:space="preserve"> among Irish firms</w:t>
      </w:r>
      <w:r w:rsidR="00551133" w:rsidRPr="00C73908">
        <w:rPr>
          <w:rFonts w:ascii="Times New Roman" w:hAnsi="Times New Roman" w:cs="Times New Roman"/>
          <w:lang w:val="en-IE"/>
        </w:rPr>
        <w:t>.</w:t>
      </w:r>
    </w:p>
    <w:p w14:paraId="4C2BE57D" w14:textId="77777777" w:rsidR="00877AB0" w:rsidRDefault="00DA3DE1"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lastRenderedPageBreak/>
        <w:t>Management Characteristics:</w:t>
      </w:r>
      <w:r w:rsidRPr="00C73908">
        <w:rPr>
          <w:rFonts w:ascii="Times New Roman" w:hAnsi="Times New Roman" w:cs="Times New Roman"/>
          <w:lang w:val="en-IE"/>
        </w:rPr>
        <w:t xml:space="preserve"> </w:t>
      </w:r>
      <w:r w:rsidR="000302EE" w:rsidRPr="00C73908">
        <w:rPr>
          <w:rFonts w:ascii="Times New Roman" w:hAnsi="Times New Roman" w:cs="Times New Roman"/>
          <w:lang w:val="en-IE"/>
        </w:rPr>
        <w:t xml:space="preserve">As well as the </w:t>
      </w:r>
      <w:r w:rsidR="00DD0A28" w:rsidRPr="00C73908">
        <w:rPr>
          <w:rFonts w:ascii="Times New Roman" w:hAnsi="Times New Roman" w:cs="Times New Roman"/>
          <w:lang w:val="en-IE"/>
        </w:rPr>
        <w:t xml:space="preserve">general skill levels in a workforce, </w:t>
      </w:r>
      <w:r w:rsidR="00EE4DF6" w:rsidRPr="00C73908">
        <w:rPr>
          <w:rFonts w:ascii="Times New Roman" w:hAnsi="Times New Roman" w:cs="Times New Roman"/>
          <w:lang w:val="en-IE"/>
        </w:rPr>
        <w:t>management structures</w:t>
      </w:r>
      <w:r w:rsidR="008C139B" w:rsidRPr="00C73908">
        <w:rPr>
          <w:rFonts w:ascii="Times New Roman" w:hAnsi="Times New Roman" w:cs="Times New Roman"/>
          <w:lang w:val="en-IE"/>
        </w:rPr>
        <w:t xml:space="preserve"> </w:t>
      </w:r>
      <w:r w:rsidR="00322C2C" w:rsidRPr="00C73908">
        <w:rPr>
          <w:rFonts w:ascii="Times New Roman" w:hAnsi="Times New Roman" w:cs="Times New Roman"/>
          <w:lang w:val="en-IE"/>
        </w:rPr>
        <w:t xml:space="preserve">and </w:t>
      </w:r>
      <w:r w:rsidR="00EE4DF6" w:rsidRPr="00C73908">
        <w:rPr>
          <w:rFonts w:ascii="Times New Roman" w:hAnsi="Times New Roman" w:cs="Times New Roman"/>
          <w:lang w:val="en-IE"/>
        </w:rPr>
        <w:t xml:space="preserve">the </w:t>
      </w:r>
      <w:r w:rsidR="00DD0A28" w:rsidRPr="00C73908">
        <w:rPr>
          <w:rFonts w:ascii="Times New Roman" w:hAnsi="Times New Roman" w:cs="Times New Roman"/>
          <w:lang w:val="en-IE"/>
        </w:rPr>
        <w:t>individual characteristics</w:t>
      </w:r>
      <w:r w:rsidR="008C139B" w:rsidRPr="00C73908">
        <w:rPr>
          <w:rFonts w:ascii="Times New Roman" w:hAnsi="Times New Roman" w:cs="Times New Roman"/>
          <w:lang w:val="en-IE"/>
        </w:rPr>
        <w:t xml:space="preserve"> of </w:t>
      </w:r>
      <w:r w:rsidR="00EE4DF6" w:rsidRPr="00C73908">
        <w:rPr>
          <w:rFonts w:ascii="Times New Roman" w:hAnsi="Times New Roman" w:cs="Times New Roman"/>
          <w:lang w:val="en-IE"/>
        </w:rPr>
        <w:t>senior managers</w:t>
      </w:r>
      <w:r w:rsidR="00DD0A28" w:rsidRPr="00C73908">
        <w:rPr>
          <w:rFonts w:ascii="Times New Roman" w:hAnsi="Times New Roman" w:cs="Times New Roman"/>
          <w:lang w:val="en-IE"/>
        </w:rPr>
        <w:t xml:space="preserve"> </w:t>
      </w:r>
      <w:r w:rsidR="006447CF" w:rsidRPr="00C73908">
        <w:rPr>
          <w:rFonts w:ascii="Times New Roman" w:hAnsi="Times New Roman" w:cs="Times New Roman"/>
          <w:lang w:val="en-IE"/>
        </w:rPr>
        <w:t>can have a significant</w:t>
      </w:r>
      <w:r w:rsidR="00DD0A28" w:rsidRPr="00C73908">
        <w:rPr>
          <w:rFonts w:ascii="Times New Roman" w:hAnsi="Times New Roman" w:cs="Times New Roman"/>
          <w:lang w:val="en-IE"/>
        </w:rPr>
        <w:t xml:space="preserve"> </w:t>
      </w:r>
      <w:r w:rsidR="002651D9" w:rsidRPr="00C73908">
        <w:rPr>
          <w:rFonts w:ascii="Times New Roman" w:hAnsi="Times New Roman" w:cs="Times New Roman"/>
          <w:lang w:val="en-IE"/>
        </w:rPr>
        <w:t>influence the export performance of a firm</w:t>
      </w:r>
      <w:r w:rsidR="00EB1538" w:rsidRPr="00C73908">
        <w:rPr>
          <w:rFonts w:ascii="Times New Roman" w:hAnsi="Times New Roman" w:cs="Times New Roman"/>
          <w:lang w:val="en-IE"/>
        </w:rPr>
        <w:t xml:space="preserve"> (</w:t>
      </w:r>
      <w:r w:rsidR="00CD60E1" w:rsidRPr="00C73908">
        <w:rPr>
          <w:rFonts w:ascii="Times New Roman" w:hAnsi="Times New Roman" w:cs="Times New Roman"/>
          <w:lang w:val="en-IE"/>
        </w:rPr>
        <w:t>Leonidou et al. 1998;</w:t>
      </w:r>
      <w:r w:rsidR="00BC571C" w:rsidRPr="00C73908">
        <w:rPr>
          <w:rFonts w:ascii="Times New Roman" w:hAnsi="Times New Roman" w:cs="Times New Roman"/>
          <w:lang w:val="en-IE"/>
        </w:rPr>
        <w:t xml:space="preserve"> Lloyd-Reason and Mughan 2002)</w:t>
      </w:r>
      <w:r w:rsidR="002651D9" w:rsidRPr="00C73908">
        <w:rPr>
          <w:rFonts w:ascii="Times New Roman" w:hAnsi="Times New Roman" w:cs="Times New Roman"/>
          <w:lang w:val="en-IE"/>
        </w:rPr>
        <w:t>.</w:t>
      </w:r>
      <w:r w:rsidR="006447CF" w:rsidRPr="00C73908">
        <w:rPr>
          <w:rFonts w:ascii="Times New Roman" w:hAnsi="Times New Roman" w:cs="Times New Roman"/>
          <w:lang w:val="en-IE"/>
        </w:rPr>
        <w:t xml:space="preserve"> Bloom et al. (</w:t>
      </w:r>
      <w:r w:rsidR="00C74BAE" w:rsidRPr="00C73908">
        <w:rPr>
          <w:rFonts w:ascii="Times New Roman" w:hAnsi="Times New Roman" w:cs="Times New Roman"/>
          <w:lang w:val="en-IE"/>
        </w:rPr>
        <w:t xml:space="preserve">2018) </w:t>
      </w:r>
      <w:r w:rsidR="00552A05" w:rsidRPr="00C73908">
        <w:rPr>
          <w:rFonts w:ascii="Times New Roman" w:hAnsi="Times New Roman" w:cs="Times New Roman"/>
          <w:lang w:val="en-IE"/>
        </w:rPr>
        <w:t xml:space="preserve">examine the role </w:t>
      </w:r>
      <w:r w:rsidR="00B3051F" w:rsidRPr="00C73908">
        <w:rPr>
          <w:rFonts w:ascii="Times New Roman" w:hAnsi="Times New Roman" w:cs="Times New Roman"/>
          <w:lang w:val="en-IE"/>
        </w:rPr>
        <w:t>of</w:t>
      </w:r>
      <w:r w:rsidR="00552A05" w:rsidRPr="00C73908">
        <w:rPr>
          <w:rFonts w:ascii="Times New Roman" w:hAnsi="Times New Roman" w:cs="Times New Roman"/>
          <w:lang w:val="en-IE"/>
        </w:rPr>
        <w:t xml:space="preserve"> management practices</w:t>
      </w:r>
      <w:r w:rsidR="00DD0A28" w:rsidRPr="00C73908">
        <w:rPr>
          <w:rFonts w:ascii="Times New Roman" w:hAnsi="Times New Roman" w:cs="Times New Roman"/>
          <w:lang w:val="en-IE"/>
        </w:rPr>
        <w:t xml:space="preserve"> </w:t>
      </w:r>
      <w:r w:rsidR="00B3051F" w:rsidRPr="00C73908">
        <w:rPr>
          <w:rFonts w:ascii="Times New Roman" w:hAnsi="Times New Roman" w:cs="Times New Roman"/>
          <w:lang w:val="en-IE"/>
        </w:rPr>
        <w:t xml:space="preserve">in export performance </w:t>
      </w:r>
      <w:r w:rsidR="00135003" w:rsidRPr="00C73908">
        <w:rPr>
          <w:rFonts w:ascii="Times New Roman" w:hAnsi="Times New Roman" w:cs="Times New Roman"/>
          <w:lang w:val="en-IE"/>
        </w:rPr>
        <w:t>usin</w:t>
      </w:r>
      <w:r w:rsidR="004A51B3" w:rsidRPr="00C73908">
        <w:rPr>
          <w:rFonts w:ascii="Times New Roman" w:hAnsi="Times New Roman" w:cs="Times New Roman"/>
          <w:lang w:val="en-IE"/>
        </w:rPr>
        <w:t>g</w:t>
      </w:r>
      <w:r w:rsidR="00880F85" w:rsidRPr="00C73908">
        <w:rPr>
          <w:rFonts w:ascii="Times New Roman" w:hAnsi="Times New Roman" w:cs="Times New Roman"/>
          <w:lang w:val="en-IE"/>
        </w:rPr>
        <w:t xml:space="preserve"> plant level data on production, </w:t>
      </w:r>
      <w:r w:rsidR="00E46D64" w:rsidRPr="00C73908">
        <w:rPr>
          <w:rFonts w:ascii="Times New Roman" w:hAnsi="Times New Roman" w:cs="Times New Roman"/>
          <w:lang w:val="en-IE"/>
        </w:rPr>
        <w:t xml:space="preserve">management practices and trade from </w:t>
      </w:r>
      <w:r w:rsidR="00672C45" w:rsidRPr="00C73908">
        <w:rPr>
          <w:rFonts w:ascii="Times New Roman" w:hAnsi="Times New Roman" w:cs="Times New Roman"/>
          <w:lang w:val="en-IE"/>
        </w:rPr>
        <w:t xml:space="preserve">a large sample of </w:t>
      </w:r>
      <w:r w:rsidR="00E46D64" w:rsidRPr="00C73908">
        <w:rPr>
          <w:rFonts w:ascii="Times New Roman" w:hAnsi="Times New Roman" w:cs="Times New Roman"/>
          <w:lang w:val="en-IE"/>
        </w:rPr>
        <w:t>US and Chinese manufacturers.</w:t>
      </w:r>
      <w:r w:rsidR="00BA1C81" w:rsidRPr="00C73908">
        <w:rPr>
          <w:rFonts w:ascii="Times New Roman" w:hAnsi="Times New Roman" w:cs="Times New Roman"/>
          <w:lang w:val="en-IE"/>
        </w:rPr>
        <w:t xml:space="preserve"> </w:t>
      </w:r>
      <w:r w:rsidR="007464DA" w:rsidRPr="00C73908">
        <w:rPr>
          <w:rFonts w:ascii="Times New Roman" w:hAnsi="Times New Roman" w:cs="Times New Roman"/>
          <w:lang w:val="en-IE"/>
        </w:rPr>
        <w:t>Their analysis shows</w:t>
      </w:r>
      <w:r w:rsidR="00BA1C81" w:rsidRPr="00C73908">
        <w:rPr>
          <w:rFonts w:ascii="Times New Roman" w:hAnsi="Times New Roman" w:cs="Times New Roman"/>
          <w:lang w:val="en-IE"/>
        </w:rPr>
        <w:t xml:space="preserve"> that, in both countries, </w:t>
      </w:r>
      <w:r w:rsidR="00E226E3" w:rsidRPr="00C73908">
        <w:rPr>
          <w:rFonts w:ascii="Times New Roman" w:hAnsi="Times New Roman" w:cs="Times New Roman"/>
          <w:lang w:val="en-IE"/>
        </w:rPr>
        <w:t>firms</w:t>
      </w:r>
      <w:r w:rsidR="00BA1C81" w:rsidRPr="00C73908">
        <w:rPr>
          <w:rFonts w:ascii="Times New Roman" w:hAnsi="Times New Roman" w:cs="Times New Roman"/>
          <w:lang w:val="en-IE"/>
        </w:rPr>
        <w:t xml:space="preserve"> with more effective management practices are </w:t>
      </w:r>
      <w:r w:rsidR="00E226E3" w:rsidRPr="00C73908">
        <w:rPr>
          <w:rFonts w:ascii="Times New Roman" w:hAnsi="Times New Roman" w:cs="Times New Roman"/>
          <w:lang w:val="en-IE"/>
        </w:rPr>
        <w:t>more likely to export and</w:t>
      </w:r>
      <w:r w:rsidR="0047243F" w:rsidRPr="00C73908">
        <w:rPr>
          <w:rFonts w:ascii="Times New Roman" w:hAnsi="Times New Roman" w:cs="Times New Roman"/>
          <w:lang w:val="en-IE"/>
        </w:rPr>
        <w:t xml:space="preserve"> “sell more products to more destination countries and earn higher export</w:t>
      </w:r>
      <w:r w:rsidR="00215120" w:rsidRPr="00C73908">
        <w:rPr>
          <w:rFonts w:ascii="Times New Roman" w:hAnsi="Times New Roman" w:cs="Times New Roman"/>
          <w:lang w:val="en-IE"/>
        </w:rPr>
        <w:t xml:space="preserve"> </w:t>
      </w:r>
      <w:r w:rsidR="0047243F" w:rsidRPr="00C73908">
        <w:rPr>
          <w:rFonts w:ascii="Times New Roman" w:hAnsi="Times New Roman" w:cs="Times New Roman"/>
          <w:lang w:val="en-IE"/>
        </w:rPr>
        <w:t>revenues and profits</w:t>
      </w:r>
      <w:r w:rsidR="00BA1C81" w:rsidRPr="00C73908">
        <w:rPr>
          <w:rFonts w:ascii="Times New Roman" w:hAnsi="Times New Roman" w:cs="Times New Roman"/>
          <w:lang w:val="en-IE"/>
        </w:rPr>
        <w:t>.</w:t>
      </w:r>
      <w:r w:rsidR="0047243F" w:rsidRPr="00C73908">
        <w:rPr>
          <w:rFonts w:ascii="Times New Roman" w:hAnsi="Times New Roman" w:cs="Times New Roman"/>
          <w:lang w:val="en-IE"/>
        </w:rPr>
        <w:t xml:space="preserve">” </w:t>
      </w:r>
      <w:r w:rsidR="00A60470" w:rsidRPr="00C73908">
        <w:rPr>
          <w:rFonts w:ascii="Times New Roman" w:hAnsi="Times New Roman" w:cs="Times New Roman"/>
          <w:lang w:val="en-IE"/>
        </w:rPr>
        <w:t xml:space="preserve">They propose that </w:t>
      </w:r>
      <w:r w:rsidR="00215120" w:rsidRPr="00C73908">
        <w:rPr>
          <w:rFonts w:ascii="Times New Roman" w:hAnsi="Times New Roman" w:cs="Times New Roman"/>
          <w:lang w:val="en-IE"/>
        </w:rPr>
        <w:t>“s</w:t>
      </w:r>
      <w:r w:rsidR="00A60470" w:rsidRPr="00C73908">
        <w:rPr>
          <w:rFonts w:ascii="Times New Roman" w:hAnsi="Times New Roman" w:cs="Times New Roman"/>
          <w:lang w:val="en-IE"/>
        </w:rPr>
        <w:t>uperior management enables firms to use more</w:t>
      </w:r>
      <w:r w:rsidR="00215120" w:rsidRPr="00C73908">
        <w:rPr>
          <w:rFonts w:ascii="Times New Roman" w:hAnsi="Times New Roman" w:cs="Times New Roman"/>
          <w:lang w:val="en-IE"/>
        </w:rPr>
        <w:t xml:space="preserve"> </w:t>
      </w:r>
      <w:r w:rsidR="00A60470" w:rsidRPr="00C73908">
        <w:rPr>
          <w:rFonts w:ascii="Times New Roman" w:hAnsi="Times New Roman" w:cs="Times New Roman"/>
          <w:lang w:val="en-IE"/>
        </w:rPr>
        <w:t>sophisticated, higher-quality inputs and more complex assembly technologies that increase output</w:t>
      </w:r>
      <w:r w:rsidR="00215120" w:rsidRPr="00C73908">
        <w:rPr>
          <w:rFonts w:ascii="Times New Roman" w:hAnsi="Times New Roman" w:cs="Times New Roman"/>
          <w:lang w:val="en-IE"/>
        </w:rPr>
        <w:t xml:space="preserve"> </w:t>
      </w:r>
      <w:r w:rsidR="00A60470" w:rsidRPr="00C73908">
        <w:rPr>
          <w:rFonts w:ascii="Times New Roman" w:hAnsi="Times New Roman" w:cs="Times New Roman"/>
          <w:lang w:val="en-IE"/>
        </w:rPr>
        <w:t>quality.”</w:t>
      </w:r>
    </w:p>
    <w:p w14:paraId="247C5403" w14:textId="35B7184C" w:rsidR="00E039D3" w:rsidRPr="00C73908" w:rsidRDefault="00CC0F54"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 xml:space="preserve">Sala and Yalcin (2012) use </w:t>
      </w:r>
      <w:r w:rsidR="009B481B" w:rsidRPr="00C73908">
        <w:rPr>
          <w:rFonts w:ascii="Times New Roman" w:hAnsi="Times New Roman" w:cs="Times New Roman"/>
          <w:lang w:val="en-IE"/>
        </w:rPr>
        <w:t xml:space="preserve">a matched </w:t>
      </w:r>
      <w:r w:rsidR="0098487F" w:rsidRPr="00C73908">
        <w:rPr>
          <w:rFonts w:ascii="Times New Roman" w:hAnsi="Times New Roman" w:cs="Times New Roman"/>
          <w:lang w:val="en-IE"/>
        </w:rPr>
        <w:t xml:space="preserve">employee-employer </w:t>
      </w:r>
      <w:r w:rsidR="009B481B" w:rsidRPr="00C73908">
        <w:rPr>
          <w:rFonts w:ascii="Times New Roman" w:hAnsi="Times New Roman" w:cs="Times New Roman"/>
          <w:lang w:val="en-IE"/>
        </w:rPr>
        <w:t>data</w:t>
      </w:r>
      <w:r w:rsidR="002904A9" w:rsidRPr="00C73908">
        <w:rPr>
          <w:rFonts w:ascii="Times New Roman" w:hAnsi="Times New Roman" w:cs="Times New Roman"/>
          <w:lang w:val="en-IE"/>
        </w:rPr>
        <w:t>set</w:t>
      </w:r>
      <w:r w:rsidR="009B481B" w:rsidRPr="00C73908">
        <w:rPr>
          <w:rFonts w:ascii="Times New Roman" w:hAnsi="Times New Roman" w:cs="Times New Roman"/>
          <w:lang w:val="en-IE"/>
        </w:rPr>
        <w:t xml:space="preserve"> </w:t>
      </w:r>
      <w:r w:rsidR="00607C65" w:rsidRPr="00C73908">
        <w:rPr>
          <w:rFonts w:ascii="Times New Roman" w:hAnsi="Times New Roman" w:cs="Times New Roman"/>
          <w:lang w:val="en-IE"/>
        </w:rPr>
        <w:t>o</w:t>
      </w:r>
      <w:r w:rsidR="0095744A" w:rsidRPr="00C73908">
        <w:rPr>
          <w:rFonts w:ascii="Times New Roman" w:hAnsi="Times New Roman" w:cs="Times New Roman"/>
          <w:lang w:val="en-IE"/>
        </w:rPr>
        <w:t>f</w:t>
      </w:r>
      <w:r w:rsidR="00607C65" w:rsidRPr="00C73908">
        <w:rPr>
          <w:rFonts w:ascii="Times New Roman" w:hAnsi="Times New Roman" w:cs="Times New Roman"/>
          <w:lang w:val="en-IE"/>
        </w:rPr>
        <w:t xml:space="preserve"> </w:t>
      </w:r>
      <w:r w:rsidR="0095744A" w:rsidRPr="00C73908">
        <w:rPr>
          <w:rFonts w:ascii="Times New Roman" w:hAnsi="Times New Roman" w:cs="Times New Roman"/>
          <w:lang w:val="en-IE"/>
        </w:rPr>
        <w:t xml:space="preserve">over 9,000 </w:t>
      </w:r>
      <w:r w:rsidR="00607C65" w:rsidRPr="00C73908">
        <w:rPr>
          <w:rFonts w:ascii="Times New Roman" w:hAnsi="Times New Roman" w:cs="Times New Roman"/>
          <w:lang w:val="en-IE"/>
        </w:rPr>
        <w:t>Danish manufacturing firms</w:t>
      </w:r>
      <w:r w:rsidR="003434D0" w:rsidRPr="00C73908">
        <w:rPr>
          <w:rFonts w:ascii="Times New Roman" w:hAnsi="Times New Roman" w:cs="Times New Roman"/>
          <w:lang w:val="en-IE"/>
        </w:rPr>
        <w:t xml:space="preserve"> from 1999 to 2006</w:t>
      </w:r>
      <w:r w:rsidR="00607C65" w:rsidRPr="00C73908">
        <w:rPr>
          <w:rFonts w:ascii="Times New Roman" w:hAnsi="Times New Roman" w:cs="Times New Roman"/>
          <w:lang w:val="en-IE"/>
        </w:rPr>
        <w:t xml:space="preserve"> which c</w:t>
      </w:r>
      <w:r w:rsidR="0048173B" w:rsidRPr="00C73908">
        <w:rPr>
          <w:rFonts w:ascii="Times New Roman" w:hAnsi="Times New Roman" w:cs="Times New Roman"/>
          <w:lang w:val="en-IE"/>
        </w:rPr>
        <w:t>ombine</w:t>
      </w:r>
      <w:r w:rsidR="00607C65" w:rsidRPr="00C73908">
        <w:rPr>
          <w:rFonts w:ascii="Times New Roman" w:hAnsi="Times New Roman" w:cs="Times New Roman"/>
          <w:lang w:val="en-IE"/>
        </w:rPr>
        <w:t xml:space="preserve">s </w:t>
      </w:r>
      <w:r w:rsidR="0048173B" w:rsidRPr="00C73908">
        <w:rPr>
          <w:rFonts w:ascii="Times New Roman" w:hAnsi="Times New Roman" w:cs="Times New Roman"/>
          <w:lang w:val="en-IE"/>
        </w:rPr>
        <w:t>firm statistics such as sales, exports</w:t>
      </w:r>
      <w:r w:rsidR="00716CAD" w:rsidRPr="00C73908">
        <w:rPr>
          <w:rFonts w:ascii="Times New Roman" w:hAnsi="Times New Roman" w:cs="Times New Roman"/>
          <w:lang w:val="en-IE"/>
        </w:rPr>
        <w:t xml:space="preserve"> and</w:t>
      </w:r>
      <w:r w:rsidR="0048173B" w:rsidRPr="00C73908">
        <w:rPr>
          <w:rFonts w:ascii="Times New Roman" w:hAnsi="Times New Roman" w:cs="Times New Roman"/>
          <w:lang w:val="en-IE"/>
        </w:rPr>
        <w:t xml:space="preserve"> value added</w:t>
      </w:r>
      <w:r w:rsidR="00716CAD" w:rsidRPr="00C73908">
        <w:rPr>
          <w:rFonts w:ascii="Times New Roman" w:hAnsi="Times New Roman" w:cs="Times New Roman"/>
          <w:lang w:val="en-IE"/>
        </w:rPr>
        <w:t xml:space="preserve"> with employee characteristics such as </w:t>
      </w:r>
      <w:r w:rsidR="00E9332C" w:rsidRPr="00C73908">
        <w:rPr>
          <w:rFonts w:ascii="Times New Roman" w:hAnsi="Times New Roman" w:cs="Times New Roman"/>
          <w:lang w:val="en-IE"/>
        </w:rPr>
        <w:t xml:space="preserve">salary, </w:t>
      </w:r>
      <w:r w:rsidR="00716CAD" w:rsidRPr="00C73908">
        <w:rPr>
          <w:rFonts w:ascii="Times New Roman" w:hAnsi="Times New Roman" w:cs="Times New Roman"/>
          <w:lang w:val="en-IE"/>
        </w:rPr>
        <w:t>education level</w:t>
      </w:r>
      <w:r w:rsidR="00E9332C" w:rsidRPr="00C73908">
        <w:rPr>
          <w:rFonts w:ascii="Times New Roman" w:hAnsi="Times New Roman" w:cs="Times New Roman"/>
          <w:lang w:val="en-IE"/>
        </w:rPr>
        <w:t xml:space="preserve"> and </w:t>
      </w:r>
      <w:r w:rsidR="00C3294A" w:rsidRPr="00C73908">
        <w:rPr>
          <w:rFonts w:ascii="Times New Roman" w:hAnsi="Times New Roman" w:cs="Times New Roman"/>
          <w:lang w:val="en-IE"/>
        </w:rPr>
        <w:t>age</w:t>
      </w:r>
      <w:r w:rsidR="00C87E39" w:rsidRPr="00C73908">
        <w:rPr>
          <w:rFonts w:ascii="Times New Roman" w:hAnsi="Times New Roman" w:cs="Times New Roman"/>
          <w:lang w:val="en-IE"/>
        </w:rPr>
        <w:t>.</w:t>
      </w:r>
      <w:r w:rsidR="00B9665B" w:rsidRPr="00C73908">
        <w:rPr>
          <w:rFonts w:ascii="Times New Roman" w:hAnsi="Times New Roman" w:cs="Times New Roman"/>
          <w:lang w:val="en-IE"/>
        </w:rPr>
        <w:t xml:space="preserve"> Overall, they</w:t>
      </w:r>
      <w:r w:rsidR="00A35115" w:rsidRPr="00C73908">
        <w:rPr>
          <w:rFonts w:ascii="Times New Roman" w:hAnsi="Times New Roman" w:cs="Times New Roman"/>
          <w:lang w:val="en-IE"/>
        </w:rPr>
        <w:t xml:space="preserve"> find that managerial characteristics have a significant influence on </w:t>
      </w:r>
      <w:r w:rsidR="002A382B" w:rsidRPr="00C73908">
        <w:rPr>
          <w:rFonts w:ascii="Times New Roman" w:hAnsi="Times New Roman" w:cs="Times New Roman"/>
          <w:lang w:val="en-IE"/>
        </w:rPr>
        <w:t>export propensity</w:t>
      </w:r>
      <w:r w:rsidR="005B01A6" w:rsidRPr="00C73908">
        <w:rPr>
          <w:rFonts w:ascii="Times New Roman" w:hAnsi="Times New Roman" w:cs="Times New Roman"/>
          <w:lang w:val="en-IE"/>
        </w:rPr>
        <w:t xml:space="preserve">. In particular, </w:t>
      </w:r>
      <w:r w:rsidR="00080787" w:rsidRPr="00C73908">
        <w:rPr>
          <w:rFonts w:ascii="Times New Roman" w:hAnsi="Times New Roman" w:cs="Times New Roman"/>
          <w:lang w:val="en-IE"/>
        </w:rPr>
        <w:t xml:space="preserve">having a </w:t>
      </w:r>
      <w:r w:rsidR="0013028C" w:rsidRPr="00C73908">
        <w:rPr>
          <w:rFonts w:ascii="Times New Roman" w:hAnsi="Times New Roman" w:cs="Times New Roman"/>
          <w:lang w:val="en-IE"/>
        </w:rPr>
        <w:t>manager</w:t>
      </w:r>
      <w:r w:rsidR="00080787" w:rsidRPr="00C73908">
        <w:rPr>
          <w:rFonts w:ascii="Times New Roman" w:hAnsi="Times New Roman" w:cs="Times New Roman"/>
          <w:lang w:val="en-IE"/>
        </w:rPr>
        <w:t xml:space="preserve"> with</w:t>
      </w:r>
      <w:r w:rsidR="0013028C" w:rsidRPr="00C73908">
        <w:rPr>
          <w:rFonts w:ascii="Times New Roman" w:hAnsi="Times New Roman" w:cs="Times New Roman"/>
          <w:lang w:val="en-IE"/>
        </w:rPr>
        <w:t xml:space="preserve"> previous export experience </w:t>
      </w:r>
      <w:r w:rsidR="00080787" w:rsidRPr="00C73908">
        <w:rPr>
          <w:rFonts w:ascii="Times New Roman" w:hAnsi="Times New Roman" w:cs="Times New Roman"/>
          <w:lang w:val="en-IE"/>
        </w:rPr>
        <w:t>increases the likelihood of exporting</w:t>
      </w:r>
      <w:r w:rsidR="00D559DB" w:rsidRPr="00C73908">
        <w:rPr>
          <w:rFonts w:ascii="Times New Roman" w:hAnsi="Times New Roman" w:cs="Times New Roman"/>
          <w:lang w:val="en-IE"/>
        </w:rPr>
        <w:t>.</w:t>
      </w:r>
      <w:r w:rsidR="00DA3DE1" w:rsidRPr="00C73908">
        <w:rPr>
          <w:rFonts w:ascii="Times New Roman" w:hAnsi="Times New Roman" w:cs="Times New Roman"/>
          <w:lang w:val="en-IE"/>
        </w:rPr>
        <w:t xml:space="preserve"> </w:t>
      </w:r>
      <w:r w:rsidR="004575DA" w:rsidRPr="00C73908">
        <w:rPr>
          <w:rFonts w:ascii="Times New Roman" w:hAnsi="Times New Roman" w:cs="Times New Roman"/>
          <w:lang w:val="en-IE"/>
        </w:rPr>
        <w:t xml:space="preserve">Mion and Opromolla (2013) </w:t>
      </w:r>
      <w:r w:rsidR="0031716D" w:rsidRPr="00C73908">
        <w:rPr>
          <w:rFonts w:ascii="Times New Roman" w:hAnsi="Times New Roman" w:cs="Times New Roman"/>
          <w:lang w:val="en-IE"/>
        </w:rPr>
        <w:t xml:space="preserve">provide </w:t>
      </w:r>
      <w:r w:rsidR="002F1035" w:rsidRPr="00C73908">
        <w:rPr>
          <w:rFonts w:ascii="Times New Roman" w:hAnsi="Times New Roman" w:cs="Times New Roman"/>
          <w:lang w:val="en-IE"/>
        </w:rPr>
        <w:t xml:space="preserve">further evidence of the </w:t>
      </w:r>
      <w:r w:rsidR="003753AF" w:rsidRPr="00C73908">
        <w:rPr>
          <w:rFonts w:ascii="Times New Roman" w:hAnsi="Times New Roman" w:cs="Times New Roman"/>
          <w:lang w:val="en-IE"/>
        </w:rPr>
        <w:t>transfer</w:t>
      </w:r>
      <w:r w:rsidR="002F1035" w:rsidRPr="00C73908">
        <w:rPr>
          <w:rFonts w:ascii="Times New Roman" w:hAnsi="Times New Roman" w:cs="Times New Roman"/>
          <w:lang w:val="en-IE"/>
        </w:rPr>
        <w:t xml:space="preserve"> of export knowledge </w:t>
      </w:r>
      <w:r w:rsidR="003753AF" w:rsidRPr="00C73908">
        <w:rPr>
          <w:rFonts w:ascii="Times New Roman" w:hAnsi="Times New Roman" w:cs="Times New Roman"/>
          <w:lang w:val="en-IE"/>
        </w:rPr>
        <w:t>through the labour market</w:t>
      </w:r>
      <w:r w:rsidR="001B42ED" w:rsidRPr="00C73908">
        <w:rPr>
          <w:rFonts w:ascii="Times New Roman" w:hAnsi="Times New Roman" w:cs="Times New Roman"/>
          <w:lang w:val="en-IE"/>
        </w:rPr>
        <w:t xml:space="preserve"> in their analysis </w:t>
      </w:r>
      <w:r w:rsidR="00C46907" w:rsidRPr="00C73908">
        <w:rPr>
          <w:rFonts w:ascii="Times New Roman" w:hAnsi="Times New Roman" w:cs="Times New Roman"/>
          <w:lang w:val="en-IE"/>
        </w:rPr>
        <w:t>on</w:t>
      </w:r>
      <w:r w:rsidR="00EF6920" w:rsidRPr="00C73908">
        <w:rPr>
          <w:rFonts w:ascii="Times New Roman" w:hAnsi="Times New Roman" w:cs="Times New Roman"/>
          <w:lang w:val="en-IE"/>
        </w:rPr>
        <w:t xml:space="preserve"> a similar </w:t>
      </w:r>
      <w:r w:rsidR="00716C7A" w:rsidRPr="00C73908">
        <w:rPr>
          <w:rFonts w:ascii="Times New Roman" w:hAnsi="Times New Roman" w:cs="Times New Roman"/>
          <w:lang w:val="en-IE"/>
        </w:rPr>
        <w:t>sample</w:t>
      </w:r>
      <w:r w:rsidR="00EF6920" w:rsidRPr="00C73908">
        <w:rPr>
          <w:rFonts w:ascii="Times New Roman" w:hAnsi="Times New Roman" w:cs="Times New Roman"/>
          <w:lang w:val="en-IE"/>
        </w:rPr>
        <w:t xml:space="preserve"> of</w:t>
      </w:r>
      <w:r w:rsidR="004575DA" w:rsidRPr="00C73908">
        <w:rPr>
          <w:rFonts w:ascii="Times New Roman" w:hAnsi="Times New Roman" w:cs="Times New Roman"/>
          <w:lang w:val="en-IE"/>
        </w:rPr>
        <w:t xml:space="preserve"> Portuguese firms. </w:t>
      </w:r>
      <w:r w:rsidR="00277756" w:rsidRPr="00C73908">
        <w:rPr>
          <w:rFonts w:ascii="Times New Roman" w:hAnsi="Times New Roman" w:cs="Times New Roman"/>
          <w:lang w:val="en-IE"/>
        </w:rPr>
        <w:t xml:space="preserve">Their dataset has a further degree of granularity in that it </w:t>
      </w:r>
      <w:r w:rsidR="00924605" w:rsidRPr="00C73908">
        <w:rPr>
          <w:rFonts w:ascii="Times New Roman" w:hAnsi="Times New Roman" w:cs="Times New Roman"/>
          <w:lang w:val="en-IE"/>
        </w:rPr>
        <w:t>contains information on the specific markets in which managers ha</w:t>
      </w:r>
      <w:r w:rsidR="0097744A" w:rsidRPr="00C73908">
        <w:rPr>
          <w:rFonts w:ascii="Times New Roman" w:hAnsi="Times New Roman" w:cs="Times New Roman"/>
          <w:lang w:val="en-IE"/>
        </w:rPr>
        <w:t>ve</w:t>
      </w:r>
      <w:r w:rsidR="00924605" w:rsidRPr="00C73908">
        <w:rPr>
          <w:rFonts w:ascii="Times New Roman" w:hAnsi="Times New Roman" w:cs="Times New Roman"/>
          <w:lang w:val="en-IE"/>
        </w:rPr>
        <w:t xml:space="preserve"> </w:t>
      </w:r>
      <w:r w:rsidR="00B8419E" w:rsidRPr="00C73908">
        <w:rPr>
          <w:rFonts w:ascii="Times New Roman" w:hAnsi="Times New Roman" w:cs="Times New Roman"/>
          <w:lang w:val="en-IE"/>
        </w:rPr>
        <w:t>previous experience.</w:t>
      </w:r>
      <w:r w:rsidR="001B42ED" w:rsidRPr="00C73908">
        <w:rPr>
          <w:rFonts w:ascii="Times New Roman" w:hAnsi="Times New Roman" w:cs="Times New Roman"/>
          <w:lang w:val="en-IE"/>
        </w:rPr>
        <w:t xml:space="preserve"> They find</w:t>
      </w:r>
      <w:r w:rsidR="00C76C77" w:rsidRPr="00C73908">
        <w:rPr>
          <w:rFonts w:ascii="Times New Roman" w:hAnsi="Times New Roman" w:cs="Times New Roman"/>
          <w:lang w:val="en-IE"/>
        </w:rPr>
        <w:t xml:space="preserve"> </w:t>
      </w:r>
      <w:r w:rsidR="007A2767" w:rsidRPr="00C73908">
        <w:rPr>
          <w:rFonts w:ascii="Times New Roman" w:hAnsi="Times New Roman" w:cs="Times New Roman"/>
          <w:lang w:val="en-IE"/>
        </w:rPr>
        <w:t xml:space="preserve">that </w:t>
      </w:r>
      <w:r w:rsidR="00F5247C" w:rsidRPr="00C73908">
        <w:rPr>
          <w:rFonts w:ascii="Times New Roman" w:hAnsi="Times New Roman" w:cs="Times New Roman"/>
          <w:lang w:val="en-IE"/>
        </w:rPr>
        <w:t>(</w:t>
      </w:r>
      <w:r w:rsidR="003A493A" w:rsidRPr="00C73908">
        <w:rPr>
          <w:rFonts w:ascii="Times New Roman" w:hAnsi="Times New Roman" w:cs="Times New Roman"/>
          <w:lang w:val="en-IE"/>
        </w:rPr>
        <w:t xml:space="preserve">after controlling for other </w:t>
      </w:r>
      <w:r w:rsidR="00F5247C" w:rsidRPr="00C73908">
        <w:rPr>
          <w:rFonts w:ascii="Times New Roman" w:hAnsi="Times New Roman" w:cs="Times New Roman"/>
          <w:lang w:val="en-IE"/>
        </w:rPr>
        <w:t xml:space="preserve">potentially </w:t>
      </w:r>
      <w:r w:rsidR="003A493A" w:rsidRPr="00C73908">
        <w:rPr>
          <w:rFonts w:ascii="Times New Roman" w:hAnsi="Times New Roman" w:cs="Times New Roman"/>
          <w:lang w:val="en-IE"/>
        </w:rPr>
        <w:t xml:space="preserve">influential factors such as productivity and </w:t>
      </w:r>
      <w:r w:rsidR="00F5247C" w:rsidRPr="00C73908">
        <w:rPr>
          <w:rFonts w:ascii="Times New Roman" w:hAnsi="Times New Roman" w:cs="Times New Roman"/>
          <w:lang w:val="en-IE"/>
        </w:rPr>
        <w:t>R&amp;D)</w:t>
      </w:r>
      <w:r w:rsidR="001B42ED" w:rsidRPr="00C73908">
        <w:rPr>
          <w:rFonts w:ascii="Times New Roman" w:hAnsi="Times New Roman" w:cs="Times New Roman"/>
          <w:lang w:val="en-IE"/>
        </w:rPr>
        <w:t xml:space="preserve"> </w:t>
      </w:r>
      <w:r w:rsidR="007E3B24" w:rsidRPr="00C73908">
        <w:rPr>
          <w:rFonts w:ascii="Times New Roman" w:hAnsi="Times New Roman" w:cs="Times New Roman"/>
          <w:lang w:val="en-IE"/>
        </w:rPr>
        <w:t xml:space="preserve">having a manager with previous </w:t>
      </w:r>
      <w:r w:rsidR="00EB0401" w:rsidRPr="00C73908">
        <w:rPr>
          <w:rFonts w:ascii="Times New Roman" w:hAnsi="Times New Roman" w:cs="Times New Roman"/>
          <w:lang w:val="en-IE"/>
        </w:rPr>
        <w:t xml:space="preserve">experience in a specific </w:t>
      </w:r>
      <w:r w:rsidR="007E3B24" w:rsidRPr="00C73908">
        <w:rPr>
          <w:rFonts w:ascii="Times New Roman" w:hAnsi="Times New Roman" w:cs="Times New Roman"/>
          <w:lang w:val="en-IE"/>
        </w:rPr>
        <w:t>market</w:t>
      </w:r>
      <w:r w:rsidR="00EB0401" w:rsidRPr="00C73908">
        <w:rPr>
          <w:rFonts w:ascii="Times New Roman" w:hAnsi="Times New Roman" w:cs="Times New Roman"/>
          <w:lang w:val="en-IE"/>
        </w:rPr>
        <w:t xml:space="preserve"> increases the likelihood of entering/staying in th</w:t>
      </w:r>
      <w:r w:rsidR="00F5247C" w:rsidRPr="00C73908">
        <w:rPr>
          <w:rFonts w:ascii="Times New Roman" w:hAnsi="Times New Roman" w:cs="Times New Roman"/>
          <w:lang w:val="en-IE"/>
        </w:rPr>
        <w:t>at</w:t>
      </w:r>
      <w:r w:rsidR="00EB0401" w:rsidRPr="00C73908">
        <w:rPr>
          <w:rFonts w:ascii="Times New Roman" w:hAnsi="Times New Roman" w:cs="Times New Roman"/>
          <w:lang w:val="en-IE"/>
        </w:rPr>
        <w:t xml:space="preserve"> market and increases the value of existing exports to th</w:t>
      </w:r>
      <w:r w:rsidR="00F5247C" w:rsidRPr="00C73908">
        <w:rPr>
          <w:rFonts w:ascii="Times New Roman" w:hAnsi="Times New Roman" w:cs="Times New Roman"/>
          <w:lang w:val="en-IE"/>
        </w:rPr>
        <w:t>e</w:t>
      </w:r>
      <w:r w:rsidR="00EB0401" w:rsidRPr="00C73908">
        <w:rPr>
          <w:rFonts w:ascii="Times New Roman" w:hAnsi="Times New Roman" w:cs="Times New Roman"/>
          <w:lang w:val="en-IE"/>
        </w:rPr>
        <w:t xml:space="preserve"> market by 20-69%.</w:t>
      </w:r>
      <w:r w:rsidR="00D51361" w:rsidRPr="00C73908">
        <w:rPr>
          <w:rFonts w:ascii="Times New Roman" w:hAnsi="Times New Roman" w:cs="Times New Roman"/>
          <w:lang w:val="en-IE"/>
        </w:rPr>
        <w:t xml:space="preserve"> This implies </w:t>
      </w:r>
      <w:r w:rsidR="00EA4382" w:rsidRPr="00C73908">
        <w:rPr>
          <w:rFonts w:ascii="Times New Roman" w:hAnsi="Times New Roman" w:cs="Times New Roman"/>
          <w:lang w:val="en-IE"/>
        </w:rPr>
        <w:t xml:space="preserve">that there is substantial value in having a manager with </w:t>
      </w:r>
      <w:r w:rsidR="00AF7276">
        <w:rPr>
          <w:rFonts w:ascii="Times New Roman" w:hAnsi="Times New Roman" w:cs="Times New Roman"/>
          <w:lang w:val="en-IE"/>
        </w:rPr>
        <w:t xml:space="preserve">relevant contacts in the market as well as </w:t>
      </w:r>
      <w:r w:rsidR="00E36840" w:rsidRPr="00C73908">
        <w:rPr>
          <w:rFonts w:ascii="Times New Roman" w:hAnsi="Times New Roman" w:cs="Times New Roman"/>
          <w:lang w:val="en-IE"/>
        </w:rPr>
        <w:t xml:space="preserve">experience and </w:t>
      </w:r>
      <w:r w:rsidR="00EF5538" w:rsidRPr="00C73908">
        <w:rPr>
          <w:rFonts w:ascii="Times New Roman" w:hAnsi="Times New Roman" w:cs="Times New Roman"/>
          <w:lang w:val="en-IE"/>
        </w:rPr>
        <w:t xml:space="preserve">knowledge of the </w:t>
      </w:r>
      <w:r w:rsidR="00E36840" w:rsidRPr="00C73908">
        <w:rPr>
          <w:rFonts w:ascii="Times New Roman" w:hAnsi="Times New Roman" w:cs="Times New Roman"/>
          <w:lang w:val="en-IE"/>
        </w:rPr>
        <w:t>market includ</w:t>
      </w:r>
      <w:r w:rsidR="00EB2CCC" w:rsidRPr="00C73908">
        <w:rPr>
          <w:rFonts w:ascii="Times New Roman" w:hAnsi="Times New Roman" w:cs="Times New Roman"/>
          <w:lang w:val="en-IE"/>
        </w:rPr>
        <w:t xml:space="preserve">ing the </w:t>
      </w:r>
      <w:r w:rsidR="00AC0B2E" w:rsidRPr="00C73908">
        <w:rPr>
          <w:rFonts w:ascii="Times New Roman" w:hAnsi="Times New Roman" w:cs="Times New Roman"/>
          <w:lang w:val="en-IE"/>
        </w:rPr>
        <w:t>regulatory, tax and import requirements.</w:t>
      </w:r>
    </w:p>
    <w:p w14:paraId="7D4D5B9A" w14:textId="60C43FCD" w:rsidR="0078248A" w:rsidRPr="00C73908" w:rsidRDefault="00E478B8"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t>Impact of</w:t>
      </w:r>
      <w:r w:rsidR="008158AC" w:rsidRPr="00C73908">
        <w:rPr>
          <w:rFonts w:ascii="Times New Roman" w:hAnsi="Times New Roman" w:cs="Times New Roman"/>
          <w:b/>
          <w:bCs/>
          <w:color w:val="0070C0"/>
          <w:lang w:val="en-IE"/>
        </w:rPr>
        <w:t xml:space="preserve"> </w:t>
      </w:r>
      <w:r w:rsidR="006C4B4D" w:rsidRPr="00C73908">
        <w:rPr>
          <w:rFonts w:ascii="Times New Roman" w:hAnsi="Times New Roman" w:cs="Times New Roman"/>
          <w:b/>
          <w:bCs/>
          <w:color w:val="0070C0"/>
          <w:lang w:val="en-IE"/>
        </w:rPr>
        <w:t xml:space="preserve">Training: </w:t>
      </w:r>
      <w:r w:rsidR="006D4BD1" w:rsidRPr="00C73908">
        <w:rPr>
          <w:rFonts w:ascii="Times New Roman" w:hAnsi="Times New Roman" w:cs="Times New Roman"/>
          <w:lang w:val="en-IE"/>
        </w:rPr>
        <w:t xml:space="preserve">Despite the evidence that staff skill levels and management characteristics </w:t>
      </w:r>
      <w:r w:rsidR="00F4129C" w:rsidRPr="00C73908">
        <w:rPr>
          <w:rFonts w:ascii="Times New Roman" w:hAnsi="Times New Roman" w:cs="Times New Roman"/>
          <w:lang w:val="en-IE"/>
        </w:rPr>
        <w:t xml:space="preserve">can </w:t>
      </w:r>
      <w:r w:rsidR="00821527" w:rsidRPr="00C73908">
        <w:rPr>
          <w:rFonts w:ascii="Times New Roman" w:hAnsi="Times New Roman" w:cs="Times New Roman"/>
          <w:lang w:val="en-IE"/>
        </w:rPr>
        <w:t>have a significant influence on firm export performance</w:t>
      </w:r>
      <w:r w:rsidR="00C2243E" w:rsidRPr="00C73908">
        <w:rPr>
          <w:rFonts w:ascii="Times New Roman" w:hAnsi="Times New Roman" w:cs="Times New Roman"/>
          <w:lang w:val="en-IE"/>
        </w:rPr>
        <w:t xml:space="preserve">, there </w:t>
      </w:r>
      <w:r w:rsidR="00C9429D" w:rsidRPr="00C73908">
        <w:rPr>
          <w:rFonts w:ascii="Times New Roman" w:hAnsi="Times New Roman" w:cs="Times New Roman"/>
          <w:lang w:val="en-IE"/>
        </w:rPr>
        <w:t>have been</w:t>
      </w:r>
      <w:r w:rsidR="00C2243E" w:rsidRPr="00C73908">
        <w:rPr>
          <w:rFonts w:ascii="Times New Roman" w:hAnsi="Times New Roman" w:cs="Times New Roman"/>
          <w:lang w:val="en-IE"/>
        </w:rPr>
        <w:t xml:space="preserve"> relatively few studies on the </w:t>
      </w:r>
      <w:r w:rsidR="009F6B9D" w:rsidRPr="00C73908">
        <w:rPr>
          <w:rFonts w:ascii="Times New Roman" w:hAnsi="Times New Roman" w:cs="Times New Roman"/>
          <w:lang w:val="en-IE"/>
        </w:rPr>
        <w:t>effects</w:t>
      </w:r>
      <w:r w:rsidR="00C2243E" w:rsidRPr="00C73908">
        <w:rPr>
          <w:rFonts w:ascii="Times New Roman" w:hAnsi="Times New Roman" w:cs="Times New Roman"/>
          <w:lang w:val="en-IE"/>
        </w:rPr>
        <w:t xml:space="preserve"> that staff training may have on exporting</w:t>
      </w:r>
      <w:r w:rsidR="00DD6D10" w:rsidRPr="00C73908">
        <w:rPr>
          <w:rFonts w:ascii="Times New Roman" w:hAnsi="Times New Roman" w:cs="Times New Roman"/>
          <w:lang w:val="en-IE"/>
        </w:rPr>
        <w:t>.</w:t>
      </w:r>
      <w:r w:rsidR="003021AF" w:rsidRPr="00C73908">
        <w:rPr>
          <w:rFonts w:ascii="Times New Roman" w:hAnsi="Times New Roman" w:cs="Times New Roman"/>
          <w:lang w:val="en-IE"/>
        </w:rPr>
        <w:t xml:space="preserve"> Various studies</w:t>
      </w:r>
      <w:r w:rsidR="00A20927" w:rsidRPr="00C73908">
        <w:rPr>
          <w:rFonts w:ascii="Times New Roman" w:hAnsi="Times New Roman" w:cs="Times New Roman"/>
          <w:lang w:val="en-IE"/>
        </w:rPr>
        <w:t xml:space="preserve"> have </w:t>
      </w:r>
      <w:r w:rsidR="00114EC0" w:rsidRPr="00C73908">
        <w:rPr>
          <w:rFonts w:ascii="Times New Roman" w:hAnsi="Times New Roman" w:cs="Times New Roman"/>
          <w:lang w:val="en-IE"/>
        </w:rPr>
        <w:t>identified the positive impact</w:t>
      </w:r>
      <w:r w:rsidR="003872ED" w:rsidRPr="00C73908">
        <w:rPr>
          <w:rFonts w:ascii="Times New Roman" w:hAnsi="Times New Roman" w:cs="Times New Roman"/>
          <w:lang w:val="en-IE"/>
        </w:rPr>
        <w:t xml:space="preserve"> </w:t>
      </w:r>
      <w:r w:rsidR="00AA4813" w:rsidRPr="00C73908">
        <w:rPr>
          <w:rFonts w:ascii="Times New Roman" w:hAnsi="Times New Roman" w:cs="Times New Roman"/>
          <w:lang w:val="en-IE"/>
        </w:rPr>
        <w:t>of educational</w:t>
      </w:r>
      <w:r w:rsidR="00044DE6" w:rsidRPr="00C73908">
        <w:rPr>
          <w:rFonts w:ascii="Times New Roman" w:hAnsi="Times New Roman" w:cs="Times New Roman"/>
          <w:lang w:val="en-IE"/>
        </w:rPr>
        <w:t xml:space="preserve"> outcomes on export performance</w:t>
      </w:r>
      <w:r w:rsidR="00AA4813" w:rsidRPr="00C73908">
        <w:rPr>
          <w:rFonts w:ascii="Times New Roman" w:hAnsi="Times New Roman" w:cs="Times New Roman"/>
          <w:lang w:val="en-IE"/>
        </w:rPr>
        <w:t xml:space="preserve"> </w:t>
      </w:r>
      <w:r w:rsidR="00114EC0" w:rsidRPr="00C73908">
        <w:rPr>
          <w:rFonts w:ascii="Times New Roman" w:hAnsi="Times New Roman" w:cs="Times New Roman"/>
          <w:lang w:val="en-IE"/>
        </w:rPr>
        <w:t xml:space="preserve">at the macro level (Chuang, 2000; </w:t>
      </w:r>
      <w:r w:rsidR="00554B1F" w:rsidRPr="00C73908">
        <w:rPr>
          <w:rFonts w:ascii="Times New Roman" w:hAnsi="Times New Roman" w:cs="Times New Roman"/>
          <w:lang w:val="en-IE"/>
        </w:rPr>
        <w:t xml:space="preserve">Contractor and Mudambi, 2008). However, </w:t>
      </w:r>
      <w:r w:rsidR="0011518F" w:rsidRPr="00C73908">
        <w:rPr>
          <w:rFonts w:ascii="Times New Roman" w:hAnsi="Times New Roman" w:cs="Times New Roman"/>
          <w:lang w:val="en-IE"/>
        </w:rPr>
        <w:t xml:space="preserve">empirical studies on the </w:t>
      </w:r>
      <w:r w:rsidR="00276BB6" w:rsidRPr="00C73908">
        <w:rPr>
          <w:rFonts w:ascii="Times New Roman" w:hAnsi="Times New Roman" w:cs="Times New Roman"/>
          <w:lang w:val="en-IE"/>
        </w:rPr>
        <w:t xml:space="preserve">firm level effects of investment in human capital are rare. </w:t>
      </w:r>
      <w:r w:rsidR="00B01315" w:rsidRPr="00C73908">
        <w:rPr>
          <w:rFonts w:ascii="Times New Roman" w:hAnsi="Times New Roman" w:cs="Times New Roman"/>
          <w:lang w:val="en-IE"/>
        </w:rPr>
        <w:t xml:space="preserve">Konings &amp; Vanormelingen </w:t>
      </w:r>
      <w:r w:rsidR="00F5471E" w:rsidRPr="00C73908">
        <w:rPr>
          <w:rFonts w:ascii="Times New Roman" w:hAnsi="Times New Roman" w:cs="Times New Roman"/>
          <w:lang w:val="en-IE"/>
        </w:rPr>
        <w:t>(</w:t>
      </w:r>
      <w:r w:rsidR="00B01315" w:rsidRPr="00C73908">
        <w:rPr>
          <w:rFonts w:ascii="Times New Roman" w:hAnsi="Times New Roman" w:cs="Times New Roman"/>
          <w:lang w:val="en-IE"/>
        </w:rPr>
        <w:t>2015)</w:t>
      </w:r>
      <w:r w:rsidR="00F5471E" w:rsidRPr="00C73908">
        <w:rPr>
          <w:rFonts w:ascii="Times New Roman" w:hAnsi="Times New Roman" w:cs="Times New Roman"/>
          <w:lang w:val="en-IE"/>
        </w:rPr>
        <w:t xml:space="preserve"> and</w:t>
      </w:r>
      <w:r w:rsidR="001D4973" w:rsidRPr="00C73908">
        <w:rPr>
          <w:rFonts w:ascii="Times New Roman" w:hAnsi="Times New Roman" w:cs="Times New Roman"/>
          <w:lang w:val="en-IE"/>
        </w:rPr>
        <w:t xml:space="preserve"> Dearden et al. (2005)</w:t>
      </w:r>
      <w:r w:rsidR="00305783" w:rsidRPr="00C73908">
        <w:rPr>
          <w:rFonts w:ascii="Times New Roman" w:hAnsi="Times New Roman" w:cs="Times New Roman"/>
          <w:lang w:val="en-IE"/>
        </w:rPr>
        <w:t xml:space="preserve"> find that investment in staff training leads to increases in firm productiv</w:t>
      </w:r>
      <w:r w:rsidR="002F115E" w:rsidRPr="00C73908">
        <w:rPr>
          <w:rFonts w:ascii="Times New Roman" w:hAnsi="Times New Roman" w:cs="Times New Roman"/>
          <w:lang w:val="en-IE"/>
        </w:rPr>
        <w:t>i</w:t>
      </w:r>
      <w:r w:rsidR="00305783" w:rsidRPr="00C73908">
        <w:rPr>
          <w:rFonts w:ascii="Times New Roman" w:hAnsi="Times New Roman" w:cs="Times New Roman"/>
          <w:lang w:val="en-IE"/>
        </w:rPr>
        <w:t>ty</w:t>
      </w:r>
      <w:r w:rsidR="00BA49C1" w:rsidRPr="00C73908">
        <w:rPr>
          <w:rFonts w:ascii="Times New Roman" w:hAnsi="Times New Roman" w:cs="Times New Roman"/>
          <w:lang w:val="en-IE"/>
        </w:rPr>
        <w:t xml:space="preserve">. </w:t>
      </w:r>
      <w:r w:rsidR="0042562C" w:rsidRPr="00C73908">
        <w:rPr>
          <w:rFonts w:ascii="Times New Roman" w:hAnsi="Times New Roman" w:cs="Times New Roman"/>
          <w:lang w:val="en-IE"/>
        </w:rPr>
        <w:t>Dostie (2020) reviews and summarises the findings of empirical research</w:t>
      </w:r>
      <w:r w:rsidR="00D514DB" w:rsidRPr="00C73908">
        <w:rPr>
          <w:rFonts w:ascii="Times New Roman" w:hAnsi="Times New Roman" w:cs="Times New Roman"/>
          <w:lang w:val="en-IE"/>
        </w:rPr>
        <w:t xml:space="preserve"> on the returns of firm-sponsored training of employees. He </w:t>
      </w:r>
      <w:r w:rsidR="0056639B" w:rsidRPr="00C73908">
        <w:rPr>
          <w:rFonts w:ascii="Times New Roman" w:hAnsi="Times New Roman" w:cs="Times New Roman"/>
          <w:lang w:val="en-IE"/>
        </w:rPr>
        <w:t>finds</w:t>
      </w:r>
      <w:r w:rsidR="00D514DB" w:rsidRPr="00C73908">
        <w:rPr>
          <w:rFonts w:ascii="Times New Roman" w:hAnsi="Times New Roman" w:cs="Times New Roman"/>
          <w:lang w:val="en-IE"/>
        </w:rPr>
        <w:t xml:space="preserve"> that</w:t>
      </w:r>
      <w:r w:rsidR="0056639B" w:rsidRPr="00C73908">
        <w:rPr>
          <w:rFonts w:ascii="Times New Roman" w:hAnsi="Times New Roman" w:cs="Times New Roman"/>
        </w:rPr>
        <w:t xml:space="preserve"> “</w:t>
      </w:r>
      <w:r w:rsidR="000B3417" w:rsidRPr="00C73908">
        <w:rPr>
          <w:rFonts w:ascii="Times New Roman" w:hAnsi="Times New Roman" w:cs="Times New Roman"/>
        </w:rPr>
        <w:t>firm</w:t>
      </w:r>
      <w:r w:rsidR="0056639B" w:rsidRPr="00C73908">
        <w:rPr>
          <w:rFonts w:ascii="Times New Roman" w:hAnsi="Times New Roman" w:cs="Times New Roman"/>
          <w:lang w:val="en-IE"/>
        </w:rPr>
        <w:t>-sponsored training helps employees acquire new skills and adjust to organizational and technological change. It also in turn leads to higher wages, improved firm-level productivity, and better firm-level innovation performance.</w:t>
      </w:r>
      <w:r w:rsidR="005A1BDD" w:rsidRPr="00C73908">
        <w:rPr>
          <w:rFonts w:ascii="Times New Roman" w:hAnsi="Times New Roman" w:cs="Times New Roman"/>
          <w:lang w:val="en-IE"/>
        </w:rPr>
        <w:t xml:space="preserve">” </w:t>
      </w:r>
      <w:r w:rsidR="001A4487" w:rsidRPr="00C73908">
        <w:rPr>
          <w:rFonts w:ascii="Times New Roman" w:hAnsi="Times New Roman" w:cs="Times New Roman"/>
          <w:lang w:val="en-IE"/>
        </w:rPr>
        <w:t xml:space="preserve">Blyde (2016) </w:t>
      </w:r>
      <w:r w:rsidR="00F835A6" w:rsidRPr="00C73908">
        <w:rPr>
          <w:rFonts w:ascii="Times New Roman" w:hAnsi="Times New Roman" w:cs="Times New Roman"/>
          <w:lang w:val="en-IE"/>
        </w:rPr>
        <w:t>is one of the only empirical studies t</w:t>
      </w:r>
      <w:r w:rsidR="00802D70" w:rsidRPr="00C73908">
        <w:rPr>
          <w:rFonts w:ascii="Times New Roman" w:hAnsi="Times New Roman" w:cs="Times New Roman"/>
          <w:lang w:val="en-IE"/>
        </w:rPr>
        <w:t xml:space="preserve">o examine the effects that staff training has on export status. </w:t>
      </w:r>
      <w:r w:rsidR="004F3020" w:rsidRPr="00C73908">
        <w:rPr>
          <w:rFonts w:ascii="Times New Roman" w:hAnsi="Times New Roman" w:cs="Times New Roman"/>
          <w:lang w:val="en-IE"/>
        </w:rPr>
        <w:t>The author</w:t>
      </w:r>
      <w:r w:rsidR="00802D70" w:rsidRPr="00C73908">
        <w:rPr>
          <w:rFonts w:ascii="Times New Roman" w:hAnsi="Times New Roman" w:cs="Times New Roman"/>
          <w:lang w:val="en-IE"/>
        </w:rPr>
        <w:t xml:space="preserve"> </w:t>
      </w:r>
      <w:r w:rsidR="001A4487" w:rsidRPr="00C73908">
        <w:rPr>
          <w:rFonts w:ascii="Times New Roman" w:hAnsi="Times New Roman" w:cs="Times New Roman"/>
          <w:lang w:val="en-IE"/>
        </w:rPr>
        <w:t xml:space="preserve">uses </w:t>
      </w:r>
      <w:r w:rsidR="001A4487" w:rsidRPr="00C73908">
        <w:rPr>
          <w:rFonts w:ascii="Times New Roman" w:hAnsi="Times New Roman" w:cs="Times New Roman"/>
          <w:lang w:val="en-IE"/>
        </w:rPr>
        <w:lastRenderedPageBreak/>
        <w:t xml:space="preserve">firm level data on Chilean manufacturers </w:t>
      </w:r>
      <w:r w:rsidR="00802D70" w:rsidRPr="00C73908">
        <w:rPr>
          <w:rFonts w:ascii="Times New Roman" w:hAnsi="Times New Roman" w:cs="Times New Roman"/>
          <w:lang w:val="en-IE"/>
        </w:rPr>
        <w:t>and finds that</w:t>
      </w:r>
      <w:r w:rsidR="00B72134">
        <w:rPr>
          <w:rFonts w:ascii="Times New Roman" w:hAnsi="Times New Roman" w:cs="Times New Roman"/>
          <w:lang w:val="en-IE"/>
        </w:rPr>
        <w:t xml:space="preserve"> providing</w:t>
      </w:r>
      <w:r w:rsidR="00802D70" w:rsidRPr="00C73908">
        <w:rPr>
          <w:rFonts w:ascii="Times New Roman" w:hAnsi="Times New Roman" w:cs="Times New Roman"/>
          <w:lang w:val="en-IE"/>
        </w:rPr>
        <w:t xml:space="preserve"> </w:t>
      </w:r>
      <w:r w:rsidR="00933344" w:rsidRPr="00C73908">
        <w:rPr>
          <w:rFonts w:ascii="Times New Roman" w:hAnsi="Times New Roman" w:cs="Times New Roman"/>
          <w:lang w:val="en-IE"/>
        </w:rPr>
        <w:t>training</w:t>
      </w:r>
      <w:r w:rsidR="009E6731" w:rsidRPr="00C73908">
        <w:rPr>
          <w:rFonts w:ascii="Times New Roman" w:hAnsi="Times New Roman" w:cs="Times New Roman"/>
          <w:lang w:val="en-IE"/>
        </w:rPr>
        <w:t xml:space="preserve"> </w:t>
      </w:r>
      <w:r w:rsidR="00A366CB">
        <w:rPr>
          <w:rFonts w:ascii="Times New Roman" w:hAnsi="Times New Roman" w:cs="Times New Roman"/>
          <w:lang w:val="en-IE"/>
        </w:rPr>
        <w:t xml:space="preserve">to </w:t>
      </w:r>
      <w:r w:rsidR="009E6731" w:rsidRPr="00C73908">
        <w:rPr>
          <w:rFonts w:ascii="Times New Roman" w:hAnsi="Times New Roman" w:cs="Times New Roman"/>
          <w:lang w:val="en-IE"/>
        </w:rPr>
        <w:t>a higher proportion of</w:t>
      </w:r>
      <w:r w:rsidR="00933344" w:rsidRPr="00C73908">
        <w:rPr>
          <w:rFonts w:ascii="Times New Roman" w:hAnsi="Times New Roman" w:cs="Times New Roman"/>
          <w:lang w:val="en-IE"/>
        </w:rPr>
        <w:t xml:space="preserve"> employees increases the probability </w:t>
      </w:r>
      <w:r w:rsidR="00801C90" w:rsidRPr="00C73908">
        <w:rPr>
          <w:rFonts w:ascii="Times New Roman" w:hAnsi="Times New Roman" w:cs="Times New Roman"/>
          <w:lang w:val="en-IE"/>
        </w:rPr>
        <w:t xml:space="preserve">that a firm becomes an exporter. </w:t>
      </w:r>
      <w:r w:rsidR="009E6731" w:rsidRPr="00C73908">
        <w:rPr>
          <w:rFonts w:ascii="Times New Roman" w:hAnsi="Times New Roman" w:cs="Times New Roman"/>
          <w:lang w:val="en-IE"/>
        </w:rPr>
        <w:t>T</w:t>
      </w:r>
      <w:r w:rsidR="00801C90" w:rsidRPr="00C73908">
        <w:rPr>
          <w:rFonts w:ascii="Times New Roman" w:hAnsi="Times New Roman" w:cs="Times New Roman"/>
          <w:lang w:val="en-IE"/>
        </w:rPr>
        <w:t xml:space="preserve">his effect is larger </w:t>
      </w:r>
      <w:r w:rsidR="000A365B" w:rsidRPr="00C73908">
        <w:rPr>
          <w:rFonts w:ascii="Times New Roman" w:hAnsi="Times New Roman" w:cs="Times New Roman"/>
          <w:lang w:val="en-IE"/>
        </w:rPr>
        <w:t xml:space="preserve">when training is provided continuously and </w:t>
      </w:r>
      <w:r w:rsidR="0032646C" w:rsidRPr="00C73908">
        <w:rPr>
          <w:rFonts w:ascii="Times New Roman" w:hAnsi="Times New Roman" w:cs="Times New Roman"/>
          <w:lang w:val="en-IE"/>
        </w:rPr>
        <w:t xml:space="preserve">when more resources are </w:t>
      </w:r>
      <w:r w:rsidR="003E6C11" w:rsidRPr="00C73908">
        <w:rPr>
          <w:rFonts w:ascii="Times New Roman" w:hAnsi="Times New Roman" w:cs="Times New Roman"/>
          <w:lang w:val="en-IE"/>
        </w:rPr>
        <w:t xml:space="preserve">committed to </w:t>
      </w:r>
      <w:r w:rsidR="00267E9F" w:rsidRPr="00C73908">
        <w:rPr>
          <w:rFonts w:ascii="Times New Roman" w:hAnsi="Times New Roman" w:cs="Times New Roman"/>
          <w:lang w:val="en-IE"/>
        </w:rPr>
        <w:t>it</w:t>
      </w:r>
      <w:r w:rsidR="003E6C11" w:rsidRPr="00C73908">
        <w:rPr>
          <w:rFonts w:ascii="Times New Roman" w:hAnsi="Times New Roman" w:cs="Times New Roman"/>
          <w:lang w:val="en-IE"/>
        </w:rPr>
        <w:t>.</w:t>
      </w:r>
    </w:p>
    <w:p w14:paraId="392619C3" w14:textId="41CD12C7" w:rsidR="00977195" w:rsidRPr="00C73908" w:rsidRDefault="00977195"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t>Hypothesis:</w:t>
      </w:r>
      <w:r w:rsidRPr="00C73908">
        <w:rPr>
          <w:rFonts w:ascii="Times New Roman" w:hAnsi="Times New Roman" w:cs="Times New Roman"/>
          <w:lang w:val="en-IE"/>
        </w:rPr>
        <w:t xml:space="preserve"> Export Performance is positively related </w:t>
      </w:r>
      <w:r w:rsidR="005D2D59" w:rsidRPr="00C73908">
        <w:rPr>
          <w:rFonts w:ascii="Times New Roman" w:hAnsi="Times New Roman" w:cs="Times New Roman"/>
          <w:lang w:val="en-IE"/>
        </w:rPr>
        <w:t>to</w:t>
      </w:r>
      <w:r w:rsidR="00684DA1" w:rsidRPr="00C73908">
        <w:rPr>
          <w:rFonts w:ascii="Times New Roman" w:hAnsi="Times New Roman" w:cs="Times New Roman"/>
          <w:lang w:val="en-IE"/>
        </w:rPr>
        <w:t xml:space="preserve"> </w:t>
      </w:r>
      <w:r w:rsidR="006A5A32" w:rsidRPr="00C73908">
        <w:rPr>
          <w:rFonts w:ascii="Times New Roman" w:hAnsi="Times New Roman" w:cs="Times New Roman"/>
          <w:lang w:val="en-IE"/>
        </w:rPr>
        <w:t>average wage</w:t>
      </w:r>
      <w:r w:rsidR="00A366CB">
        <w:rPr>
          <w:rFonts w:ascii="Times New Roman" w:hAnsi="Times New Roman" w:cs="Times New Roman"/>
          <w:lang w:val="en-IE"/>
        </w:rPr>
        <w:t xml:space="preserve"> levels</w:t>
      </w:r>
      <w:r w:rsidR="008E24A4">
        <w:rPr>
          <w:rFonts w:ascii="Times New Roman" w:hAnsi="Times New Roman" w:cs="Times New Roman"/>
          <w:lang w:val="en-IE"/>
        </w:rPr>
        <w:t>,</w:t>
      </w:r>
      <w:r w:rsidR="006A5A32" w:rsidRPr="00C73908">
        <w:rPr>
          <w:rFonts w:ascii="Times New Roman" w:hAnsi="Times New Roman" w:cs="Times New Roman"/>
          <w:lang w:val="en-IE"/>
        </w:rPr>
        <w:t xml:space="preserve"> </w:t>
      </w:r>
      <w:r w:rsidR="00E003EE" w:rsidRPr="00C73908">
        <w:rPr>
          <w:rFonts w:ascii="Times New Roman" w:hAnsi="Times New Roman" w:cs="Times New Roman"/>
          <w:lang w:val="en-IE"/>
        </w:rPr>
        <w:t xml:space="preserve">which </w:t>
      </w:r>
      <w:r w:rsidR="00A366CB">
        <w:rPr>
          <w:rFonts w:ascii="Times New Roman" w:hAnsi="Times New Roman" w:cs="Times New Roman"/>
          <w:lang w:val="en-IE"/>
        </w:rPr>
        <w:t xml:space="preserve">are used as </w:t>
      </w:r>
      <w:r w:rsidR="00E003EE" w:rsidRPr="00C73908">
        <w:rPr>
          <w:rFonts w:ascii="Times New Roman" w:hAnsi="Times New Roman" w:cs="Times New Roman"/>
          <w:lang w:val="en-IE"/>
        </w:rPr>
        <w:t xml:space="preserve">a proxy for </w:t>
      </w:r>
      <w:r w:rsidR="004C255C" w:rsidRPr="00C73908">
        <w:rPr>
          <w:rFonts w:ascii="Times New Roman" w:hAnsi="Times New Roman" w:cs="Times New Roman"/>
          <w:lang w:val="en-IE"/>
        </w:rPr>
        <w:t xml:space="preserve">workforce </w:t>
      </w:r>
      <w:r w:rsidR="00933FFF" w:rsidRPr="00C73908">
        <w:rPr>
          <w:rFonts w:ascii="Times New Roman" w:hAnsi="Times New Roman" w:cs="Times New Roman"/>
          <w:lang w:val="en-IE"/>
        </w:rPr>
        <w:t>skill levels</w:t>
      </w:r>
      <w:r w:rsidR="008E24A4">
        <w:rPr>
          <w:rFonts w:ascii="Times New Roman" w:hAnsi="Times New Roman" w:cs="Times New Roman"/>
          <w:lang w:val="en-IE"/>
        </w:rPr>
        <w:t>,</w:t>
      </w:r>
      <w:r w:rsidR="00A366CB">
        <w:rPr>
          <w:rFonts w:ascii="Times New Roman" w:hAnsi="Times New Roman" w:cs="Times New Roman"/>
          <w:lang w:val="en-IE"/>
        </w:rPr>
        <w:t xml:space="preserve"> and </w:t>
      </w:r>
      <w:r w:rsidR="00A366CB" w:rsidRPr="00C73908">
        <w:rPr>
          <w:rFonts w:ascii="Times New Roman" w:hAnsi="Times New Roman" w:cs="Times New Roman"/>
          <w:lang w:val="en-IE"/>
        </w:rPr>
        <w:t>expenditure on staff training</w:t>
      </w:r>
      <w:r w:rsidR="00E003EE" w:rsidRPr="00C73908">
        <w:rPr>
          <w:rFonts w:ascii="Times New Roman" w:hAnsi="Times New Roman" w:cs="Times New Roman"/>
          <w:lang w:val="en-IE"/>
        </w:rPr>
        <w:t>.</w:t>
      </w:r>
    </w:p>
    <w:p w14:paraId="52600A52" w14:textId="77777777" w:rsidR="00104508" w:rsidRPr="00C73908" w:rsidRDefault="00104508" w:rsidP="008A6DF2">
      <w:pPr>
        <w:spacing w:after="240" w:line="360" w:lineRule="auto"/>
        <w:jc w:val="both"/>
        <w:rPr>
          <w:rFonts w:ascii="Times New Roman" w:hAnsi="Times New Roman" w:cs="Times New Roman"/>
          <w:lang w:val="en-IE"/>
        </w:rPr>
      </w:pPr>
    </w:p>
    <w:p w14:paraId="76B2A904" w14:textId="77777777" w:rsidR="00A80A6F" w:rsidRPr="00C73908" w:rsidRDefault="00A80A6F" w:rsidP="008A6DF2">
      <w:pPr>
        <w:pStyle w:val="Heading1"/>
        <w:numPr>
          <w:ilvl w:val="1"/>
          <w:numId w:val="4"/>
        </w:numPr>
        <w:spacing w:after="240" w:line="360" w:lineRule="auto"/>
        <w:jc w:val="both"/>
        <w:rPr>
          <w:rFonts w:ascii="Times New Roman" w:hAnsi="Times New Roman" w:cs="Times New Roman"/>
          <w:b/>
          <w:bCs/>
          <w:color w:val="0070C0"/>
          <w:lang w:val="en-IE"/>
        </w:rPr>
      </w:pPr>
      <w:bookmarkStart w:id="16" w:name="_Toc67143559"/>
      <w:bookmarkStart w:id="17" w:name="_Toc69198800"/>
      <w:r w:rsidRPr="00C73908">
        <w:rPr>
          <w:rFonts w:ascii="Times New Roman" w:hAnsi="Times New Roman" w:cs="Times New Roman"/>
          <w:b/>
          <w:bCs/>
          <w:color w:val="0070C0"/>
          <w:lang w:val="en-IE"/>
        </w:rPr>
        <w:t>Export Promotion Policies</w:t>
      </w:r>
      <w:bookmarkEnd w:id="16"/>
      <w:bookmarkEnd w:id="17"/>
    </w:p>
    <w:p w14:paraId="3F0AF13E" w14:textId="3507BF16" w:rsidR="00A80A6F" w:rsidRPr="00C73908" w:rsidRDefault="00A80A6F"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Government-funded export promotion policies (EPPs),</w:t>
      </w:r>
      <w:r w:rsidRPr="00C73908">
        <w:rPr>
          <w:rFonts w:ascii="Times New Roman" w:hAnsi="Times New Roman" w:cs="Times New Roman"/>
        </w:rPr>
        <w:t xml:space="preserve"> designed </w:t>
      </w:r>
      <w:r w:rsidRPr="00C73908">
        <w:rPr>
          <w:rFonts w:ascii="Times New Roman" w:hAnsi="Times New Roman" w:cs="Times New Roman"/>
          <w:lang w:val="en-IE"/>
        </w:rPr>
        <w:t xml:space="preserve">to help domestic firms succeed </w:t>
      </w:r>
      <w:r w:rsidR="006B05EB">
        <w:rPr>
          <w:rFonts w:ascii="Times New Roman" w:hAnsi="Times New Roman" w:cs="Times New Roman"/>
          <w:lang w:val="en-IE"/>
        </w:rPr>
        <w:t>i</w:t>
      </w:r>
      <w:r w:rsidRPr="00C73908">
        <w:rPr>
          <w:rFonts w:ascii="Times New Roman" w:hAnsi="Times New Roman" w:cs="Times New Roman"/>
          <w:lang w:val="en-IE"/>
        </w:rPr>
        <w:t xml:space="preserve">n export markets, are common throughout the world and </w:t>
      </w:r>
      <w:r w:rsidR="006C6769" w:rsidRPr="00C73908">
        <w:rPr>
          <w:rFonts w:ascii="Times New Roman" w:hAnsi="Times New Roman" w:cs="Times New Roman"/>
          <w:lang w:val="en-IE"/>
        </w:rPr>
        <w:t xml:space="preserve">almost </w:t>
      </w:r>
      <w:r w:rsidRPr="00C73908">
        <w:rPr>
          <w:rFonts w:ascii="Times New Roman" w:hAnsi="Times New Roman" w:cs="Times New Roman"/>
          <w:lang w:val="en-IE"/>
        </w:rPr>
        <w:t xml:space="preserve">universal in developed countries. Public support for export promotion is based on the idea that growth in exports will lead to subsequent benefits for society </w:t>
      </w:r>
      <w:r w:rsidR="00E52844" w:rsidRPr="00C73908">
        <w:rPr>
          <w:rFonts w:ascii="Times New Roman" w:hAnsi="Times New Roman" w:cs="Times New Roman"/>
          <w:lang w:val="en-IE"/>
        </w:rPr>
        <w:t>through</w:t>
      </w:r>
      <w:r w:rsidRPr="00C73908">
        <w:rPr>
          <w:rFonts w:ascii="Times New Roman" w:hAnsi="Times New Roman" w:cs="Times New Roman"/>
          <w:lang w:val="en-IE"/>
        </w:rPr>
        <w:t xml:space="preserve"> increased employment, earnings and tax revenues as well as other intangible effects such as transfer of technology and management knowledge from export destinations (Brewer, 2009). It is, therefore, argued that the benefits will outweigh the costs of government expenditure. EPPs </w:t>
      </w:r>
      <w:r w:rsidR="00262CEA">
        <w:rPr>
          <w:rFonts w:ascii="Times New Roman" w:hAnsi="Times New Roman" w:cs="Times New Roman"/>
          <w:lang w:val="en-IE"/>
        </w:rPr>
        <w:t>are often</w:t>
      </w:r>
      <w:r w:rsidRPr="00C73908">
        <w:rPr>
          <w:rFonts w:ascii="Times New Roman" w:hAnsi="Times New Roman" w:cs="Times New Roman"/>
          <w:lang w:val="en-IE"/>
        </w:rPr>
        <w:t xml:space="preserve"> used to address the market failure of asymmetric information. This occurs where firms do not have the resources to cover the costs associated with gathering foreign market information </w:t>
      </w:r>
      <w:r w:rsidR="00C35C07">
        <w:rPr>
          <w:rFonts w:ascii="Times New Roman" w:hAnsi="Times New Roman" w:cs="Times New Roman"/>
          <w:lang w:val="en-IE"/>
        </w:rPr>
        <w:t xml:space="preserve">and are, therefore, at a disadvantage when selling in those markets </w:t>
      </w:r>
      <w:r w:rsidRPr="00C73908">
        <w:rPr>
          <w:rFonts w:ascii="Times New Roman" w:hAnsi="Times New Roman" w:cs="Times New Roman"/>
          <w:lang w:val="en-IE"/>
        </w:rPr>
        <w:t xml:space="preserve">(Lederman et al. 2010). Export promotion policies </w:t>
      </w:r>
      <w:r w:rsidR="008C2447" w:rsidRPr="00C73908">
        <w:rPr>
          <w:rFonts w:ascii="Times New Roman" w:hAnsi="Times New Roman" w:cs="Times New Roman"/>
          <w:lang w:val="en-IE"/>
        </w:rPr>
        <w:t>can</w:t>
      </w:r>
      <w:r w:rsidRPr="00C73908">
        <w:rPr>
          <w:rFonts w:ascii="Times New Roman" w:hAnsi="Times New Roman" w:cs="Times New Roman"/>
          <w:lang w:val="en-IE"/>
        </w:rPr>
        <w:t xml:space="preserve"> include a wide range of supports but </w:t>
      </w:r>
      <w:r w:rsidR="008C2447" w:rsidRPr="00C73908">
        <w:rPr>
          <w:rFonts w:ascii="Times New Roman" w:hAnsi="Times New Roman" w:cs="Times New Roman"/>
          <w:lang w:val="en-IE"/>
        </w:rPr>
        <w:t>are</w:t>
      </w:r>
      <w:r w:rsidRPr="00C73908">
        <w:rPr>
          <w:rFonts w:ascii="Times New Roman" w:hAnsi="Times New Roman" w:cs="Times New Roman"/>
          <w:lang w:val="en-IE"/>
        </w:rPr>
        <w:t xml:space="preserve"> generally defined as a set of activities to help firms overcome trade barriers when entering a new market or expanding in existing market</w:t>
      </w:r>
      <w:r w:rsidR="008C2447" w:rsidRPr="00C73908">
        <w:rPr>
          <w:rFonts w:ascii="Times New Roman" w:hAnsi="Times New Roman" w:cs="Times New Roman"/>
          <w:lang w:val="en-IE"/>
        </w:rPr>
        <w:t>s</w:t>
      </w:r>
      <w:r w:rsidRPr="00C73908">
        <w:rPr>
          <w:rFonts w:ascii="Times New Roman" w:hAnsi="Times New Roman" w:cs="Times New Roman"/>
          <w:lang w:val="en-IE"/>
        </w:rPr>
        <w:t xml:space="preserve"> (Van Biesebroeck et al. 2016). Provision of market information around</w:t>
      </w:r>
      <w:r w:rsidRPr="00C73908">
        <w:rPr>
          <w:rFonts w:ascii="Times New Roman" w:hAnsi="Times New Roman" w:cs="Times New Roman"/>
        </w:rPr>
        <w:t xml:space="preserve"> </w:t>
      </w:r>
      <w:r w:rsidRPr="00C73908">
        <w:rPr>
          <w:rFonts w:ascii="Times New Roman" w:hAnsi="Times New Roman" w:cs="Times New Roman"/>
          <w:lang w:val="en-IE"/>
        </w:rPr>
        <w:t xml:space="preserve">consumer preferences, business opportunities, quality and technical requirements etc. is one of the most common and important elements </w:t>
      </w:r>
      <w:r w:rsidR="004A450C" w:rsidRPr="00C73908">
        <w:rPr>
          <w:rFonts w:ascii="Times New Roman" w:hAnsi="Times New Roman" w:cs="Times New Roman"/>
          <w:lang w:val="en-IE"/>
        </w:rPr>
        <w:t xml:space="preserve">of </w:t>
      </w:r>
      <w:r w:rsidRPr="00C73908">
        <w:rPr>
          <w:rFonts w:ascii="Times New Roman" w:hAnsi="Times New Roman" w:cs="Times New Roman"/>
          <w:lang w:val="en-IE"/>
        </w:rPr>
        <w:t>export promotion policies. Other activities include disseminating information on domestic firms’ products and services, assisting firms to participate in international marketing events such as trade fairs, and identifying relevant contacts for firms entering a new market such as distributors and regulatory officials</w:t>
      </w:r>
      <w:r w:rsidR="004A450C" w:rsidRPr="00C73908">
        <w:rPr>
          <w:rFonts w:ascii="Times New Roman" w:hAnsi="Times New Roman" w:cs="Times New Roman"/>
          <w:lang w:val="en-IE"/>
        </w:rPr>
        <w:t xml:space="preserve"> or partners</w:t>
      </w:r>
      <w:r w:rsidRPr="00C73908">
        <w:rPr>
          <w:rFonts w:ascii="Times New Roman" w:hAnsi="Times New Roman" w:cs="Times New Roman"/>
          <w:lang w:val="en-IE"/>
        </w:rPr>
        <w:t>. These activities are often carried out in-market by a network of overseas offices or through embassies/consulates.</w:t>
      </w:r>
    </w:p>
    <w:p w14:paraId="21D5BBDB" w14:textId="7C358BF1" w:rsidR="00A80A6F" w:rsidRPr="00C73908" w:rsidRDefault="00A80A6F"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t>Empirical Analysis of Export Promotion Policies:</w:t>
      </w:r>
      <w:r w:rsidRPr="00C73908">
        <w:rPr>
          <w:rFonts w:ascii="Times New Roman" w:hAnsi="Times New Roman" w:cs="Times New Roman"/>
          <w:lang w:val="en-IE"/>
        </w:rPr>
        <w:t xml:space="preserve"> The increase in the number of export promotion agencies and </w:t>
      </w:r>
      <w:r w:rsidR="003143ED" w:rsidRPr="00C73908">
        <w:rPr>
          <w:rFonts w:ascii="Times New Roman" w:hAnsi="Times New Roman" w:cs="Times New Roman"/>
          <w:lang w:val="en-IE"/>
        </w:rPr>
        <w:t xml:space="preserve">the level of </w:t>
      </w:r>
      <w:r w:rsidRPr="00C73908">
        <w:rPr>
          <w:rFonts w:ascii="Times New Roman" w:hAnsi="Times New Roman" w:cs="Times New Roman"/>
          <w:lang w:val="en-IE"/>
        </w:rPr>
        <w:t xml:space="preserve">resources </w:t>
      </w:r>
      <w:r w:rsidR="003143ED" w:rsidRPr="00C73908">
        <w:rPr>
          <w:rFonts w:ascii="Times New Roman" w:hAnsi="Times New Roman" w:cs="Times New Roman"/>
          <w:lang w:val="en-IE"/>
        </w:rPr>
        <w:t>allocated</w:t>
      </w:r>
      <w:r w:rsidRPr="00C73908">
        <w:rPr>
          <w:rFonts w:ascii="Times New Roman" w:hAnsi="Times New Roman" w:cs="Times New Roman"/>
          <w:lang w:val="en-IE"/>
        </w:rPr>
        <w:t xml:space="preserve"> to them in recent decades has led to a corresponding growth in empirical studies of the effectiveness of EPPs in driving export growth at the firm level. Van Biesebroeck et al. (2016) provide a comprehensive overview of 21 empirical studies covering 16 countries. These studies </w:t>
      </w:r>
      <w:r w:rsidR="00AC67A6" w:rsidRPr="00C73908">
        <w:rPr>
          <w:rFonts w:ascii="Times New Roman" w:hAnsi="Times New Roman" w:cs="Times New Roman"/>
          <w:lang w:val="en-IE"/>
        </w:rPr>
        <w:t xml:space="preserve">are </w:t>
      </w:r>
      <w:r w:rsidRPr="00C73908">
        <w:rPr>
          <w:rFonts w:ascii="Times New Roman" w:hAnsi="Times New Roman" w:cs="Times New Roman"/>
          <w:lang w:val="en-IE"/>
        </w:rPr>
        <w:t xml:space="preserve">all </w:t>
      </w:r>
      <w:r w:rsidR="00AC67A6" w:rsidRPr="00C73908">
        <w:rPr>
          <w:rFonts w:ascii="Times New Roman" w:hAnsi="Times New Roman" w:cs="Times New Roman"/>
          <w:lang w:val="en-IE"/>
        </w:rPr>
        <w:t xml:space="preserve">based on </w:t>
      </w:r>
      <w:r w:rsidRPr="00C73908">
        <w:rPr>
          <w:rFonts w:ascii="Times New Roman" w:hAnsi="Times New Roman" w:cs="Times New Roman"/>
          <w:lang w:val="en-IE"/>
        </w:rPr>
        <w:t xml:space="preserve">firm-level </w:t>
      </w:r>
      <w:r w:rsidR="00D118BE">
        <w:rPr>
          <w:rFonts w:ascii="Times New Roman" w:hAnsi="Times New Roman" w:cs="Times New Roman"/>
          <w:lang w:val="en-IE"/>
        </w:rPr>
        <w:t>data</w:t>
      </w:r>
      <w:r w:rsidRPr="00C73908">
        <w:rPr>
          <w:rFonts w:ascii="Times New Roman" w:hAnsi="Times New Roman" w:cs="Times New Roman"/>
          <w:lang w:val="en-IE"/>
        </w:rPr>
        <w:t xml:space="preserve"> and matching techniques such as propensity score matching </w:t>
      </w:r>
      <w:proofErr w:type="gramStart"/>
      <w:r w:rsidRPr="00C73908">
        <w:rPr>
          <w:rFonts w:ascii="Times New Roman" w:hAnsi="Times New Roman" w:cs="Times New Roman"/>
          <w:lang w:val="en-IE"/>
        </w:rPr>
        <w:t>are</w:t>
      </w:r>
      <w:proofErr w:type="gramEnd"/>
      <w:r w:rsidRPr="00C73908">
        <w:rPr>
          <w:rFonts w:ascii="Times New Roman" w:hAnsi="Times New Roman" w:cs="Times New Roman"/>
          <w:lang w:val="en-IE"/>
        </w:rPr>
        <w:t xml:space="preserve"> commonly used. Overall, they conclude that “almost all studies find a positive and significant effect of export </w:t>
      </w:r>
      <w:r w:rsidRPr="00C73908">
        <w:rPr>
          <w:rFonts w:ascii="Times New Roman" w:hAnsi="Times New Roman" w:cs="Times New Roman"/>
          <w:lang w:val="en-IE"/>
        </w:rPr>
        <w:lastRenderedPageBreak/>
        <w:t>promotion support on firm-level exports.” These effects are particularly large at the extensive margin whe</w:t>
      </w:r>
      <w:r w:rsidR="0033086C">
        <w:rPr>
          <w:rFonts w:ascii="Times New Roman" w:hAnsi="Times New Roman" w:cs="Times New Roman"/>
          <w:lang w:val="en-IE"/>
        </w:rPr>
        <w:t>re</w:t>
      </w:r>
      <w:r w:rsidRPr="00C73908">
        <w:rPr>
          <w:rFonts w:ascii="Times New Roman" w:hAnsi="Times New Roman" w:cs="Times New Roman"/>
          <w:lang w:val="en-IE"/>
        </w:rPr>
        <w:t xml:space="preserve"> firms </w:t>
      </w:r>
      <w:r w:rsidR="0033086C">
        <w:rPr>
          <w:rFonts w:ascii="Times New Roman" w:hAnsi="Times New Roman" w:cs="Times New Roman"/>
          <w:lang w:val="en-IE"/>
        </w:rPr>
        <w:t>are</w:t>
      </w:r>
      <w:r w:rsidRPr="00C73908">
        <w:rPr>
          <w:rFonts w:ascii="Times New Roman" w:hAnsi="Times New Roman" w:cs="Times New Roman"/>
          <w:lang w:val="en-IE"/>
        </w:rPr>
        <w:t xml:space="preserve"> enter</w:t>
      </w:r>
      <w:r w:rsidR="0033086C">
        <w:rPr>
          <w:rFonts w:ascii="Times New Roman" w:hAnsi="Times New Roman" w:cs="Times New Roman"/>
          <w:lang w:val="en-IE"/>
        </w:rPr>
        <w:t>ing</w:t>
      </w:r>
      <w:r w:rsidRPr="00C73908">
        <w:rPr>
          <w:rFonts w:ascii="Times New Roman" w:hAnsi="Times New Roman" w:cs="Times New Roman"/>
          <w:lang w:val="en-IE"/>
        </w:rPr>
        <w:t xml:space="preserve"> a new </w:t>
      </w:r>
      <w:r w:rsidR="0033086C">
        <w:rPr>
          <w:rFonts w:ascii="Times New Roman" w:hAnsi="Times New Roman" w:cs="Times New Roman"/>
          <w:lang w:val="en-IE"/>
        </w:rPr>
        <w:t>export</w:t>
      </w:r>
      <w:r w:rsidRPr="00C73908">
        <w:rPr>
          <w:rFonts w:ascii="Times New Roman" w:hAnsi="Times New Roman" w:cs="Times New Roman"/>
          <w:lang w:val="en-IE"/>
        </w:rPr>
        <w:t xml:space="preserve"> market or introduce a new product for the first time. There is little evidence to suggest that EPPs encourage non-exporters to begin exporting.</w:t>
      </w:r>
      <w:r w:rsidR="00703D79" w:rsidRPr="00C73908">
        <w:rPr>
          <w:rFonts w:ascii="Times New Roman" w:hAnsi="Times New Roman" w:cs="Times New Roman"/>
          <w:lang w:val="en-IE"/>
        </w:rPr>
        <w:t xml:space="preserve"> However, </w:t>
      </w:r>
      <w:r w:rsidR="00D86672" w:rsidRPr="00C73908">
        <w:rPr>
          <w:rFonts w:ascii="Times New Roman" w:hAnsi="Times New Roman" w:cs="Times New Roman"/>
          <w:lang w:val="en-IE"/>
        </w:rPr>
        <w:t xml:space="preserve">in many cases the main policy objective of EPPs is to </w:t>
      </w:r>
      <w:r w:rsidR="00CA76CC" w:rsidRPr="00C73908">
        <w:rPr>
          <w:rFonts w:ascii="Times New Roman" w:hAnsi="Times New Roman" w:cs="Times New Roman"/>
          <w:lang w:val="en-IE"/>
        </w:rPr>
        <w:t>provide support to</w:t>
      </w:r>
      <w:r w:rsidR="004749AB" w:rsidRPr="00C73908">
        <w:rPr>
          <w:rFonts w:ascii="Times New Roman" w:hAnsi="Times New Roman" w:cs="Times New Roman"/>
          <w:lang w:val="en-IE"/>
        </w:rPr>
        <w:t xml:space="preserve"> existing exporters rather than targeting non-exporters</w:t>
      </w:r>
      <w:r w:rsidR="00AC67A6" w:rsidRPr="00C73908">
        <w:rPr>
          <w:rFonts w:ascii="Times New Roman" w:hAnsi="Times New Roman" w:cs="Times New Roman"/>
          <w:lang w:val="en-IE"/>
        </w:rPr>
        <w:t xml:space="preserve"> in the domestic market</w:t>
      </w:r>
      <w:r w:rsidR="004749AB" w:rsidRPr="00C73908">
        <w:rPr>
          <w:rFonts w:ascii="Times New Roman" w:hAnsi="Times New Roman" w:cs="Times New Roman"/>
          <w:lang w:val="en-IE"/>
        </w:rPr>
        <w:t>.</w:t>
      </w:r>
      <w:r w:rsidRPr="00C73908">
        <w:rPr>
          <w:rFonts w:ascii="Times New Roman" w:hAnsi="Times New Roman" w:cs="Times New Roman"/>
          <w:lang w:val="en-IE"/>
        </w:rPr>
        <w:t xml:space="preserve"> Volpe Martincus &amp; Carballo (2010) find evidence that export promotion policies are more effective when bundled and provided on an ongoing basis throughout the exporting process rather than as isolated supports. Despite the abundance of international research on the topic, empirical </w:t>
      </w:r>
      <w:r w:rsidR="001B7EA0">
        <w:rPr>
          <w:rFonts w:ascii="Times New Roman" w:hAnsi="Times New Roman" w:cs="Times New Roman"/>
          <w:lang w:val="en-IE"/>
        </w:rPr>
        <w:t xml:space="preserve">analysis </w:t>
      </w:r>
      <w:r w:rsidRPr="00C73908">
        <w:rPr>
          <w:rFonts w:ascii="Times New Roman" w:hAnsi="Times New Roman" w:cs="Times New Roman"/>
          <w:lang w:val="en-IE"/>
        </w:rPr>
        <w:t>on the firm level effects of Irish EPPs ha</w:t>
      </w:r>
      <w:r w:rsidR="001B7EA0">
        <w:rPr>
          <w:rFonts w:ascii="Times New Roman" w:hAnsi="Times New Roman" w:cs="Times New Roman"/>
          <w:lang w:val="en-IE"/>
        </w:rPr>
        <w:t>s</w:t>
      </w:r>
      <w:r w:rsidRPr="00C73908">
        <w:rPr>
          <w:rFonts w:ascii="Times New Roman" w:hAnsi="Times New Roman" w:cs="Times New Roman"/>
          <w:lang w:val="en-IE"/>
        </w:rPr>
        <w:t xml:space="preserve"> been relatively limited to date.</w:t>
      </w:r>
    </w:p>
    <w:p w14:paraId="1F947C5B" w14:textId="0F54D2D2" w:rsidR="00A80A6F" w:rsidRDefault="00A80A6F"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t>Hypothesis:</w:t>
      </w:r>
      <w:r w:rsidRPr="00C73908">
        <w:rPr>
          <w:rFonts w:ascii="Times New Roman" w:hAnsi="Times New Roman" w:cs="Times New Roman"/>
          <w:lang w:val="en-IE"/>
        </w:rPr>
        <w:t xml:space="preserve"> There is a positive relationship between export performance and export promotion policies which </w:t>
      </w:r>
      <w:r w:rsidR="00A32107">
        <w:rPr>
          <w:rFonts w:ascii="Times New Roman" w:hAnsi="Times New Roman" w:cs="Times New Roman"/>
          <w:lang w:val="en-IE"/>
        </w:rPr>
        <w:t>include</w:t>
      </w:r>
      <w:r w:rsidR="00F3276D">
        <w:rPr>
          <w:rFonts w:ascii="Times New Roman" w:hAnsi="Times New Roman" w:cs="Times New Roman"/>
          <w:lang w:val="en-IE"/>
        </w:rPr>
        <w:t>s</w:t>
      </w:r>
      <w:r w:rsidR="00A32107">
        <w:rPr>
          <w:rFonts w:ascii="Times New Roman" w:hAnsi="Times New Roman" w:cs="Times New Roman"/>
          <w:lang w:val="en-IE"/>
        </w:rPr>
        <w:t xml:space="preserve"> in-market</w:t>
      </w:r>
      <w:r w:rsidR="00F3276D">
        <w:rPr>
          <w:rFonts w:ascii="Times New Roman" w:hAnsi="Times New Roman" w:cs="Times New Roman"/>
          <w:lang w:val="en-IE"/>
        </w:rPr>
        <w:t xml:space="preserve">, advisory supports and funding </w:t>
      </w:r>
      <w:r w:rsidRPr="00C73908">
        <w:rPr>
          <w:rFonts w:ascii="Times New Roman" w:hAnsi="Times New Roman" w:cs="Times New Roman"/>
          <w:lang w:val="en-IE"/>
        </w:rPr>
        <w:t>support</w:t>
      </w:r>
      <w:r w:rsidR="00F3276D">
        <w:rPr>
          <w:rFonts w:ascii="Times New Roman" w:hAnsi="Times New Roman" w:cs="Times New Roman"/>
          <w:lang w:val="en-IE"/>
        </w:rPr>
        <w:t>s</w:t>
      </w:r>
      <w:r w:rsidRPr="00C73908">
        <w:rPr>
          <w:rFonts w:ascii="Times New Roman" w:hAnsi="Times New Roman" w:cs="Times New Roman"/>
          <w:lang w:val="en-IE"/>
        </w:rPr>
        <w:t xml:space="preserve"> for firms to conduct market research and develop market entry strategies.</w:t>
      </w:r>
    </w:p>
    <w:p w14:paraId="301D870B" w14:textId="77777777" w:rsidR="00FB3E67" w:rsidRPr="00C73908" w:rsidRDefault="00FB3E67" w:rsidP="008A6DF2">
      <w:pPr>
        <w:spacing w:after="240" w:line="360" w:lineRule="auto"/>
        <w:jc w:val="both"/>
        <w:rPr>
          <w:rFonts w:ascii="Times New Roman" w:hAnsi="Times New Roman" w:cs="Times New Roman"/>
          <w:lang w:val="en-IE"/>
        </w:rPr>
      </w:pPr>
    </w:p>
    <w:p w14:paraId="23318AFA" w14:textId="19AF0D07" w:rsidR="00CE01D1" w:rsidRPr="00C73908" w:rsidRDefault="00DF5864" w:rsidP="008A6DF2">
      <w:pPr>
        <w:pStyle w:val="Heading1"/>
        <w:numPr>
          <w:ilvl w:val="1"/>
          <w:numId w:val="4"/>
        </w:numPr>
        <w:spacing w:after="240" w:line="360" w:lineRule="auto"/>
        <w:jc w:val="both"/>
        <w:rPr>
          <w:rFonts w:ascii="Times New Roman" w:hAnsi="Times New Roman" w:cs="Times New Roman"/>
          <w:b/>
          <w:bCs/>
          <w:color w:val="0070C0"/>
          <w:lang w:val="en-IE"/>
        </w:rPr>
      </w:pPr>
      <w:bookmarkStart w:id="18" w:name="_Toc67143560"/>
      <w:bookmarkStart w:id="19" w:name="_Toc69198801"/>
      <w:r w:rsidRPr="00C73908">
        <w:rPr>
          <w:rFonts w:ascii="Times New Roman" w:hAnsi="Times New Roman" w:cs="Times New Roman"/>
          <w:b/>
          <w:bCs/>
          <w:color w:val="0070C0"/>
          <w:lang w:val="en-IE"/>
        </w:rPr>
        <w:t>Firm Age</w:t>
      </w:r>
      <w:r w:rsidR="006B46AB" w:rsidRPr="00C73908">
        <w:rPr>
          <w:rFonts w:ascii="Times New Roman" w:hAnsi="Times New Roman" w:cs="Times New Roman"/>
          <w:b/>
          <w:bCs/>
          <w:color w:val="0070C0"/>
          <w:lang w:val="en-IE"/>
        </w:rPr>
        <w:t>/Experience</w:t>
      </w:r>
      <w:bookmarkEnd w:id="18"/>
      <w:bookmarkEnd w:id="19"/>
    </w:p>
    <w:p w14:paraId="328E8323" w14:textId="3E0C6B68" w:rsidR="009122E3" w:rsidRPr="00C73908" w:rsidRDefault="000822CF"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 xml:space="preserve">Love </w:t>
      </w:r>
      <w:r w:rsidR="00C757FF" w:rsidRPr="00C73908">
        <w:rPr>
          <w:rFonts w:ascii="Times New Roman" w:hAnsi="Times New Roman" w:cs="Times New Roman"/>
          <w:lang w:val="en-IE"/>
        </w:rPr>
        <w:t>et al.</w:t>
      </w:r>
      <w:r w:rsidRPr="00C73908">
        <w:rPr>
          <w:rFonts w:ascii="Times New Roman" w:hAnsi="Times New Roman" w:cs="Times New Roman"/>
          <w:lang w:val="en-IE"/>
        </w:rPr>
        <w:t xml:space="preserve"> (20</w:t>
      </w:r>
      <w:r w:rsidR="00C757FF" w:rsidRPr="00C73908">
        <w:rPr>
          <w:rFonts w:ascii="Times New Roman" w:hAnsi="Times New Roman" w:cs="Times New Roman"/>
          <w:lang w:val="en-IE"/>
        </w:rPr>
        <w:t>16</w:t>
      </w:r>
      <w:r w:rsidRPr="00C73908">
        <w:rPr>
          <w:rFonts w:ascii="Times New Roman" w:hAnsi="Times New Roman" w:cs="Times New Roman"/>
          <w:lang w:val="en-IE"/>
        </w:rPr>
        <w:t xml:space="preserve">) </w:t>
      </w:r>
      <w:r w:rsidR="00E56CE3" w:rsidRPr="00C73908">
        <w:rPr>
          <w:rFonts w:ascii="Times New Roman" w:hAnsi="Times New Roman" w:cs="Times New Roman"/>
          <w:lang w:val="en-IE"/>
        </w:rPr>
        <w:t>highlight</w:t>
      </w:r>
      <w:r w:rsidRPr="00C73908">
        <w:rPr>
          <w:rFonts w:ascii="Times New Roman" w:hAnsi="Times New Roman" w:cs="Times New Roman"/>
          <w:lang w:val="en-IE"/>
        </w:rPr>
        <w:t xml:space="preserve"> a lack of consensus regarding the role of firm age on export </w:t>
      </w:r>
      <w:r w:rsidR="00AB4787" w:rsidRPr="00C73908">
        <w:rPr>
          <w:rFonts w:ascii="Times New Roman" w:hAnsi="Times New Roman" w:cs="Times New Roman"/>
          <w:lang w:val="en-IE"/>
        </w:rPr>
        <w:t>performance and that t</w:t>
      </w:r>
      <w:r w:rsidR="004C640C" w:rsidRPr="00C73908">
        <w:rPr>
          <w:rFonts w:ascii="Times New Roman" w:hAnsi="Times New Roman" w:cs="Times New Roman"/>
          <w:lang w:val="en-IE"/>
        </w:rPr>
        <w:t>he</w:t>
      </w:r>
      <w:r w:rsidR="00AB4787" w:rsidRPr="00C73908">
        <w:rPr>
          <w:rFonts w:ascii="Times New Roman" w:hAnsi="Times New Roman" w:cs="Times New Roman"/>
          <w:lang w:val="en-IE"/>
        </w:rPr>
        <w:t xml:space="preserve"> literature is characterised by a contrast between two theories of internationalisation. The first theory</w:t>
      </w:r>
      <w:r w:rsidR="00DF17AC" w:rsidRPr="00C73908">
        <w:rPr>
          <w:rFonts w:ascii="Times New Roman" w:hAnsi="Times New Roman" w:cs="Times New Roman"/>
          <w:lang w:val="en-IE"/>
        </w:rPr>
        <w:t xml:space="preserve"> is the </w:t>
      </w:r>
      <w:r w:rsidR="0037756E" w:rsidRPr="00C73908">
        <w:rPr>
          <w:rFonts w:ascii="Times New Roman" w:hAnsi="Times New Roman" w:cs="Times New Roman"/>
          <w:lang w:val="en-IE"/>
        </w:rPr>
        <w:t>process or stages approach</w:t>
      </w:r>
      <w:r w:rsidR="003F7F96" w:rsidRPr="00C73908">
        <w:rPr>
          <w:rFonts w:ascii="Times New Roman" w:hAnsi="Times New Roman" w:cs="Times New Roman"/>
          <w:lang w:val="en-IE"/>
        </w:rPr>
        <w:t>,</w:t>
      </w:r>
      <w:r w:rsidR="0037756E" w:rsidRPr="00C73908">
        <w:rPr>
          <w:rFonts w:ascii="Times New Roman" w:hAnsi="Times New Roman" w:cs="Times New Roman"/>
          <w:lang w:val="en-IE"/>
        </w:rPr>
        <w:t xml:space="preserve"> originated by </w:t>
      </w:r>
      <w:r w:rsidR="009B1BC6" w:rsidRPr="00C73908">
        <w:rPr>
          <w:rFonts w:ascii="Times New Roman" w:hAnsi="Times New Roman" w:cs="Times New Roman"/>
          <w:lang w:val="en-IE"/>
        </w:rPr>
        <w:t>Johanson &amp; Vahlne (1977)</w:t>
      </w:r>
      <w:r w:rsidR="003F7F96" w:rsidRPr="00C73908">
        <w:rPr>
          <w:rFonts w:ascii="Times New Roman" w:hAnsi="Times New Roman" w:cs="Times New Roman"/>
          <w:lang w:val="en-IE"/>
        </w:rPr>
        <w:t xml:space="preserve">, </w:t>
      </w:r>
      <w:r w:rsidR="00B17B94" w:rsidRPr="00C73908">
        <w:rPr>
          <w:rFonts w:ascii="Times New Roman" w:hAnsi="Times New Roman" w:cs="Times New Roman"/>
          <w:lang w:val="en-IE"/>
        </w:rPr>
        <w:t xml:space="preserve">which </w:t>
      </w:r>
      <w:r w:rsidR="003F7F96" w:rsidRPr="00C73908">
        <w:rPr>
          <w:rFonts w:ascii="Times New Roman" w:hAnsi="Times New Roman" w:cs="Times New Roman"/>
          <w:lang w:val="en-IE"/>
        </w:rPr>
        <w:t xml:space="preserve">focuses on the </w:t>
      </w:r>
      <w:r w:rsidR="006E50ED" w:rsidRPr="00C73908">
        <w:rPr>
          <w:rFonts w:ascii="Times New Roman" w:hAnsi="Times New Roman" w:cs="Times New Roman"/>
          <w:lang w:val="en-IE"/>
        </w:rPr>
        <w:t>“gradual acquisition, integration and use of knowledge about foreign markets and operations, and on the incrementally increasing commitments to foreign markets.”</w:t>
      </w:r>
      <w:r w:rsidR="00820745" w:rsidRPr="00C73908">
        <w:rPr>
          <w:rFonts w:ascii="Times New Roman" w:hAnsi="Times New Roman" w:cs="Times New Roman"/>
          <w:lang w:val="en-IE"/>
        </w:rPr>
        <w:t xml:space="preserve"> </w:t>
      </w:r>
      <w:r w:rsidR="003158D1" w:rsidRPr="00C73908">
        <w:rPr>
          <w:rFonts w:ascii="Times New Roman" w:hAnsi="Times New Roman" w:cs="Times New Roman"/>
          <w:lang w:val="en-IE"/>
        </w:rPr>
        <w:t xml:space="preserve">In this theory, companies first establish their position in the domestic market and </w:t>
      </w:r>
      <w:r w:rsidR="00C63E4E" w:rsidRPr="00C73908">
        <w:rPr>
          <w:rFonts w:ascii="Times New Roman" w:hAnsi="Times New Roman" w:cs="Times New Roman"/>
          <w:lang w:val="en-IE"/>
        </w:rPr>
        <w:t xml:space="preserve">then grow their international presence gradually, learning from their experience along the way. </w:t>
      </w:r>
      <w:r w:rsidR="003827DB" w:rsidRPr="00C73908">
        <w:rPr>
          <w:rFonts w:ascii="Times New Roman" w:hAnsi="Times New Roman" w:cs="Times New Roman"/>
          <w:lang w:val="en-IE"/>
        </w:rPr>
        <w:t>T</w:t>
      </w:r>
      <w:r w:rsidR="003745A2" w:rsidRPr="00C73908">
        <w:rPr>
          <w:rFonts w:ascii="Times New Roman" w:hAnsi="Times New Roman" w:cs="Times New Roman"/>
          <w:lang w:val="en-IE"/>
        </w:rPr>
        <w:t>here are</w:t>
      </w:r>
      <w:r w:rsidR="003827DB" w:rsidRPr="00C73908">
        <w:rPr>
          <w:rFonts w:ascii="Times New Roman" w:hAnsi="Times New Roman" w:cs="Times New Roman"/>
          <w:lang w:val="en-IE"/>
        </w:rPr>
        <w:t>, however,</w:t>
      </w:r>
      <w:r w:rsidR="003745A2" w:rsidRPr="00C73908">
        <w:rPr>
          <w:rFonts w:ascii="Times New Roman" w:hAnsi="Times New Roman" w:cs="Times New Roman"/>
          <w:lang w:val="en-IE"/>
        </w:rPr>
        <w:t xml:space="preserve"> some limitations with this theory</w:t>
      </w:r>
      <w:r w:rsidR="007D158D" w:rsidRPr="00C73908">
        <w:rPr>
          <w:rFonts w:ascii="Times New Roman" w:hAnsi="Times New Roman" w:cs="Times New Roman"/>
          <w:lang w:val="en-IE"/>
        </w:rPr>
        <w:t xml:space="preserve">, for example; </w:t>
      </w:r>
      <w:r w:rsidR="009E21FD" w:rsidRPr="00C73908">
        <w:rPr>
          <w:rFonts w:ascii="Times New Roman" w:hAnsi="Times New Roman" w:cs="Times New Roman"/>
          <w:lang w:val="en-IE"/>
        </w:rPr>
        <w:t xml:space="preserve">it </w:t>
      </w:r>
      <w:r w:rsidR="001C3DD8" w:rsidRPr="00C73908">
        <w:rPr>
          <w:rFonts w:ascii="Times New Roman" w:hAnsi="Times New Roman" w:cs="Times New Roman"/>
          <w:lang w:val="en-IE"/>
        </w:rPr>
        <w:t>does not</w:t>
      </w:r>
      <w:r w:rsidR="007D158D" w:rsidRPr="00C73908">
        <w:rPr>
          <w:rFonts w:ascii="Times New Roman" w:hAnsi="Times New Roman" w:cs="Times New Roman"/>
          <w:lang w:val="en-IE"/>
        </w:rPr>
        <w:t xml:space="preserve"> account for the </w:t>
      </w:r>
      <w:r w:rsidR="009E21FD" w:rsidRPr="00C73908">
        <w:rPr>
          <w:rFonts w:ascii="Times New Roman" w:hAnsi="Times New Roman" w:cs="Times New Roman"/>
          <w:lang w:val="en-IE"/>
        </w:rPr>
        <w:t xml:space="preserve">potential to acquire </w:t>
      </w:r>
      <w:r w:rsidR="006355E1" w:rsidRPr="00C73908">
        <w:rPr>
          <w:rFonts w:ascii="Times New Roman" w:hAnsi="Times New Roman" w:cs="Times New Roman"/>
          <w:lang w:val="en-IE"/>
        </w:rPr>
        <w:t xml:space="preserve">export experience and market </w:t>
      </w:r>
      <w:r w:rsidR="009E21FD" w:rsidRPr="00C73908">
        <w:rPr>
          <w:rFonts w:ascii="Times New Roman" w:hAnsi="Times New Roman" w:cs="Times New Roman"/>
          <w:lang w:val="en-IE"/>
        </w:rPr>
        <w:t>knowledge</w:t>
      </w:r>
      <w:r w:rsidR="006355E1" w:rsidRPr="00C73908">
        <w:rPr>
          <w:rFonts w:ascii="Times New Roman" w:hAnsi="Times New Roman" w:cs="Times New Roman"/>
          <w:lang w:val="en-IE"/>
        </w:rPr>
        <w:t xml:space="preserve"> through the labour market as mentioned previously</w:t>
      </w:r>
      <w:r w:rsidR="001C3DD8" w:rsidRPr="00C73908">
        <w:rPr>
          <w:rFonts w:ascii="Times New Roman" w:hAnsi="Times New Roman" w:cs="Times New Roman"/>
          <w:lang w:val="en-IE"/>
        </w:rPr>
        <w:t xml:space="preserve">. </w:t>
      </w:r>
      <w:r w:rsidR="001E2CFA" w:rsidRPr="00C73908">
        <w:rPr>
          <w:rFonts w:ascii="Times New Roman" w:hAnsi="Times New Roman" w:cs="Times New Roman"/>
          <w:lang w:val="en-IE"/>
        </w:rPr>
        <w:t xml:space="preserve">It is also possible that </w:t>
      </w:r>
      <w:r w:rsidR="00416896" w:rsidRPr="00C73908">
        <w:rPr>
          <w:rFonts w:ascii="Times New Roman" w:hAnsi="Times New Roman" w:cs="Times New Roman"/>
          <w:lang w:val="en-IE"/>
        </w:rPr>
        <w:t xml:space="preserve">flexibility </w:t>
      </w:r>
      <w:r w:rsidR="000D67C1" w:rsidRPr="00C73908">
        <w:rPr>
          <w:rFonts w:ascii="Times New Roman" w:hAnsi="Times New Roman" w:cs="Times New Roman"/>
          <w:lang w:val="en-IE"/>
        </w:rPr>
        <w:t>and</w:t>
      </w:r>
      <w:r w:rsidR="00416896" w:rsidRPr="00C73908">
        <w:rPr>
          <w:rFonts w:ascii="Times New Roman" w:hAnsi="Times New Roman" w:cs="Times New Roman"/>
          <w:lang w:val="en-IE"/>
        </w:rPr>
        <w:t xml:space="preserve"> openness to new knowledge decrease</w:t>
      </w:r>
      <w:r w:rsidR="000D67C1" w:rsidRPr="00C73908">
        <w:rPr>
          <w:rFonts w:ascii="Times New Roman" w:hAnsi="Times New Roman" w:cs="Times New Roman"/>
          <w:lang w:val="en-IE"/>
        </w:rPr>
        <w:t>s</w:t>
      </w:r>
      <w:r w:rsidR="00416896" w:rsidRPr="00C73908">
        <w:rPr>
          <w:rFonts w:ascii="Times New Roman" w:hAnsi="Times New Roman" w:cs="Times New Roman"/>
          <w:lang w:val="en-IE"/>
        </w:rPr>
        <w:t xml:space="preserve"> with age</w:t>
      </w:r>
      <w:r w:rsidR="000D67C1" w:rsidRPr="00C73908">
        <w:rPr>
          <w:rFonts w:ascii="Times New Roman" w:hAnsi="Times New Roman" w:cs="Times New Roman"/>
        </w:rPr>
        <w:t xml:space="preserve"> </w:t>
      </w:r>
      <w:r w:rsidR="000D67C1" w:rsidRPr="00C73908">
        <w:rPr>
          <w:rFonts w:ascii="Times New Roman" w:hAnsi="Times New Roman" w:cs="Times New Roman"/>
          <w:lang w:val="en-IE"/>
        </w:rPr>
        <w:t>as managerial routines are established and organisational rigidities develop</w:t>
      </w:r>
      <w:r w:rsidR="00416896" w:rsidRPr="00C73908">
        <w:rPr>
          <w:rFonts w:ascii="Times New Roman" w:hAnsi="Times New Roman" w:cs="Times New Roman"/>
          <w:lang w:val="en-IE"/>
        </w:rPr>
        <w:t xml:space="preserve">. </w:t>
      </w:r>
      <w:r w:rsidR="000D67C1" w:rsidRPr="00C73908">
        <w:rPr>
          <w:rFonts w:ascii="Times New Roman" w:hAnsi="Times New Roman" w:cs="Times New Roman"/>
          <w:lang w:val="en-IE"/>
        </w:rPr>
        <w:t>As a result,</w:t>
      </w:r>
      <w:r w:rsidR="003B6C14" w:rsidRPr="00C73908">
        <w:rPr>
          <w:rFonts w:ascii="Times New Roman" w:hAnsi="Times New Roman" w:cs="Times New Roman"/>
          <w:lang w:val="en-IE"/>
        </w:rPr>
        <w:t xml:space="preserve"> older</w:t>
      </w:r>
      <w:r w:rsidR="000D67C1" w:rsidRPr="00C73908">
        <w:rPr>
          <w:rFonts w:ascii="Times New Roman" w:hAnsi="Times New Roman" w:cs="Times New Roman"/>
          <w:lang w:val="en-IE"/>
        </w:rPr>
        <w:t xml:space="preserve"> firms may</w:t>
      </w:r>
      <w:r w:rsidR="000465CC" w:rsidRPr="00C73908">
        <w:rPr>
          <w:rFonts w:ascii="Times New Roman" w:hAnsi="Times New Roman" w:cs="Times New Roman"/>
          <w:lang w:val="en-IE"/>
        </w:rPr>
        <w:t xml:space="preserve"> not </w:t>
      </w:r>
      <w:r w:rsidR="00C20FE0" w:rsidRPr="00C73908">
        <w:rPr>
          <w:rFonts w:ascii="Times New Roman" w:hAnsi="Times New Roman" w:cs="Times New Roman"/>
          <w:lang w:val="en-IE"/>
        </w:rPr>
        <w:t>take full advantage of the learning potential from international experience.</w:t>
      </w:r>
      <w:r w:rsidR="008E08C3" w:rsidRPr="00C73908">
        <w:rPr>
          <w:rFonts w:ascii="Times New Roman" w:hAnsi="Times New Roman" w:cs="Times New Roman"/>
          <w:lang w:val="en-IE"/>
        </w:rPr>
        <w:t xml:space="preserve"> </w:t>
      </w:r>
      <w:r w:rsidR="00351F1A" w:rsidRPr="00C73908">
        <w:rPr>
          <w:rFonts w:ascii="Times New Roman" w:hAnsi="Times New Roman" w:cs="Times New Roman"/>
          <w:lang w:val="en-IE"/>
        </w:rPr>
        <w:t xml:space="preserve">On the other hand, </w:t>
      </w:r>
      <w:r w:rsidR="00DF3CAC" w:rsidRPr="00C73908">
        <w:rPr>
          <w:rFonts w:ascii="Times New Roman" w:hAnsi="Times New Roman" w:cs="Times New Roman"/>
          <w:lang w:val="en-IE"/>
        </w:rPr>
        <w:t xml:space="preserve">the ‘Born Global’ theory of </w:t>
      </w:r>
      <w:r w:rsidR="00144643" w:rsidRPr="00C73908">
        <w:rPr>
          <w:rFonts w:ascii="Times New Roman" w:hAnsi="Times New Roman" w:cs="Times New Roman"/>
          <w:lang w:val="en-IE"/>
        </w:rPr>
        <w:t xml:space="preserve">early </w:t>
      </w:r>
      <w:r w:rsidR="00DF3CAC" w:rsidRPr="00C73908">
        <w:rPr>
          <w:rFonts w:ascii="Times New Roman" w:hAnsi="Times New Roman" w:cs="Times New Roman"/>
          <w:lang w:val="en-IE"/>
        </w:rPr>
        <w:t>internationalisation</w:t>
      </w:r>
      <w:r w:rsidR="00306EA1" w:rsidRPr="00C73908">
        <w:rPr>
          <w:rFonts w:ascii="Times New Roman" w:hAnsi="Times New Roman" w:cs="Times New Roman"/>
          <w:lang w:val="en-IE"/>
        </w:rPr>
        <w:t>, which came to prominence in the mid 1990’s (</w:t>
      </w:r>
      <w:r w:rsidR="00F1769C" w:rsidRPr="00C73908">
        <w:rPr>
          <w:rFonts w:ascii="Times New Roman" w:hAnsi="Times New Roman" w:cs="Times New Roman"/>
          <w:lang w:val="en-IE"/>
        </w:rPr>
        <w:t>Oviatt &amp; McDougall, 1994),</w:t>
      </w:r>
      <w:r w:rsidR="00EE4BF8" w:rsidRPr="00C73908">
        <w:rPr>
          <w:rFonts w:ascii="Times New Roman" w:hAnsi="Times New Roman" w:cs="Times New Roman"/>
          <w:lang w:val="en-IE"/>
        </w:rPr>
        <w:t xml:space="preserve"> </w:t>
      </w:r>
      <w:r w:rsidR="00272CA9" w:rsidRPr="00C73908">
        <w:rPr>
          <w:rFonts w:ascii="Times New Roman" w:hAnsi="Times New Roman" w:cs="Times New Roman"/>
          <w:lang w:val="en-IE"/>
        </w:rPr>
        <w:t xml:space="preserve">outlines how </w:t>
      </w:r>
      <w:r w:rsidR="000D0161" w:rsidRPr="00C73908">
        <w:rPr>
          <w:rFonts w:ascii="Times New Roman" w:hAnsi="Times New Roman" w:cs="Times New Roman"/>
          <w:lang w:val="en-IE"/>
        </w:rPr>
        <w:t>some</w:t>
      </w:r>
      <w:r w:rsidR="00FA7ADD" w:rsidRPr="00C73908">
        <w:rPr>
          <w:rFonts w:ascii="Times New Roman" w:hAnsi="Times New Roman" w:cs="Times New Roman"/>
          <w:lang w:val="en-IE"/>
        </w:rPr>
        <w:t xml:space="preserve"> small, technology</w:t>
      </w:r>
      <w:r w:rsidR="00DC3A9D" w:rsidRPr="00C73908">
        <w:rPr>
          <w:rFonts w:ascii="Times New Roman" w:hAnsi="Times New Roman" w:cs="Times New Roman"/>
          <w:lang w:val="en-IE"/>
        </w:rPr>
        <w:t>-orientated</w:t>
      </w:r>
      <w:r w:rsidR="00272CA9" w:rsidRPr="00C73908">
        <w:rPr>
          <w:rFonts w:ascii="Times New Roman" w:hAnsi="Times New Roman" w:cs="Times New Roman"/>
          <w:lang w:val="en-IE"/>
        </w:rPr>
        <w:t xml:space="preserve"> firms </w:t>
      </w:r>
      <w:r w:rsidR="00B50E61" w:rsidRPr="00C73908">
        <w:rPr>
          <w:rFonts w:ascii="Times New Roman" w:hAnsi="Times New Roman" w:cs="Times New Roman"/>
          <w:lang w:val="en-IE"/>
        </w:rPr>
        <w:t xml:space="preserve">are internationally focused from their inception. </w:t>
      </w:r>
      <w:r w:rsidR="00DC3A9D" w:rsidRPr="00C73908">
        <w:rPr>
          <w:rFonts w:ascii="Times New Roman" w:hAnsi="Times New Roman" w:cs="Times New Roman"/>
          <w:lang w:val="en-IE"/>
        </w:rPr>
        <w:t>Autio et al. (2000) argue that born-global firms can internationalize quickly because of a lower degree of organisational inerti</w:t>
      </w:r>
      <w:r w:rsidR="00CB7421" w:rsidRPr="00C73908">
        <w:rPr>
          <w:rFonts w:ascii="Times New Roman" w:hAnsi="Times New Roman" w:cs="Times New Roman"/>
          <w:lang w:val="en-IE"/>
        </w:rPr>
        <w:t>a. T</w:t>
      </w:r>
      <w:r w:rsidR="00DC3A9D" w:rsidRPr="00C73908">
        <w:rPr>
          <w:rFonts w:ascii="Times New Roman" w:hAnsi="Times New Roman" w:cs="Times New Roman"/>
          <w:lang w:val="en-IE"/>
        </w:rPr>
        <w:t>hey propose that, “as firms get older, they develop learning impediments that hamper their ability to successfully grow in new environments and that the relative flexibility of newer firms allows them to rapidly learn the competencies necessary to pursue continued growth in foreign markets.”</w:t>
      </w:r>
    </w:p>
    <w:p w14:paraId="05CE4E76" w14:textId="6D7F8233" w:rsidR="00FC725B" w:rsidRPr="00C73908" w:rsidRDefault="001E16B3"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lastRenderedPageBreak/>
        <w:t xml:space="preserve">Given the contrasting </w:t>
      </w:r>
      <w:r w:rsidR="00E51C01" w:rsidRPr="00C73908">
        <w:rPr>
          <w:rFonts w:ascii="Times New Roman" w:hAnsi="Times New Roman" w:cs="Times New Roman"/>
          <w:lang w:val="en-IE"/>
        </w:rPr>
        <w:t>theories</w:t>
      </w:r>
      <w:r w:rsidRPr="00C73908">
        <w:rPr>
          <w:rFonts w:ascii="Times New Roman" w:hAnsi="Times New Roman" w:cs="Times New Roman"/>
          <w:lang w:val="en-IE"/>
        </w:rPr>
        <w:t xml:space="preserve"> in the literature, it is not surprising that e</w:t>
      </w:r>
      <w:r w:rsidR="00FC725B" w:rsidRPr="00C73908">
        <w:rPr>
          <w:rFonts w:ascii="Times New Roman" w:hAnsi="Times New Roman" w:cs="Times New Roman"/>
          <w:lang w:val="en-IE"/>
        </w:rPr>
        <w:t>mpirical studies on the</w:t>
      </w:r>
      <w:r w:rsidR="00577675" w:rsidRPr="00C73908">
        <w:rPr>
          <w:rFonts w:ascii="Times New Roman" w:hAnsi="Times New Roman" w:cs="Times New Roman"/>
          <w:lang w:val="en-IE"/>
        </w:rPr>
        <w:t xml:space="preserve"> impact that a firm’s age has on their export </w:t>
      </w:r>
      <w:r w:rsidR="00CF3939">
        <w:rPr>
          <w:rFonts w:ascii="Times New Roman" w:hAnsi="Times New Roman" w:cs="Times New Roman"/>
          <w:lang w:val="en-IE"/>
        </w:rPr>
        <w:t xml:space="preserve">performance </w:t>
      </w:r>
      <w:r w:rsidR="00577675" w:rsidRPr="00C73908">
        <w:rPr>
          <w:rFonts w:ascii="Times New Roman" w:hAnsi="Times New Roman" w:cs="Times New Roman"/>
          <w:lang w:val="en-IE"/>
        </w:rPr>
        <w:t>have produced mixed findings.</w:t>
      </w:r>
      <w:r w:rsidR="009B1A05" w:rsidRPr="00C73908">
        <w:rPr>
          <w:rFonts w:ascii="Times New Roman" w:hAnsi="Times New Roman" w:cs="Times New Roman"/>
          <w:lang w:val="en-IE"/>
        </w:rPr>
        <w:t xml:space="preserve"> </w:t>
      </w:r>
      <w:r w:rsidR="002D5124" w:rsidRPr="00C73908">
        <w:rPr>
          <w:rFonts w:ascii="Times New Roman" w:hAnsi="Times New Roman" w:cs="Times New Roman"/>
          <w:lang w:val="en-IE"/>
        </w:rPr>
        <w:t>Majocchi et al. (2005)</w:t>
      </w:r>
      <w:r w:rsidR="00E51C01" w:rsidRPr="00C73908">
        <w:rPr>
          <w:rFonts w:ascii="Times New Roman" w:hAnsi="Times New Roman" w:cs="Times New Roman"/>
          <w:lang w:val="en-IE"/>
        </w:rPr>
        <w:t xml:space="preserve"> find a positive and </w:t>
      </w:r>
      <w:r w:rsidR="00AF7F9F" w:rsidRPr="00C73908">
        <w:rPr>
          <w:rFonts w:ascii="Times New Roman" w:hAnsi="Times New Roman" w:cs="Times New Roman"/>
          <w:lang w:val="en-IE"/>
        </w:rPr>
        <w:t>robust relationship between</w:t>
      </w:r>
      <w:r w:rsidR="00E80F04" w:rsidRPr="00C73908">
        <w:rPr>
          <w:rFonts w:ascii="Times New Roman" w:hAnsi="Times New Roman" w:cs="Times New Roman"/>
          <w:lang w:val="en-IE"/>
        </w:rPr>
        <w:t xml:space="preserve"> firm age </w:t>
      </w:r>
      <w:r w:rsidR="00AF7F9F" w:rsidRPr="00C73908">
        <w:rPr>
          <w:rFonts w:ascii="Times New Roman" w:hAnsi="Times New Roman" w:cs="Times New Roman"/>
          <w:lang w:val="en-IE"/>
        </w:rPr>
        <w:t xml:space="preserve">and export </w:t>
      </w:r>
      <w:r w:rsidR="00D506AB" w:rsidRPr="00C73908">
        <w:rPr>
          <w:rFonts w:ascii="Times New Roman" w:hAnsi="Times New Roman" w:cs="Times New Roman"/>
          <w:lang w:val="en-IE"/>
        </w:rPr>
        <w:t>performance</w:t>
      </w:r>
      <w:r w:rsidR="0045108C" w:rsidRPr="00C73908">
        <w:rPr>
          <w:rFonts w:ascii="Times New Roman" w:hAnsi="Times New Roman" w:cs="Times New Roman"/>
          <w:lang w:val="en-IE"/>
        </w:rPr>
        <w:t xml:space="preserve"> among Italian</w:t>
      </w:r>
      <w:r w:rsidR="00736733" w:rsidRPr="00C73908">
        <w:rPr>
          <w:rFonts w:ascii="Times New Roman" w:hAnsi="Times New Roman" w:cs="Times New Roman"/>
          <w:lang w:val="en-IE"/>
        </w:rPr>
        <w:t xml:space="preserve"> manufacturing SMEs</w:t>
      </w:r>
      <w:r w:rsidR="00D506AB" w:rsidRPr="00C73908">
        <w:rPr>
          <w:rFonts w:ascii="Times New Roman" w:hAnsi="Times New Roman" w:cs="Times New Roman"/>
          <w:lang w:val="en-IE"/>
        </w:rPr>
        <w:t xml:space="preserve">, arguing that their results </w:t>
      </w:r>
      <w:r w:rsidR="00932CA6" w:rsidRPr="00C73908">
        <w:rPr>
          <w:rFonts w:ascii="Times New Roman" w:hAnsi="Times New Roman" w:cs="Times New Roman"/>
          <w:lang w:val="en-IE"/>
        </w:rPr>
        <w:t>“tend to confirm the idea that small firms need time to develop necessary experience of the market in order to export successfully</w:t>
      </w:r>
      <w:r w:rsidR="002D74AF" w:rsidRPr="00C73908">
        <w:rPr>
          <w:rFonts w:ascii="Times New Roman" w:hAnsi="Times New Roman" w:cs="Times New Roman"/>
          <w:lang w:val="en-IE"/>
        </w:rPr>
        <w:t>.</w:t>
      </w:r>
      <w:r w:rsidR="00932CA6" w:rsidRPr="00C73908">
        <w:rPr>
          <w:rFonts w:ascii="Times New Roman" w:hAnsi="Times New Roman" w:cs="Times New Roman"/>
          <w:lang w:val="en-IE"/>
        </w:rPr>
        <w:t>”</w:t>
      </w:r>
      <w:r w:rsidR="0045108C" w:rsidRPr="00C73908">
        <w:rPr>
          <w:rFonts w:ascii="Times New Roman" w:hAnsi="Times New Roman" w:cs="Times New Roman"/>
          <w:lang w:val="en-IE"/>
        </w:rPr>
        <w:t xml:space="preserve"> However, a subsequent study </w:t>
      </w:r>
      <w:r w:rsidR="00554F4B" w:rsidRPr="00C73908">
        <w:rPr>
          <w:rFonts w:ascii="Times New Roman" w:hAnsi="Times New Roman" w:cs="Times New Roman"/>
          <w:lang w:val="en-IE"/>
        </w:rPr>
        <w:t>by Brancati et al. (201</w:t>
      </w:r>
      <w:r w:rsidR="004C4EBE" w:rsidRPr="00C73908">
        <w:rPr>
          <w:rFonts w:ascii="Times New Roman" w:hAnsi="Times New Roman" w:cs="Times New Roman"/>
          <w:lang w:val="en-IE"/>
        </w:rPr>
        <w:t>8</w:t>
      </w:r>
      <w:r w:rsidR="00554F4B" w:rsidRPr="00C73908">
        <w:rPr>
          <w:rFonts w:ascii="Times New Roman" w:hAnsi="Times New Roman" w:cs="Times New Roman"/>
          <w:lang w:val="en-IE"/>
        </w:rPr>
        <w:t>)</w:t>
      </w:r>
      <w:r w:rsidR="00CD2F3C" w:rsidRPr="00C73908">
        <w:rPr>
          <w:rFonts w:ascii="Times New Roman" w:hAnsi="Times New Roman" w:cs="Times New Roman"/>
          <w:lang w:val="en-IE"/>
        </w:rPr>
        <w:t xml:space="preserve"> </w:t>
      </w:r>
      <w:r w:rsidR="00736733" w:rsidRPr="00C73908">
        <w:rPr>
          <w:rFonts w:ascii="Times New Roman" w:hAnsi="Times New Roman" w:cs="Times New Roman"/>
          <w:lang w:val="en-IE"/>
        </w:rPr>
        <w:t>find</w:t>
      </w:r>
      <w:r w:rsidR="006B4DF3" w:rsidRPr="00C73908">
        <w:rPr>
          <w:rFonts w:ascii="Times New Roman" w:hAnsi="Times New Roman" w:cs="Times New Roman"/>
          <w:lang w:val="en-IE"/>
        </w:rPr>
        <w:t>s</w:t>
      </w:r>
      <w:r w:rsidR="00736733" w:rsidRPr="00C73908">
        <w:rPr>
          <w:rFonts w:ascii="Times New Roman" w:hAnsi="Times New Roman" w:cs="Times New Roman"/>
          <w:lang w:val="en-IE"/>
        </w:rPr>
        <w:t xml:space="preserve"> that firm age </w:t>
      </w:r>
      <w:r w:rsidR="00CD2F3C" w:rsidRPr="00C73908">
        <w:rPr>
          <w:rFonts w:ascii="Times New Roman" w:hAnsi="Times New Roman" w:cs="Times New Roman"/>
          <w:lang w:val="en-IE"/>
        </w:rPr>
        <w:t>does not have a significant impact on the export propensity of Italian firms.</w:t>
      </w:r>
      <w:r w:rsidR="00736733" w:rsidRPr="00C73908">
        <w:rPr>
          <w:rFonts w:ascii="Times New Roman" w:hAnsi="Times New Roman" w:cs="Times New Roman"/>
          <w:lang w:val="en-IE"/>
        </w:rPr>
        <w:t xml:space="preserve"> </w:t>
      </w:r>
      <w:r w:rsidR="009B1A05" w:rsidRPr="00C73908">
        <w:rPr>
          <w:rFonts w:ascii="Times New Roman" w:hAnsi="Times New Roman" w:cs="Times New Roman"/>
          <w:lang w:val="en-IE"/>
        </w:rPr>
        <w:t xml:space="preserve">Love et al. (2016) </w:t>
      </w:r>
      <w:r w:rsidR="008D169C" w:rsidRPr="00C73908">
        <w:rPr>
          <w:rFonts w:ascii="Times New Roman" w:hAnsi="Times New Roman" w:cs="Times New Roman"/>
          <w:lang w:val="en-IE"/>
        </w:rPr>
        <w:t xml:space="preserve">take a different approach </w:t>
      </w:r>
      <w:r w:rsidR="00394282" w:rsidRPr="00C73908">
        <w:rPr>
          <w:rFonts w:ascii="Times New Roman" w:hAnsi="Times New Roman" w:cs="Times New Roman"/>
          <w:lang w:val="en-IE"/>
        </w:rPr>
        <w:t xml:space="preserve">by </w:t>
      </w:r>
      <w:r w:rsidR="008D169C" w:rsidRPr="00C73908">
        <w:rPr>
          <w:rFonts w:ascii="Times New Roman" w:hAnsi="Times New Roman" w:cs="Times New Roman"/>
          <w:lang w:val="en-IE"/>
        </w:rPr>
        <w:t>distinguish</w:t>
      </w:r>
      <w:r w:rsidR="00394282" w:rsidRPr="00C73908">
        <w:rPr>
          <w:rFonts w:ascii="Times New Roman" w:hAnsi="Times New Roman" w:cs="Times New Roman"/>
          <w:lang w:val="en-IE"/>
        </w:rPr>
        <w:t>ing</w:t>
      </w:r>
      <w:r w:rsidR="009B1A05" w:rsidRPr="00C73908">
        <w:rPr>
          <w:rFonts w:ascii="Times New Roman" w:hAnsi="Times New Roman" w:cs="Times New Roman"/>
          <w:lang w:val="en-IE"/>
        </w:rPr>
        <w:t xml:space="preserve"> between </w:t>
      </w:r>
      <w:r w:rsidR="00C704C7" w:rsidRPr="00C73908">
        <w:rPr>
          <w:rFonts w:ascii="Times New Roman" w:hAnsi="Times New Roman" w:cs="Times New Roman"/>
          <w:lang w:val="en-IE"/>
        </w:rPr>
        <w:t xml:space="preserve">firm age </w:t>
      </w:r>
      <w:r w:rsidR="000D3135" w:rsidRPr="00C73908">
        <w:rPr>
          <w:rFonts w:ascii="Times New Roman" w:hAnsi="Times New Roman" w:cs="Times New Roman"/>
          <w:lang w:val="en-IE"/>
        </w:rPr>
        <w:t xml:space="preserve">(the number of years since the firm was established) </w:t>
      </w:r>
      <w:r w:rsidR="00C704C7" w:rsidRPr="00C73908">
        <w:rPr>
          <w:rFonts w:ascii="Times New Roman" w:hAnsi="Times New Roman" w:cs="Times New Roman"/>
          <w:lang w:val="en-IE"/>
        </w:rPr>
        <w:t>and export experience</w:t>
      </w:r>
      <w:r w:rsidR="000D3135" w:rsidRPr="00C73908">
        <w:rPr>
          <w:rFonts w:ascii="Times New Roman" w:hAnsi="Times New Roman" w:cs="Times New Roman"/>
          <w:lang w:val="en-IE"/>
        </w:rPr>
        <w:t xml:space="preserve"> (the number of years that the company has been active in overseas markets)</w:t>
      </w:r>
      <w:r w:rsidR="00491D0A" w:rsidRPr="00C73908">
        <w:rPr>
          <w:rFonts w:ascii="Times New Roman" w:hAnsi="Times New Roman" w:cs="Times New Roman"/>
          <w:lang w:val="en-IE"/>
        </w:rPr>
        <w:t>, two variables that are often conflated in the literature.</w:t>
      </w:r>
      <w:r w:rsidR="00CC3E4F" w:rsidRPr="00C73908">
        <w:rPr>
          <w:rFonts w:ascii="Times New Roman" w:hAnsi="Times New Roman" w:cs="Times New Roman"/>
          <w:lang w:val="en-IE"/>
        </w:rPr>
        <w:t xml:space="preserve"> The</w:t>
      </w:r>
      <w:r w:rsidR="00F368E4" w:rsidRPr="00C73908">
        <w:rPr>
          <w:rFonts w:ascii="Times New Roman" w:hAnsi="Times New Roman" w:cs="Times New Roman"/>
          <w:lang w:val="en-IE"/>
        </w:rPr>
        <w:t>y</w:t>
      </w:r>
      <w:r w:rsidR="00CC3E4F" w:rsidRPr="00C73908">
        <w:rPr>
          <w:rFonts w:ascii="Times New Roman" w:hAnsi="Times New Roman" w:cs="Times New Roman"/>
          <w:lang w:val="en-IE"/>
        </w:rPr>
        <w:t xml:space="preserve"> </w:t>
      </w:r>
      <w:r w:rsidR="00DB3DD3" w:rsidRPr="00C73908">
        <w:rPr>
          <w:rFonts w:ascii="Times New Roman" w:hAnsi="Times New Roman" w:cs="Times New Roman"/>
          <w:lang w:val="en-IE"/>
        </w:rPr>
        <w:t>find</w:t>
      </w:r>
      <w:r w:rsidR="00CC3E4F" w:rsidRPr="00C73908">
        <w:rPr>
          <w:rFonts w:ascii="Times New Roman" w:hAnsi="Times New Roman" w:cs="Times New Roman"/>
          <w:lang w:val="en-IE"/>
        </w:rPr>
        <w:t xml:space="preserve"> </w:t>
      </w:r>
      <w:r w:rsidR="00F6511A">
        <w:rPr>
          <w:rFonts w:ascii="Times New Roman" w:hAnsi="Times New Roman" w:cs="Times New Roman"/>
          <w:lang w:val="en-IE"/>
        </w:rPr>
        <w:t>that firms with greater levels of</w:t>
      </w:r>
      <w:r w:rsidR="00257D27" w:rsidRPr="00C73908">
        <w:rPr>
          <w:rFonts w:ascii="Times New Roman" w:hAnsi="Times New Roman" w:cs="Times New Roman"/>
          <w:lang w:val="en-IE"/>
        </w:rPr>
        <w:t xml:space="preserve"> export experience</w:t>
      </w:r>
      <w:r w:rsidR="009A6D95" w:rsidRPr="00C73908">
        <w:rPr>
          <w:rFonts w:ascii="Times New Roman" w:hAnsi="Times New Roman" w:cs="Times New Roman"/>
          <w:lang w:val="en-IE"/>
        </w:rPr>
        <w:t xml:space="preserve"> </w:t>
      </w:r>
      <w:r w:rsidR="00F6511A">
        <w:rPr>
          <w:rFonts w:ascii="Times New Roman" w:hAnsi="Times New Roman" w:cs="Times New Roman"/>
          <w:lang w:val="en-IE"/>
        </w:rPr>
        <w:t xml:space="preserve">tend to have higher </w:t>
      </w:r>
      <w:r w:rsidR="009A6D95" w:rsidRPr="00C73908">
        <w:rPr>
          <w:rFonts w:ascii="Times New Roman" w:hAnsi="Times New Roman" w:cs="Times New Roman"/>
          <w:lang w:val="en-IE"/>
        </w:rPr>
        <w:t xml:space="preserve">export intensity and </w:t>
      </w:r>
      <w:r w:rsidR="00F6511A">
        <w:rPr>
          <w:rFonts w:ascii="Times New Roman" w:hAnsi="Times New Roman" w:cs="Times New Roman"/>
          <w:lang w:val="en-IE"/>
        </w:rPr>
        <w:t xml:space="preserve">greater </w:t>
      </w:r>
      <w:r w:rsidR="009A6D95" w:rsidRPr="00C73908">
        <w:rPr>
          <w:rFonts w:ascii="Times New Roman" w:hAnsi="Times New Roman" w:cs="Times New Roman"/>
          <w:lang w:val="en-IE"/>
        </w:rPr>
        <w:t>diversi</w:t>
      </w:r>
      <w:r w:rsidR="00F6511A">
        <w:rPr>
          <w:rFonts w:ascii="Times New Roman" w:hAnsi="Times New Roman" w:cs="Times New Roman"/>
          <w:lang w:val="en-IE"/>
        </w:rPr>
        <w:t>fication</w:t>
      </w:r>
      <w:r w:rsidR="00A71AD2" w:rsidRPr="00C73908">
        <w:rPr>
          <w:rFonts w:ascii="Times New Roman" w:hAnsi="Times New Roman" w:cs="Times New Roman"/>
          <w:lang w:val="en-IE"/>
        </w:rPr>
        <w:t xml:space="preserve"> (measured as the number of markets and geographic regions served)</w:t>
      </w:r>
      <w:r w:rsidR="00257D27" w:rsidRPr="00C73908">
        <w:rPr>
          <w:rFonts w:ascii="Times New Roman" w:hAnsi="Times New Roman" w:cs="Times New Roman"/>
          <w:lang w:val="en-IE"/>
        </w:rPr>
        <w:t>.</w:t>
      </w:r>
      <w:r w:rsidR="000D1E2B" w:rsidRPr="00C73908">
        <w:rPr>
          <w:rFonts w:ascii="Times New Roman" w:hAnsi="Times New Roman" w:cs="Times New Roman"/>
          <w:lang w:val="en-IE"/>
        </w:rPr>
        <w:t xml:space="preserve"> On the other hand, firm age is found to have an insignificant effect on export diversity</w:t>
      </w:r>
      <w:r w:rsidR="008B7C3B" w:rsidRPr="00C73908">
        <w:rPr>
          <w:rFonts w:ascii="Times New Roman" w:hAnsi="Times New Roman" w:cs="Times New Roman"/>
          <w:lang w:val="en-IE"/>
        </w:rPr>
        <w:t xml:space="preserve"> and a negative effect on export intensity after international experience is taken into account.</w:t>
      </w:r>
      <w:r w:rsidR="002C331D" w:rsidRPr="00C73908">
        <w:rPr>
          <w:rFonts w:ascii="Times New Roman" w:hAnsi="Times New Roman" w:cs="Times New Roman"/>
          <w:lang w:val="en-IE"/>
        </w:rPr>
        <w:t xml:space="preserve"> </w:t>
      </w:r>
      <w:r w:rsidR="000E15FD" w:rsidRPr="00C73908">
        <w:rPr>
          <w:rFonts w:ascii="Times New Roman" w:hAnsi="Times New Roman" w:cs="Times New Roman"/>
          <w:lang w:val="en-IE"/>
        </w:rPr>
        <w:t xml:space="preserve">From an Irish perspective, </w:t>
      </w:r>
      <w:r w:rsidR="00B51751" w:rsidRPr="00C73908">
        <w:rPr>
          <w:rFonts w:ascii="Times New Roman" w:hAnsi="Times New Roman" w:cs="Times New Roman"/>
          <w:lang w:val="en-IE"/>
        </w:rPr>
        <w:t xml:space="preserve">Roper et al. (2006) </w:t>
      </w:r>
      <w:r w:rsidR="00954A2A" w:rsidRPr="00C73908">
        <w:rPr>
          <w:rFonts w:ascii="Times New Roman" w:hAnsi="Times New Roman" w:cs="Times New Roman"/>
          <w:lang w:val="en-IE"/>
        </w:rPr>
        <w:t xml:space="preserve">find a higher export propensity among </w:t>
      </w:r>
      <w:r w:rsidR="00975D82" w:rsidRPr="00C73908">
        <w:rPr>
          <w:rFonts w:ascii="Times New Roman" w:hAnsi="Times New Roman" w:cs="Times New Roman"/>
          <w:lang w:val="en-IE"/>
        </w:rPr>
        <w:t xml:space="preserve">younger </w:t>
      </w:r>
      <w:r w:rsidR="002E7C6A" w:rsidRPr="00C73908">
        <w:rPr>
          <w:rFonts w:ascii="Times New Roman" w:hAnsi="Times New Roman" w:cs="Times New Roman"/>
          <w:lang w:val="en-IE"/>
        </w:rPr>
        <w:t xml:space="preserve">manufacturing </w:t>
      </w:r>
      <w:r w:rsidR="000E15FD" w:rsidRPr="00C73908">
        <w:rPr>
          <w:rFonts w:ascii="Times New Roman" w:hAnsi="Times New Roman" w:cs="Times New Roman"/>
          <w:lang w:val="en-IE"/>
        </w:rPr>
        <w:t>firms</w:t>
      </w:r>
      <w:r w:rsidR="004D447D" w:rsidRPr="00C73908">
        <w:rPr>
          <w:rFonts w:ascii="Times New Roman" w:hAnsi="Times New Roman" w:cs="Times New Roman"/>
          <w:lang w:val="en-IE"/>
        </w:rPr>
        <w:t>.</w:t>
      </w:r>
      <w:r w:rsidR="000E15FD" w:rsidRPr="00C73908">
        <w:rPr>
          <w:rFonts w:ascii="Times New Roman" w:hAnsi="Times New Roman" w:cs="Times New Roman"/>
          <w:lang w:val="en-IE"/>
        </w:rPr>
        <w:t xml:space="preserve"> </w:t>
      </w:r>
      <w:r w:rsidR="009C4E76" w:rsidRPr="00C73908">
        <w:rPr>
          <w:rFonts w:ascii="Times New Roman" w:hAnsi="Times New Roman" w:cs="Times New Roman"/>
          <w:lang w:val="en-IE"/>
        </w:rPr>
        <w:t xml:space="preserve">Mac an Bhaird and Curran (2016) also </w:t>
      </w:r>
      <w:r w:rsidR="00E643BF" w:rsidRPr="00C73908">
        <w:rPr>
          <w:rFonts w:ascii="Times New Roman" w:hAnsi="Times New Roman" w:cs="Times New Roman"/>
          <w:lang w:val="en-IE"/>
        </w:rPr>
        <w:t xml:space="preserve">find an inverse relationship between age and export </w:t>
      </w:r>
      <w:r w:rsidR="00C570E8" w:rsidRPr="00C73908">
        <w:rPr>
          <w:rFonts w:ascii="Times New Roman" w:hAnsi="Times New Roman" w:cs="Times New Roman"/>
          <w:lang w:val="en-IE"/>
        </w:rPr>
        <w:t>intensity</w:t>
      </w:r>
      <w:r w:rsidR="00B20E8B" w:rsidRPr="00C73908">
        <w:rPr>
          <w:rFonts w:ascii="Times New Roman" w:hAnsi="Times New Roman" w:cs="Times New Roman"/>
          <w:lang w:val="en-IE"/>
        </w:rPr>
        <w:t xml:space="preserve"> among Irish SMEs</w:t>
      </w:r>
      <w:r w:rsidR="00A5656F" w:rsidRPr="00C73908">
        <w:rPr>
          <w:rFonts w:ascii="Times New Roman" w:hAnsi="Times New Roman" w:cs="Times New Roman"/>
          <w:lang w:val="en-IE"/>
        </w:rPr>
        <w:t xml:space="preserve">. This effect is particularly strong </w:t>
      </w:r>
      <w:r w:rsidR="00B20E8B" w:rsidRPr="00C73908">
        <w:rPr>
          <w:rFonts w:ascii="Times New Roman" w:hAnsi="Times New Roman" w:cs="Times New Roman"/>
          <w:lang w:val="en-IE"/>
        </w:rPr>
        <w:t>in the computer software sector with the authors proposing that “</w:t>
      </w:r>
      <w:r w:rsidR="00F556A1" w:rsidRPr="00C73908">
        <w:rPr>
          <w:rFonts w:ascii="Times New Roman" w:hAnsi="Times New Roman" w:cs="Times New Roman"/>
          <w:lang w:val="en-IE"/>
        </w:rPr>
        <w:t xml:space="preserve">despite a lack of resources typical of young firms, </w:t>
      </w:r>
      <w:r w:rsidR="00DB2081" w:rsidRPr="00C73908">
        <w:rPr>
          <w:rFonts w:ascii="Times New Roman" w:hAnsi="Times New Roman" w:cs="Times New Roman"/>
          <w:lang w:val="en-IE"/>
        </w:rPr>
        <w:t>knowledge-based</w:t>
      </w:r>
      <w:r w:rsidR="00B20E8B" w:rsidRPr="00C73908">
        <w:rPr>
          <w:rFonts w:ascii="Times New Roman" w:hAnsi="Times New Roman" w:cs="Times New Roman"/>
          <w:lang w:val="en-IE"/>
        </w:rPr>
        <w:t xml:space="preserve"> firms in the services sector have fewer barriers to exporting and greater ease of access to foreign markets than manufacturing firms.”</w:t>
      </w:r>
    </w:p>
    <w:p w14:paraId="1D111AED" w14:textId="4817C677" w:rsidR="005B209D" w:rsidRPr="00C73908" w:rsidRDefault="00F95DE7"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t>Hypothesis:</w:t>
      </w:r>
      <w:r w:rsidRPr="00C73908">
        <w:rPr>
          <w:rFonts w:ascii="Times New Roman" w:hAnsi="Times New Roman" w:cs="Times New Roman"/>
          <w:lang w:val="en-IE"/>
        </w:rPr>
        <w:t xml:space="preserve"> </w:t>
      </w:r>
      <w:r w:rsidR="00367689" w:rsidRPr="00C73908">
        <w:rPr>
          <w:rFonts w:ascii="Times New Roman" w:hAnsi="Times New Roman" w:cs="Times New Roman"/>
          <w:lang w:val="en-IE"/>
        </w:rPr>
        <w:t xml:space="preserve">Firm age is negatively related to export </w:t>
      </w:r>
      <w:r w:rsidR="00297F18" w:rsidRPr="00C73908">
        <w:rPr>
          <w:rFonts w:ascii="Times New Roman" w:hAnsi="Times New Roman" w:cs="Times New Roman"/>
          <w:lang w:val="en-IE"/>
        </w:rPr>
        <w:t>performance;</w:t>
      </w:r>
      <w:r w:rsidR="00F14EB5" w:rsidRPr="00C73908">
        <w:rPr>
          <w:rFonts w:ascii="Times New Roman" w:hAnsi="Times New Roman" w:cs="Times New Roman"/>
          <w:lang w:val="en-IE"/>
        </w:rPr>
        <w:t xml:space="preserve"> this effect is </w:t>
      </w:r>
      <w:r w:rsidR="005D1400" w:rsidRPr="00C73908">
        <w:rPr>
          <w:rFonts w:ascii="Times New Roman" w:hAnsi="Times New Roman" w:cs="Times New Roman"/>
          <w:lang w:val="en-IE"/>
        </w:rPr>
        <w:t>larger</w:t>
      </w:r>
      <w:r w:rsidR="00F14EB5" w:rsidRPr="00C73908">
        <w:rPr>
          <w:rFonts w:ascii="Times New Roman" w:hAnsi="Times New Roman" w:cs="Times New Roman"/>
          <w:lang w:val="en-IE"/>
        </w:rPr>
        <w:t xml:space="preserve"> </w:t>
      </w:r>
      <w:r w:rsidR="00297F18" w:rsidRPr="00C73908">
        <w:rPr>
          <w:rFonts w:ascii="Times New Roman" w:hAnsi="Times New Roman" w:cs="Times New Roman"/>
          <w:lang w:val="en-IE"/>
        </w:rPr>
        <w:t>among</w:t>
      </w:r>
      <w:r w:rsidR="00F14EB5" w:rsidRPr="00C73908">
        <w:rPr>
          <w:rFonts w:ascii="Times New Roman" w:hAnsi="Times New Roman" w:cs="Times New Roman"/>
          <w:lang w:val="en-IE"/>
        </w:rPr>
        <w:t xml:space="preserve"> services </w:t>
      </w:r>
      <w:r w:rsidR="00297F18" w:rsidRPr="00C73908">
        <w:rPr>
          <w:rFonts w:ascii="Times New Roman" w:hAnsi="Times New Roman" w:cs="Times New Roman"/>
          <w:lang w:val="en-IE"/>
        </w:rPr>
        <w:t>firm</w:t>
      </w:r>
      <w:r w:rsidR="00F14EB5" w:rsidRPr="00C73908">
        <w:rPr>
          <w:rFonts w:ascii="Times New Roman" w:hAnsi="Times New Roman" w:cs="Times New Roman"/>
          <w:lang w:val="en-IE"/>
        </w:rPr>
        <w:t>s.</w:t>
      </w:r>
    </w:p>
    <w:p w14:paraId="12842807" w14:textId="74E7418D" w:rsidR="00036ECC" w:rsidRPr="00C73908" w:rsidRDefault="00036ECC" w:rsidP="008A6DF2">
      <w:pPr>
        <w:spacing w:line="360" w:lineRule="auto"/>
        <w:rPr>
          <w:rFonts w:ascii="Times New Roman" w:hAnsi="Times New Roman" w:cs="Times New Roman"/>
          <w:lang w:val="en-IE"/>
        </w:rPr>
      </w:pPr>
    </w:p>
    <w:p w14:paraId="4A112E19" w14:textId="7209CDF3" w:rsidR="00FC7AF6" w:rsidRPr="00C73908" w:rsidRDefault="00FC7AF6" w:rsidP="008A6DF2">
      <w:pPr>
        <w:pStyle w:val="Heading1"/>
        <w:numPr>
          <w:ilvl w:val="0"/>
          <w:numId w:val="4"/>
        </w:numPr>
        <w:spacing w:after="240" w:line="360" w:lineRule="auto"/>
        <w:jc w:val="both"/>
        <w:rPr>
          <w:rFonts w:ascii="Times New Roman" w:hAnsi="Times New Roman" w:cs="Times New Roman"/>
          <w:b/>
          <w:bCs/>
          <w:color w:val="0070C0"/>
          <w:lang w:val="en-IE"/>
        </w:rPr>
      </w:pPr>
      <w:bookmarkStart w:id="20" w:name="_Toc67143561"/>
      <w:bookmarkStart w:id="21" w:name="_Toc69198802"/>
      <w:r w:rsidRPr="00C73908">
        <w:rPr>
          <w:rFonts w:ascii="Times New Roman" w:hAnsi="Times New Roman" w:cs="Times New Roman"/>
          <w:b/>
          <w:bCs/>
          <w:color w:val="0070C0"/>
          <w:lang w:val="en-IE"/>
        </w:rPr>
        <w:t>Data</w:t>
      </w:r>
      <w:bookmarkEnd w:id="20"/>
      <w:bookmarkEnd w:id="21"/>
    </w:p>
    <w:p w14:paraId="3FCF1AC0" w14:textId="6126C9D6" w:rsidR="00F165CB" w:rsidRPr="00C73908" w:rsidRDefault="00A81F46"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Data for</w:t>
      </w:r>
      <w:r w:rsidR="007D0439" w:rsidRPr="00C73908">
        <w:rPr>
          <w:rFonts w:ascii="Times New Roman" w:hAnsi="Times New Roman" w:cs="Times New Roman"/>
          <w:lang w:val="en-IE"/>
        </w:rPr>
        <w:t xml:space="preserve"> the econometric analysis is largely taken from the Annual Business Review (ABR) survey</w:t>
      </w:r>
      <w:r w:rsidR="00912524" w:rsidRPr="00C73908">
        <w:rPr>
          <w:rFonts w:ascii="Times New Roman" w:hAnsi="Times New Roman" w:cs="Times New Roman"/>
          <w:lang w:val="en-IE"/>
        </w:rPr>
        <w:t xml:space="preserve"> which is carried out </w:t>
      </w:r>
      <w:r w:rsidR="007B7797" w:rsidRPr="00C73908">
        <w:rPr>
          <w:rFonts w:ascii="Times New Roman" w:hAnsi="Times New Roman" w:cs="Times New Roman"/>
          <w:lang w:val="en-IE"/>
        </w:rPr>
        <w:t xml:space="preserve">on an </w:t>
      </w:r>
      <w:r w:rsidR="00912524" w:rsidRPr="00C73908">
        <w:rPr>
          <w:rFonts w:ascii="Times New Roman" w:hAnsi="Times New Roman" w:cs="Times New Roman"/>
          <w:lang w:val="en-IE"/>
        </w:rPr>
        <w:t xml:space="preserve">annual </w:t>
      </w:r>
      <w:r w:rsidR="007B7797" w:rsidRPr="00C73908">
        <w:rPr>
          <w:rFonts w:ascii="Times New Roman" w:hAnsi="Times New Roman" w:cs="Times New Roman"/>
          <w:lang w:val="en-IE"/>
        </w:rPr>
        <w:t xml:space="preserve">basis </w:t>
      </w:r>
      <w:r w:rsidR="00912524" w:rsidRPr="00C73908">
        <w:rPr>
          <w:rFonts w:ascii="Times New Roman" w:hAnsi="Times New Roman" w:cs="Times New Roman"/>
          <w:lang w:val="en-IE"/>
        </w:rPr>
        <w:t xml:space="preserve">by </w:t>
      </w:r>
      <w:r w:rsidR="007B7797" w:rsidRPr="00C73908">
        <w:rPr>
          <w:rFonts w:ascii="Times New Roman" w:hAnsi="Times New Roman" w:cs="Times New Roman"/>
          <w:lang w:val="en-IE"/>
        </w:rPr>
        <w:t>Enterprise Ireland</w:t>
      </w:r>
      <w:r w:rsidR="005874EC">
        <w:rPr>
          <w:rFonts w:ascii="Times New Roman" w:hAnsi="Times New Roman" w:cs="Times New Roman"/>
          <w:lang w:val="en-IE"/>
        </w:rPr>
        <w:t xml:space="preserve"> a</w:t>
      </w:r>
      <w:r w:rsidR="00173854">
        <w:rPr>
          <w:rFonts w:ascii="Times New Roman" w:hAnsi="Times New Roman" w:cs="Times New Roman"/>
          <w:lang w:val="en-IE"/>
        </w:rPr>
        <w:t>nd contributes to</w:t>
      </w:r>
      <w:r w:rsidR="005874EC">
        <w:rPr>
          <w:rFonts w:ascii="Times New Roman" w:hAnsi="Times New Roman" w:cs="Times New Roman"/>
          <w:lang w:val="en-IE"/>
        </w:rPr>
        <w:t xml:space="preserve"> the Department of Enterprise</w:t>
      </w:r>
      <w:r w:rsidR="00CC3475">
        <w:rPr>
          <w:rFonts w:ascii="Times New Roman" w:hAnsi="Times New Roman" w:cs="Times New Roman"/>
          <w:lang w:val="en-IE"/>
        </w:rPr>
        <w:t>’s Annual Business Survey of Economic Impact (ABSEI)</w:t>
      </w:r>
      <w:r w:rsidR="00173854">
        <w:rPr>
          <w:rFonts w:ascii="Times New Roman" w:hAnsi="Times New Roman" w:cs="Times New Roman"/>
          <w:lang w:val="en-IE"/>
        </w:rPr>
        <w:t xml:space="preserve"> report</w:t>
      </w:r>
      <w:r w:rsidR="006D4838">
        <w:rPr>
          <w:rFonts w:ascii="Times New Roman" w:hAnsi="Times New Roman" w:cs="Times New Roman"/>
          <w:lang w:val="en-IE"/>
        </w:rPr>
        <w:t>.</w:t>
      </w:r>
      <w:r w:rsidR="006B16A2" w:rsidRPr="00C73908">
        <w:rPr>
          <w:rFonts w:ascii="Times New Roman" w:hAnsi="Times New Roman" w:cs="Times New Roman"/>
          <w:lang w:val="en-IE"/>
        </w:rPr>
        <w:t xml:space="preserve"> </w:t>
      </w:r>
      <w:r w:rsidR="004D6AF3" w:rsidRPr="00C73908">
        <w:rPr>
          <w:rFonts w:ascii="Times New Roman" w:hAnsi="Times New Roman" w:cs="Times New Roman"/>
          <w:lang w:val="en-IE"/>
        </w:rPr>
        <w:t xml:space="preserve">The survey population is made up of </w:t>
      </w:r>
      <w:r w:rsidR="0011238E" w:rsidRPr="00C73908">
        <w:rPr>
          <w:rFonts w:ascii="Times New Roman" w:hAnsi="Times New Roman" w:cs="Times New Roman"/>
          <w:lang w:val="en-IE"/>
        </w:rPr>
        <w:t xml:space="preserve">client companies of </w:t>
      </w:r>
      <w:r w:rsidR="00DE443F">
        <w:rPr>
          <w:rFonts w:ascii="Times New Roman" w:hAnsi="Times New Roman" w:cs="Times New Roman"/>
          <w:lang w:val="en-IE"/>
        </w:rPr>
        <w:t xml:space="preserve">EI </w:t>
      </w:r>
      <w:r w:rsidR="00E52CE7" w:rsidRPr="00C73908">
        <w:rPr>
          <w:rFonts w:ascii="Times New Roman" w:hAnsi="Times New Roman" w:cs="Times New Roman"/>
          <w:lang w:val="en-IE"/>
        </w:rPr>
        <w:t>which are predominant</w:t>
      </w:r>
      <w:r w:rsidR="0039550F" w:rsidRPr="00C73908">
        <w:rPr>
          <w:rFonts w:ascii="Times New Roman" w:hAnsi="Times New Roman" w:cs="Times New Roman"/>
          <w:lang w:val="en-IE"/>
        </w:rPr>
        <w:t>ly</w:t>
      </w:r>
      <w:r w:rsidR="005B0938" w:rsidRPr="00C73908">
        <w:rPr>
          <w:rFonts w:ascii="Times New Roman" w:hAnsi="Times New Roman" w:cs="Times New Roman"/>
          <w:lang w:val="en-IE"/>
        </w:rPr>
        <w:t xml:space="preserve"> </w:t>
      </w:r>
      <w:r w:rsidR="006F0BD6" w:rsidRPr="00C73908">
        <w:rPr>
          <w:rFonts w:ascii="Times New Roman" w:hAnsi="Times New Roman" w:cs="Times New Roman"/>
          <w:lang w:val="en-IE"/>
        </w:rPr>
        <w:t>Irish</w:t>
      </w:r>
      <w:r w:rsidR="004E5DA1">
        <w:rPr>
          <w:rFonts w:ascii="Times New Roman" w:hAnsi="Times New Roman" w:cs="Times New Roman"/>
          <w:lang w:val="en-IE"/>
        </w:rPr>
        <w:t>-</w:t>
      </w:r>
      <w:r w:rsidR="00C60110" w:rsidRPr="00C73908">
        <w:rPr>
          <w:rFonts w:ascii="Times New Roman" w:hAnsi="Times New Roman" w:cs="Times New Roman"/>
          <w:lang w:val="en-IE"/>
        </w:rPr>
        <w:t>owned</w:t>
      </w:r>
      <w:r w:rsidR="00C3376F" w:rsidRPr="00C73908">
        <w:rPr>
          <w:rFonts w:ascii="Times New Roman" w:hAnsi="Times New Roman" w:cs="Times New Roman"/>
          <w:lang w:val="en-IE"/>
        </w:rPr>
        <w:t xml:space="preserve">, </w:t>
      </w:r>
      <w:r w:rsidR="006C2A68" w:rsidRPr="00C73908">
        <w:rPr>
          <w:rFonts w:ascii="Times New Roman" w:hAnsi="Times New Roman" w:cs="Times New Roman"/>
          <w:lang w:val="en-IE"/>
        </w:rPr>
        <w:t>export orientated</w:t>
      </w:r>
      <w:r w:rsidR="00324D12" w:rsidRPr="00C73908">
        <w:rPr>
          <w:rFonts w:ascii="Times New Roman" w:hAnsi="Times New Roman" w:cs="Times New Roman"/>
          <w:lang w:val="en-IE"/>
        </w:rPr>
        <w:t xml:space="preserve"> </w:t>
      </w:r>
      <w:r w:rsidR="005B0938" w:rsidRPr="00C73908">
        <w:rPr>
          <w:rFonts w:ascii="Times New Roman" w:hAnsi="Times New Roman" w:cs="Times New Roman"/>
          <w:lang w:val="en-IE"/>
        </w:rPr>
        <w:t xml:space="preserve">companies </w:t>
      </w:r>
      <w:r w:rsidR="00C60110" w:rsidRPr="00C73908">
        <w:rPr>
          <w:rFonts w:ascii="Times New Roman" w:hAnsi="Times New Roman" w:cs="Times New Roman"/>
          <w:lang w:val="en-IE"/>
        </w:rPr>
        <w:t>in the manufacturing and internationally traded services sectors</w:t>
      </w:r>
      <w:r w:rsidR="00FE77C5" w:rsidRPr="00C73908">
        <w:rPr>
          <w:rFonts w:ascii="Times New Roman" w:hAnsi="Times New Roman" w:cs="Times New Roman"/>
          <w:lang w:val="en-IE"/>
        </w:rPr>
        <w:t xml:space="preserve"> (as specified in the Service Industries Order 20</w:t>
      </w:r>
      <w:r w:rsidR="00F677CF">
        <w:rPr>
          <w:rFonts w:ascii="Times New Roman" w:hAnsi="Times New Roman" w:cs="Times New Roman"/>
          <w:lang w:val="en-IE"/>
        </w:rPr>
        <w:t>10</w:t>
      </w:r>
      <w:r w:rsidR="000B3A54" w:rsidRPr="00C73908">
        <w:rPr>
          <w:rFonts w:ascii="Times New Roman" w:hAnsi="Times New Roman" w:cs="Times New Roman"/>
          <w:lang w:val="en-IE"/>
        </w:rPr>
        <w:t>)</w:t>
      </w:r>
      <w:r w:rsidR="007F5473" w:rsidRPr="00C73908">
        <w:rPr>
          <w:rFonts w:ascii="Times New Roman" w:hAnsi="Times New Roman" w:cs="Times New Roman"/>
          <w:lang w:val="en-IE"/>
        </w:rPr>
        <w:t xml:space="preserve"> with </w:t>
      </w:r>
      <w:r w:rsidR="00CC7B51" w:rsidRPr="00C73908">
        <w:rPr>
          <w:rFonts w:ascii="Times New Roman" w:hAnsi="Times New Roman" w:cs="Times New Roman"/>
          <w:lang w:val="en-IE"/>
        </w:rPr>
        <w:t>10 or more employees</w:t>
      </w:r>
      <w:r w:rsidR="00C60110" w:rsidRPr="00C73908">
        <w:rPr>
          <w:rFonts w:ascii="Times New Roman" w:hAnsi="Times New Roman" w:cs="Times New Roman"/>
          <w:lang w:val="en-IE"/>
        </w:rPr>
        <w:t>.</w:t>
      </w:r>
      <w:r w:rsidR="00580D28" w:rsidRPr="00C73908">
        <w:rPr>
          <w:rFonts w:ascii="Times New Roman" w:hAnsi="Times New Roman" w:cs="Times New Roman"/>
          <w:lang w:val="en-IE"/>
        </w:rPr>
        <w:t xml:space="preserve"> </w:t>
      </w:r>
      <w:r w:rsidR="00244356">
        <w:rPr>
          <w:rFonts w:ascii="Times New Roman" w:hAnsi="Times New Roman" w:cs="Times New Roman"/>
          <w:lang w:val="en-IE"/>
        </w:rPr>
        <w:t>T</w:t>
      </w:r>
      <w:r w:rsidR="009919D5" w:rsidRPr="00C73908">
        <w:rPr>
          <w:rFonts w:ascii="Times New Roman" w:hAnsi="Times New Roman" w:cs="Times New Roman"/>
          <w:lang w:val="en-IE"/>
        </w:rPr>
        <w:t>he</w:t>
      </w:r>
      <w:r w:rsidR="00BE1B9E" w:rsidRPr="00C73908">
        <w:rPr>
          <w:rFonts w:ascii="Times New Roman" w:hAnsi="Times New Roman" w:cs="Times New Roman"/>
          <w:lang w:val="en-IE"/>
        </w:rPr>
        <w:t xml:space="preserve"> client base also includes </w:t>
      </w:r>
      <w:r w:rsidR="00ED23B3" w:rsidRPr="00C73908">
        <w:rPr>
          <w:rFonts w:ascii="Times New Roman" w:hAnsi="Times New Roman" w:cs="Times New Roman"/>
          <w:lang w:val="en-IE"/>
        </w:rPr>
        <w:t xml:space="preserve">a </w:t>
      </w:r>
      <w:r w:rsidR="00546454" w:rsidRPr="00C73908">
        <w:rPr>
          <w:rFonts w:ascii="Times New Roman" w:hAnsi="Times New Roman" w:cs="Times New Roman"/>
          <w:lang w:val="en-IE"/>
        </w:rPr>
        <w:t xml:space="preserve">small </w:t>
      </w:r>
      <w:r w:rsidR="00ED23B3" w:rsidRPr="00C73908">
        <w:rPr>
          <w:rFonts w:ascii="Times New Roman" w:hAnsi="Times New Roman" w:cs="Times New Roman"/>
          <w:lang w:val="en-IE"/>
        </w:rPr>
        <w:t>cohort</w:t>
      </w:r>
      <w:r w:rsidR="00546454" w:rsidRPr="00C73908">
        <w:rPr>
          <w:rFonts w:ascii="Times New Roman" w:hAnsi="Times New Roman" w:cs="Times New Roman"/>
          <w:lang w:val="en-IE"/>
        </w:rPr>
        <w:t xml:space="preserve"> of</w:t>
      </w:r>
      <w:r w:rsidR="00BE1B9E" w:rsidRPr="00C73908">
        <w:rPr>
          <w:rFonts w:ascii="Times New Roman" w:hAnsi="Times New Roman" w:cs="Times New Roman"/>
          <w:lang w:val="en-IE"/>
        </w:rPr>
        <w:t xml:space="preserve"> domestically focused companies</w:t>
      </w:r>
      <w:r w:rsidR="00CC7B51" w:rsidRPr="00C73908">
        <w:rPr>
          <w:rFonts w:ascii="Times New Roman" w:hAnsi="Times New Roman" w:cs="Times New Roman"/>
          <w:lang w:val="en-IE"/>
        </w:rPr>
        <w:t xml:space="preserve"> with little or no exports</w:t>
      </w:r>
      <w:r w:rsidR="00BE1B9E" w:rsidRPr="00C73908">
        <w:rPr>
          <w:rFonts w:ascii="Times New Roman" w:hAnsi="Times New Roman" w:cs="Times New Roman"/>
          <w:lang w:val="en-IE"/>
        </w:rPr>
        <w:t xml:space="preserve"> </w:t>
      </w:r>
      <w:r w:rsidR="004F5467">
        <w:rPr>
          <w:rFonts w:ascii="Times New Roman" w:hAnsi="Times New Roman" w:cs="Times New Roman"/>
          <w:lang w:val="en-IE"/>
        </w:rPr>
        <w:t>as well as</w:t>
      </w:r>
      <w:r w:rsidR="001210E1" w:rsidRPr="00C73908">
        <w:rPr>
          <w:rFonts w:ascii="Times New Roman" w:hAnsi="Times New Roman" w:cs="Times New Roman"/>
          <w:lang w:val="en-IE"/>
        </w:rPr>
        <w:t xml:space="preserve"> High Potential Start Ups (HPSUs)</w:t>
      </w:r>
      <w:r w:rsidR="00713C61" w:rsidRPr="00C73908">
        <w:rPr>
          <w:rFonts w:ascii="Times New Roman" w:hAnsi="Times New Roman" w:cs="Times New Roman"/>
          <w:lang w:val="en-IE"/>
        </w:rPr>
        <w:t xml:space="preserve"> which have received funding from EI</w:t>
      </w:r>
      <w:r w:rsidR="001727A1">
        <w:rPr>
          <w:rFonts w:ascii="Times New Roman" w:hAnsi="Times New Roman" w:cs="Times New Roman"/>
          <w:lang w:val="en-IE"/>
        </w:rPr>
        <w:t xml:space="preserve">. HPSUs </w:t>
      </w:r>
      <w:r w:rsidR="0014446A" w:rsidRPr="00C73908">
        <w:rPr>
          <w:rFonts w:ascii="Times New Roman" w:hAnsi="Times New Roman" w:cs="Times New Roman"/>
          <w:lang w:val="en-IE"/>
        </w:rPr>
        <w:t xml:space="preserve">are defined as internationally focused companies </w:t>
      </w:r>
      <w:r w:rsidR="00C9237E" w:rsidRPr="00C73908">
        <w:rPr>
          <w:rFonts w:ascii="Times New Roman" w:hAnsi="Times New Roman" w:cs="Times New Roman"/>
          <w:lang w:val="en-IE"/>
        </w:rPr>
        <w:t xml:space="preserve">with </w:t>
      </w:r>
      <w:r w:rsidR="0014446A" w:rsidRPr="00C73908">
        <w:rPr>
          <w:rFonts w:ascii="Times New Roman" w:hAnsi="Times New Roman" w:cs="Times New Roman"/>
          <w:lang w:val="en-IE"/>
        </w:rPr>
        <w:t>the potential to employ at least 10 persons and to generate revenues of at least €1million</w:t>
      </w:r>
      <w:r w:rsidR="00003592" w:rsidRPr="00C73908">
        <w:rPr>
          <w:rFonts w:ascii="Times New Roman" w:hAnsi="Times New Roman" w:cs="Times New Roman"/>
          <w:lang w:val="en-IE"/>
        </w:rPr>
        <w:t xml:space="preserve"> within 3 years of receiving investment from EI</w:t>
      </w:r>
      <w:r w:rsidR="00A577DA" w:rsidRPr="00C73908">
        <w:rPr>
          <w:rFonts w:ascii="Times New Roman" w:hAnsi="Times New Roman" w:cs="Times New Roman"/>
          <w:lang w:val="en-IE"/>
        </w:rPr>
        <w:t>.</w:t>
      </w:r>
      <w:r w:rsidR="00336BBB" w:rsidRPr="00C73908">
        <w:rPr>
          <w:rFonts w:ascii="Times New Roman" w:hAnsi="Times New Roman" w:cs="Times New Roman"/>
          <w:lang w:val="en-IE"/>
        </w:rPr>
        <w:t xml:space="preserve"> </w:t>
      </w:r>
      <w:r w:rsidR="0011238E" w:rsidRPr="00C73908">
        <w:rPr>
          <w:rFonts w:ascii="Times New Roman" w:hAnsi="Times New Roman" w:cs="Times New Roman"/>
          <w:lang w:val="en-IE"/>
        </w:rPr>
        <w:t>The ABR survey collects compan</w:t>
      </w:r>
      <w:r w:rsidR="0061698E" w:rsidRPr="00C73908">
        <w:rPr>
          <w:rFonts w:ascii="Times New Roman" w:hAnsi="Times New Roman" w:cs="Times New Roman"/>
          <w:lang w:val="en-IE"/>
        </w:rPr>
        <w:t xml:space="preserve">y </w:t>
      </w:r>
      <w:r w:rsidR="00A821F3" w:rsidRPr="00C73908">
        <w:rPr>
          <w:rFonts w:ascii="Times New Roman" w:hAnsi="Times New Roman" w:cs="Times New Roman"/>
          <w:lang w:val="en-IE"/>
        </w:rPr>
        <w:t>information</w:t>
      </w:r>
      <w:r w:rsidR="0061698E" w:rsidRPr="00C73908">
        <w:rPr>
          <w:rFonts w:ascii="Times New Roman" w:hAnsi="Times New Roman" w:cs="Times New Roman"/>
          <w:lang w:val="en-IE"/>
        </w:rPr>
        <w:t xml:space="preserve"> </w:t>
      </w:r>
      <w:r w:rsidR="00CA6713" w:rsidRPr="00C73908">
        <w:rPr>
          <w:rFonts w:ascii="Times New Roman" w:hAnsi="Times New Roman" w:cs="Times New Roman"/>
          <w:lang w:val="en-IE"/>
        </w:rPr>
        <w:t xml:space="preserve">such as </w:t>
      </w:r>
      <w:r w:rsidR="0011238E" w:rsidRPr="00C73908">
        <w:rPr>
          <w:rFonts w:ascii="Times New Roman" w:hAnsi="Times New Roman" w:cs="Times New Roman"/>
          <w:lang w:val="en-IE"/>
        </w:rPr>
        <w:t>sales, exports</w:t>
      </w:r>
      <w:r w:rsidR="00E7771F" w:rsidRPr="00C73908">
        <w:rPr>
          <w:rFonts w:ascii="Times New Roman" w:hAnsi="Times New Roman" w:cs="Times New Roman"/>
          <w:lang w:val="en-IE"/>
        </w:rPr>
        <w:t xml:space="preserve"> and</w:t>
      </w:r>
      <w:r w:rsidR="0011238E" w:rsidRPr="00C73908">
        <w:rPr>
          <w:rFonts w:ascii="Times New Roman" w:hAnsi="Times New Roman" w:cs="Times New Roman"/>
          <w:lang w:val="en-IE"/>
        </w:rPr>
        <w:t xml:space="preserve"> employment</w:t>
      </w:r>
      <w:r w:rsidR="00E7771F" w:rsidRPr="00C73908">
        <w:rPr>
          <w:rFonts w:ascii="Times New Roman" w:hAnsi="Times New Roman" w:cs="Times New Roman"/>
          <w:lang w:val="en-IE"/>
        </w:rPr>
        <w:t xml:space="preserve"> including detailed, market-level </w:t>
      </w:r>
      <w:r w:rsidR="00905AFF" w:rsidRPr="00C73908">
        <w:rPr>
          <w:rFonts w:ascii="Times New Roman" w:hAnsi="Times New Roman" w:cs="Times New Roman"/>
          <w:lang w:val="en-IE"/>
        </w:rPr>
        <w:lastRenderedPageBreak/>
        <w:t xml:space="preserve">export </w:t>
      </w:r>
      <w:r w:rsidR="00E7771F" w:rsidRPr="00C73908">
        <w:rPr>
          <w:rFonts w:ascii="Times New Roman" w:hAnsi="Times New Roman" w:cs="Times New Roman"/>
          <w:lang w:val="en-IE"/>
        </w:rPr>
        <w:t>data</w:t>
      </w:r>
      <w:r w:rsidR="00905AFF" w:rsidRPr="00C73908">
        <w:rPr>
          <w:rFonts w:ascii="Times New Roman" w:hAnsi="Times New Roman" w:cs="Times New Roman"/>
          <w:lang w:val="en-IE"/>
        </w:rPr>
        <w:t>.</w:t>
      </w:r>
      <w:r w:rsidR="00E7771F" w:rsidRPr="00C73908">
        <w:rPr>
          <w:rFonts w:ascii="Times New Roman" w:hAnsi="Times New Roman" w:cs="Times New Roman"/>
          <w:lang w:val="en-IE"/>
        </w:rPr>
        <w:t xml:space="preserve"> </w:t>
      </w:r>
      <w:r w:rsidR="00681493" w:rsidRPr="00C73908">
        <w:rPr>
          <w:rFonts w:ascii="Times New Roman" w:hAnsi="Times New Roman" w:cs="Times New Roman"/>
          <w:lang w:val="en-IE"/>
        </w:rPr>
        <w:t>It</w:t>
      </w:r>
      <w:r w:rsidR="00905AFF" w:rsidRPr="00C73908">
        <w:rPr>
          <w:rFonts w:ascii="Times New Roman" w:hAnsi="Times New Roman" w:cs="Times New Roman"/>
          <w:lang w:val="en-IE"/>
        </w:rPr>
        <w:t xml:space="preserve"> also provides data on </w:t>
      </w:r>
      <w:r w:rsidR="0010673E" w:rsidRPr="00C73908">
        <w:rPr>
          <w:rFonts w:ascii="Times New Roman" w:hAnsi="Times New Roman" w:cs="Times New Roman"/>
          <w:lang w:val="en-IE"/>
        </w:rPr>
        <w:t>compan</w:t>
      </w:r>
      <w:r w:rsidR="00003592" w:rsidRPr="00C73908">
        <w:rPr>
          <w:rFonts w:ascii="Times New Roman" w:hAnsi="Times New Roman" w:cs="Times New Roman"/>
          <w:lang w:val="en-IE"/>
        </w:rPr>
        <w:t>ies’</w:t>
      </w:r>
      <w:r w:rsidR="0010673E" w:rsidRPr="00C73908">
        <w:rPr>
          <w:rFonts w:ascii="Times New Roman" w:hAnsi="Times New Roman" w:cs="Times New Roman"/>
          <w:lang w:val="en-IE"/>
        </w:rPr>
        <w:t xml:space="preserve"> innovation </w:t>
      </w:r>
      <w:r w:rsidR="009B36EB" w:rsidRPr="00C73908">
        <w:rPr>
          <w:rFonts w:ascii="Times New Roman" w:hAnsi="Times New Roman" w:cs="Times New Roman"/>
          <w:lang w:val="en-IE"/>
        </w:rPr>
        <w:t>activities</w:t>
      </w:r>
      <w:r w:rsidR="000F7ABD" w:rsidRPr="00C73908">
        <w:rPr>
          <w:rFonts w:ascii="Times New Roman" w:hAnsi="Times New Roman" w:cs="Times New Roman"/>
          <w:lang w:val="en-IE"/>
        </w:rPr>
        <w:t xml:space="preserve"> such as R&amp;D expenditure and R&amp;D employment</w:t>
      </w:r>
      <w:r w:rsidR="0010673E" w:rsidRPr="00C73908">
        <w:rPr>
          <w:rFonts w:ascii="Times New Roman" w:hAnsi="Times New Roman" w:cs="Times New Roman"/>
          <w:lang w:val="en-IE"/>
        </w:rPr>
        <w:t xml:space="preserve"> </w:t>
      </w:r>
      <w:r w:rsidR="003C301F" w:rsidRPr="00C73908">
        <w:rPr>
          <w:rFonts w:ascii="Times New Roman" w:hAnsi="Times New Roman" w:cs="Times New Roman"/>
          <w:lang w:val="en-IE"/>
        </w:rPr>
        <w:t xml:space="preserve">as well as data on different types of </w:t>
      </w:r>
      <w:r w:rsidR="0010673E" w:rsidRPr="00C73908">
        <w:rPr>
          <w:rFonts w:ascii="Times New Roman" w:hAnsi="Times New Roman" w:cs="Times New Roman"/>
          <w:lang w:val="en-IE"/>
        </w:rPr>
        <w:t>expenditure</w:t>
      </w:r>
      <w:r w:rsidR="00A116B2" w:rsidRPr="00C73908">
        <w:rPr>
          <w:rFonts w:ascii="Times New Roman" w:hAnsi="Times New Roman" w:cs="Times New Roman"/>
          <w:lang w:val="en-IE"/>
        </w:rPr>
        <w:t xml:space="preserve"> such as payroll and materials costs</w:t>
      </w:r>
      <w:r w:rsidR="00406CA6" w:rsidRPr="00C73908">
        <w:rPr>
          <w:rFonts w:ascii="Times New Roman" w:hAnsi="Times New Roman" w:cs="Times New Roman"/>
          <w:lang w:val="en-IE"/>
        </w:rPr>
        <w:t>.</w:t>
      </w:r>
    </w:p>
    <w:p w14:paraId="7DD00E3A" w14:textId="1805BA52" w:rsidR="00E75E81" w:rsidRPr="00C73908" w:rsidRDefault="00E75E81"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In addition to the ABR survey</w:t>
      </w:r>
      <w:r w:rsidR="00F83002" w:rsidRPr="00C73908">
        <w:rPr>
          <w:rFonts w:ascii="Times New Roman" w:hAnsi="Times New Roman" w:cs="Times New Roman"/>
          <w:lang w:val="en-IE"/>
        </w:rPr>
        <w:t xml:space="preserve">, </w:t>
      </w:r>
      <w:r w:rsidR="00F24698" w:rsidRPr="00C73908">
        <w:rPr>
          <w:rFonts w:ascii="Times New Roman" w:hAnsi="Times New Roman" w:cs="Times New Roman"/>
          <w:lang w:val="en-IE"/>
        </w:rPr>
        <w:t xml:space="preserve">Enterprise Ireland </w:t>
      </w:r>
      <w:r w:rsidR="00145C23" w:rsidRPr="00C73908">
        <w:rPr>
          <w:rFonts w:ascii="Times New Roman" w:hAnsi="Times New Roman" w:cs="Times New Roman"/>
          <w:lang w:val="en-IE"/>
        </w:rPr>
        <w:t>maintains</w:t>
      </w:r>
      <w:r w:rsidR="00F24698" w:rsidRPr="00C73908">
        <w:rPr>
          <w:rFonts w:ascii="Times New Roman" w:hAnsi="Times New Roman" w:cs="Times New Roman"/>
          <w:lang w:val="en-IE"/>
        </w:rPr>
        <w:t xml:space="preserve"> a database with</w:t>
      </w:r>
      <w:r w:rsidR="00C4538D">
        <w:rPr>
          <w:rFonts w:ascii="Times New Roman" w:hAnsi="Times New Roman" w:cs="Times New Roman"/>
          <w:lang w:val="en-IE"/>
        </w:rPr>
        <w:t xml:space="preserve"> </w:t>
      </w:r>
      <w:r w:rsidR="00F24698" w:rsidRPr="00C73908">
        <w:rPr>
          <w:rFonts w:ascii="Times New Roman" w:hAnsi="Times New Roman" w:cs="Times New Roman"/>
          <w:lang w:val="en-IE"/>
        </w:rPr>
        <w:t>record</w:t>
      </w:r>
      <w:r w:rsidR="00C4538D">
        <w:rPr>
          <w:rFonts w:ascii="Times New Roman" w:hAnsi="Times New Roman" w:cs="Times New Roman"/>
          <w:lang w:val="en-IE"/>
        </w:rPr>
        <w:t>s</w:t>
      </w:r>
      <w:r w:rsidR="00F24698" w:rsidRPr="00C73908">
        <w:rPr>
          <w:rFonts w:ascii="Times New Roman" w:hAnsi="Times New Roman" w:cs="Times New Roman"/>
          <w:lang w:val="en-IE"/>
        </w:rPr>
        <w:t xml:space="preserve"> </w:t>
      </w:r>
      <w:r w:rsidR="000719AA" w:rsidRPr="00C73908">
        <w:rPr>
          <w:rFonts w:ascii="Times New Roman" w:hAnsi="Times New Roman" w:cs="Times New Roman"/>
          <w:lang w:val="en-IE"/>
        </w:rPr>
        <w:t>of all funding provided to client companies</w:t>
      </w:r>
      <w:r w:rsidR="00CB4A04" w:rsidRPr="00C73908">
        <w:rPr>
          <w:rFonts w:ascii="Times New Roman" w:hAnsi="Times New Roman" w:cs="Times New Roman"/>
          <w:lang w:val="en-IE"/>
        </w:rPr>
        <w:t xml:space="preserve"> since the agency’s foundation in 19</w:t>
      </w:r>
      <w:r w:rsidR="00DD6CE0" w:rsidRPr="00C73908">
        <w:rPr>
          <w:rFonts w:ascii="Times New Roman" w:hAnsi="Times New Roman" w:cs="Times New Roman"/>
          <w:lang w:val="en-IE"/>
        </w:rPr>
        <w:t>98</w:t>
      </w:r>
      <w:r w:rsidR="0033059A" w:rsidRPr="00C73908">
        <w:rPr>
          <w:rFonts w:ascii="Times New Roman" w:hAnsi="Times New Roman" w:cs="Times New Roman"/>
          <w:lang w:val="en-IE"/>
        </w:rPr>
        <w:t>.</w:t>
      </w:r>
      <w:r w:rsidR="009C40C1" w:rsidRPr="00C73908">
        <w:rPr>
          <w:rFonts w:ascii="Times New Roman" w:hAnsi="Times New Roman" w:cs="Times New Roman"/>
          <w:lang w:val="en-IE"/>
        </w:rPr>
        <w:t xml:space="preserve"> This includes </w:t>
      </w:r>
      <w:r w:rsidR="009E44BA" w:rsidRPr="00C73908">
        <w:rPr>
          <w:rFonts w:ascii="Times New Roman" w:hAnsi="Times New Roman" w:cs="Times New Roman"/>
          <w:lang w:val="en-IE"/>
        </w:rPr>
        <w:t>support</w:t>
      </w:r>
      <w:r w:rsidR="009C40C1" w:rsidRPr="00C73908">
        <w:rPr>
          <w:rFonts w:ascii="Times New Roman" w:hAnsi="Times New Roman" w:cs="Times New Roman"/>
          <w:lang w:val="en-IE"/>
        </w:rPr>
        <w:t xml:space="preserve"> for</w:t>
      </w:r>
      <w:r w:rsidR="003E5146" w:rsidRPr="00C73908">
        <w:rPr>
          <w:rFonts w:ascii="Times New Roman" w:hAnsi="Times New Roman" w:cs="Times New Roman"/>
          <w:lang w:val="en-IE"/>
        </w:rPr>
        <w:t xml:space="preserve"> various </w:t>
      </w:r>
      <w:r w:rsidR="009E44BA" w:rsidRPr="00C73908">
        <w:rPr>
          <w:rFonts w:ascii="Times New Roman" w:hAnsi="Times New Roman" w:cs="Times New Roman"/>
          <w:lang w:val="en-IE"/>
        </w:rPr>
        <w:t xml:space="preserve">types of </w:t>
      </w:r>
      <w:r w:rsidR="003E5146" w:rsidRPr="00C73908">
        <w:rPr>
          <w:rFonts w:ascii="Times New Roman" w:hAnsi="Times New Roman" w:cs="Times New Roman"/>
          <w:lang w:val="en-IE"/>
        </w:rPr>
        <w:t>activities</w:t>
      </w:r>
      <w:r w:rsidR="00CE722E" w:rsidRPr="00C73908">
        <w:rPr>
          <w:rFonts w:ascii="Times New Roman" w:hAnsi="Times New Roman" w:cs="Times New Roman"/>
          <w:lang w:val="en-IE"/>
        </w:rPr>
        <w:t>/investments</w:t>
      </w:r>
      <w:r w:rsidR="003E5146" w:rsidRPr="00C73908">
        <w:rPr>
          <w:rFonts w:ascii="Times New Roman" w:hAnsi="Times New Roman" w:cs="Times New Roman"/>
          <w:lang w:val="en-IE"/>
        </w:rPr>
        <w:t xml:space="preserve"> including market research, </w:t>
      </w:r>
      <w:r w:rsidR="006A2541" w:rsidRPr="00C73908">
        <w:rPr>
          <w:rFonts w:ascii="Times New Roman" w:hAnsi="Times New Roman" w:cs="Times New Roman"/>
          <w:lang w:val="en-IE"/>
        </w:rPr>
        <w:t>p</w:t>
      </w:r>
      <w:r w:rsidR="00D14BB6" w:rsidRPr="00C73908">
        <w:rPr>
          <w:rFonts w:ascii="Times New Roman" w:hAnsi="Times New Roman" w:cs="Times New Roman"/>
          <w:lang w:val="en-IE"/>
        </w:rPr>
        <w:t xml:space="preserve">rojects to enhance productivity </w:t>
      </w:r>
      <w:r w:rsidR="003E5146" w:rsidRPr="00C73908">
        <w:rPr>
          <w:rFonts w:ascii="Times New Roman" w:hAnsi="Times New Roman" w:cs="Times New Roman"/>
          <w:lang w:val="en-IE"/>
        </w:rPr>
        <w:t xml:space="preserve">and </w:t>
      </w:r>
      <w:r w:rsidR="00C33545" w:rsidRPr="00C73908">
        <w:rPr>
          <w:rFonts w:ascii="Times New Roman" w:hAnsi="Times New Roman" w:cs="Times New Roman"/>
          <w:lang w:val="en-IE"/>
        </w:rPr>
        <w:t xml:space="preserve">funding for </w:t>
      </w:r>
      <w:r w:rsidR="001C3318" w:rsidRPr="00C73908">
        <w:rPr>
          <w:rFonts w:ascii="Times New Roman" w:hAnsi="Times New Roman" w:cs="Times New Roman"/>
          <w:lang w:val="en-IE"/>
        </w:rPr>
        <w:t>r</w:t>
      </w:r>
      <w:r w:rsidR="00D14BB6" w:rsidRPr="00C73908">
        <w:rPr>
          <w:rFonts w:ascii="Times New Roman" w:hAnsi="Times New Roman" w:cs="Times New Roman"/>
          <w:lang w:val="en-IE"/>
        </w:rPr>
        <w:t xml:space="preserve">esearch </w:t>
      </w:r>
      <w:r w:rsidR="006A2541" w:rsidRPr="00C73908">
        <w:rPr>
          <w:rFonts w:ascii="Times New Roman" w:hAnsi="Times New Roman" w:cs="Times New Roman"/>
          <w:lang w:val="en-IE"/>
        </w:rPr>
        <w:t>&amp;</w:t>
      </w:r>
      <w:r w:rsidR="00D14BB6" w:rsidRPr="00C73908">
        <w:rPr>
          <w:rFonts w:ascii="Times New Roman" w:hAnsi="Times New Roman" w:cs="Times New Roman"/>
          <w:lang w:val="en-IE"/>
        </w:rPr>
        <w:t xml:space="preserve"> </w:t>
      </w:r>
      <w:r w:rsidR="001C3318" w:rsidRPr="00C73908">
        <w:rPr>
          <w:rFonts w:ascii="Times New Roman" w:hAnsi="Times New Roman" w:cs="Times New Roman"/>
          <w:lang w:val="en-IE"/>
        </w:rPr>
        <w:t>d</w:t>
      </w:r>
      <w:r w:rsidR="00D14BB6" w:rsidRPr="00C73908">
        <w:rPr>
          <w:rFonts w:ascii="Times New Roman" w:hAnsi="Times New Roman" w:cs="Times New Roman"/>
          <w:lang w:val="en-IE"/>
        </w:rPr>
        <w:t>evelopment</w:t>
      </w:r>
      <w:r w:rsidR="006A2541" w:rsidRPr="00C73908">
        <w:rPr>
          <w:rFonts w:ascii="Times New Roman" w:hAnsi="Times New Roman" w:cs="Times New Roman"/>
          <w:lang w:val="en-IE"/>
        </w:rPr>
        <w:t>.</w:t>
      </w:r>
      <w:r w:rsidR="0033059A" w:rsidRPr="00C73908">
        <w:rPr>
          <w:rFonts w:ascii="Times New Roman" w:hAnsi="Times New Roman" w:cs="Times New Roman"/>
          <w:lang w:val="en-IE"/>
        </w:rPr>
        <w:t xml:space="preserve"> </w:t>
      </w:r>
      <w:r w:rsidR="006A2541" w:rsidRPr="00C73908">
        <w:rPr>
          <w:rFonts w:ascii="Times New Roman" w:hAnsi="Times New Roman" w:cs="Times New Roman"/>
          <w:lang w:val="en-IE"/>
        </w:rPr>
        <w:t>The database</w:t>
      </w:r>
      <w:r w:rsidR="00CE722E" w:rsidRPr="00C73908">
        <w:rPr>
          <w:rFonts w:ascii="Times New Roman" w:hAnsi="Times New Roman" w:cs="Times New Roman"/>
          <w:lang w:val="en-IE"/>
        </w:rPr>
        <w:t xml:space="preserve"> provides d</w:t>
      </w:r>
      <w:r w:rsidR="0033059A" w:rsidRPr="00C73908">
        <w:rPr>
          <w:rFonts w:ascii="Times New Roman" w:hAnsi="Times New Roman" w:cs="Times New Roman"/>
          <w:lang w:val="en-IE"/>
        </w:rPr>
        <w:t>etails on the purpose of the funding, the type of grant provided</w:t>
      </w:r>
      <w:r w:rsidR="00226B53" w:rsidRPr="00C73908">
        <w:rPr>
          <w:rFonts w:ascii="Times New Roman" w:hAnsi="Times New Roman" w:cs="Times New Roman"/>
          <w:lang w:val="en-IE"/>
        </w:rPr>
        <w:t xml:space="preserve"> and the amount of funding which was approved, paid out and cancelled. </w:t>
      </w:r>
      <w:r w:rsidR="00822079" w:rsidRPr="00C73908">
        <w:rPr>
          <w:rFonts w:ascii="Times New Roman" w:hAnsi="Times New Roman" w:cs="Times New Roman"/>
          <w:lang w:val="en-IE"/>
        </w:rPr>
        <w:t xml:space="preserve">This allows the </w:t>
      </w:r>
      <w:r w:rsidR="00B265AD" w:rsidRPr="00C73908">
        <w:rPr>
          <w:rFonts w:ascii="Times New Roman" w:hAnsi="Times New Roman" w:cs="Times New Roman"/>
          <w:lang w:val="en-IE"/>
        </w:rPr>
        <w:t>wide</w:t>
      </w:r>
      <w:r w:rsidR="00822079" w:rsidRPr="00C73908">
        <w:rPr>
          <w:rFonts w:ascii="Times New Roman" w:hAnsi="Times New Roman" w:cs="Times New Roman"/>
          <w:lang w:val="en-IE"/>
        </w:rPr>
        <w:t xml:space="preserve"> range of funding supports offered by EI to be grouped under </w:t>
      </w:r>
      <w:r w:rsidR="00B265AD" w:rsidRPr="00C73908">
        <w:rPr>
          <w:rFonts w:ascii="Times New Roman" w:hAnsi="Times New Roman" w:cs="Times New Roman"/>
          <w:lang w:val="en-IE"/>
        </w:rPr>
        <w:t>broad thematic headings.</w:t>
      </w:r>
    </w:p>
    <w:p w14:paraId="2918426C" w14:textId="0B5C7A2F" w:rsidR="000D1C5D" w:rsidRPr="00C73908" w:rsidRDefault="00681493"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 xml:space="preserve">The </w:t>
      </w:r>
      <w:r w:rsidR="00A92E09" w:rsidRPr="00C73908">
        <w:rPr>
          <w:rFonts w:ascii="Times New Roman" w:hAnsi="Times New Roman" w:cs="Times New Roman"/>
          <w:lang w:val="en-IE"/>
        </w:rPr>
        <w:t xml:space="preserve">sample used </w:t>
      </w:r>
      <w:r w:rsidR="000809D5" w:rsidRPr="00C73908">
        <w:rPr>
          <w:rFonts w:ascii="Times New Roman" w:hAnsi="Times New Roman" w:cs="Times New Roman"/>
          <w:lang w:val="en-IE"/>
        </w:rPr>
        <w:t>in the econometric</w:t>
      </w:r>
      <w:r w:rsidR="00A92E09" w:rsidRPr="00C73908">
        <w:rPr>
          <w:rFonts w:ascii="Times New Roman" w:hAnsi="Times New Roman" w:cs="Times New Roman"/>
          <w:lang w:val="en-IE"/>
        </w:rPr>
        <w:t xml:space="preserve"> analysis </w:t>
      </w:r>
      <w:r w:rsidR="00F11444" w:rsidRPr="00C73908">
        <w:rPr>
          <w:rFonts w:ascii="Times New Roman" w:hAnsi="Times New Roman" w:cs="Times New Roman"/>
          <w:lang w:val="en-IE"/>
        </w:rPr>
        <w:t>consists of</w:t>
      </w:r>
      <w:r w:rsidR="00A92E09" w:rsidRPr="00C73908">
        <w:rPr>
          <w:rFonts w:ascii="Times New Roman" w:hAnsi="Times New Roman" w:cs="Times New Roman"/>
          <w:lang w:val="en-IE"/>
        </w:rPr>
        <w:t xml:space="preserve"> </w:t>
      </w:r>
      <w:r w:rsidR="00B93037" w:rsidRPr="00C73908">
        <w:rPr>
          <w:rFonts w:ascii="Times New Roman" w:hAnsi="Times New Roman" w:cs="Times New Roman"/>
          <w:lang w:val="en-IE"/>
        </w:rPr>
        <w:t xml:space="preserve">an unbalanced </w:t>
      </w:r>
      <w:r w:rsidR="00F11444" w:rsidRPr="00C73908">
        <w:rPr>
          <w:rFonts w:ascii="Times New Roman" w:hAnsi="Times New Roman" w:cs="Times New Roman"/>
          <w:lang w:val="en-IE"/>
        </w:rPr>
        <w:t>panel</w:t>
      </w:r>
      <w:r w:rsidR="00A92E09" w:rsidRPr="00C73908">
        <w:rPr>
          <w:rFonts w:ascii="Times New Roman" w:hAnsi="Times New Roman" w:cs="Times New Roman"/>
          <w:lang w:val="en-IE"/>
        </w:rPr>
        <w:t xml:space="preserve"> of</w:t>
      </w:r>
      <w:r w:rsidR="00E86085" w:rsidRPr="00C73908">
        <w:rPr>
          <w:rFonts w:ascii="Times New Roman" w:hAnsi="Times New Roman" w:cs="Times New Roman"/>
          <w:lang w:val="en-IE"/>
        </w:rPr>
        <w:t xml:space="preserve"> </w:t>
      </w:r>
      <w:r w:rsidR="00B93037" w:rsidRPr="00C73908">
        <w:rPr>
          <w:rFonts w:ascii="Times New Roman" w:hAnsi="Times New Roman" w:cs="Times New Roman"/>
          <w:lang w:val="en-IE"/>
        </w:rPr>
        <w:t>2,</w:t>
      </w:r>
      <w:r w:rsidR="009E7217" w:rsidRPr="00C73908">
        <w:rPr>
          <w:rFonts w:ascii="Times New Roman" w:hAnsi="Times New Roman" w:cs="Times New Roman"/>
          <w:lang w:val="en-IE"/>
        </w:rPr>
        <w:t>780</w:t>
      </w:r>
      <w:r w:rsidR="00076593" w:rsidRPr="00C73908">
        <w:rPr>
          <w:rFonts w:ascii="Times New Roman" w:hAnsi="Times New Roman" w:cs="Times New Roman"/>
          <w:lang w:val="en-IE"/>
        </w:rPr>
        <w:t xml:space="preserve"> companies </w:t>
      </w:r>
      <w:r w:rsidR="003A2F69" w:rsidRPr="00C73908">
        <w:rPr>
          <w:rFonts w:ascii="Times New Roman" w:hAnsi="Times New Roman" w:cs="Times New Roman"/>
          <w:lang w:val="en-IE"/>
        </w:rPr>
        <w:t>with data from 20</w:t>
      </w:r>
      <w:r w:rsidR="001F7CC7" w:rsidRPr="00C73908">
        <w:rPr>
          <w:rFonts w:ascii="Times New Roman" w:hAnsi="Times New Roman" w:cs="Times New Roman"/>
          <w:lang w:val="en-IE"/>
        </w:rPr>
        <w:t>10</w:t>
      </w:r>
      <w:r w:rsidR="003A2F69" w:rsidRPr="00C73908">
        <w:rPr>
          <w:rFonts w:ascii="Times New Roman" w:hAnsi="Times New Roman" w:cs="Times New Roman"/>
          <w:lang w:val="en-IE"/>
        </w:rPr>
        <w:t xml:space="preserve"> </w:t>
      </w:r>
      <w:r w:rsidR="00F11444" w:rsidRPr="00C73908">
        <w:rPr>
          <w:rFonts w:ascii="Times New Roman" w:hAnsi="Times New Roman" w:cs="Times New Roman"/>
          <w:lang w:val="en-IE"/>
        </w:rPr>
        <w:t xml:space="preserve">up </w:t>
      </w:r>
      <w:r w:rsidR="003A2F69" w:rsidRPr="00C73908">
        <w:rPr>
          <w:rFonts w:ascii="Times New Roman" w:hAnsi="Times New Roman" w:cs="Times New Roman"/>
          <w:lang w:val="en-IE"/>
        </w:rPr>
        <w:t>to 2019</w:t>
      </w:r>
      <w:r w:rsidR="009606CD" w:rsidRPr="00C73908">
        <w:rPr>
          <w:rFonts w:ascii="Times New Roman" w:hAnsi="Times New Roman" w:cs="Times New Roman"/>
          <w:lang w:val="en-IE"/>
        </w:rPr>
        <w:t>.</w:t>
      </w:r>
      <w:r w:rsidR="00AB405A" w:rsidRPr="00C73908">
        <w:rPr>
          <w:rFonts w:ascii="Times New Roman" w:hAnsi="Times New Roman" w:cs="Times New Roman"/>
          <w:lang w:val="en-IE"/>
        </w:rPr>
        <w:t xml:space="preserve"> </w:t>
      </w:r>
      <w:r w:rsidR="00FE6DC6" w:rsidRPr="00C73908">
        <w:rPr>
          <w:rFonts w:ascii="Times New Roman" w:hAnsi="Times New Roman" w:cs="Times New Roman"/>
          <w:lang w:val="en-IE"/>
        </w:rPr>
        <w:t xml:space="preserve">On average, companies in the dataset have responded to the ABR survey in </w:t>
      </w:r>
      <w:r w:rsidR="00244356">
        <w:rPr>
          <w:rFonts w:ascii="Times New Roman" w:hAnsi="Times New Roman" w:cs="Times New Roman"/>
          <w:lang w:val="en-IE"/>
        </w:rPr>
        <w:t>7</w:t>
      </w:r>
      <w:r w:rsidR="00157844" w:rsidRPr="00C73908">
        <w:rPr>
          <w:rFonts w:ascii="Times New Roman" w:hAnsi="Times New Roman" w:cs="Times New Roman"/>
          <w:lang w:val="en-IE"/>
        </w:rPr>
        <w:t xml:space="preserve"> of the last 1</w:t>
      </w:r>
      <w:r w:rsidR="00202CED" w:rsidRPr="00C73908">
        <w:rPr>
          <w:rFonts w:ascii="Times New Roman" w:hAnsi="Times New Roman" w:cs="Times New Roman"/>
          <w:lang w:val="en-IE"/>
        </w:rPr>
        <w:t>0</w:t>
      </w:r>
      <w:r w:rsidR="00157844" w:rsidRPr="00C73908">
        <w:rPr>
          <w:rFonts w:ascii="Times New Roman" w:hAnsi="Times New Roman" w:cs="Times New Roman"/>
          <w:lang w:val="en-IE"/>
        </w:rPr>
        <w:t xml:space="preserve"> years</w:t>
      </w:r>
      <w:r w:rsidR="00491089" w:rsidRPr="00C73908">
        <w:rPr>
          <w:rFonts w:ascii="Times New Roman" w:hAnsi="Times New Roman" w:cs="Times New Roman"/>
          <w:lang w:val="en-IE"/>
        </w:rPr>
        <w:t xml:space="preserve">. </w:t>
      </w:r>
      <w:r w:rsidR="00F532FE" w:rsidRPr="00C73908">
        <w:rPr>
          <w:rFonts w:ascii="Times New Roman" w:hAnsi="Times New Roman" w:cs="Times New Roman"/>
          <w:lang w:val="en-IE"/>
        </w:rPr>
        <w:t>Th</w:t>
      </w:r>
      <w:r w:rsidR="005A7FD7" w:rsidRPr="00C73908">
        <w:rPr>
          <w:rFonts w:ascii="Times New Roman" w:hAnsi="Times New Roman" w:cs="Times New Roman"/>
          <w:lang w:val="en-IE"/>
        </w:rPr>
        <w:t>ere is, therefore, a</w:t>
      </w:r>
      <w:r w:rsidR="00F532FE" w:rsidRPr="00C73908">
        <w:rPr>
          <w:rFonts w:ascii="Times New Roman" w:hAnsi="Times New Roman" w:cs="Times New Roman"/>
          <w:lang w:val="en-IE"/>
        </w:rPr>
        <w:t xml:space="preserve"> level of attrition </w:t>
      </w:r>
      <w:r w:rsidR="007C5434" w:rsidRPr="00C73908">
        <w:rPr>
          <w:rFonts w:ascii="Times New Roman" w:hAnsi="Times New Roman" w:cs="Times New Roman"/>
          <w:lang w:val="en-IE"/>
        </w:rPr>
        <w:t xml:space="preserve">which causes companies to </w:t>
      </w:r>
      <w:r w:rsidR="00F35970" w:rsidRPr="00C73908">
        <w:rPr>
          <w:rFonts w:ascii="Times New Roman" w:hAnsi="Times New Roman" w:cs="Times New Roman"/>
          <w:lang w:val="en-IE"/>
        </w:rPr>
        <w:t xml:space="preserve">stop reporting or </w:t>
      </w:r>
      <w:r w:rsidR="007C5434" w:rsidRPr="00C73908">
        <w:rPr>
          <w:rFonts w:ascii="Times New Roman" w:hAnsi="Times New Roman" w:cs="Times New Roman"/>
          <w:lang w:val="en-IE"/>
        </w:rPr>
        <w:t xml:space="preserve">drop out </w:t>
      </w:r>
      <w:r w:rsidR="00F35970" w:rsidRPr="00C73908">
        <w:rPr>
          <w:rFonts w:ascii="Times New Roman" w:hAnsi="Times New Roman" w:cs="Times New Roman"/>
          <w:lang w:val="en-IE"/>
        </w:rPr>
        <w:t>of the survey population from year to year</w:t>
      </w:r>
      <w:r w:rsidR="00EC510A" w:rsidRPr="00C73908">
        <w:rPr>
          <w:rFonts w:ascii="Times New Roman" w:hAnsi="Times New Roman" w:cs="Times New Roman"/>
          <w:lang w:val="en-IE"/>
        </w:rPr>
        <w:t>.</w:t>
      </w:r>
      <w:r w:rsidR="00F35970" w:rsidRPr="00C73908">
        <w:rPr>
          <w:rFonts w:ascii="Times New Roman" w:hAnsi="Times New Roman" w:cs="Times New Roman"/>
          <w:lang w:val="en-IE"/>
        </w:rPr>
        <w:t xml:space="preserve"> </w:t>
      </w:r>
      <w:r w:rsidR="009F2BB1" w:rsidRPr="00C73908">
        <w:rPr>
          <w:rFonts w:ascii="Times New Roman" w:hAnsi="Times New Roman" w:cs="Times New Roman"/>
          <w:lang w:val="en-IE"/>
        </w:rPr>
        <w:t xml:space="preserve">This is largely due to </w:t>
      </w:r>
      <w:r w:rsidR="00017F8E" w:rsidRPr="00C73908">
        <w:rPr>
          <w:rFonts w:ascii="Times New Roman" w:hAnsi="Times New Roman" w:cs="Times New Roman"/>
          <w:lang w:val="en-IE"/>
        </w:rPr>
        <w:t xml:space="preserve">the fact that the average </w:t>
      </w:r>
      <w:r w:rsidR="003E499C" w:rsidRPr="00C73908">
        <w:rPr>
          <w:rFonts w:ascii="Times New Roman" w:hAnsi="Times New Roman" w:cs="Times New Roman"/>
          <w:lang w:val="en-IE"/>
        </w:rPr>
        <w:t>response</w:t>
      </w:r>
      <w:r w:rsidR="00017F8E" w:rsidRPr="00C73908">
        <w:rPr>
          <w:rFonts w:ascii="Times New Roman" w:hAnsi="Times New Roman" w:cs="Times New Roman"/>
          <w:lang w:val="en-IE"/>
        </w:rPr>
        <w:t xml:space="preserve"> rate </w:t>
      </w:r>
      <w:r w:rsidR="003E499C" w:rsidRPr="00C73908">
        <w:rPr>
          <w:rFonts w:ascii="Times New Roman" w:hAnsi="Times New Roman" w:cs="Times New Roman"/>
          <w:lang w:val="en-IE"/>
        </w:rPr>
        <w:t xml:space="preserve">to the survey has been around 65% </w:t>
      </w:r>
      <w:r w:rsidR="003C4675">
        <w:rPr>
          <w:rFonts w:ascii="Times New Roman" w:hAnsi="Times New Roman" w:cs="Times New Roman"/>
          <w:lang w:val="en-IE"/>
        </w:rPr>
        <w:t>each year</w:t>
      </w:r>
      <w:r w:rsidR="00A03BB3" w:rsidRPr="00C73908">
        <w:rPr>
          <w:rFonts w:ascii="Times New Roman" w:hAnsi="Times New Roman" w:cs="Times New Roman"/>
          <w:lang w:val="en-IE"/>
        </w:rPr>
        <w:t xml:space="preserve"> with</w:t>
      </w:r>
      <w:r w:rsidR="00197124" w:rsidRPr="00C73908">
        <w:rPr>
          <w:rFonts w:ascii="Times New Roman" w:hAnsi="Times New Roman" w:cs="Times New Roman"/>
          <w:lang w:val="en-IE"/>
        </w:rPr>
        <w:t xml:space="preserve"> a </w:t>
      </w:r>
      <w:r w:rsidR="00C6477A" w:rsidRPr="00C73908">
        <w:rPr>
          <w:rFonts w:ascii="Times New Roman" w:hAnsi="Times New Roman" w:cs="Times New Roman"/>
          <w:lang w:val="en-IE"/>
        </w:rPr>
        <w:t xml:space="preserve">cohort of companies </w:t>
      </w:r>
      <w:r w:rsidR="000505E5" w:rsidRPr="00C73908">
        <w:rPr>
          <w:rFonts w:ascii="Times New Roman" w:hAnsi="Times New Roman" w:cs="Times New Roman"/>
          <w:lang w:val="en-IE"/>
        </w:rPr>
        <w:t>that have</w:t>
      </w:r>
      <w:r w:rsidR="00C6477A" w:rsidRPr="00C73908">
        <w:rPr>
          <w:rFonts w:ascii="Times New Roman" w:hAnsi="Times New Roman" w:cs="Times New Roman"/>
          <w:lang w:val="en-IE"/>
        </w:rPr>
        <w:t xml:space="preserve"> responded sporadically</w:t>
      </w:r>
      <w:r w:rsidR="000505E5" w:rsidRPr="00C73908">
        <w:rPr>
          <w:rFonts w:ascii="Times New Roman" w:hAnsi="Times New Roman" w:cs="Times New Roman"/>
          <w:lang w:val="en-IE"/>
        </w:rPr>
        <w:t xml:space="preserve"> </w:t>
      </w:r>
      <w:r w:rsidR="00A03BB3" w:rsidRPr="00C73908">
        <w:rPr>
          <w:rFonts w:ascii="Times New Roman" w:hAnsi="Times New Roman" w:cs="Times New Roman"/>
          <w:lang w:val="en-IE"/>
        </w:rPr>
        <w:t>over th</w:t>
      </w:r>
      <w:r w:rsidR="0035783A" w:rsidRPr="00C73908">
        <w:rPr>
          <w:rFonts w:ascii="Times New Roman" w:hAnsi="Times New Roman" w:cs="Times New Roman"/>
          <w:lang w:val="en-IE"/>
        </w:rPr>
        <w:t>is</w:t>
      </w:r>
      <w:r w:rsidR="00A03BB3" w:rsidRPr="00C73908">
        <w:rPr>
          <w:rFonts w:ascii="Times New Roman" w:hAnsi="Times New Roman" w:cs="Times New Roman"/>
          <w:lang w:val="en-IE"/>
        </w:rPr>
        <w:t xml:space="preserve"> period</w:t>
      </w:r>
      <w:r w:rsidR="008E72DB" w:rsidRPr="00C73908">
        <w:rPr>
          <w:rFonts w:ascii="Times New Roman" w:hAnsi="Times New Roman" w:cs="Times New Roman"/>
          <w:lang w:val="en-IE"/>
        </w:rPr>
        <w:t>.</w:t>
      </w:r>
      <w:r w:rsidR="00861158" w:rsidRPr="00C73908">
        <w:rPr>
          <w:rFonts w:ascii="Times New Roman" w:hAnsi="Times New Roman" w:cs="Times New Roman"/>
          <w:lang w:val="en-IE"/>
        </w:rPr>
        <w:t xml:space="preserve"> In addition, </w:t>
      </w:r>
      <w:r w:rsidR="00F118C5" w:rsidRPr="00C73908">
        <w:rPr>
          <w:rFonts w:ascii="Times New Roman" w:hAnsi="Times New Roman" w:cs="Times New Roman"/>
          <w:lang w:val="en-IE"/>
        </w:rPr>
        <w:t xml:space="preserve">there </w:t>
      </w:r>
      <w:r w:rsidR="00501010" w:rsidRPr="00C73908">
        <w:rPr>
          <w:rFonts w:ascii="Times New Roman" w:hAnsi="Times New Roman" w:cs="Times New Roman"/>
          <w:lang w:val="en-IE"/>
        </w:rPr>
        <w:t>are 21</w:t>
      </w:r>
      <w:r w:rsidR="008F45A7" w:rsidRPr="00C73908">
        <w:rPr>
          <w:rFonts w:ascii="Times New Roman" w:hAnsi="Times New Roman" w:cs="Times New Roman"/>
          <w:lang w:val="en-IE"/>
        </w:rPr>
        <w:t>2</w:t>
      </w:r>
      <w:r w:rsidR="00501010" w:rsidRPr="00C73908">
        <w:rPr>
          <w:rFonts w:ascii="Times New Roman" w:hAnsi="Times New Roman" w:cs="Times New Roman"/>
          <w:lang w:val="en-IE"/>
        </w:rPr>
        <w:t xml:space="preserve"> companies that have been liquidated or dissolved </w:t>
      </w:r>
      <w:r w:rsidR="000E3CD1">
        <w:rPr>
          <w:rFonts w:ascii="Times New Roman" w:hAnsi="Times New Roman" w:cs="Times New Roman"/>
          <w:lang w:val="en-IE"/>
        </w:rPr>
        <w:t xml:space="preserve">since 2010 </w:t>
      </w:r>
      <w:r w:rsidR="00854E4C" w:rsidRPr="00C73908">
        <w:rPr>
          <w:rFonts w:ascii="Times New Roman" w:hAnsi="Times New Roman" w:cs="Times New Roman"/>
          <w:lang w:val="en-IE"/>
        </w:rPr>
        <w:t xml:space="preserve">according to </w:t>
      </w:r>
      <w:r w:rsidR="00975214" w:rsidRPr="00C73908">
        <w:rPr>
          <w:rFonts w:ascii="Times New Roman" w:hAnsi="Times New Roman" w:cs="Times New Roman"/>
          <w:lang w:val="en-IE"/>
        </w:rPr>
        <w:t xml:space="preserve">information from </w:t>
      </w:r>
      <w:r w:rsidR="00854E4C" w:rsidRPr="00C73908">
        <w:rPr>
          <w:rFonts w:ascii="Times New Roman" w:hAnsi="Times New Roman" w:cs="Times New Roman"/>
          <w:lang w:val="en-IE"/>
        </w:rPr>
        <w:t>the C</w:t>
      </w:r>
      <w:r w:rsidR="00642077" w:rsidRPr="00C73908">
        <w:rPr>
          <w:rFonts w:ascii="Times New Roman" w:hAnsi="Times New Roman" w:cs="Times New Roman"/>
          <w:lang w:val="en-IE"/>
        </w:rPr>
        <w:t xml:space="preserve">ompany Registration </w:t>
      </w:r>
      <w:r w:rsidR="00854E4C" w:rsidRPr="00C73908">
        <w:rPr>
          <w:rFonts w:ascii="Times New Roman" w:hAnsi="Times New Roman" w:cs="Times New Roman"/>
          <w:lang w:val="en-IE"/>
        </w:rPr>
        <w:t>O</w:t>
      </w:r>
      <w:r w:rsidR="00975214" w:rsidRPr="00C73908">
        <w:rPr>
          <w:rFonts w:ascii="Times New Roman" w:hAnsi="Times New Roman" w:cs="Times New Roman"/>
          <w:lang w:val="en-IE"/>
        </w:rPr>
        <w:t>ffice</w:t>
      </w:r>
      <w:r w:rsidR="00270B3E" w:rsidRPr="00C73908">
        <w:rPr>
          <w:rFonts w:ascii="Times New Roman" w:hAnsi="Times New Roman" w:cs="Times New Roman"/>
          <w:lang w:val="en-IE"/>
        </w:rPr>
        <w:t xml:space="preserve"> (CRO)</w:t>
      </w:r>
      <w:r w:rsidR="00854E4C" w:rsidRPr="00C73908">
        <w:rPr>
          <w:rFonts w:ascii="Times New Roman" w:hAnsi="Times New Roman" w:cs="Times New Roman"/>
          <w:lang w:val="en-IE"/>
        </w:rPr>
        <w:t>.</w:t>
      </w:r>
      <w:r w:rsidR="00F51413" w:rsidRPr="00C73908">
        <w:rPr>
          <w:rFonts w:ascii="Times New Roman" w:hAnsi="Times New Roman" w:cs="Times New Roman"/>
          <w:lang w:val="en-IE"/>
        </w:rPr>
        <w:t xml:space="preserve"> On the other hand, there are </w:t>
      </w:r>
      <w:r w:rsidR="00A668F4" w:rsidRPr="00C73908">
        <w:rPr>
          <w:rFonts w:ascii="Times New Roman" w:hAnsi="Times New Roman" w:cs="Times New Roman"/>
          <w:lang w:val="en-IE"/>
        </w:rPr>
        <w:t>1</w:t>
      </w:r>
      <w:r w:rsidR="0035783A" w:rsidRPr="00C73908">
        <w:rPr>
          <w:rFonts w:ascii="Times New Roman" w:hAnsi="Times New Roman" w:cs="Times New Roman"/>
          <w:lang w:val="en-IE"/>
        </w:rPr>
        <w:t>48</w:t>
      </w:r>
      <w:r w:rsidR="00A668F4" w:rsidRPr="00C73908">
        <w:rPr>
          <w:rFonts w:ascii="Times New Roman" w:hAnsi="Times New Roman" w:cs="Times New Roman"/>
          <w:lang w:val="en-IE"/>
        </w:rPr>
        <w:t xml:space="preserve"> companies which have been transferred</w:t>
      </w:r>
      <w:r w:rsidR="00C5050B" w:rsidRPr="00C73908">
        <w:rPr>
          <w:rFonts w:ascii="Times New Roman" w:hAnsi="Times New Roman" w:cs="Times New Roman"/>
          <w:lang w:val="en-IE"/>
        </w:rPr>
        <w:t xml:space="preserve"> </w:t>
      </w:r>
      <w:r w:rsidR="00003592" w:rsidRPr="00C73908">
        <w:rPr>
          <w:rFonts w:ascii="Times New Roman" w:hAnsi="Times New Roman" w:cs="Times New Roman"/>
          <w:lang w:val="en-IE"/>
        </w:rPr>
        <w:t xml:space="preserve">out of Enterprise Ireland </w:t>
      </w:r>
      <w:r w:rsidR="00C732C1" w:rsidRPr="00C73908">
        <w:rPr>
          <w:rFonts w:ascii="Times New Roman" w:hAnsi="Times New Roman" w:cs="Times New Roman"/>
          <w:lang w:val="en-IE"/>
        </w:rPr>
        <w:t>in</w:t>
      </w:r>
      <w:r w:rsidR="00A668F4" w:rsidRPr="00C73908">
        <w:rPr>
          <w:rFonts w:ascii="Times New Roman" w:hAnsi="Times New Roman" w:cs="Times New Roman"/>
          <w:lang w:val="en-IE"/>
        </w:rPr>
        <w:t xml:space="preserve">to the </w:t>
      </w:r>
      <w:r w:rsidR="00C732C1" w:rsidRPr="00C73908">
        <w:rPr>
          <w:rFonts w:ascii="Times New Roman" w:hAnsi="Times New Roman" w:cs="Times New Roman"/>
          <w:lang w:val="en-IE"/>
        </w:rPr>
        <w:t xml:space="preserve">client base of the </w:t>
      </w:r>
      <w:r w:rsidR="00A668F4" w:rsidRPr="00C73908">
        <w:rPr>
          <w:rFonts w:ascii="Times New Roman" w:hAnsi="Times New Roman" w:cs="Times New Roman"/>
          <w:lang w:val="en-IE"/>
        </w:rPr>
        <w:t>Industrial Development Agency</w:t>
      </w:r>
      <w:r w:rsidR="00C732C1" w:rsidRPr="00C73908">
        <w:rPr>
          <w:rFonts w:ascii="Times New Roman" w:hAnsi="Times New Roman" w:cs="Times New Roman"/>
          <w:lang w:val="en-IE"/>
        </w:rPr>
        <w:t xml:space="preserve"> (IDA)</w:t>
      </w:r>
      <w:r w:rsidR="00FB7301" w:rsidRPr="00C73908">
        <w:rPr>
          <w:rFonts w:ascii="Times New Roman" w:hAnsi="Times New Roman" w:cs="Times New Roman"/>
          <w:lang w:val="en-IE"/>
        </w:rPr>
        <w:t xml:space="preserve"> </w:t>
      </w:r>
      <w:r w:rsidR="00FD43D3" w:rsidRPr="00C73908">
        <w:rPr>
          <w:rFonts w:ascii="Times New Roman" w:hAnsi="Times New Roman" w:cs="Times New Roman"/>
          <w:lang w:val="en-IE"/>
        </w:rPr>
        <w:t>in the last 10 years</w:t>
      </w:r>
      <w:r w:rsidR="00E76CDB" w:rsidRPr="00C73908">
        <w:rPr>
          <w:rFonts w:ascii="Times New Roman" w:hAnsi="Times New Roman" w:cs="Times New Roman"/>
          <w:lang w:val="en-IE"/>
        </w:rPr>
        <w:t xml:space="preserve">. This occurs where a client company has been acquired </w:t>
      </w:r>
      <w:r w:rsidR="00817CC5" w:rsidRPr="00C73908">
        <w:rPr>
          <w:rFonts w:ascii="Times New Roman" w:hAnsi="Times New Roman" w:cs="Times New Roman"/>
          <w:lang w:val="en-IE"/>
        </w:rPr>
        <w:t xml:space="preserve">by </w:t>
      </w:r>
      <w:r w:rsidR="00DE0384" w:rsidRPr="00C73908">
        <w:rPr>
          <w:rFonts w:ascii="Times New Roman" w:hAnsi="Times New Roman" w:cs="Times New Roman"/>
          <w:lang w:val="en-IE"/>
        </w:rPr>
        <w:t xml:space="preserve">a </w:t>
      </w:r>
      <w:r w:rsidR="00817CC5" w:rsidRPr="00C73908">
        <w:rPr>
          <w:rFonts w:ascii="Times New Roman" w:hAnsi="Times New Roman" w:cs="Times New Roman"/>
          <w:lang w:val="en-IE"/>
        </w:rPr>
        <w:t xml:space="preserve">foreign-owned multinational or their ownership has been moved </w:t>
      </w:r>
      <w:r w:rsidR="00FB7301" w:rsidRPr="00C73908">
        <w:rPr>
          <w:rFonts w:ascii="Times New Roman" w:hAnsi="Times New Roman" w:cs="Times New Roman"/>
          <w:lang w:val="en-IE"/>
        </w:rPr>
        <w:t>out of</w:t>
      </w:r>
      <w:r w:rsidR="00817CC5" w:rsidRPr="00C73908">
        <w:rPr>
          <w:rFonts w:ascii="Times New Roman" w:hAnsi="Times New Roman" w:cs="Times New Roman"/>
          <w:lang w:val="en-IE"/>
        </w:rPr>
        <w:t xml:space="preserve"> Ireland.</w:t>
      </w:r>
      <w:r w:rsidR="00896B5D" w:rsidRPr="00C73908">
        <w:rPr>
          <w:rFonts w:ascii="Times New Roman" w:hAnsi="Times New Roman" w:cs="Times New Roman"/>
          <w:lang w:val="en-IE"/>
        </w:rPr>
        <w:t xml:space="preserve"> These companies </w:t>
      </w:r>
      <w:r w:rsidR="001A1365" w:rsidRPr="00C73908">
        <w:rPr>
          <w:rFonts w:ascii="Times New Roman" w:hAnsi="Times New Roman" w:cs="Times New Roman"/>
          <w:lang w:val="en-IE"/>
        </w:rPr>
        <w:t>tend to</w:t>
      </w:r>
      <w:r w:rsidR="00896B5D" w:rsidRPr="00C73908">
        <w:rPr>
          <w:rFonts w:ascii="Times New Roman" w:hAnsi="Times New Roman" w:cs="Times New Roman"/>
          <w:lang w:val="en-IE"/>
        </w:rPr>
        <w:t xml:space="preserve"> </w:t>
      </w:r>
      <w:r w:rsidR="00D45A94" w:rsidRPr="00C73908">
        <w:rPr>
          <w:rFonts w:ascii="Times New Roman" w:hAnsi="Times New Roman" w:cs="Times New Roman"/>
          <w:lang w:val="en-IE"/>
        </w:rPr>
        <w:t>be</w:t>
      </w:r>
      <w:r w:rsidR="00896B5D" w:rsidRPr="00C73908">
        <w:rPr>
          <w:rFonts w:ascii="Times New Roman" w:hAnsi="Times New Roman" w:cs="Times New Roman"/>
          <w:lang w:val="en-IE"/>
        </w:rPr>
        <w:t xml:space="preserve"> strong perform</w:t>
      </w:r>
      <w:r w:rsidR="00D45A94" w:rsidRPr="00C73908">
        <w:rPr>
          <w:rFonts w:ascii="Times New Roman" w:hAnsi="Times New Roman" w:cs="Times New Roman"/>
          <w:lang w:val="en-IE"/>
        </w:rPr>
        <w:t>ers</w:t>
      </w:r>
      <w:r w:rsidR="00896B5D" w:rsidRPr="00C73908">
        <w:rPr>
          <w:rFonts w:ascii="Times New Roman" w:hAnsi="Times New Roman" w:cs="Times New Roman"/>
          <w:lang w:val="en-IE"/>
        </w:rPr>
        <w:t xml:space="preserve"> </w:t>
      </w:r>
      <w:r w:rsidR="00D45A94" w:rsidRPr="00C73908">
        <w:rPr>
          <w:rFonts w:ascii="Times New Roman" w:hAnsi="Times New Roman" w:cs="Times New Roman"/>
          <w:lang w:val="en-IE"/>
        </w:rPr>
        <w:t>with high</w:t>
      </w:r>
      <w:r w:rsidR="00896B5D" w:rsidRPr="00C73908">
        <w:rPr>
          <w:rFonts w:ascii="Times New Roman" w:hAnsi="Times New Roman" w:cs="Times New Roman"/>
          <w:lang w:val="en-IE"/>
        </w:rPr>
        <w:t xml:space="preserve"> growth in</w:t>
      </w:r>
      <w:r w:rsidR="00FB7301" w:rsidRPr="00C73908">
        <w:rPr>
          <w:rFonts w:ascii="Times New Roman" w:hAnsi="Times New Roman" w:cs="Times New Roman"/>
          <w:lang w:val="en-IE"/>
        </w:rPr>
        <w:t xml:space="preserve"> sales and exports in</w:t>
      </w:r>
      <w:r w:rsidR="00896B5D" w:rsidRPr="00C73908">
        <w:rPr>
          <w:rFonts w:ascii="Times New Roman" w:hAnsi="Times New Roman" w:cs="Times New Roman"/>
          <w:lang w:val="en-IE"/>
        </w:rPr>
        <w:t xml:space="preserve"> the years prior to being acquired. </w:t>
      </w:r>
      <w:r w:rsidR="00750CDA" w:rsidRPr="00C73908">
        <w:rPr>
          <w:rFonts w:ascii="Times New Roman" w:hAnsi="Times New Roman" w:cs="Times New Roman"/>
          <w:lang w:val="en-IE"/>
        </w:rPr>
        <w:t xml:space="preserve">Finally, there </w:t>
      </w:r>
      <w:r w:rsidR="00C362E6" w:rsidRPr="00C73908">
        <w:rPr>
          <w:rFonts w:ascii="Times New Roman" w:hAnsi="Times New Roman" w:cs="Times New Roman"/>
          <w:lang w:val="en-IE"/>
        </w:rPr>
        <w:t xml:space="preserve">are </w:t>
      </w:r>
      <w:r w:rsidR="00B942B5" w:rsidRPr="00C73908">
        <w:rPr>
          <w:rFonts w:ascii="Times New Roman" w:hAnsi="Times New Roman" w:cs="Times New Roman"/>
          <w:lang w:val="en-IE"/>
        </w:rPr>
        <w:t>4</w:t>
      </w:r>
      <w:r w:rsidR="003B7174" w:rsidRPr="00C73908">
        <w:rPr>
          <w:rFonts w:ascii="Times New Roman" w:hAnsi="Times New Roman" w:cs="Times New Roman"/>
          <w:lang w:val="en-IE"/>
        </w:rPr>
        <w:t>0</w:t>
      </w:r>
      <w:r w:rsidR="00B942B5" w:rsidRPr="00C73908">
        <w:rPr>
          <w:rFonts w:ascii="Times New Roman" w:hAnsi="Times New Roman" w:cs="Times New Roman"/>
          <w:lang w:val="en-IE"/>
        </w:rPr>
        <w:t>4</w:t>
      </w:r>
      <w:r w:rsidR="00C362E6" w:rsidRPr="00C73908">
        <w:rPr>
          <w:rFonts w:ascii="Times New Roman" w:hAnsi="Times New Roman" w:cs="Times New Roman"/>
          <w:lang w:val="en-IE"/>
        </w:rPr>
        <w:t xml:space="preserve"> companies that </w:t>
      </w:r>
      <w:r w:rsidR="00372995" w:rsidRPr="00C73908">
        <w:rPr>
          <w:rFonts w:ascii="Times New Roman" w:hAnsi="Times New Roman" w:cs="Times New Roman"/>
          <w:lang w:val="en-IE"/>
        </w:rPr>
        <w:t>were</w:t>
      </w:r>
      <w:r w:rsidR="00C362E6" w:rsidRPr="00C73908">
        <w:rPr>
          <w:rFonts w:ascii="Times New Roman" w:hAnsi="Times New Roman" w:cs="Times New Roman"/>
          <w:lang w:val="en-IE"/>
        </w:rPr>
        <w:t xml:space="preserve"> established </w:t>
      </w:r>
      <w:r w:rsidR="00372995" w:rsidRPr="00C73908">
        <w:rPr>
          <w:rFonts w:ascii="Times New Roman" w:hAnsi="Times New Roman" w:cs="Times New Roman"/>
          <w:lang w:val="en-IE"/>
        </w:rPr>
        <w:t>after</w:t>
      </w:r>
      <w:r w:rsidR="00C362E6" w:rsidRPr="00C73908">
        <w:rPr>
          <w:rFonts w:ascii="Times New Roman" w:hAnsi="Times New Roman" w:cs="Times New Roman"/>
          <w:lang w:val="en-IE"/>
        </w:rPr>
        <w:t xml:space="preserve"> 20</w:t>
      </w:r>
      <w:r w:rsidR="003B7174" w:rsidRPr="00C73908">
        <w:rPr>
          <w:rFonts w:ascii="Times New Roman" w:hAnsi="Times New Roman" w:cs="Times New Roman"/>
          <w:lang w:val="en-IE"/>
        </w:rPr>
        <w:t>10</w:t>
      </w:r>
      <w:r w:rsidR="00C362E6" w:rsidRPr="00C73908">
        <w:rPr>
          <w:rFonts w:ascii="Times New Roman" w:hAnsi="Times New Roman" w:cs="Times New Roman"/>
          <w:lang w:val="en-IE"/>
        </w:rPr>
        <w:t xml:space="preserve"> </w:t>
      </w:r>
      <w:r w:rsidR="00B942B5" w:rsidRPr="00C73908">
        <w:rPr>
          <w:rFonts w:ascii="Times New Roman" w:hAnsi="Times New Roman" w:cs="Times New Roman"/>
          <w:lang w:val="en-IE"/>
        </w:rPr>
        <w:t>according to their CRO registration date</w:t>
      </w:r>
      <w:r w:rsidR="00C362E6" w:rsidRPr="00C73908">
        <w:rPr>
          <w:rFonts w:ascii="Times New Roman" w:hAnsi="Times New Roman" w:cs="Times New Roman"/>
          <w:lang w:val="en-IE"/>
        </w:rPr>
        <w:t>.</w:t>
      </w:r>
    </w:p>
    <w:p w14:paraId="2642023F" w14:textId="26D65B81" w:rsidR="002055D5" w:rsidRPr="00C73908" w:rsidRDefault="002269D5"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It is important to note that</w:t>
      </w:r>
      <w:r w:rsidR="005B55CE" w:rsidRPr="00C73908">
        <w:rPr>
          <w:rFonts w:ascii="Times New Roman" w:hAnsi="Times New Roman" w:cs="Times New Roman"/>
          <w:lang w:val="en-IE"/>
        </w:rPr>
        <w:t xml:space="preserve">, given the criteria </w:t>
      </w:r>
      <w:r w:rsidR="00BC3A10" w:rsidRPr="00C73908">
        <w:rPr>
          <w:rFonts w:ascii="Times New Roman" w:hAnsi="Times New Roman" w:cs="Times New Roman"/>
          <w:lang w:val="en-IE"/>
        </w:rPr>
        <w:t>required to be</w:t>
      </w:r>
      <w:r w:rsidR="008A4F23" w:rsidRPr="00C73908">
        <w:rPr>
          <w:rFonts w:ascii="Times New Roman" w:hAnsi="Times New Roman" w:cs="Times New Roman"/>
          <w:lang w:val="en-IE"/>
        </w:rPr>
        <w:t>come</w:t>
      </w:r>
      <w:r w:rsidR="00BC3A10" w:rsidRPr="00C73908">
        <w:rPr>
          <w:rFonts w:ascii="Times New Roman" w:hAnsi="Times New Roman" w:cs="Times New Roman"/>
          <w:lang w:val="en-IE"/>
        </w:rPr>
        <w:t xml:space="preserve"> a client company of Enterprise Ireland,</w:t>
      </w:r>
      <w:r w:rsidRPr="00C73908">
        <w:rPr>
          <w:rFonts w:ascii="Times New Roman" w:hAnsi="Times New Roman" w:cs="Times New Roman"/>
          <w:lang w:val="en-IE"/>
        </w:rPr>
        <w:t xml:space="preserve"> the</w:t>
      </w:r>
      <w:r w:rsidR="001D1020" w:rsidRPr="00C73908">
        <w:rPr>
          <w:rFonts w:ascii="Times New Roman" w:hAnsi="Times New Roman" w:cs="Times New Roman"/>
          <w:lang w:val="en-IE"/>
        </w:rPr>
        <w:t xml:space="preserve"> sample used for this analysis is not representative of the </w:t>
      </w:r>
      <w:r w:rsidR="00BC3A10" w:rsidRPr="00C73908">
        <w:rPr>
          <w:rFonts w:ascii="Times New Roman" w:hAnsi="Times New Roman" w:cs="Times New Roman"/>
          <w:lang w:val="en-IE"/>
        </w:rPr>
        <w:t>entire</w:t>
      </w:r>
      <w:r w:rsidR="001D1020" w:rsidRPr="00C73908">
        <w:rPr>
          <w:rFonts w:ascii="Times New Roman" w:hAnsi="Times New Roman" w:cs="Times New Roman"/>
          <w:lang w:val="en-IE"/>
        </w:rPr>
        <w:t xml:space="preserve"> </w:t>
      </w:r>
      <w:r w:rsidR="004F6C52">
        <w:rPr>
          <w:rFonts w:ascii="Times New Roman" w:hAnsi="Times New Roman" w:cs="Times New Roman"/>
          <w:lang w:val="en-IE"/>
        </w:rPr>
        <w:t>indigenous</w:t>
      </w:r>
      <w:r w:rsidR="009857E7" w:rsidRPr="00C73908">
        <w:rPr>
          <w:rFonts w:ascii="Times New Roman" w:hAnsi="Times New Roman" w:cs="Times New Roman"/>
          <w:lang w:val="en-IE"/>
        </w:rPr>
        <w:t xml:space="preserve"> </w:t>
      </w:r>
      <w:r w:rsidR="001D1020" w:rsidRPr="00C73908">
        <w:rPr>
          <w:rFonts w:ascii="Times New Roman" w:hAnsi="Times New Roman" w:cs="Times New Roman"/>
          <w:lang w:val="en-IE"/>
        </w:rPr>
        <w:t>enterprise base</w:t>
      </w:r>
      <w:r w:rsidR="00BC3A10" w:rsidRPr="00C73908">
        <w:rPr>
          <w:rFonts w:ascii="Times New Roman" w:hAnsi="Times New Roman" w:cs="Times New Roman"/>
          <w:lang w:val="en-IE"/>
        </w:rPr>
        <w:t xml:space="preserve">. </w:t>
      </w:r>
      <w:r w:rsidR="0027273D" w:rsidRPr="00C73908">
        <w:rPr>
          <w:rFonts w:ascii="Times New Roman" w:hAnsi="Times New Roman" w:cs="Times New Roman"/>
          <w:lang w:val="en-IE"/>
        </w:rPr>
        <w:t xml:space="preserve">In particular, the majority of micro enterprises with less than 10 employees </w:t>
      </w:r>
      <w:r w:rsidR="00FB6446" w:rsidRPr="00C73908">
        <w:rPr>
          <w:rFonts w:ascii="Times New Roman" w:hAnsi="Times New Roman" w:cs="Times New Roman"/>
          <w:lang w:val="en-IE"/>
        </w:rPr>
        <w:t>as well as</w:t>
      </w:r>
      <w:r w:rsidR="00F2665D" w:rsidRPr="00C73908">
        <w:rPr>
          <w:rFonts w:ascii="Times New Roman" w:hAnsi="Times New Roman" w:cs="Times New Roman"/>
          <w:lang w:val="en-IE"/>
        </w:rPr>
        <w:t xml:space="preserve"> c</w:t>
      </w:r>
      <w:r w:rsidR="000E3764" w:rsidRPr="00C73908">
        <w:rPr>
          <w:rFonts w:ascii="Times New Roman" w:hAnsi="Times New Roman" w:cs="Times New Roman"/>
          <w:lang w:val="en-IE"/>
        </w:rPr>
        <w:t xml:space="preserve">ompanies </w:t>
      </w:r>
      <w:r w:rsidR="00387E93" w:rsidRPr="00C73908">
        <w:rPr>
          <w:rFonts w:ascii="Times New Roman" w:hAnsi="Times New Roman" w:cs="Times New Roman"/>
          <w:lang w:val="en-IE"/>
        </w:rPr>
        <w:t>in s</w:t>
      </w:r>
      <w:r w:rsidR="00C555BA" w:rsidRPr="00C73908">
        <w:rPr>
          <w:rFonts w:ascii="Times New Roman" w:hAnsi="Times New Roman" w:cs="Times New Roman"/>
          <w:lang w:val="en-IE"/>
        </w:rPr>
        <w:t>ectors such as retail</w:t>
      </w:r>
      <w:r w:rsidR="00864CE2">
        <w:rPr>
          <w:rFonts w:ascii="Times New Roman" w:hAnsi="Times New Roman" w:cs="Times New Roman"/>
          <w:lang w:val="en-IE"/>
        </w:rPr>
        <w:t xml:space="preserve"> and</w:t>
      </w:r>
      <w:r w:rsidR="00C555BA" w:rsidRPr="00C73908">
        <w:rPr>
          <w:rFonts w:ascii="Times New Roman" w:hAnsi="Times New Roman" w:cs="Times New Roman"/>
          <w:lang w:val="en-IE"/>
        </w:rPr>
        <w:t xml:space="preserve"> tourism </w:t>
      </w:r>
      <w:r w:rsidR="000E3764" w:rsidRPr="00C73908">
        <w:rPr>
          <w:rFonts w:ascii="Times New Roman" w:hAnsi="Times New Roman" w:cs="Times New Roman"/>
          <w:lang w:val="en-IE"/>
        </w:rPr>
        <w:t>are not eligible</w:t>
      </w:r>
      <w:r w:rsidR="00387E93" w:rsidRPr="00C73908">
        <w:rPr>
          <w:rFonts w:ascii="Times New Roman" w:hAnsi="Times New Roman" w:cs="Times New Roman"/>
          <w:lang w:val="en-IE"/>
        </w:rPr>
        <w:t xml:space="preserve"> to be</w:t>
      </w:r>
      <w:r w:rsidR="00277D46" w:rsidRPr="00C73908">
        <w:rPr>
          <w:rFonts w:ascii="Times New Roman" w:hAnsi="Times New Roman" w:cs="Times New Roman"/>
          <w:lang w:val="en-IE"/>
        </w:rPr>
        <w:t>come EI clients</w:t>
      </w:r>
      <w:r w:rsidR="002259DC" w:rsidRPr="00C73908">
        <w:rPr>
          <w:rFonts w:ascii="Times New Roman" w:hAnsi="Times New Roman" w:cs="Times New Roman"/>
          <w:lang w:val="en-IE"/>
        </w:rPr>
        <w:t>.</w:t>
      </w:r>
      <w:r w:rsidR="00627C4F" w:rsidRPr="00C73908">
        <w:rPr>
          <w:rFonts w:ascii="Times New Roman" w:hAnsi="Times New Roman" w:cs="Times New Roman"/>
          <w:lang w:val="en-IE"/>
        </w:rPr>
        <w:t xml:space="preserve"> </w:t>
      </w:r>
      <w:r w:rsidR="00306705" w:rsidRPr="00C73908">
        <w:rPr>
          <w:rFonts w:ascii="Times New Roman" w:hAnsi="Times New Roman" w:cs="Times New Roman"/>
          <w:lang w:val="en-IE"/>
        </w:rPr>
        <w:t xml:space="preserve">According to CSO </w:t>
      </w:r>
      <w:r w:rsidR="00917F1B" w:rsidRPr="00C73908">
        <w:rPr>
          <w:rFonts w:ascii="Times New Roman" w:hAnsi="Times New Roman" w:cs="Times New Roman"/>
          <w:lang w:val="en-IE"/>
        </w:rPr>
        <w:t>statistics on</w:t>
      </w:r>
      <w:r w:rsidR="00670121" w:rsidRPr="00C73908">
        <w:rPr>
          <w:rFonts w:ascii="Times New Roman" w:hAnsi="Times New Roman" w:cs="Times New Roman"/>
          <w:lang w:val="en-IE"/>
        </w:rPr>
        <w:t xml:space="preserve"> </w:t>
      </w:r>
      <w:r w:rsidR="00A50935" w:rsidRPr="00C73908">
        <w:rPr>
          <w:rFonts w:ascii="Times New Roman" w:hAnsi="Times New Roman" w:cs="Times New Roman"/>
          <w:lang w:val="en-IE"/>
        </w:rPr>
        <w:t>E</w:t>
      </w:r>
      <w:r w:rsidR="00670121" w:rsidRPr="00C73908">
        <w:rPr>
          <w:rFonts w:ascii="Times New Roman" w:hAnsi="Times New Roman" w:cs="Times New Roman"/>
          <w:lang w:val="en-IE"/>
        </w:rPr>
        <w:t xml:space="preserve">xporting </w:t>
      </w:r>
      <w:r w:rsidR="00A50935" w:rsidRPr="00C73908">
        <w:rPr>
          <w:rFonts w:ascii="Times New Roman" w:hAnsi="Times New Roman" w:cs="Times New Roman"/>
          <w:lang w:val="en-IE"/>
        </w:rPr>
        <w:t>E</w:t>
      </w:r>
      <w:r w:rsidR="00670121" w:rsidRPr="00C73908">
        <w:rPr>
          <w:rFonts w:ascii="Times New Roman" w:hAnsi="Times New Roman" w:cs="Times New Roman"/>
          <w:lang w:val="en-IE"/>
        </w:rPr>
        <w:t>nterprises</w:t>
      </w:r>
      <w:r w:rsidR="00A50935" w:rsidRPr="00C73908">
        <w:rPr>
          <w:rFonts w:ascii="Times New Roman" w:hAnsi="Times New Roman" w:cs="Times New Roman"/>
          <w:lang w:val="en-IE"/>
        </w:rPr>
        <w:t xml:space="preserve"> in Ireland</w:t>
      </w:r>
      <w:r w:rsidR="00F14B9D" w:rsidRPr="00C73908">
        <w:rPr>
          <w:rFonts w:ascii="Times New Roman" w:hAnsi="Times New Roman" w:cs="Times New Roman"/>
          <w:lang w:val="en-IE"/>
        </w:rPr>
        <w:t>, t</w:t>
      </w:r>
      <w:r w:rsidR="002055D5" w:rsidRPr="00C73908">
        <w:rPr>
          <w:rFonts w:ascii="Times New Roman" w:hAnsi="Times New Roman" w:cs="Times New Roman"/>
          <w:lang w:val="en-IE"/>
        </w:rPr>
        <w:t>here were 9,167 domestic</w:t>
      </w:r>
      <w:r w:rsidR="00DB6CA6" w:rsidRPr="00C73908">
        <w:rPr>
          <w:rFonts w:ascii="Times New Roman" w:hAnsi="Times New Roman" w:cs="Times New Roman"/>
          <w:lang w:val="en-IE"/>
        </w:rPr>
        <w:t>ally</w:t>
      </w:r>
      <w:r w:rsidR="002055D5" w:rsidRPr="00C73908">
        <w:rPr>
          <w:rFonts w:ascii="Times New Roman" w:hAnsi="Times New Roman" w:cs="Times New Roman"/>
          <w:lang w:val="en-IE"/>
        </w:rPr>
        <w:t xml:space="preserve"> owned export</w:t>
      </w:r>
      <w:r w:rsidR="00670121" w:rsidRPr="00C73908">
        <w:rPr>
          <w:rFonts w:ascii="Times New Roman" w:hAnsi="Times New Roman" w:cs="Times New Roman"/>
          <w:lang w:val="en-IE"/>
        </w:rPr>
        <w:t>ers</w:t>
      </w:r>
      <w:r w:rsidR="002055D5" w:rsidRPr="00C73908">
        <w:rPr>
          <w:rFonts w:ascii="Times New Roman" w:hAnsi="Times New Roman" w:cs="Times New Roman"/>
          <w:lang w:val="en-IE"/>
        </w:rPr>
        <w:t xml:space="preserve"> in 2017 </w:t>
      </w:r>
      <w:r w:rsidR="00DB6CA6" w:rsidRPr="00C73908">
        <w:rPr>
          <w:rFonts w:ascii="Times New Roman" w:hAnsi="Times New Roman" w:cs="Times New Roman"/>
          <w:lang w:val="en-IE"/>
        </w:rPr>
        <w:t xml:space="preserve">with combined exports of </w:t>
      </w:r>
      <w:r w:rsidR="00AE4A14" w:rsidRPr="00C73908">
        <w:rPr>
          <w:rFonts w:ascii="Times New Roman" w:hAnsi="Times New Roman" w:cs="Times New Roman"/>
          <w:lang w:val="en-IE"/>
        </w:rPr>
        <w:t>€51 billion</w:t>
      </w:r>
      <w:r w:rsidR="00766753" w:rsidRPr="00C73908">
        <w:rPr>
          <w:rFonts w:ascii="Times New Roman" w:hAnsi="Times New Roman" w:cs="Times New Roman"/>
          <w:lang w:val="en-IE"/>
        </w:rPr>
        <w:t xml:space="preserve">. The </w:t>
      </w:r>
      <w:r w:rsidR="00967175" w:rsidRPr="00C73908">
        <w:rPr>
          <w:rFonts w:ascii="Times New Roman" w:hAnsi="Times New Roman" w:cs="Times New Roman"/>
          <w:lang w:val="en-IE"/>
        </w:rPr>
        <w:t>EI</w:t>
      </w:r>
      <w:r w:rsidR="00766753" w:rsidRPr="00C73908">
        <w:rPr>
          <w:rFonts w:ascii="Times New Roman" w:hAnsi="Times New Roman" w:cs="Times New Roman"/>
          <w:lang w:val="en-IE"/>
        </w:rPr>
        <w:t xml:space="preserve"> client base, on the other hand</w:t>
      </w:r>
      <w:r w:rsidR="006F7C9D" w:rsidRPr="00C73908">
        <w:rPr>
          <w:rFonts w:ascii="Times New Roman" w:hAnsi="Times New Roman" w:cs="Times New Roman"/>
          <w:lang w:val="en-IE"/>
        </w:rPr>
        <w:t>,</w:t>
      </w:r>
      <w:r w:rsidR="00766753" w:rsidRPr="00C73908">
        <w:rPr>
          <w:rFonts w:ascii="Times New Roman" w:hAnsi="Times New Roman" w:cs="Times New Roman"/>
          <w:lang w:val="en-IE"/>
        </w:rPr>
        <w:t xml:space="preserve"> is comprised of approximately </w:t>
      </w:r>
      <w:r w:rsidR="003E58AC" w:rsidRPr="00C73908">
        <w:rPr>
          <w:rFonts w:ascii="Times New Roman" w:hAnsi="Times New Roman" w:cs="Times New Roman"/>
          <w:lang w:val="en-IE"/>
        </w:rPr>
        <w:t xml:space="preserve">3,300 companies with exports of </w:t>
      </w:r>
      <w:r w:rsidR="00625BF4" w:rsidRPr="00C73908">
        <w:rPr>
          <w:rFonts w:ascii="Times New Roman" w:hAnsi="Times New Roman" w:cs="Times New Roman"/>
          <w:lang w:val="en-IE"/>
        </w:rPr>
        <w:t>€22.7 billion</w:t>
      </w:r>
      <w:r w:rsidR="00F11B1F" w:rsidRPr="00C73908">
        <w:rPr>
          <w:rFonts w:ascii="Times New Roman" w:hAnsi="Times New Roman" w:cs="Times New Roman"/>
          <w:lang w:val="en-IE"/>
        </w:rPr>
        <w:t xml:space="preserve"> </w:t>
      </w:r>
      <w:r w:rsidR="00480B6E">
        <w:rPr>
          <w:rFonts w:ascii="Times New Roman" w:hAnsi="Times New Roman" w:cs="Times New Roman"/>
          <w:lang w:val="en-IE"/>
        </w:rPr>
        <w:t xml:space="preserve">in 2017 </w:t>
      </w:r>
      <w:r w:rsidR="00F11B1F" w:rsidRPr="00C73908">
        <w:rPr>
          <w:rFonts w:ascii="Times New Roman" w:hAnsi="Times New Roman" w:cs="Times New Roman"/>
          <w:lang w:val="en-IE"/>
        </w:rPr>
        <w:t>-</w:t>
      </w:r>
      <w:r w:rsidR="006F7C9D" w:rsidRPr="00C73908">
        <w:rPr>
          <w:rFonts w:ascii="Times New Roman" w:hAnsi="Times New Roman" w:cs="Times New Roman"/>
          <w:lang w:val="en-IE"/>
        </w:rPr>
        <w:t xml:space="preserve"> 45% of the total for </w:t>
      </w:r>
      <w:r w:rsidR="00F42746" w:rsidRPr="00C73908">
        <w:rPr>
          <w:rFonts w:ascii="Times New Roman" w:hAnsi="Times New Roman" w:cs="Times New Roman"/>
          <w:lang w:val="en-IE"/>
        </w:rPr>
        <w:t>domestic</w:t>
      </w:r>
      <w:r w:rsidR="00375D51" w:rsidRPr="00C73908">
        <w:rPr>
          <w:rFonts w:ascii="Times New Roman" w:hAnsi="Times New Roman" w:cs="Times New Roman"/>
          <w:lang w:val="en-IE"/>
        </w:rPr>
        <w:t>ally owned exporters.</w:t>
      </w:r>
      <w:r w:rsidR="000966B2" w:rsidRPr="00C73908">
        <w:rPr>
          <w:rFonts w:ascii="Times New Roman" w:hAnsi="Times New Roman" w:cs="Times New Roman"/>
          <w:lang w:val="en-IE"/>
        </w:rPr>
        <w:t xml:space="preserve"> </w:t>
      </w:r>
      <w:r w:rsidR="007840C8" w:rsidRPr="00C73908">
        <w:rPr>
          <w:rFonts w:ascii="Times New Roman" w:hAnsi="Times New Roman" w:cs="Times New Roman"/>
          <w:lang w:val="en-IE"/>
        </w:rPr>
        <w:t xml:space="preserve">The sample </w:t>
      </w:r>
      <w:r w:rsidR="005565A2" w:rsidRPr="00C73908">
        <w:rPr>
          <w:rFonts w:ascii="Times New Roman" w:hAnsi="Times New Roman" w:cs="Times New Roman"/>
          <w:lang w:val="en-IE"/>
        </w:rPr>
        <w:t>is</w:t>
      </w:r>
      <w:r w:rsidR="007840C8" w:rsidRPr="00C73908">
        <w:rPr>
          <w:rFonts w:ascii="Times New Roman" w:hAnsi="Times New Roman" w:cs="Times New Roman"/>
          <w:lang w:val="en-IE"/>
        </w:rPr>
        <w:t xml:space="preserve">, however, </w:t>
      </w:r>
      <w:r w:rsidR="005565A2" w:rsidRPr="00C73908">
        <w:rPr>
          <w:rFonts w:ascii="Times New Roman" w:hAnsi="Times New Roman" w:cs="Times New Roman"/>
          <w:lang w:val="en-IE"/>
        </w:rPr>
        <w:t xml:space="preserve">broadly representative of </w:t>
      </w:r>
      <w:r w:rsidR="00710FD5" w:rsidRPr="00C73908">
        <w:rPr>
          <w:rFonts w:ascii="Times New Roman" w:hAnsi="Times New Roman" w:cs="Times New Roman"/>
          <w:lang w:val="en-IE"/>
        </w:rPr>
        <w:t xml:space="preserve">the </w:t>
      </w:r>
      <w:r w:rsidR="00594213" w:rsidRPr="00C73908">
        <w:rPr>
          <w:rFonts w:ascii="Times New Roman" w:hAnsi="Times New Roman" w:cs="Times New Roman"/>
          <w:lang w:val="en-IE"/>
        </w:rPr>
        <w:t>EI client base.</w:t>
      </w:r>
    </w:p>
    <w:p w14:paraId="5195B8F7" w14:textId="77777777" w:rsidR="006D2EA9" w:rsidRPr="00C73908" w:rsidRDefault="006D2EA9" w:rsidP="008A6DF2">
      <w:pPr>
        <w:pStyle w:val="Heading1"/>
        <w:numPr>
          <w:ilvl w:val="1"/>
          <w:numId w:val="4"/>
        </w:numPr>
        <w:spacing w:after="240" w:line="360" w:lineRule="auto"/>
        <w:jc w:val="both"/>
        <w:rPr>
          <w:rFonts w:ascii="Times New Roman" w:hAnsi="Times New Roman" w:cs="Times New Roman"/>
          <w:b/>
          <w:bCs/>
          <w:color w:val="0070C0"/>
          <w:lang w:val="en-IE"/>
        </w:rPr>
      </w:pPr>
      <w:bookmarkStart w:id="22" w:name="_Toc67143562"/>
      <w:bookmarkStart w:id="23" w:name="_Toc69198803"/>
      <w:r w:rsidRPr="00C73908">
        <w:rPr>
          <w:rFonts w:ascii="Times New Roman" w:hAnsi="Times New Roman" w:cs="Times New Roman"/>
          <w:b/>
          <w:bCs/>
          <w:color w:val="0070C0"/>
          <w:lang w:val="en-IE"/>
        </w:rPr>
        <w:lastRenderedPageBreak/>
        <w:t>Variable Descriptions</w:t>
      </w:r>
      <w:bookmarkEnd w:id="22"/>
      <w:bookmarkEnd w:id="23"/>
    </w:p>
    <w:p w14:paraId="77E5BD5C" w14:textId="1BA58E2C" w:rsidR="006D2EA9" w:rsidRPr="00C73908" w:rsidRDefault="006D2EA9" w:rsidP="008A6DF2">
      <w:pPr>
        <w:spacing w:line="360" w:lineRule="auto"/>
        <w:jc w:val="both"/>
        <w:rPr>
          <w:rFonts w:ascii="Times New Roman" w:hAnsi="Times New Roman" w:cs="Times New Roman"/>
          <w:lang w:val="en-IE"/>
        </w:rPr>
      </w:pPr>
      <w:r w:rsidRPr="00C73908">
        <w:rPr>
          <w:rFonts w:ascii="Times New Roman" w:hAnsi="Times New Roman" w:cs="Times New Roman"/>
          <w:lang w:val="en-IE"/>
        </w:rPr>
        <w:t xml:space="preserve">The purpose of this study is to examine the influence of a range of factors on the export performance of indigenous </w:t>
      </w:r>
      <w:r w:rsidR="0057759E">
        <w:rPr>
          <w:rFonts w:ascii="Times New Roman" w:hAnsi="Times New Roman" w:cs="Times New Roman"/>
          <w:lang w:val="en-IE"/>
        </w:rPr>
        <w:t xml:space="preserve">Irish </w:t>
      </w:r>
      <w:r w:rsidRPr="00C73908">
        <w:rPr>
          <w:rFonts w:ascii="Times New Roman" w:hAnsi="Times New Roman" w:cs="Times New Roman"/>
          <w:lang w:val="en-IE"/>
        </w:rPr>
        <w:t xml:space="preserve">companies. Much of the existing literature has focused primarily on </w:t>
      </w:r>
      <w:r w:rsidR="0003489F">
        <w:rPr>
          <w:rFonts w:ascii="Times New Roman" w:hAnsi="Times New Roman" w:cs="Times New Roman"/>
          <w:lang w:val="en-IE"/>
        </w:rPr>
        <w:t>examining the</w:t>
      </w:r>
      <w:r w:rsidRPr="00C73908">
        <w:rPr>
          <w:rFonts w:ascii="Times New Roman" w:hAnsi="Times New Roman" w:cs="Times New Roman"/>
          <w:lang w:val="en-IE"/>
        </w:rPr>
        <w:t xml:space="preserve"> </w:t>
      </w:r>
      <w:r w:rsidR="000504B0">
        <w:rPr>
          <w:rFonts w:ascii="Times New Roman" w:hAnsi="Times New Roman" w:cs="Times New Roman"/>
          <w:lang w:val="en-IE"/>
        </w:rPr>
        <w:t xml:space="preserve">characteristics of exporters relative to </w:t>
      </w:r>
      <w:r w:rsidR="0003489F">
        <w:rPr>
          <w:rFonts w:ascii="Times New Roman" w:hAnsi="Times New Roman" w:cs="Times New Roman"/>
          <w:lang w:val="en-IE"/>
        </w:rPr>
        <w:t>non-exporters</w:t>
      </w:r>
      <w:r w:rsidR="000504B0">
        <w:rPr>
          <w:rFonts w:ascii="Times New Roman" w:hAnsi="Times New Roman" w:cs="Times New Roman"/>
          <w:lang w:val="en-IE"/>
        </w:rPr>
        <w:t xml:space="preserve"> </w:t>
      </w:r>
      <w:r w:rsidR="0003489F">
        <w:rPr>
          <w:rFonts w:ascii="Times New Roman" w:hAnsi="Times New Roman" w:cs="Times New Roman"/>
          <w:lang w:val="en-IE"/>
        </w:rPr>
        <w:t>as well as</w:t>
      </w:r>
      <w:r w:rsidR="000504B0">
        <w:rPr>
          <w:rFonts w:ascii="Times New Roman" w:hAnsi="Times New Roman" w:cs="Times New Roman"/>
          <w:lang w:val="en-IE"/>
        </w:rPr>
        <w:t xml:space="preserve"> export intensity</w:t>
      </w:r>
      <w:r w:rsidR="0003489F">
        <w:rPr>
          <w:rFonts w:ascii="Times New Roman" w:hAnsi="Times New Roman" w:cs="Times New Roman"/>
          <w:lang w:val="en-IE"/>
        </w:rPr>
        <w:t xml:space="preserve">, the proportion of </w:t>
      </w:r>
      <w:r w:rsidR="004322EE">
        <w:rPr>
          <w:rFonts w:ascii="Times New Roman" w:hAnsi="Times New Roman" w:cs="Times New Roman"/>
          <w:lang w:val="en-IE"/>
        </w:rPr>
        <w:t>exports relative to total sales</w:t>
      </w:r>
      <w:r w:rsidRPr="00C73908">
        <w:rPr>
          <w:rFonts w:ascii="Times New Roman" w:hAnsi="Times New Roman" w:cs="Times New Roman"/>
          <w:lang w:val="en-IE"/>
        </w:rPr>
        <w:t xml:space="preserve"> (ESRI, 2006</w:t>
      </w:r>
      <w:r w:rsidR="00456170" w:rsidRPr="00C73908">
        <w:rPr>
          <w:rFonts w:ascii="Times New Roman" w:hAnsi="Times New Roman" w:cs="Times New Roman"/>
          <w:lang w:val="en-IE"/>
        </w:rPr>
        <w:t xml:space="preserve">; </w:t>
      </w:r>
      <w:r w:rsidR="00A74B00" w:rsidRPr="00C73908">
        <w:rPr>
          <w:rFonts w:ascii="Times New Roman" w:hAnsi="Times New Roman" w:cs="Times New Roman"/>
          <w:lang w:val="en-IE"/>
        </w:rPr>
        <w:t xml:space="preserve">Bernard </w:t>
      </w:r>
      <w:r w:rsidR="00FD426F" w:rsidRPr="00C73908">
        <w:rPr>
          <w:rFonts w:ascii="Times New Roman" w:hAnsi="Times New Roman" w:cs="Times New Roman"/>
          <w:lang w:val="en-IE"/>
        </w:rPr>
        <w:t>and Jensen</w:t>
      </w:r>
      <w:r w:rsidR="00456170" w:rsidRPr="00C73908">
        <w:rPr>
          <w:rFonts w:ascii="Times New Roman" w:hAnsi="Times New Roman" w:cs="Times New Roman"/>
          <w:lang w:val="en-IE"/>
        </w:rPr>
        <w:t xml:space="preserve">, </w:t>
      </w:r>
      <w:r w:rsidR="00FD426F" w:rsidRPr="00C73908">
        <w:rPr>
          <w:rFonts w:ascii="Times New Roman" w:hAnsi="Times New Roman" w:cs="Times New Roman"/>
          <w:lang w:val="en-IE"/>
        </w:rPr>
        <w:t>1999</w:t>
      </w:r>
      <w:r w:rsidRPr="00C73908">
        <w:rPr>
          <w:rFonts w:ascii="Times New Roman" w:hAnsi="Times New Roman" w:cs="Times New Roman"/>
          <w:lang w:val="en-IE"/>
        </w:rPr>
        <w:t xml:space="preserve">). </w:t>
      </w:r>
      <w:r w:rsidR="006C3025">
        <w:rPr>
          <w:rFonts w:ascii="Times New Roman" w:hAnsi="Times New Roman" w:cs="Times New Roman"/>
          <w:lang w:val="en-IE"/>
        </w:rPr>
        <w:t>T</w:t>
      </w:r>
      <w:r w:rsidRPr="00C73908">
        <w:rPr>
          <w:rFonts w:ascii="Times New Roman" w:hAnsi="Times New Roman" w:cs="Times New Roman"/>
          <w:lang w:val="en-IE"/>
        </w:rPr>
        <w:t xml:space="preserve">his study, </w:t>
      </w:r>
      <w:r w:rsidR="006C3025">
        <w:rPr>
          <w:rFonts w:ascii="Times New Roman" w:hAnsi="Times New Roman" w:cs="Times New Roman"/>
          <w:lang w:val="en-IE"/>
        </w:rPr>
        <w:t>on the other hand,</w:t>
      </w:r>
      <w:r w:rsidR="006C3025" w:rsidRPr="00C73908">
        <w:rPr>
          <w:rFonts w:ascii="Times New Roman" w:hAnsi="Times New Roman" w:cs="Times New Roman"/>
          <w:lang w:val="en-IE"/>
        </w:rPr>
        <w:t xml:space="preserve"> </w:t>
      </w:r>
      <w:r w:rsidR="006C3025">
        <w:rPr>
          <w:rFonts w:ascii="Times New Roman" w:hAnsi="Times New Roman" w:cs="Times New Roman"/>
          <w:lang w:val="en-IE"/>
        </w:rPr>
        <w:t xml:space="preserve">examines </w:t>
      </w:r>
      <w:r w:rsidRPr="00C73908">
        <w:rPr>
          <w:rFonts w:ascii="Times New Roman" w:hAnsi="Times New Roman" w:cs="Times New Roman"/>
          <w:lang w:val="en-IE"/>
        </w:rPr>
        <w:t xml:space="preserve">the </w:t>
      </w:r>
      <w:r w:rsidR="00F97503">
        <w:rPr>
          <w:rFonts w:ascii="Times New Roman" w:hAnsi="Times New Roman" w:cs="Times New Roman"/>
          <w:lang w:val="en-IE"/>
        </w:rPr>
        <w:t xml:space="preserve">export </w:t>
      </w:r>
      <w:r w:rsidRPr="00C73908">
        <w:rPr>
          <w:rFonts w:ascii="Times New Roman" w:hAnsi="Times New Roman" w:cs="Times New Roman"/>
          <w:lang w:val="en-IE"/>
        </w:rPr>
        <w:t xml:space="preserve">performance of companies </w:t>
      </w:r>
      <w:r w:rsidR="00F97503">
        <w:rPr>
          <w:rFonts w:ascii="Times New Roman" w:hAnsi="Times New Roman" w:cs="Times New Roman"/>
          <w:lang w:val="en-IE"/>
        </w:rPr>
        <w:t xml:space="preserve">in terms of </w:t>
      </w:r>
      <w:r w:rsidRPr="00C73908">
        <w:rPr>
          <w:rFonts w:ascii="Times New Roman" w:hAnsi="Times New Roman" w:cs="Times New Roman"/>
          <w:lang w:val="en-IE"/>
        </w:rPr>
        <w:t xml:space="preserve">both the </w:t>
      </w:r>
      <w:r w:rsidR="0005138F">
        <w:rPr>
          <w:rFonts w:ascii="Times New Roman" w:hAnsi="Times New Roman" w:cs="Times New Roman"/>
          <w:lang w:val="en-IE"/>
        </w:rPr>
        <w:t>total value of export</w:t>
      </w:r>
      <w:r w:rsidR="00771521">
        <w:rPr>
          <w:rFonts w:ascii="Times New Roman" w:hAnsi="Times New Roman" w:cs="Times New Roman"/>
          <w:lang w:val="en-IE"/>
        </w:rPr>
        <w:t>s</w:t>
      </w:r>
      <w:r w:rsidR="0005138F">
        <w:rPr>
          <w:rFonts w:ascii="Times New Roman" w:hAnsi="Times New Roman" w:cs="Times New Roman"/>
          <w:lang w:val="en-IE"/>
        </w:rPr>
        <w:t xml:space="preserve"> (the intensive margin)</w:t>
      </w:r>
      <w:r w:rsidR="00F97503">
        <w:rPr>
          <w:rFonts w:ascii="Times New Roman" w:hAnsi="Times New Roman" w:cs="Times New Roman"/>
          <w:lang w:val="en-IE"/>
        </w:rPr>
        <w:t xml:space="preserve"> </w:t>
      </w:r>
      <w:r w:rsidRPr="00C73908">
        <w:rPr>
          <w:rFonts w:ascii="Times New Roman" w:hAnsi="Times New Roman" w:cs="Times New Roman"/>
          <w:lang w:val="en-IE"/>
        </w:rPr>
        <w:t xml:space="preserve">and </w:t>
      </w:r>
      <w:r w:rsidR="0005138F">
        <w:rPr>
          <w:rFonts w:ascii="Times New Roman" w:hAnsi="Times New Roman" w:cs="Times New Roman"/>
          <w:lang w:val="en-IE"/>
        </w:rPr>
        <w:t>the number of market</w:t>
      </w:r>
      <w:r w:rsidR="00882478">
        <w:rPr>
          <w:rFonts w:ascii="Times New Roman" w:hAnsi="Times New Roman" w:cs="Times New Roman"/>
          <w:lang w:val="en-IE"/>
        </w:rPr>
        <w:t xml:space="preserve">s which a company sells to (the </w:t>
      </w:r>
      <w:r w:rsidRPr="00C73908">
        <w:rPr>
          <w:rFonts w:ascii="Times New Roman" w:hAnsi="Times New Roman" w:cs="Times New Roman"/>
          <w:lang w:val="en-IE"/>
        </w:rPr>
        <w:t>extensive margin</w:t>
      </w:r>
      <w:r w:rsidR="00882478">
        <w:rPr>
          <w:rFonts w:ascii="Times New Roman" w:hAnsi="Times New Roman" w:cs="Times New Roman"/>
          <w:lang w:val="en-IE"/>
        </w:rPr>
        <w:t>)</w:t>
      </w:r>
      <w:r w:rsidRPr="00C73908">
        <w:rPr>
          <w:rFonts w:ascii="Times New Roman" w:hAnsi="Times New Roman" w:cs="Times New Roman"/>
          <w:lang w:val="en-IE"/>
        </w:rPr>
        <w:t>. Felbermayr and Kohler (2006) outline the distinction between intensive and extensive margins of trade between countries in their study on the growth of manufacturing trade</w:t>
      </w:r>
      <w:r w:rsidR="00352F54" w:rsidRPr="00C73908">
        <w:rPr>
          <w:rFonts w:ascii="Times New Roman" w:hAnsi="Times New Roman" w:cs="Times New Roman"/>
          <w:lang w:val="en-IE"/>
        </w:rPr>
        <w:t xml:space="preserve"> throughout the latter half of the 20</w:t>
      </w:r>
      <w:r w:rsidR="00352F54" w:rsidRPr="00C73908">
        <w:rPr>
          <w:rFonts w:ascii="Times New Roman" w:hAnsi="Times New Roman" w:cs="Times New Roman"/>
          <w:vertAlign w:val="superscript"/>
          <w:lang w:val="en-IE"/>
        </w:rPr>
        <w:t>th</w:t>
      </w:r>
      <w:r w:rsidR="00352F54" w:rsidRPr="00C73908">
        <w:rPr>
          <w:rFonts w:ascii="Times New Roman" w:hAnsi="Times New Roman" w:cs="Times New Roman"/>
          <w:lang w:val="en-IE"/>
        </w:rPr>
        <w:t xml:space="preserve"> century</w:t>
      </w:r>
      <w:r w:rsidRPr="00C73908">
        <w:rPr>
          <w:rFonts w:ascii="Times New Roman" w:hAnsi="Times New Roman" w:cs="Times New Roman"/>
          <w:lang w:val="en-IE"/>
        </w:rPr>
        <w:t xml:space="preserve">. “Where a bilateral trading relationship already exists, it may increase through time (intensive margin). But trade may also increase if a trading bilateral relationship is newly established between countries that have not traded with each other in the past (extensive margin).” In the context of individual companies, the intensive margin of exports can be </w:t>
      </w:r>
      <w:r w:rsidR="00B95ECD">
        <w:rPr>
          <w:rFonts w:ascii="Times New Roman" w:hAnsi="Times New Roman" w:cs="Times New Roman"/>
          <w:lang w:val="en-IE"/>
        </w:rPr>
        <w:t>viewed</w:t>
      </w:r>
      <w:r w:rsidRPr="00C73908">
        <w:rPr>
          <w:rFonts w:ascii="Times New Roman" w:hAnsi="Times New Roman" w:cs="Times New Roman"/>
          <w:lang w:val="en-IE"/>
        </w:rPr>
        <w:t xml:space="preserve"> as increases in the value or quantity of goods traded while entry into new markets represents growth at the extensive margin.</w:t>
      </w:r>
      <w:r w:rsidR="002F37B2" w:rsidRPr="00C73908">
        <w:rPr>
          <w:rFonts w:ascii="Times New Roman" w:hAnsi="Times New Roman" w:cs="Times New Roman"/>
          <w:lang w:val="en-IE"/>
        </w:rPr>
        <w:t xml:space="preserve"> A similar approach is adopted by El</w:t>
      </w:r>
      <w:r w:rsidR="005B131A" w:rsidRPr="00C73908">
        <w:rPr>
          <w:rFonts w:ascii="Times New Roman" w:hAnsi="Times New Roman" w:cs="Times New Roman"/>
          <w:lang w:val="en-IE"/>
        </w:rPr>
        <w:t>l</w:t>
      </w:r>
      <w:r w:rsidR="002F37B2" w:rsidRPr="00C73908">
        <w:rPr>
          <w:rFonts w:ascii="Times New Roman" w:hAnsi="Times New Roman" w:cs="Times New Roman"/>
          <w:lang w:val="en-IE"/>
        </w:rPr>
        <w:t xml:space="preserve">iott et al. (2020) in their analysis of the effects </w:t>
      </w:r>
      <w:r w:rsidR="00B05F5D" w:rsidRPr="00C73908">
        <w:rPr>
          <w:rFonts w:ascii="Times New Roman" w:hAnsi="Times New Roman" w:cs="Times New Roman"/>
          <w:lang w:val="en-IE"/>
        </w:rPr>
        <w:t>of innovation on the intensive and extensive margins of exporting among French manufacturers.</w:t>
      </w:r>
    </w:p>
    <w:p w14:paraId="439E6643" w14:textId="243F84A6" w:rsidR="006D2EA9" w:rsidRPr="00C73908" w:rsidRDefault="006D2EA9" w:rsidP="008A6DF2">
      <w:pPr>
        <w:spacing w:line="360" w:lineRule="auto"/>
        <w:jc w:val="both"/>
        <w:rPr>
          <w:rFonts w:ascii="Times New Roman" w:hAnsi="Times New Roman" w:cs="Times New Roman"/>
          <w:lang w:val="en-IE"/>
        </w:rPr>
      </w:pPr>
      <w:r w:rsidRPr="00C73908">
        <w:rPr>
          <w:rFonts w:ascii="Times New Roman" w:hAnsi="Times New Roman" w:cs="Times New Roman"/>
          <w:lang w:val="en-IE"/>
        </w:rPr>
        <w:t xml:space="preserve">Therefore, for the purposes of the econometric analysis, two measures of export performance are examined as the dependent variables in separate multivariate regressions. Firstly, the overall value of exports is used as an indicator of the intensive margin with </w:t>
      </w:r>
      <w:r w:rsidR="002666A9">
        <w:rPr>
          <w:rFonts w:ascii="Times New Roman" w:hAnsi="Times New Roman" w:cs="Times New Roman"/>
          <w:lang w:val="en-IE"/>
        </w:rPr>
        <w:t>a large proportion of growth due to</w:t>
      </w:r>
      <w:r w:rsidRPr="00C73908">
        <w:rPr>
          <w:rFonts w:ascii="Times New Roman" w:hAnsi="Times New Roman" w:cs="Times New Roman"/>
          <w:lang w:val="en-IE"/>
        </w:rPr>
        <w:t xml:space="preserve"> increases in the value/volumes of sales to existing markets. The extensive margin is represented by the total number of </w:t>
      </w:r>
      <w:r w:rsidR="00F34BDE" w:rsidRPr="00C73908">
        <w:rPr>
          <w:rFonts w:ascii="Times New Roman" w:hAnsi="Times New Roman" w:cs="Times New Roman"/>
          <w:lang w:val="en-IE"/>
        </w:rPr>
        <w:t xml:space="preserve">export </w:t>
      </w:r>
      <w:r w:rsidRPr="00C73908">
        <w:rPr>
          <w:rFonts w:ascii="Times New Roman" w:hAnsi="Times New Roman" w:cs="Times New Roman"/>
          <w:lang w:val="en-IE"/>
        </w:rPr>
        <w:t>markets</w:t>
      </w:r>
      <w:r w:rsidR="00F34BDE" w:rsidRPr="00C73908">
        <w:rPr>
          <w:rFonts w:ascii="Times New Roman" w:hAnsi="Times New Roman" w:cs="Times New Roman"/>
          <w:lang w:val="en-IE"/>
        </w:rPr>
        <w:t xml:space="preserve"> </w:t>
      </w:r>
      <w:r w:rsidRPr="00C73908">
        <w:rPr>
          <w:rFonts w:ascii="Times New Roman" w:hAnsi="Times New Roman" w:cs="Times New Roman"/>
          <w:lang w:val="en-IE"/>
        </w:rPr>
        <w:t>which a company</w:t>
      </w:r>
      <w:r w:rsidR="00F34BDE" w:rsidRPr="00C73908">
        <w:rPr>
          <w:rFonts w:ascii="Times New Roman" w:hAnsi="Times New Roman" w:cs="Times New Roman"/>
          <w:lang w:val="en-IE"/>
        </w:rPr>
        <w:t xml:space="preserve"> sells to each year</w:t>
      </w:r>
      <w:r w:rsidRPr="00C73908">
        <w:rPr>
          <w:rFonts w:ascii="Times New Roman" w:hAnsi="Times New Roman" w:cs="Times New Roman"/>
          <w:lang w:val="en-IE"/>
        </w:rPr>
        <w:t>. A €25,000 minimum threshold is applied in determining the number of export markets. The reason for this is to ensure that markets are only counted where there are sustained sales and one-off</w:t>
      </w:r>
      <w:r w:rsidR="002D6990" w:rsidRPr="00C73908">
        <w:rPr>
          <w:rFonts w:ascii="Times New Roman" w:hAnsi="Times New Roman" w:cs="Times New Roman"/>
          <w:lang w:val="en-IE"/>
        </w:rPr>
        <w:t xml:space="preserve"> or sporadic</w:t>
      </w:r>
      <w:r w:rsidRPr="00C73908">
        <w:rPr>
          <w:rFonts w:ascii="Times New Roman" w:hAnsi="Times New Roman" w:cs="Times New Roman"/>
          <w:lang w:val="en-IE"/>
        </w:rPr>
        <w:t xml:space="preserve">, small scale exports to new markets are excluded. It should be noted that the export data in the ABR survey measures total sales from Irish operations. Any sales from overseas operations or foreign-based subsidiaries are not included in the total export figures. In any case, there are </w:t>
      </w:r>
      <w:r w:rsidR="002E7651" w:rsidRPr="00C73908">
        <w:rPr>
          <w:rFonts w:ascii="Times New Roman" w:hAnsi="Times New Roman" w:cs="Times New Roman"/>
          <w:lang w:val="en-IE"/>
        </w:rPr>
        <w:t xml:space="preserve">a </w:t>
      </w:r>
      <w:r w:rsidRPr="00C73908">
        <w:rPr>
          <w:rFonts w:ascii="Times New Roman" w:hAnsi="Times New Roman" w:cs="Times New Roman"/>
          <w:lang w:val="en-IE"/>
        </w:rPr>
        <w:t xml:space="preserve">relatively </w:t>
      </w:r>
      <w:r w:rsidR="002E7651" w:rsidRPr="00C73908">
        <w:rPr>
          <w:rFonts w:ascii="Times New Roman" w:hAnsi="Times New Roman" w:cs="Times New Roman"/>
          <w:lang w:val="en-IE"/>
        </w:rPr>
        <w:t>small number of</w:t>
      </w:r>
      <w:r w:rsidRPr="00C73908">
        <w:rPr>
          <w:rFonts w:ascii="Times New Roman" w:hAnsi="Times New Roman" w:cs="Times New Roman"/>
          <w:lang w:val="en-IE"/>
        </w:rPr>
        <w:t xml:space="preserve"> client companies with significant overseas operations.</w:t>
      </w:r>
    </w:p>
    <w:p w14:paraId="2EC5EB49" w14:textId="3EE9D378" w:rsidR="006D2EA9" w:rsidRPr="00C73908" w:rsidRDefault="006D2EA9" w:rsidP="008A6DF2">
      <w:pPr>
        <w:spacing w:line="360" w:lineRule="auto"/>
        <w:jc w:val="both"/>
        <w:rPr>
          <w:rFonts w:ascii="Times New Roman" w:hAnsi="Times New Roman" w:cs="Times New Roman"/>
          <w:lang w:val="en-IE"/>
        </w:rPr>
      </w:pPr>
      <w:r w:rsidRPr="00C73908">
        <w:rPr>
          <w:rFonts w:ascii="Times New Roman" w:hAnsi="Times New Roman" w:cs="Times New Roman"/>
          <w:lang w:val="en-IE"/>
        </w:rPr>
        <w:t xml:space="preserve">The econometric analysis </w:t>
      </w:r>
      <w:r w:rsidR="00727D7C">
        <w:rPr>
          <w:rFonts w:ascii="Times New Roman" w:hAnsi="Times New Roman" w:cs="Times New Roman"/>
          <w:lang w:val="en-IE"/>
        </w:rPr>
        <w:t>examine</w:t>
      </w:r>
      <w:r w:rsidR="00346DC2">
        <w:rPr>
          <w:rFonts w:ascii="Times New Roman" w:hAnsi="Times New Roman" w:cs="Times New Roman"/>
          <w:lang w:val="en-IE"/>
        </w:rPr>
        <w:t>s</w:t>
      </w:r>
      <w:r w:rsidR="00727D7C">
        <w:rPr>
          <w:rFonts w:ascii="Times New Roman" w:hAnsi="Times New Roman" w:cs="Times New Roman"/>
          <w:lang w:val="en-IE"/>
        </w:rPr>
        <w:t xml:space="preserve"> the relationship between</w:t>
      </w:r>
      <w:r w:rsidRPr="00C73908">
        <w:rPr>
          <w:rFonts w:ascii="Times New Roman" w:hAnsi="Times New Roman" w:cs="Times New Roman"/>
          <w:lang w:val="en-IE"/>
        </w:rPr>
        <w:t xml:space="preserve"> two dependent variables </w:t>
      </w:r>
      <w:r w:rsidR="00AE78DC">
        <w:rPr>
          <w:rFonts w:ascii="Times New Roman" w:hAnsi="Times New Roman" w:cs="Times New Roman"/>
          <w:lang w:val="en-IE"/>
        </w:rPr>
        <w:t>and</w:t>
      </w:r>
      <w:r w:rsidRPr="00C73908">
        <w:rPr>
          <w:rFonts w:ascii="Times New Roman" w:hAnsi="Times New Roman" w:cs="Times New Roman"/>
          <w:lang w:val="en-IE"/>
        </w:rPr>
        <w:t xml:space="preserve"> a range of independent variables (also known as regressors) which </w:t>
      </w:r>
      <w:r w:rsidR="009467C0">
        <w:rPr>
          <w:rFonts w:ascii="Times New Roman" w:hAnsi="Times New Roman" w:cs="Times New Roman"/>
          <w:lang w:val="en-IE"/>
        </w:rPr>
        <w:t xml:space="preserve">are </w:t>
      </w:r>
      <w:r w:rsidRPr="00C73908">
        <w:rPr>
          <w:rFonts w:ascii="Times New Roman" w:hAnsi="Times New Roman" w:cs="Times New Roman"/>
          <w:lang w:val="en-IE"/>
        </w:rPr>
        <w:t>selected to represent each of the thematic areas identified in the literature review. These independent variables can take two forms:</w:t>
      </w:r>
    </w:p>
    <w:p w14:paraId="79E02C47" w14:textId="77777777" w:rsidR="006D2EA9" w:rsidRPr="00C73908" w:rsidRDefault="006D2EA9" w:rsidP="008A6DF2">
      <w:pPr>
        <w:pStyle w:val="ListParagraph"/>
        <w:numPr>
          <w:ilvl w:val="0"/>
          <w:numId w:val="9"/>
        </w:numPr>
        <w:spacing w:line="360" w:lineRule="auto"/>
        <w:jc w:val="both"/>
        <w:rPr>
          <w:rFonts w:ascii="Times New Roman" w:hAnsi="Times New Roman" w:cs="Times New Roman"/>
          <w:lang w:val="en-IE"/>
        </w:rPr>
      </w:pPr>
      <w:r w:rsidRPr="00C73908">
        <w:rPr>
          <w:rFonts w:ascii="Times New Roman" w:hAnsi="Times New Roman" w:cs="Times New Roman"/>
          <w:lang w:val="en-IE"/>
        </w:rPr>
        <w:t>Continuous variables are numerical values which vary over time; and</w:t>
      </w:r>
    </w:p>
    <w:p w14:paraId="280F9B0D" w14:textId="0A8048A5" w:rsidR="006D2EA9" w:rsidRPr="00C73908" w:rsidRDefault="006D2EA9" w:rsidP="008A6DF2">
      <w:pPr>
        <w:pStyle w:val="ListParagraph"/>
        <w:numPr>
          <w:ilvl w:val="0"/>
          <w:numId w:val="9"/>
        </w:numPr>
        <w:spacing w:line="360" w:lineRule="auto"/>
        <w:jc w:val="both"/>
        <w:rPr>
          <w:rFonts w:ascii="Times New Roman" w:hAnsi="Times New Roman" w:cs="Times New Roman"/>
          <w:lang w:val="en-IE"/>
        </w:rPr>
      </w:pPr>
      <w:r w:rsidRPr="00C73908">
        <w:rPr>
          <w:rFonts w:ascii="Times New Roman" w:hAnsi="Times New Roman" w:cs="Times New Roman"/>
          <w:lang w:val="en-IE"/>
        </w:rPr>
        <w:t>Binary</w:t>
      </w:r>
      <w:r w:rsidR="008A2A61" w:rsidRPr="00C73908">
        <w:rPr>
          <w:rFonts w:ascii="Times New Roman" w:hAnsi="Times New Roman" w:cs="Times New Roman"/>
          <w:lang w:val="en-IE"/>
        </w:rPr>
        <w:t xml:space="preserve"> </w:t>
      </w:r>
      <w:r w:rsidR="007C08D6" w:rsidRPr="00C73908">
        <w:rPr>
          <w:rFonts w:ascii="Times New Roman" w:hAnsi="Times New Roman" w:cs="Times New Roman"/>
          <w:lang w:val="en-IE"/>
        </w:rPr>
        <w:t xml:space="preserve">(or </w:t>
      </w:r>
      <w:r w:rsidRPr="00C73908">
        <w:rPr>
          <w:rFonts w:ascii="Times New Roman" w:hAnsi="Times New Roman" w:cs="Times New Roman"/>
          <w:lang w:val="en-IE"/>
        </w:rPr>
        <w:t>dummy</w:t>
      </w:r>
      <w:r w:rsidR="007C08D6" w:rsidRPr="00C73908">
        <w:rPr>
          <w:rFonts w:ascii="Times New Roman" w:hAnsi="Times New Roman" w:cs="Times New Roman"/>
          <w:lang w:val="en-IE"/>
        </w:rPr>
        <w:t>)</w:t>
      </w:r>
      <w:r w:rsidRPr="00C73908">
        <w:rPr>
          <w:rFonts w:ascii="Times New Roman" w:hAnsi="Times New Roman" w:cs="Times New Roman"/>
          <w:lang w:val="en-IE"/>
        </w:rPr>
        <w:t xml:space="preserve"> variables which take the value of 1 or 0 and are used to indicate the presence of a particular characteristic/treatment in a given year.</w:t>
      </w:r>
    </w:p>
    <w:p w14:paraId="79BC13EA" w14:textId="382B026C" w:rsidR="006D2EA9" w:rsidRPr="00C73908" w:rsidRDefault="009467C0" w:rsidP="008A6DF2">
      <w:pPr>
        <w:spacing w:line="360" w:lineRule="auto"/>
        <w:jc w:val="both"/>
        <w:rPr>
          <w:rFonts w:ascii="Times New Roman" w:hAnsi="Times New Roman" w:cs="Times New Roman"/>
          <w:lang w:val="en-IE"/>
        </w:rPr>
      </w:pPr>
      <w:r w:rsidRPr="009467C0">
        <w:rPr>
          <w:rFonts w:ascii="Times New Roman" w:hAnsi="Times New Roman" w:cs="Times New Roman"/>
          <w:b/>
          <w:bCs/>
          <w:color w:val="0070C0"/>
          <w:lang w:val="en-IE"/>
        </w:rPr>
        <w:lastRenderedPageBreak/>
        <w:t xml:space="preserve">Productivity: </w:t>
      </w:r>
      <w:r w:rsidR="006D2EA9" w:rsidRPr="00C73908">
        <w:rPr>
          <w:rFonts w:ascii="Times New Roman" w:hAnsi="Times New Roman" w:cs="Times New Roman"/>
          <w:lang w:val="en-IE"/>
        </w:rPr>
        <w:t xml:space="preserve">Productivity has been studied widely in the literature as a determinant of export performance. Despite this, there is no clear consensus on the most appropriate indicator of firm level productivity. A variety of different measures have been used in previous studies including sales per employee (ESRI, 2006) and total factor productivity (Arnold and Hussinger, 2004). Value added per employee is perhaps the most widely used indicator in the literature (Bernard and Jensen, 1999). The UK’s Office of National Statistics (ONS) also uses it as a measure of firm level productivity and it is, therefore, adopted for this analysis. Value added </w:t>
      </w:r>
      <w:r w:rsidR="00B02976" w:rsidRPr="00C73908">
        <w:rPr>
          <w:rFonts w:ascii="Times New Roman" w:hAnsi="Times New Roman" w:cs="Times New Roman"/>
          <w:lang w:val="en-IE"/>
        </w:rPr>
        <w:t xml:space="preserve">(VA) </w:t>
      </w:r>
      <w:r w:rsidR="006D2EA9" w:rsidRPr="00C73908">
        <w:rPr>
          <w:rFonts w:ascii="Times New Roman" w:hAnsi="Times New Roman" w:cs="Times New Roman"/>
          <w:lang w:val="en-IE"/>
        </w:rPr>
        <w:t xml:space="preserve">per employee is calculated as sales minus </w:t>
      </w:r>
      <w:r w:rsidR="0085442D" w:rsidRPr="00C73908">
        <w:rPr>
          <w:rFonts w:ascii="Times New Roman" w:hAnsi="Times New Roman" w:cs="Times New Roman"/>
          <w:lang w:val="en-IE"/>
        </w:rPr>
        <w:t xml:space="preserve">services </w:t>
      </w:r>
      <w:r w:rsidR="006D2EA9" w:rsidRPr="00C73908">
        <w:rPr>
          <w:rFonts w:ascii="Times New Roman" w:hAnsi="Times New Roman" w:cs="Times New Roman"/>
          <w:lang w:val="en-IE"/>
        </w:rPr>
        <w:t xml:space="preserve">costs </w:t>
      </w:r>
      <w:r w:rsidR="0085442D" w:rsidRPr="00C73908">
        <w:rPr>
          <w:rFonts w:ascii="Times New Roman" w:hAnsi="Times New Roman" w:cs="Times New Roman"/>
          <w:lang w:val="en-IE"/>
        </w:rPr>
        <w:t xml:space="preserve">and materials costs </w:t>
      </w:r>
      <w:r w:rsidR="006D2EA9" w:rsidRPr="00C73908">
        <w:rPr>
          <w:rFonts w:ascii="Times New Roman" w:hAnsi="Times New Roman" w:cs="Times New Roman"/>
          <w:lang w:val="en-IE"/>
        </w:rPr>
        <w:t xml:space="preserve">associated with production divided by total employment. An additional variable is also included which indicates whether a company has received funding from Enterprise Ireland </w:t>
      </w:r>
      <w:r w:rsidR="00D875D5">
        <w:rPr>
          <w:rFonts w:ascii="Times New Roman" w:hAnsi="Times New Roman" w:cs="Times New Roman"/>
          <w:lang w:val="en-IE"/>
        </w:rPr>
        <w:t>to support</w:t>
      </w:r>
      <w:r w:rsidR="006D2EA9" w:rsidRPr="00C73908">
        <w:rPr>
          <w:rFonts w:ascii="Times New Roman" w:hAnsi="Times New Roman" w:cs="Times New Roman"/>
          <w:lang w:val="en-IE"/>
        </w:rPr>
        <w:t xml:space="preserve"> projects aimed at </w:t>
      </w:r>
      <w:r w:rsidR="00AE78DC">
        <w:rPr>
          <w:rFonts w:ascii="Times New Roman" w:hAnsi="Times New Roman" w:cs="Times New Roman"/>
          <w:lang w:val="en-IE"/>
        </w:rPr>
        <w:t xml:space="preserve">increasing capacity and </w:t>
      </w:r>
      <w:r w:rsidR="00ED48AF" w:rsidRPr="00C73908">
        <w:rPr>
          <w:rFonts w:ascii="Times New Roman" w:hAnsi="Times New Roman" w:cs="Times New Roman"/>
          <w:lang w:val="en-IE"/>
        </w:rPr>
        <w:t>enhancing</w:t>
      </w:r>
      <w:r w:rsidR="006D2EA9" w:rsidRPr="00C73908">
        <w:rPr>
          <w:rFonts w:ascii="Times New Roman" w:hAnsi="Times New Roman" w:cs="Times New Roman"/>
          <w:lang w:val="en-IE"/>
        </w:rPr>
        <w:t xml:space="preserve"> productivity. This includes funding under the Capital Investment Initiative which </w:t>
      </w:r>
      <w:r w:rsidR="002C7CBE">
        <w:rPr>
          <w:rFonts w:ascii="Times New Roman" w:hAnsi="Times New Roman" w:cs="Times New Roman"/>
          <w:lang w:val="en-IE"/>
        </w:rPr>
        <w:t>provides</w:t>
      </w:r>
      <w:r w:rsidR="006D2EA9" w:rsidRPr="00C73908">
        <w:rPr>
          <w:rFonts w:ascii="Times New Roman" w:hAnsi="Times New Roman" w:cs="Times New Roman"/>
          <w:lang w:val="en-IE"/>
        </w:rPr>
        <w:t xml:space="preserve"> grant support of up to €250,000 for the acquisition of new capital equipment and technologies. It also includes support for LEAN projects which involve an extensive training programme aimed at improving productivity within the company by establishing and embedding continuous improvement systems </w:t>
      </w:r>
      <w:r w:rsidR="007C5088" w:rsidRPr="00C73908">
        <w:rPr>
          <w:rFonts w:ascii="Times New Roman" w:hAnsi="Times New Roman" w:cs="Times New Roman"/>
          <w:lang w:val="en-IE"/>
        </w:rPr>
        <w:t>and</w:t>
      </w:r>
      <w:r w:rsidR="006D2EA9" w:rsidRPr="00C73908">
        <w:rPr>
          <w:rFonts w:ascii="Times New Roman" w:hAnsi="Times New Roman" w:cs="Times New Roman"/>
          <w:lang w:val="en-IE"/>
        </w:rPr>
        <w:t xml:space="preserve"> behaviours.</w:t>
      </w:r>
    </w:p>
    <w:p w14:paraId="3F55022D" w14:textId="46C5AD6B" w:rsidR="006D2EA9" w:rsidRPr="00C73908" w:rsidRDefault="009467C0" w:rsidP="008A6DF2">
      <w:pPr>
        <w:spacing w:line="360" w:lineRule="auto"/>
        <w:jc w:val="both"/>
        <w:rPr>
          <w:rFonts w:ascii="Times New Roman" w:hAnsi="Times New Roman" w:cs="Times New Roman"/>
          <w:lang w:val="en-IE"/>
        </w:rPr>
      </w:pPr>
      <w:r w:rsidRPr="009467C0">
        <w:rPr>
          <w:rFonts w:ascii="Times New Roman" w:hAnsi="Times New Roman" w:cs="Times New Roman"/>
          <w:b/>
          <w:bCs/>
          <w:color w:val="0070C0"/>
          <w:lang w:val="en-IE"/>
        </w:rPr>
        <w:t xml:space="preserve">Innovation: </w:t>
      </w:r>
      <w:r w:rsidR="006D2EA9" w:rsidRPr="00C73908">
        <w:rPr>
          <w:rFonts w:ascii="Times New Roman" w:hAnsi="Times New Roman" w:cs="Times New Roman"/>
          <w:lang w:val="en-IE"/>
        </w:rPr>
        <w:t>Innovation is a broad term which can re</w:t>
      </w:r>
      <w:r w:rsidR="009C52F8" w:rsidRPr="00C73908">
        <w:rPr>
          <w:rFonts w:ascii="Times New Roman" w:hAnsi="Times New Roman" w:cs="Times New Roman"/>
          <w:lang w:val="en-IE"/>
        </w:rPr>
        <w:t>fer</w:t>
      </w:r>
      <w:r w:rsidR="006D2EA9" w:rsidRPr="00C73908">
        <w:rPr>
          <w:rFonts w:ascii="Times New Roman" w:hAnsi="Times New Roman" w:cs="Times New Roman"/>
          <w:lang w:val="en-IE"/>
        </w:rPr>
        <w:t xml:space="preserve"> to a wide range of activities and processes</w:t>
      </w:r>
      <w:r w:rsidR="00622250" w:rsidRPr="00C73908">
        <w:rPr>
          <w:rFonts w:ascii="Times New Roman" w:hAnsi="Times New Roman" w:cs="Times New Roman"/>
          <w:lang w:val="en-IE"/>
        </w:rPr>
        <w:t xml:space="preserve"> and so i</w:t>
      </w:r>
      <w:r w:rsidR="006D2EA9" w:rsidRPr="00C73908">
        <w:rPr>
          <w:rFonts w:ascii="Times New Roman" w:hAnsi="Times New Roman" w:cs="Times New Roman"/>
          <w:lang w:val="en-IE"/>
        </w:rPr>
        <w:t>t is</w:t>
      </w:r>
      <w:r w:rsidR="00622250" w:rsidRPr="00C73908">
        <w:rPr>
          <w:rFonts w:ascii="Times New Roman" w:hAnsi="Times New Roman" w:cs="Times New Roman"/>
          <w:lang w:val="en-IE"/>
        </w:rPr>
        <w:t xml:space="preserve"> </w:t>
      </w:r>
      <w:r w:rsidR="006D2EA9" w:rsidRPr="00C73908">
        <w:rPr>
          <w:rFonts w:ascii="Times New Roman" w:hAnsi="Times New Roman" w:cs="Times New Roman"/>
          <w:lang w:val="en-IE"/>
        </w:rPr>
        <w:t xml:space="preserve">appropriate to </w:t>
      </w:r>
      <w:r w:rsidR="00690108">
        <w:rPr>
          <w:rFonts w:ascii="Times New Roman" w:hAnsi="Times New Roman" w:cs="Times New Roman"/>
          <w:lang w:val="en-IE"/>
        </w:rPr>
        <w:t>analyse</w:t>
      </w:r>
      <w:r w:rsidR="006D2EA9" w:rsidRPr="00C73908">
        <w:rPr>
          <w:rFonts w:ascii="Times New Roman" w:hAnsi="Times New Roman" w:cs="Times New Roman"/>
          <w:lang w:val="en-IE"/>
        </w:rPr>
        <w:t xml:space="preserve"> several aspects of innovation including both input and output indicators. The econometric analysis will</w:t>
      </w:r>
      <w:r w:rsidR="00151761" w:rsidRPr="00C73908">
        <w:rPr>
          <w:rFonts w:ascii="Times New Roman" w:hAnsi="Times New Roman" w:cs="Times New Roman"/>
          <w:lang w:val="en-IE"/>
        </w:rPr>
        <w:t>, therefore,</w:t>
      </w:r>
      <w:r w:rsidR="006D2EA9" w:rsidRPr="00C73908">
        <w:rPr>
          <w:rFonts w:ascii="Times New Roman" w:hAnsi="Times New Roman" w:cs="Times New Roman"/>
          <w:lang w:val="en-IE"/>
        </w:rPr>
        <w:t xml:space="preserve"> </w:t>
      </w:r>
      <w:r w:rsidR="00151761" w:rsidRPr="00C73908">
        <w:rPr>
          <w:rFonts w:ascii="Times New Roman" w:hAnsi="Times New Roman" w:cs="Times New Roman"/>
          <w:lang w:val="en-IE"/>
        </w:rPr>
        <w:t xml:space="preserve">examine </w:t>
      </w:r>
      <w:r w:rsidR="006D2EA9" w:rsidRPr="00C73908">
        <w:rPr>
          <w:rFonts w:ascii="Times New Roman" w:hAnsi="Times New Roman" w:cs="Times New Roman"/>
          <w:lang w:val="en-IE"/>
        </w:rPr>
        <w:t>three innovation related indicators: R&amp;D spend, new product development and collaborative R&amp;D.</w:t>
      </w:r>
    </w:p>
    <w:p w14:paraId="3B415017" w14:textId="2E2C865C" w:rsidR="006D2EA9" w:rsidRPr="00C73908" w:rsidRDefault="006D2EA9" w:rsidP="008A6DF2">
      <w:pPr>
        <w:pStyle w:val="ListParagraph"/>
        <w:numPr>
          <w:ilvl w:val="0"/>
          <w:numId w:val="10"/>
        </w:numPr>
        <w:spacing w:line="360" w:lineRule="auto"/>
        <w:jc w:val="both"/>
        <w:rPr>
          <w:rFonts w:ascii="Times New Roman" w:hAnsi="Times New Roman" w:cs="Times New Roman"/>
          <w:lang w:val="en-IE"/>
        </w:rPr>
      </w:pPr>
      <w:r w:rsidRPr="00C73908">
        <w:rPr>
          <w:rFonts w:ascii="Times New Roman" w:hAnsi="Times New Roman" w:cs="Times New Roman"/>
          <w:lang w:val="en-IE"/>
        </w:rPr>
        <w:t xml:space="preserve">R&amp;D spend is an input indicator which measures company’s total annual expenditure on in-house and outsourced R&amp;D. This figure includes all costs </w:t>
      </w:r>
      <w:r w:rsidR="00A46BEB">
        <w:rPr>
          <w:rFonts w:ascii="Times New Roman" w:hAnsi="Times New Roman" w:cs="Times New Roman"/>
          <w:lang w:val="en-IE"/>
        </w:rPr>
        <w:t>included in</w:t>
      </w:r>
      <w:r w:rsidRPr="00C73908">
        <w:rPr>
          <w:rFonts w:ascii="Times New Roman" w:hAnsi="Times New Roman" w:cs="Times New Roman"/>
          <w:lang w:val="en-IE"/>
        </w:rPr>
        <w:t xml:space="preserve"> the European Commission’s definition of R&amp;D; “creative work undertaken on a systematic basis using scientific and technological means to create new and improved products, processes, services and other applications.”</w:t>
      </w:r>
    </w:p>
    <w:p w14:paraId="53AA50BB" w14:textId="3B01C9F3" w:rsidR="006D2EA9" w:rsidRPr="00C73908" w:rsidRDefault="006D2EA9" w:rsidP="008A6DF2">
      <w:pPr>
        <w:pStyle w:val="ListParagraph"/>
        <w:numPr>
          <w:ilvl w:val="0"/>
          <w:numId w:val="10"/>
        </w:numPr>
        <w:spacing w:line="360" w:lineRule="auto"/>
        <w:jc w:val="both"/>
        <w:rPr>
          <w:rFonts w:ascii="Times New Roman" w:hAnsi="Times New Roman" w:cs="Times New Roman"/>
          <w:lang w:val="en-IE"/>
        </w:rPr>
      </w:pPr>
      <w:r w:rsidRPr="00C73908">
        <w:rPr>
          <w:rFonts w:ascii="Times New Roman" w:hAnsi="Times New Roman" w:cs="Times New Roman"/>
          <w:lang w:val="en-IE"/>
        </w:rPr>
        <w:t xml:space="preserve">The new product development indicator is based on a question in the ABR survey which asks companies the proportion of their annual sales which were accounted for by products/services introduced by the company in the last 3 years. The </w:t>
      </w:r>
      <w:r w:rsidR="00E56CFC" w:rsidRPr="00C73908">
        <w:rPr>
          <w:rFonts w:ascii="Times New Roman" w:hAnsi="Times New Roman" w:cs="Times New Roman"/>
          <w:lang w:val="en-IE"/>
        </w:rPr>
        <w:t xml:space="preserve">indicator </w:t>
      </w:r>
      <w:r w:rsidRPr="00C73908">
        <w:rPr>
          <w:rFonts w:ascii="Times New Roman" w:hAnsi="Times New Roman" w:cs="Times New Roman"/>
          <w:lang w:val="en-IE"/>
        </w:rPr>
        <w:t xml:space="preserve">is a binary </w:t>
      </w:r>
      <w:r w:rsidR="00E56CFC" w:rsidRPr="00C73908">
        <w:rPr>
          <w:rFonts w:ascii="Times New Roman" w:hAnsi="Times New Roman" w:cs="Times New Roman"/>
          <w:lang w:val="en-IE"/>
        </w:rPr>
        <w:t xml:space="preserve">variable </w:t>
      </w:r>
      <w:r w:rsidRPr="00C73908">
        <w:rPr>
          <w:rFonts w:ascii="Times New Roman" w:hAnsi="Times New Roman" w:cs="Times New Roman"/>
          <w:lang w:val="en-IE"/>
        </w:rPr>
        <w:t>which equals 1 if the company has introduced new products in the previous 3 years.</w:t>
      </w:r>
    </w:p>
    <w:p w14:paraId="47E7EF9F" w14:textId="04D7B622" w:rsidR="006D2EA9" w:rsidRPr="00C73908" w:rsidRDefault="006D2EA9" w:rsidP="008A6DF2">
      <w:pPr>
        <w:pStyle w:val="ListParagraph"/>
        <w:numPr>
          <w:ilvl w:val="0"/>
          <w:numId w:val="10"/>
        </w:numPr>
        <w:spacing w:line="360" w:lineRule="auto"/>
        <w:jc w:val="both"/>
        <w:rPr>
          <w:rFonts w:ascii="Times New Roman" w:hAnsi="Times New Roman" w:cs="Times New Roman"/>
          <w:lang w:val="en-IE"/>
        </w:rPr>
      </w:pPr>
      <w:r w:rsidRPr="00C73908">
        <w:rPr>
          <w:rFonts w:ascii="Times New Roman" w:hAnsi="Times New Roman" w:cs="Times New Roman"/>
          <w:lang w:val="en-IE"/>
        </w:rPr>
        <w:t xml:space="preserve">The third variable related to innovation activity is a binary variable which is based on company engagement in several forms of collaborative innovation. This includes companies receiving Innovation Vouchers/Partnerships which provide funding to undertake collaborative research with Irish research institutes </w:t>
      </w:r>
      <w:r w:rsidR="0072330C" w:rsidRPr="00C73908">
        <w:rPr>
          <w:rFonts w:ascii="Times New Roman" w:hAnsi="Times New Roman" w:cs="Times New Roman"/>
          <w:lang w:val="en-IE"/>
        </w:rPr>
        <w:t>with the aim of</w:t>
      </w:r>
      <w:r w:rsidRPr="00C73908">
        <w:rPr>
          <w:rFonts w:ascii="Times New Roman" w:hAnsi="Times New Roman" w:cs="Times New Roman"/>
        </w:rPr>
        <w:t xml:space="preserve"> </w:t>
      </w:r>
      <w:r w:rsidRPr="00C73908">
        <w:rPr>
          <w:rFonts w:ascii="Times New Roman" w:hAnsi="Times New Roman" w:cs="Times New Roman"/>
          <w:lang w:val="en-IE"/>
        </w:rPr>
        <w:t>develop</w:t>
      </w:r>
      <w:r w:rsidR="0072330C" w:rsidRPr="00C73908">
        <w:rPr>
          <w:rFonts w:ascii="Times New Roman" w:hAnsi="Times New Roman" w:cs="Times New Roman"/>
          <w:lang w:val="en-IE"/>
        </w:rPr>
        <w:t>ing</w:t>
      </w:r>
      <w:r w:rsidRPr="00C73908">
        <w:rPr>
          <w:rFonts w:ascii="Times New Roman" w:hAnsi="Times New Roman" w:cs="Times New Roman"/>
          <w:lang w:val="en-IE"/>
        </w:rPr>
        <w:t xml:space="preserve"> new and improved products, </w:t>
      </w:r>
      <w:r w:rsidR="008B3102" w:rsidRPr="00C73908">
        <w:rPr>
          <w:rFonts w:ascii="Times New Roman" w:hAnsi="Times New Roman" w:cs="Times New Roman"/>
          <w:lang w:val="en-IE"/>
        </w:rPr>
        <w:t>processes,</w:t>
      </w:r>
      <w:r w:rsidR="0072330C" w:rsidRPr="00C73908">
        <w:rPr>
          <w:rFonts w:ascii="Times New Roman" w:hAnsi="Times New Roman" w:cs="Times New Roman"/>
          <w:lang w:val="en-IE"/>
        </w:rPr>
        <w:t xml:space="preserve"> or</w:t>
      </w:r>
      <w:r w:rsidRPr="00C73908">
        <w:rPr>
          <w:rFonts w:ascii="Times New Roman" w:hAnsi="Times New Roman" w:cs="Times New Roman"/>
          <w:lang w:val="en-IE"/>
        </w:rPr>
        <w:t xml:space="preserve"> services. It also tracks company’s engagement </w:t>
      </w:r>
      <w:r w:rsidR="00AC3DE4" w:rsidRPr="00C73908">
        <w:rPr>
          <w:rFonts w:ascii="Times New Roman" w:hAnsi="Times New Roman" w:cs="Times New Roman"/>
          <w:lang w:val="en-IE"/>
        </w:rPr>
        <w:t>with</w:t>
      </w:r>
      <w:r w:rsidRPr="00C73908">
        <w:rPr>
          <w:rFonts w:ascii="Times New Roman" w:hAnsi="Times New Roman" w:cs="Times New Roman"/>
          <w:lang w:val="en-IE"/>
        </w:rPr>
        <w:t xml:space="preserve"> various Technology Centres</w:t>
      </w:r>
      <w:r w:rsidR="007C5088" w:rsidRPr="00C73908">
        <w:rPr>
          <w:rFonts w:ascii="Times New Roman" w:hAnsi="Times New Roman" w:cs="Times New Roman"/>
          <w:lang w:val="en-IE"/>
        </w:rPr>
        <w:t xml:space="preserve">, funded by EI and </w:t>
      </w:r>
      <w:r w:rsidR="007C5088" w:rsidRPr="00C73908">
        <w:rPr>
          <w:rFonts w:ascii="Times New Roman" w:hAnsi="Times New Roman" w:cs="Times New Roman"/>
          <w:lang w:val="en-IE"/>
        </w:rPr>
        <w:lastRenderedPageBreak/>
        <w:t>IDA,</w:t>
      </w:r>
      <w:r w:rsidRPr="00C73908">
        <w:rPr>
          <w:rFonts w:ascii="Times New Roman" w:hAnsi="Times New Roman" w:cs="Times New Roman"/>
          <w:lang w:val="en-IE"/>
        </w:rPr>
        <w:t xml:space="preserve"> which allow Irish companies and multinationals to work together on market focused strategic R&amp;D projects in collaboration with research institutions.</w:t>
      </w:r>
    </w:p>
    <w:p w14:paraId="5709B8D1" w14:textId="72DC728D" w:rsidR="006212E0" w:rsidRPr="00C73908" w:rsidRDefault="002678E4" w:rsidP="008A6DF2">
      <w:pPr>
        <w:spacing w:before="160" w:line="360" w:lineRule="auto"/>
        <w:jc w:val="both"/>
        <w:rPr>
          <w:rFonts w:ascii="Times New Roman" w:hAnsi="Times New Roman" w:cs="Times New Roman"/>
          <w:lang w:val="en-IE"/>
        </w:rPr>
      </w:pPr>
      <w:r w:rsidRPr="002678E4">
        <w:rPr>
          <w:rFonts w:ascii="Times New Roman" w:hAnsi="Times New Roman" w:cs="Times New Roman"/>
          <w:b/>
          <w:bCs/>
          <w:color w:val="0070C0"/>
          <w:lang w:val="en-IE"/>
        </w:rPr>
        <w:t>Skill Levels:</w:t>
      </w:r>
      <w:r>
        <w:rPr>
          <w:rFonts w:ascii="Times New Roman" w:hAnsi="Times New Roman" w:cs="Times New Roman"/>
          <w:lang w:val="en-IE"/>
        </w:rPr>
        <w:t xml:space="preserve"> </w:t>
      </w:r>
      <w:r w:rsidR="006D2EA9" w:rsidRPr="00C73908">
        <w:rPr>
          <w:rFonts w:ascii="Times New Roman" w:hAnsi="Times New Roman" w:cs="Times New Roman"/>
          <w:lang w:val="en-IE"/>
        </w:rPr>
        <w:t xml:space="preserve">Several studies have shown that staff skill levels can have an influence on the export performance of a firm. </w:t>
      </w:r>
      <w:r w:rsidR="002E70B7" w:rsidRPr="00C73908">
        <w:rPr>
          <w:rFonts w:ascii="Times New Roman" w:hAnsi="Times New Roman" w:cs="Times New Roman"/>
          <w:lang w:val="en-IE"/>
        </w:rPr>
        <w:t xml:space="preserve">Skill levels </w:t>
      </w:r>
      <w:r w:rsidR="00E74286">
        <w:rPr>
          <w:rFonts w:ascii="Times New Roman" w:hAnsi="Times New Roman" w:cs="Times New Roman"/>
          <w:lang w:val="en-IE"/>
        </w:rPr>
        <w:t>can be</w:t>
      </w:r>
      <w:r w:rsidR="002E70B7" w:rsidRPr="00C73908">
        <w:rPr>
          <w:rFonts w:ascii="Times New Roman" w:hAnsi="Times New Roman" w:cs="Times New Roman"/>
          <w:lang w:val="en-IE"/>
        </w:rPr>
        <w:t xml:space="preserve"> difficult to quantify</w:t>
      </w:r>
      <w:r w:rsidR="00E544F9" w:rsidRPr="00C73908">
        <w:rPr>
          <w:rFonts w:ascii="Times New Roman" w:hAnsi="Times New Roman" w:cs="Times New Roman"/>
          <w:lang w:val="en-IE"/>
        </w:rPr>
        <w:t xml:space="preserve"> and a variety of indicators have been used in the literature</w:t>
      </w:r>
      <w:r w:rsidR="003C5C19" w:rsidRPr="00C73908">
        <w:rPr>
          <w:rFonts w:ascii="Times New Roman" w:hAnsi="Times New Roman" w:cs="Times New Roman"/>
          <w:lang w:val="en-IE"/>
        </w:rPr>
        <w:t>.</w:t>
      </w:r>
      <w:r w:rsidR="00E544F9" w:rsidRPr="00C73908">
        <w:rPr>
          <w:rFonts w:ascii="Times New Roman" w:hAnsi="Times New Roman" w:cs="Times New Roman"/>
          <w:lang w:val="en-IE"/>
        </w:rPr>
        <w:t xml:space="preserve"> </w:t>
      </w:r>
      <w:r w:rsidR="003C5C19" w:rsidRPr="00C73908">
        <w:rPr>
          <w:rFonts w:ascii="Times New Roman" w:hAnsi="Times New Roman" w:cs="Times New Roman"/>
          <w:lang w:val="en-IE"/>
        </w:rPr>
        <w:t>For example,</w:t>
      </w:r>
      <w:r w:rsidR="008B14B6" w:rsidRPr="00C73908">
        <w:rPr>
          <w:rFonts w:ascii="Times New Roman" w:hAnsi="Times New Roman" w:cs="Times New Roman"/>
          <w:lang w:val="en-IE"/>
        </w:rPr>
        <w:t xml:space="preserve"> Roper </w:t>
      </w:r>
      <w:r w:rsidR="008B2632" w:rsidRPr="00C73908">
        <w:rPr>
          <w:rFonts w:ascii="Times New Roman" w:hAnsi="Times New Roman" w:cs="Times New Roman"/>
          <w:lang w:val="en-IE"/>
        </w:rPr>
        <w:t>et al.</w:t>
      </w:r>
      <w:r w:rsidR="008B14B6" w:rsidRPr="00C73908">
        <w:rPr>
          <w:rFonts w:ascii="Times New Roman" w:hAnsi="Times New Roman" w:cs="Times New Roman"/>
          <w:lang w:val="en-IE"/>
        </w:rPr>
        <w:t xml:space="preserve"> (200</w:t>
      </w:r>
      <w:r w:rsidR="008B2632" w:rsidRPr="00C73908">
        <w:rPr>
          <w:rFonts w:ascii="Times New Roman" w:hAnsi="Times New Roman" w:cs="Times New Roman"/>
          <w:lang w:val="en-IE"/>
        </w:rPr>
        <w:t>6</w:t>
      </w:r>
      <w:r w:rsidR="008B14B6" w:rsidRPr="00C73908">
        <w:rPr>
          <w:rFonts w:ascii="Times New Roman" w:hAnsi="Times New Roman" w:cs="Times New Roman"/>
          <w:lang w:val="en-IE"/>
        </w:rPr>
        <w:t xml:space="preserve">) </w:t>
      </w:r>
      <w:r w:rsidR="00783436" w:rsidRPr="00C73908">
        <w:rPr>
          <w:rFonts w:ascii="Times New Roman" w:hAnsi="Times New Roman" w:cs="Times New Roman"/>
          <w:lang w:val="en-IE"/>
        </w:rPr>
        <w:t>analysed the determinants of</w:t>
      </w:r>
      <w:r w:rsidR="0020389C" w:rsidRPr="00C73908">
        <w:rPr>
          <w:rFonts w:ascii="Times New Roman" w:hAnsi="Times New Roman" w:cs="Times New Roman"/>
          <w:lang w:val="en-IE"/>
        </w:rPr>
        <w:t xml:space="preserve"> export performance of </w:t>
      </w:r>
      <w:r w:rsidR="00425C0F" w:rsidRPr="00C73908">
        <w:rPr>
          <w:rFonts w:ascii="Times New Roman" w:hAnsi="Times New Roman" w:cs="Times New Roman"/>
          <w:lang w:val="en-IE"/>
        </w:rPr>
        <w:t xml:space="preserve">approximately 1,500 </w:t>
      </w:r>
      <w:r w:rsidR="003C5C19" w:rsidRPr="00C73908">
        <w:rPr>
          <w:rFonts w:ascii="Times New Roman" w:hAnsi="Times New Roman" w:cs="Times New Roman"/>
          <w:lang w:val="en-IE"/>
        </w:rPr>
        <w:t xml:space="preserve">manufacturing firms </w:t>
      </w:r>
      <w:r w:rsidR="00783436" w:rsidRPr="00C73908">
        <w:rPr>
          <w:rFonts w:ascii="Times New Roman" w:hAnsi="Times New Roman" w:cs="Times New Roman"/>
          <w:lang w:val="en-IE"/>
        </w:rPr>
        <w:t xml:space="preserve">on the island of Ireland </w:t>
      </w:r>
      <w:r w:rsidR="00425C0F" w:rsidRPr="00C73908">
        <w:rPr>
          <w:rFonts w:ascii="Times New Roman" w:hAnsi="Times New Roman" w:cs="Times New Roman"/>
          <w:lang w:val="en-IE"/>
        </w:rPr>
        <w:t>based on data from 1994 to 1999</w:t>
      </w:r>
      <w:r w:rsidR="00610E53" w:rsidRPr="00C73908">
        <w:rPr>
          <w:rFonts w:ascii="Times New Roman" w:hAnsi="Times New Roman" w:cs="Times New Roman"/>
          <w:lang w:val="en-IE"/>
        </w:rPr>
        <w:t>. They</w:t>
      </w:r>
      <w:r w:rsidR="00783436" w:rsidRPr="00C73908">
        <w:rPr>
          <w:rFonts w:ascii="Times New Roman" w:hAnsi="Times New Roman" w:cs="Times New Roman"/>
          <w:lang w:val="en-IE"/>
        </w:rPr>
        <w:t xml:space="preserve"> </w:t>
      </w:r>
      <w:r w:rsidR="00C26F0B">
        <w:rPr>
          <w:rFonts w:ascii="Times New Roman" w:hAnsi="Times New Roman" w:cs="Times New Roman"/>
          <w:lang w:val="en-IE"/>
        </w:rPr>
        <w:t>used</w:t>
      </w:r>
      <w:r w:rsidR="006D2EA9" w:rsidRPr="00C73908">
        <w:rPr>
          <w:rFonts w:ascii="Times New Roman" w:hAnsi="Times New Roman" w:cs="Times New Roman"/>
          <w:lang w:val="en-IE"/>
        </w:rPr>
        <w:t xml:space="preserve"> the proportion of a company’s workforce </w:t>
      </w:r>
      <w:r w:rsidR="007D25C4">
        <w:rPr>
          <w:rFonts w:ascii="Times New Roman" w:hAnsi="Times New Roman" w:cs="Times New Roman"/>
          <w:lang w:val="en-IE"/>
        </w:rPr>
        <w:t>which have</w:t>
      </w:r>
      <w:r w:rsidR="00484A4D">
        <w:rPr>
          <w:rFonts w:ascii="Times New Roman" w:hAnsi="Times New Roman" w:cs="Times New Roman"/>
          <w:lang w:val="en-IE"/>
        </w:rPr>
        <w:t xml:space="preserve"> a</w:t>
      </w:r>
      <w:r w:rsidR="006D2EA9" w:rsidRPr="00C73908">
        <w:rPr>
          <w:rFonts w:ascii="Times New Roman" w:hAnsi="Times New Roman" w:cs="Times New Roman"/>
          <w:lang w:val="en-IE"/>
        </w:rPr>
        <w:t xml:space="preserve"> third level degree as an indicator of skill levels</w:t>
      </w:r>
      <w:r w:rsidR="00FB7BFC" w:rsidRPr="00C73908">
        <w:rPr>
          <w:rFonts w:ascii="Times New Roman" w:hAnsi="Times New Roman" w:cs="Times New Roman"/>
          <w:lang w:val="en-IE"/>
        </w:rPr>
        <w:t xml:space="preserve"> and found that </w:t>
      </w:r>
      <w:r w:rsidR="003D7047" w:rsidRPr="00C73908">
        <w:rPr>
          <w:rFonts w:ascii="Times New Roman" w:hAnsi="Times New Roman" w:cs="Times New Roman"/>
          <w:lang w:val="en-IE"/>
        </w:rPr>
        <w:t>“</w:t>
      </w:r>
      <w:r w:rsidR="000905A3" w:rsidRPr="00C73908">
        <w:rPr>
          <w:rFonts w:ascii="Times New Roman" w:hAnsi="Times New Roman" w:cs="Times New Roman"/>
          <w:lang w:val="en-IE"/>
        </w:rPr>
        <w:t>plants with more highly skilled workforces - particularly more graduate employees - tend to be more successful in export markets</w:t>
      </w:r>
      <w:r w:rsidR="003D7047" w:rsidRPr="00C73908">
        <w:rPr>
          <w:rFonts w:ascii="Times New Roman" w:hAnsi="Times New Roman" w:cs="Times New Roman"/>
          <w:lang w:val="en-IE"/>
        </w:rPr>
        <w:t>”</w:t>
      </w:r>
      <w:r w:rsidR="006D2EA9" w:rsidRPr="00C73908">
        <w:rPr>
          <w:rFonts w:ascii="Times New Roman" w:hAnsi="Times New Roman" w:cs="Times New Roman"/>
          <w:lang w:val="en-IE"/>
        </w:rPr>
        <w:t>. Similarly, studies analysing the impact of company management on export outcomes</w:t>
      </w:r>
      <w:r w:rsidR="00BA0F24" w:rsidRPr="00C73908">
        <w:rPr>
          <w:rFonts w:ascii="Times New Roman" w:hAnsi="Times New Roman" w:cs="Times New Roman"/>
          <w:lang w:val="en-IE"/>
        </w:rPr>
        <w:t xml:space="preserve">, mainly for </w:t>
      </w:r>
      <w:r w:rsidR="00B21FDF" w:rsidRPr="00C73908">
        <w:rPr>
          <w:rFonts w:ascii="Times New Roman" w:hAnsi="Times New Roman" w:cs="Times New Roman"/>
          <w:lang w:val="en-IE"/>
        </w:rPr>
        <w:t>small companies,</w:t>
      </w:r>
      <w:r w:rsidR="006D2EA9" w:rsidRPr="00C73908">
        <w:rPr>
          <w:rFonts w:ascii="Times New Roman" w:hAnsi="Times New Roman" w:cs="Times New Roman"/>
          <w:lang w:val="en-IE"/>
        </w:rPr>
        <w:t xml:space="preserve"> often include specific managerial characteristics such as education and pervious experience (Lloyd-Reason and Mughan, 2002). </w:t>
      </w:r>
    </w:p>
    <w:p w14:paraId="76DCECC8" w14:textId="027DAB15" w:rsidR="002432D9" w:rsidRPr="00C73908" w:rsidRDefault="009D074D" w:rsidP="008A6DF2">
      <w:pPr>
        <w:spacing w:before="160" w:line="360" w:lineRule="auto"/>
        <w:jc w:val="both"/>
        <w:rPr>
          <w:rFonts w:ascii="Times New Roman" w:hAnsi="Times New Roman" w:cs="Times New Roman"/>
          <w:lang w:val="en-IE"/>
        </w:rPr>
      </w:pPr>
      <w:r w:rsidRPr="00C73908">
        <w:rPr>
          <w:rFonts w:ascii="Times New Roman" w:hAnsi="Times New Roman" w:cs="Times New Roman"/>
          <w:lang w:val="en-IE"/>
        </w:rPr>
        <w:t>Unfortunately</w:t>
      </w:r>
      <w:r w:rsidR="006D2EA9" w:rsidRPr="00C73908">
        <w:rPr>
          <w:rFonts w:ascii="Times New Roman" w:hAnsi="Times New Roman" w:cs="Times New Roman"/>
          <w:lang w:val="en-IE"/>
        </w:rPr>
        <w:t xml:space="preserve">, this level of detailed information on staff </w:t>
      </w:r>
      <w:r w:rsidR="00FB7BFC" w:rsidRPr="00C73908">
        <w:rPr>
          <w:rFonts w:ascii="Times New Roman" w:hAnsi="Times New Roman" w:cs="Times New Roman"/>
          <w:lang w:val="en-IE"/>
        </w:rPr>
        <w:t>education</w:t>
      </w:r>
      <w:r w:rsidR="006D2EA9" w:rsidRPr="00C73908">
        <w:rPr>
          <w:rFonts w:ascii="Times New Roman" w:hAnsi="Times New Roman" w:cs="Times New Roman"/>
          <w:lang w:val="en-IE"/>
        </w:rPr>
        <w:t xml:space="preserve"> levels or managerial characteristics is not available from the ABR/AES surveys. Instead, the average wage level, measured as total payroll costs divided by total employment, is used as a proxy indicator for the general skill level of the workforce</w:t>
      </w:r>
      <w:r w:rsidR="00AA6E79">
        <w:rPr>
          <w:rFonts w:ascii="Times New Roman" w:hAnsi="Times New Roman" w:cs="Times New Roman"/>
          <w:lang w:val="en-IE"/>
        </w:rPr>
        <w:t>,</w:t>
      </w:r>
      <w:r w:rsidR="000F31B2" w:rsidRPr="00C73908">
        <w:rPr>
          <w:rFonts w:ascii="Times New Roman" w:hAnsi="Times New Roman" w:cs="Times New Roman"/>
          <w:lang w:val="en-IE"/>
        </w:rPr>
        <w:t xml:space="preserve"> an</w:t>
      </w:r>
      <w:r w:rsidR="006D2EA9" w:rsidRPr="00C73908">
        <w:rPr>
          <w:rFonts w:ascii="Times New Roman" w:hAnsi="Times New Roman" w:cs="Times New Roman"/>
          <w:lang w:val="en-IE"/>
        </w:rPr>
        <w:t xml:space="preserve"> approach </w:t>
      </w:r>
      <w:r w:rsidR="00AA6E79">
        <w:rPr>
          <w:rFonts w:ascii="Times New Roman" w:hAnsi="Times New Roman" w:cs="Times New Roman"/>
          <w:lang w:val="en-IE"/>
        </w:rPr>
        <w:t xml:space="preserve">that </w:t>
      </w:r>
      <w:r w:rsidR="00C837EA" w:rsidRPr="00C73908">
        <w:rPr>
          <w:rFonts w:ascii="Times New Roman" w:hAnsi="Times New Roman" w:cs="Times New Roman"/>
          <w:lang w:val="en-IE"/>
        </w:rPr>
        <w:t>has</w:t>
      </w:r>
      <w:r w:rsidR="006D2EA9" w:rsidRPr="00C73908">
        <w:rPr>
          <w:rFonts w:ascii="Times New Roman" w:hAnsi="Times New Roman" w:cs="Times New Roman"/>
          <w:lang w:val="en-IE"/>
        </w:rPr>
        <w:t xml:space="preserve"> also </w:t>
      </w:r>
      <w:r w:rsidR="00C837EA" w:rsidRPr="00C73908">
        <w:rPr>
          <w:rFonts w:ascii="Times New Roman" w:hAnsi="Times New Roman" w:cs="Times New Roman"/>
          <w:lang w:val="en-IE"/>
        </w:rPr>
        <w:t xml:space="preserve">been </w:t>
      </w:r>
      <w:r w:rsidR="000F31B2" w:rsidRPr="00C73908">
        <w:rPr>
          <w:rFonts w:ascii="Times New Roman" w:hAnsi="Times New Roman" w:cs="Times New Roman"/>
          <w:lang w:val="en-IE"/>
        </w:rPr>
        <w:t>adopted</w:t>
      </w:r>
      <w:r w:rsidR="006D2EA9" w:rsidRPr="00C73908">
        <w:rPr>
          <w:rFonts w:ascii="Times New Roman" w:hAnsi="Times New Roman" w:cs="Times New Roman"/>
          <w:lang w:val="en-IE"/>
        </w:rPr>
        <w:t xml:space="preserve"> in previous studies such as </w:t>
      </w:r>
      <w:r w:rsidR="000F31B2" w:rsidRPr="00C73908">
        <w:rPr>
          <w:rFonts w:ascii="Times New Roman" w:hAnsi="Times New Roman" w:cs="Times New Roman"/>
          <w:lang w:val="en-IE"/>
        </w:rPr>
        <w:t>ESRI (2006)</w:t>
      </w:r>
      <w:r w:rsidR="009E4C15" w:rsidRPr="00C73908">
        <w:rPr>
          <w:rFonts w:ascii="Times New Roman" w:hAnsi="Times New Roman" w:cs="Times New Roman"/>
          <w:lang w:val="en-IE"/>
        </w:rPr>
        <w:t>.</w:t>
      </w:r>
      <w:r w:rsidR="0018483D" w:rsidRPr="00C73908">
        <w:rPr>
          <w:rFonts w:ascii="Times New Roman" w:hAnsi="Times New Roman" w:cs="Times New Roman"/>
          <w:lang w:val="en-IE"/>
        </w:rPr>
        <w:t xml:space="preserve"> </w:t>
      </w:r>
      <w:r w:rsidR="00207920" w:rsidRPr="00C73908">
        <w:rPr>
          <w:rFonts w:ascii="Times New Roman" w:hAnsi="Times New Roman" w:cs="Times New Roman"/>
          <w:lang w:val="en-IE"/>
        </w:rPr>
        <w:t xml:space="preserve">In addition, the ABR survey </w:t>
      </w:r>
      <w:r w:rsidR="002B45CE" w:rsidRPr="00C73908">
        <w:rPr>
          <w:rFonts w:ascii="Times New Roman" w:hAnsi="Times New Roman" w:cs="Times New Roman"/>
          <w:lang w:val="en-IE"/>
        </w:rPr>
        <w:t>collect</w:t>
      </w:r>
      <w:r w:rsidR="003A5C5B" w:rsidRPr="00C73908">
        <w:rPr>
          <w:rFonts w:ascii="Times New Roman" w:hAnsi="Times New Roman" w:cs="Times New Roman"/>
          <w:lang w:val="en-IE"/>
        </w:rPr>
        <w:t xml:space="preserve">s data on </w:t>
      </w:r>
      <w:r w:rsidR="005E2190" w:rsidRPr="00C73908">
        <w:rPr>
          <w:rFonts w:ascii="Times New Roman" w:hAnsi="Times New Roman" w:cs="Times New Roman"/>
          <w:lang w:val="en-IE"/>
        </w:rPr>
        <w:t>compan</w:t>
      </w:r>
      <w:r w:rsidR="001B117C" w:rsidRPr="00C73908">
        <w:rPr>
          <w:rFonts w:ascii="Times New Roman" w:hAnsi="Times New Roman" w:cs="Times New Roman"/>
          <w:lang w:val="en-IE"/>
        </w:rPr>
        <w:t>ies’ annual</w:t>
      </w:r>
      <w:r w:rsidR="00416AFB" w:rsidRPr="00C73908">
        <w:rPr>
          <w:rFonts w:ascii="Times New Roman" w:hAnsi="Times New Roman" w:cs="Times New Roman"/>
          <w:lang w:val="en-IE"/>
        </w:rPr>
        <w:t xml:space="preserve"> </w:t>
      </w:r>
      <w:r w:rsidR="002D4ABA" w:rsidRPr="00C73908">
        <w:rPr>
          <w:rFonts w:ascii="Times New Roman" w:hAnsi="Times New Roman" w:cs="Times New Roman"/>
          <w:lang w:val="en-IE"/>
        </w:rPr>
        <w:t>spending on</w:t>
      </w:r>
      <w:r w:rsidR="00D95650" w:rsidRPr="00C73908">
        <w:rPr>
          <w:rFonts w:ascii="Times New Roman" w:hAnsi="Times New Roman" w:cs="Times New Roman"/>
          <w:lang w:val="en-IE"/>
        </w:rPr>
        <w:t xml:space="preserve"> training </w:t>
      </w:r>
      <w:r w:rsidR="002D4ABA" w:rsidRPr="00C73908">
        <w:rPr>
          <w:rFonts w:ascii="Times New Roman" w:hAnsi="Times New Roman" w:cs="Times New Roman"/>
          <w:lang w:val="en-IE"/>
        </w:rPr>
        <w:t xml:space="preserve">provided to </w:t>
      </w:r>
      <w:r w:rsidR="00D95650" w:rsidRPr="00C73908">
        <w:rPr>
          <w:rFonts w:ascii="Times New Roman" w:hAnsi="Times New Roman" w:cs="Times New Roman"/>
          <w:lang w:val="en-IE"/>
        </w:rPr>
        <w:t>management and staff</w:t>
      </w:r>
      <w:r w:rsidR="002B45CE" w:rsidRPr="00C73908">
        <w:rPr>
          <w:rFonts w:ascii="Times New Roman" w:hAnsi="Times New Roman" w:cs="Times New Roman"/>
          <w:lang w:val="en-IE"/>
        </w:rPr>
        <w:t xml:space="preserve">. </w:t>
      </w:r>
      <w:r w:rsidR="00A87661" w:rsidRPr="00C73908">
        <w:rPr>
          <w:rFonts w:ascii="Times New Roman" w:hAnsi="Times New Roman" w:cs="Times New Roman"/>
          <w:lang w:val="en-IE"/>
        </w:rPr>
        <w:t>This includes</w:t>
      </w:r>
      <w:r w:rsidR="000859BA" w:rsidRPr="00C73908">
        <w:rPr>
          <w:rFonts w:ascii="Times New Roman" w:hAnsi="Times New Roman" w:cs="Times New Roman"/>
          <w:lang w:val="en-IE"/>
        </w:rPr>
        <w:t xml:space="preserve"> </w:t>
      </w:r>
      <w:r w:rsidR="00447229" w:rsidRPr="00C73908">
        <w:rPr>
          <w:rFonts w:ascii="Times New Roman" w:hAnsi="Times New Roman" w:cs="Times New Roman"/>
          <w:lang w:val="en-IE"/>
        </w:rPr>
        <w:t xml:space="preserve">the costs of </w:t>
      </w:r>
      <w:r w:rsidR="000859BA" w:rsidRPr="00C73908">
        <w:rPr>
          <w:rFonts w:ascii="Times New Roman" w:hAnsi="Times New Roman" w:cs="Times New Roman"/>
          <w:lang w:val="en-IE"/>
        </w:rPr>
        <w:t>formal</w:t>
      </w:r>
      <w:r w:rsidR="00447229" w:rsidRPr="00C73908">
        <w:rPr>
          <w:rFonts w:ascii="Times New Roman" w:hAnsi="Times New Roman" w:cs="Times New Roman"/>
          <w:lang w:val="en-IE"/>
        </w:rPr>
        <w:t>,</w:t>
      </w:r>
      <w:r w:rsidR="000859BA" w:rsidRPr="00C73908">
        <w:rPr>
          <w:rFonts w:ascii="Times New Roman" w:hAnsi="Times New Roman" w:cs="Times New Roman"/>
          <w:lang w:val="en-IE"/>
        </w:rPr>
        <w:t xml:space="preserve"> structured</w:t>
      </w:r>
      <w:r w:rsidR="00447229" w:rsidRPr="00C73908">
        <w:rPr>
          <w:rFonts w:ascii="Times New Roman" w:hAnsi="Times New Roman" w:cs="Times New Roman"/>
          <w:lang w:val="en-IE"/>
        </w:rPr>
        <w:t xml:space="preserve"> training provided both internally and off-site</w:t>
      </w:r>
      <w:r w:rsidR="009736BA" w:rsidRPr="00C73908">
        <w:rPr>
          <w:rFonts w:ascii="Times New Roman" w:hAnsi="Times New Roman" w:cs="Times New Roman"/>
          <w:lang w:val="en-IE"/>
        </w:rPr>
        <w:t xml:space="preserve">. </w:t>
      </w:r>
      <w:r w:rsidR="00F41C80" w:rsidRPr="00C73908">
        <w:rPr>
          <w:rFonts w:ascii="Times New Roman" w:hAnsi="Times New Roman" w:cs="Times New Roman"/>
          <w:lang w:val="en-IE"/>
        </w:rPr>
        <w:t>Costs associated with apprentice</w:t>
      </w:r>
      <w:r w:rsidR="005F22BD" w:rsidRPr="00C73908">
        <w:rPr>
          <w:rFonts w:ascii="Times New Roman" w:hAnsi="Times New Roman" w:cs="Times New Roman"/>
          <w:lang w:val="en-IE"/>
        </w:rPr>
        <w:t>ships</w:t>
      </w:r>
      <w:r w:rsidR="00F41C80" w:rsidRPr="00C73908">
        <w:rPr>
          <w:rFonts w:ascii="Times New Roman" w:hAnsi="Times New Roman" w:cs="Times New Roman"/>
          <w:lang w:val="en-IE"/>
        </w:rPr>
        <w:t xml:space="preserve"> and on-the-job training are not included</w:t>
      </w:r>
      <w:r w:rsidR="00800520" w:rsidRPr="00C73908">
        <w:rPr>
          <w:rFonts w:ascii="Times New Roman" w:hAnsi="Times New Roman" w:cs="Times New Roman"/>
          <w:lang w:val="en-IE"/>
        </w:rPr>
        <w:t>.</w:t>
      </w:r>
      <w:r w:rsidR="004B099D" w:rsidRPr="00C73908">
        <w:rPr>
          <w:rFonts w:ascii="Times New Roman" w:hAnsi="Times New Roman" w:cs="Times New Roman"/>
          <w:lang w:val="en-IE"/>
        </w:rPr>
        <w:t xml:space="preserve"> </w:t>
      </w:r>
      <w:r w:rsidR="004F099D" w:rsidRPr="00C73908">
        <w:rPr>
          <w:rFonts w:ascii="Times New Roman" w:hAnsi="Times New Roman" w:cs="Times New Roman"/>
          <w:lang w:val="en-IE"/>
        </w:rPr>
        <w:t>Companie</w:t>
      </w:r>
      <w:r w:rsidR="00A320EB" w:rsidRPr="00C73908">
        <w:rPr>
          <w:rFonts w:ascii="Times New Roman" w:hAnsi="Times New Roman" w:cs="Times New Roman"/>
          <w:lang w:val="en-IE"/>
        </w:rPr>
        <w:t>s</w:t>
      </w:r>
      <w:r w:rsidR="00D96C45" w:rsidRPr="00C73908">
        <w:rPr>
          <w:rFonts w:ascii="Times New Roman" w:hAnsi="Times New Roman" w:cs="Times New Roman"/>
          <w:lang w:val="en-IE"/>
        </w:rPr>
        <w:t>’</w:t>
      </w:r>
      <w:r w:rsidR="004B099D" w:rsidRPr="00C73908">
        <w:rPr>
          <w:rFonts w:ascii="Times New Roman" w:hAnsi="Times New Roman" w:cs="Times New Roman"/>
          <w:lang w:val="en-IE"/>
        </w:rPr>
        <w:t xml:space="preserve"> </w:t>
      </w:r>
      <w:r w:rsidR="00A320EB" w:rsidRPr="00C73908">
        <w:rPr>
          <w:rFonts w:ascii="Times New Roman" w:hAnsi="Times New Roman" w:cs="Times New Roman"/>
          <w:lang w:val="en-IE"/>
        </w:rPr>
        <w:t xml:space="preserve">annual expenditure on training is </w:t>
      </w:r>
      <w:r w:rsidR="00931167" w:rsidRPr="00C73908">
        <w:rPr>
          <w:rFonts w:ascii="Times New Roman" w:hAnsi="Times New Roman" w:cs="Times New Roman"/>
          <w:lang w:val="en-IE"/>
        </w:rPr>
        <w:t xml:space="preserve">included in the analysis </w:t>
      </w:r>
      <w:r w:rsidR="00A320EB" w:rsidRPr="00C73908">
        <w:rPr>
          <w:rFonts w:ascii="Times New Roman" w:hAnsi="Times New Roman" w:cs="Times New Roman"/>
          <w:lang w:val="en-IE"/>
        </w:rPr>
        <w:t xml:space="preserve">as an indicator of </w:t>
      </w:r>
      <w:r w:rsidR="00126F7E">
        <w:rPr>
          <w:rFonts w:ascii="Times New Roman" w:hAnsi="Times New Roman" w:cs="Times New Roman"/>
          <w:lang w:val="en-IE"/>
        </w:rPr>
        <w:t>a company’s</w:t>
      </w:r>
      <w:r w:rsidR="006064AC" w:rsidRPr="00C73908">
        <w:rPr>
          <w:rFonts w:ascii="Times New Roman" w:hAnsi="Times New Roman" w:cs="Times New Roman"/>
          <w:lang w:val="en-IE"/>
        </w:rPr>
        <w:t xml:space="preserve"> </w:t>
      </w:r>
      <w:r w:rsidR="00565784" w:rsidRPr="00C73908">
        <w:rPr>
          <w:rFonts w:ascii="Times New Roman" w:hAnsi="Times New Roman" w:cs="Times New Roman"/>
          <w:lang w:val="en-IE"/>
        </w:rPr>
        <w:t xml:space="preserve">level of investment </w:t>
      </w:r>
      <w:r w:rsidR="007F6D0F" w:rsidRPr="00C73908">
        <w:rPr>
          <w:rFonts w:ascii="Times New Roman" w:hAnsi="Times New Roman" w:cs="Times New Roman"/>
          <w:lang w:val="en-IE"/>
        </w:rPr>
        <w:t>in skills development</w:t>
      </w:r>
      <w:r w:rsidR="00931167" w:rsidRPr="00C73908">
        <w:rPr>
          <w:rFonts w:ascii="Times New Roman" w:hAnsi="Times New Roman" w:cs="Times New Roman"/>
          <w:lang w:val="en-IE"/>
        </w:rPr>
        <w:t>.</w:t>
      </w:r>
    </w:p>
    <w:p w14:paraId="6D22298D" w14:textId="4CE0FEDD" w:rsidR="006D2EA9" w:rsidRPr="00C73908" w:rsidRDefault="002678E4" w:rsidP="008A6DF2">
      <w:pPr>
        <w:spacing w:before="160" w:line="360" w:lineRule="auto"/>
        <w:jc w:val="both"/>
        <w:rPr>
          <w:rFonts w:ascii="Times New Roman" w:hAnsi="Times New Roman" w:cs="Times New Roman"/>
          <w:lang w:val="en-IE"/>
        </w:rPr>
      </w:pPr>
      <w:r w:rsidRPr="00CD3749">
        <w:rPr>
          <w:rFonts w:ascii="Times New Roman" w:hAnsi="Times New Roman" w:cs="Times New Roman"/>
          <w:b/>
          <w:bCs/>
          <w:color w:val="0070C0"/>
          <w:lang w:val="en-IE"/>
        </w:rPr>
        <w:t>Export Promotion Policies:</w:t>
      </w:r>
      <w:r>
        <w:rPr>
          <w:rFonts w:ascii="Times New Roman" w:hAnsi="Times New Roman" w:cs="Times New Roman"/>
          <w:lang w:val="en-IE"/>
        </w:rPr>
        <w:t xml:space="preserve"> </w:t>
      </w:r>
      <w:r w:rsidR="00CE7FE3">
        <w:rPr>
          <w:rFonts w:ascii="Times New Roman" w:hAnsi="Times New Roman" w:cs="Times New Roman"/>
          <w:lang w:val="en-IE"/>
        </w:rPr>
        <w:t>E</w:t>
      </w:r>
      <w:r w:rsidR="006D2EA9" w:rsidRPr="00C73908">
        <w:rPr>
          <w:rFonts w:ascii="Times New Roman" w:hAnsi="Times New Roman" w:cs="Times New Roman"/>
          <w:lang w:val="en-IE"/>
        </w:rPr>
        <w:t xml:space="preserve">xport promotion </w:t>
      </w:r>
      <w:r w:rsidR="00CE7FE3">
        <w:rPr>
          <w:rFonts w:ascii="Times New Roman" w:hAnsi="Times New Roman" w:cs="Times New Roman"/>
          <w:lang w:val="en-IE"/>
        </w:rPr>
        <w:t xml:space="preserve">is one of the main responsibilities of Enterprise Ireland </w:t>
      </w:r>
      <w:r w:rsidR="006D2EA9" w:rsidRPr="00C73908">
        <w:rPr>
          <w:rFonts w:ascii="Times New Roman" w:hAnsi="Times New Roman" w:cs="Times New Roman"/>
          <w:lang w:val="en-IE"/>
        </w:rPr>
        <w:t xml:space="preserve">and </w:t>
      </w:r>
      <w:r w:rsidR="00CE7FE3">
        <w:rPr>
          <w:rFonts w:ascii="Times New Roman" w:hAnsi="Times New Roman" w:cs="Times New Roman"/>
          <w:lang w:val="en-IE"/>
        </w:rPr>
        <w:t xml:space="preserve">the agency </w:t>
      </w:r>
      <w:r w:rsidR="006D2EA9" w:rsidRPr="00C73908">
        <w:rPr>
          <w:rFonts w:ascii="Times New Roman" w:hAnsi="Times New Roman" w:cs="Times New Roman"/>
          <w:lang w:val="en-IE"/>
        </w:rPr>
        <w:t>provides a wide range of supports for companies seeking to grow their presence in existing export markets and expand into new markets. This includes a variety of funding supports administered in Ireland</w:t>
      </w:r>
      <w:r w:rsidR="00AE78DC">
        <w:rPr>
          <w:rFonts w:ascii="Times New Roman" w:hAnsi="Times New Roman" w:cs="Times New Roman"/>
          <w:lang w:val="en-IE"/>
        </w:rPr>
        <w:t xml:space="preserve"> and</w:t>
      </w:r>
      <w:r w:rsidR="006D2EA9" w:rsidRPr="00C73908">
        <w:rPr>
          <w:rFonts w:ascii="Times New Roman" w:hAnsi="Times New Roman" w:cs="Times New Roman"/>
          <w:lang w:val="en-IE"/>
        </w:rPr>
        <w:t xml:space="preserve"> in-market supports provided through a network of overseas offices </w:t>
      </w:r>
      <w:r w:rsidR="00B30001">
        <w:rPr>
          <w:rFonts w:ascii="Times New Roman" w:hAnsi="Times New Roman" w:cs="Times New Roman"/>
          <w:lang w:val="en-IE"/>
        </w:rPr>
        <w:t xml:space="preserve">in </w:t>
      </w:r>
      <w:r w:rsidR="00D45FEE">
        <w:rPr>
          <w:rFonts w:ascii="Times New Roman" w:hAnsi="Times New Roman" w:cs="Times New Roman"/>
          <w:lang w:val="en-IE"/>
        </w:rPr>
        <w:t>40 international locations</w:t>
      </w:r>
      <w:r w:rsidR="00B340D6">
        <w:rPr>
          <w:rFonts w:ascii="Times New Roman" w:hAnsi="Times New Roman" w:cs="Times New Roman"/>
          <w:lang w:val="en-IE"/>
        </w:rPr>
        <w:t>,</w:t>
      </w:r>
      <w:r w:rsidR="003B38C1" w:rsidRPr="00C73908">
        <w:rPr>
          <w:rFonts w:ascii="Times New Roman" w:hAnsi="Times New Roman" w:cs="Times New Roman"/>
          <w:lang w:val="en-IE"/>
        </w:rPr>
        <w:t xml:space="preserve"> </w:t>
      </w:r>
      <w:r w:rsidR="003C7924">
        <w:rPr>
          <w:rFonts w:ascii="Times New Roman" w:hAnsi="Times New Roman" w:cs="Times New Roman"/>
          <w:lang w:val="en-IE"/>
        </w:rPr>
        <w:t>or through a</w:t>
      </w:r>
      <w:r w:rsidR="007C5088" w:rsidRPr="00C73908">
        <w:rPr>
          <w:rFonts w:ascii="Times New Roman" w:hAnsi="Times New Roman" w:cs="Times New Roman"/>
          <w:lang w:val="en-IE"/>
        </w:rPr>
        <w:t xml:space="preserve"> network of trade consultants </w:t>
      </w:r>
      <w:r w:rsidR="003C7924">
        <w:rPr>
          <w:rFonts w:ascii="Times New Roman" w:hAnsi="Times New Roman" w:cs="Times New Roman"/>
          <w:lang w:val="en-IE"/>
        </w:rPr>
        <w:t xml:space="preserve">in markets </w:t>
      </w:r>
      <w:r w:rsidR="007C5088" w:rsidRPr="00C73908">
        <w:rPr>
          <w:rFonts w:ascii="Times New Roman" w:hAnsi="Times New Roman" w:cs="Times New Roman"/>
          <w:lang w:val="en-IE"/>
        </w:rPr>
        <w:t>where EI does not have an office</w:t>
      </w:r>
      <w:r w:rsidR="006D2EA9" w:rsidRPr="00C73908">
        <w:rPr>
          <w:rFonts w:ascii="Times New Roman" w:hAnsi="Times New Roman" w:cs="Times New Roman"/>
          <w:lang w:val="en-IE"/>
        </w:rPr>
        <w:t xml:space="preserve">. For the purposes of this analysis, </w:t>
      </w:r>
      <w:r w:rsidR="00D14227" w:rsidRPr="00C73908">
        <w:rPr>
          <w:rFonts w:ascii="Times New Roman" w:hAnsi="Times New Roman" w:cs="Times New Roman"/>
          <w:lang w:val="en-IE"/>
        </w:rPr>
        <w:t>two</w:t>
      </w:r>
      <w:r w:rsidR="006D2EA9" w:rsidRPr="00C73908">
        <w:rPr>
          <w:rFonts w:ascii="Times New Roman" w:hAnsi="Times New Roman" w:cs="Times New Roman"/>
          <w:lang w:val="en-IE"/>
        </w:rPr>
        <w:t xml:space="preserve"> composite indicator</w:t>
      </w:r>
      <w:r w:rsidR="00D14227" w:rsidRPr="00C73908">
        <w:rPr>
          <w:rFonts w:ascii="Times New Roman" w:hAnsi="Times New Roman" w:cs="Times New Roman"/>
          <w:lang w:val="en-IE"/>
        </w:rPr>
        <w:t>s</w:t>
      </w:r>
      <w:r w:rsidR="006D2EA9" w:rsidRPr="00C73908">
        <w:rPr>
          <w:rFonts w:ascii="Times New Roman" w:hAnsi="Times New Roman" w:cs="Times New Roman"/>
          <w:lang w:val="en-IE"/>
        </w:rPr>
        <w:t xml:space="preserve"> </w:t>
      </w:r>
      <w:r w:rsidR="00D14227" w:rsidRPr="00C73908">
        <w:rPr>
          <w:rFonts w:ascii="Times New Roman" w:hAnsi="Times New Roman" w:cs="Times New Roman"/>
          <w:lang w:val="en-IE"/>
        </w:rPr>
        <w:t>are</w:t>
      </w:r>
      <w:r w:rsidR="006D2EA9" w:rsidRPr="00C73908">
        <w:rPr>
          <w:rFonts w:ascii="Times New Roman" w:hAnsi="Times New Roman" w:cs="Times New Roman"/>
          <w:lang w:val="en-IE"/>
        </w:rPr>
        <w:t xml:space="preserve"> generated </w:t>
      </w:r>
      <w:r w:rsidR="00D14227" w:rsidRPr="00C73908">
        <w:rPr>
          <w:rFonts w:ascii="Times New Roman" w:hAnsi="Times New Roman" w:cs="Times New Roman"/>
          <w:lang w:val="en-IE"/>
        </w:rPr>
        <w:t>to reflect</w:t>
      </w:r>
      <w:r w:rsidR="0065785E" w:rsidRPr="00C73908">
        <w:rPr>
          <w:rFonts w:ascii="Times New Roman" w:hAnsi="Times New Roman" w:cs="Times New Roman"/>
          <w:lang w:val="en-IE"/>
        </w:rPr>
        <w:t xml:space="preserve"> </w:t>
      </w:r>
      <w:r w:rsidR="00E10E04" w:rsidRPr="00C73908">
        <w:rPr>
          <w:rFonts w:ascii="Times New Roman" w:hAnsi="Times New Roman" w:cs="Times New Roman"/>
          <w:lang w:val="en-IE"/>
        </w:rPr>
        <w:t xml:space="preserve">both funding supports and in-market, </w:t>
      </w:r>
      <w:r w:rsidR="007B4CB5" w:rsidRPr="00C73908">
        <w:rPr>
          <w:rFonts w:ascii="Times New Roman" w:hAnsi="Times New Roman" w:cs="Times New Roman"/>
          <w:lang w:val="en-IE"/>
        </w:rPr>
        <w:t>soft</w:t>
      </w:r>
      <w:r w:rsidR="00E10E04" w:rsidRPr="00C73908">
        <w:rPr>
          <w:rFonts w:ascii="Times New Roman" w:hAnsi="Times New Roman" w:cs="Times New Roman"/>
          <w:lang w:val="en-IE"/>
        </w:rPr>
        <w:t xml:space="preserve"> supports provided by the EI overseas office network. </w:t>
      </w:r>
      <w:r w:rsidR="008C09ED" w:rsidRPr="00C73908">
        <w:rPr>
          <w:rFonts w:ascii="Times New Roman" w:hAnsi="Times New Roman" w:cs="Times New Roman"/>
          <w:lang w:val="en-IE"/>
        </w:rPr>
        <w:t xml:space="preserve">Firstly, the export promotion funding indicator </w:t>
      </w:r>
      <w:r w:rsidR="00B24BC3" w:rsidRPr="00C73908">
        <w:rPr>
          <w:rFonts w:ascii="Times New Roman" w:hAnsi="Times New Roman" w:cs="Times New Roman"/>
          <w:lang w:val="en-IE"/>
        </w:rPr>
        <w:t xml:space="preserve">is </w:t>
      </w:r>
      <w:r w:rsidR="006D2EA9" w:rsidRPr="00C73908">
        <w:rPr>
          <w:rFonts w:ascii="Times New Roman" w:hAnsi="Times New Roman" w:cs="Times New Roman"/>
          <w:lang w:val="en-IE"/>
        </w:rPr>
        <w:t xml:space="preserve">based on whether a firm received funding from EI for market research and internationalisation (above a minimum threshold of €15,000). Examples of these supports include the Strategic Marketing Review Grant in which companies undertake an extensive review with an external consultant to identify and address persistent challenges and untapped opportunities that are impacting on their </w:t>
      </w:r>
      <w:r w:rsidR="00EA25C4">
        <w:rPr>
          <w:rFonts w:ascii="Times New Roman" w:hAnsi="Times New Roman" w:cs="Times New Roman"/>
          <w:lang w:val="en-IE"/>
        </w:rPr>
        <w:t>export</w:t>
      </w:r>
      <w:r w:rsidR="006D2EA9" w:rsidRPr="00C73908">
        <w:rPr>
          <w:rFonts w:ascii="Times New Roman" w:hAnsi="Times New Roman" w:cs="Times New Roman"/>
          <w:lang w:val="en-IE"/>
        </w:rPr>
        <w:t xml:space="preserve"> growth, the Market Discovery Fund which aims to incentivise companies to research viable and sustainable market entry strategies in new geographic markets and the e-Marketing Improvement Assignment which supports </w:t>
      </w:r>
      <w:r w:rsidR="006D2EA9" w:rsidRPr="00C73908">
        <w:rPr>
          <w:rFonts w:ascii="Times New Roman" w:hAnsi="Times New Roman" w:cs="Times New Roman"/>
          <w:lang w:val="en-IE"/>
        </w:rPr>
        <w:lastRenderedPageBreak/>
        <w:t xml:space="preserve">companies to develop and enhance their capability to use </w:t>
      </w:r>
      <w:r w:rsidR="007C5088" w:rsidRPr="00C73908">
        <w:rPr>
          <w:rFonts w:ascii="Times New Roman" w:hAnsi="Times New Roman" w:cs="Times New Roman"/>
          <w:lang w:val="en-IE"/>
        </w:rPr>
        <w:t>digital channels</w:t>
      </w:r>
      <w:r w:rsidR="006D2EA9" w:rsidRPr="00C73908">
        <w:rPr>
          <w:rFonts w:ascii="Times New Roman" w:hAnsi="Times New Roman" w:cs="Times New Roman"/>
          <w:lang w:val="en-IE"/>
        </w:rPr>
        <w:t xml:space="preserve"> as an effective </w:t>
      </w:r>
      <w:r w:rsidR="007C5088" w:rsidRPr="00C73908">
        <w:rPr>
          <w:rFonts w:ascii="Times New Roman" w:hAnsi="Times New Roman" w:cs="Times New Roman"/>
          <w:lang w:val="en-IE"/>
        </w:rPr>
        <w:t xml:space="preserve">strategy </w:t>
      </w:r>
      <w:r w:rsidR="006D2EA9" w:rsidRPr="00C73908">
        <w:rPr>
          <w:rFonts w:ascii="Times New Roman" w:hAnsi="Times New Roman" w:cs="Times New Roman"/>
          <w:lang w:val="en-IE"/>
        </w:rPr>
        <w:t>for business development.</w:t>
      </w:r>
    </w:p>
    <w:p w14:paraId="2ADD8412" w14:textId="2FF14AC1" w:rsidR="00786C88" w:rsidRPr="00C73908" w:rsidRDefault="007B4CB5" w:rsidP="008A6DF2">
      <w:pPr>
        <w:spacing w:line="360" w:lineRule="auto"/>
        <w:jc w:val="both"/>
        <w:rPr>
          <w:rFonts w:ascii="Times New Roman" w:hAnsi="Times New Roman" w:cs="Times New Roman"/>
          <w:lang w:val="en-IE"/>
        </w:rPr>
      </w:pPr>
      <w:r w:rsidRPr="00C73908">
        <w:rPr>
          <w:rFonts w:ascii="Times New Roman" w:hAnsi="Times New Roman" w:cs="Times New Roman"/>
          <w:lang w:val="en-IE"/>
        </w:rPr>
        <w:t xml:space="preserve">The second </w:t>
      </w:r>
      <w:r w:rsidR="00407B73" w:rsidRPr="00C73908">
        <w:rPr>
          <w:rFonts w:ascii="Times New Roman" w:hAnsi="Times New Roman" w:cs="Times New Roman"/>
          <w:lang w:val="en-IE"/>
        </w:rPr>
        <w:t xml:space="preserve">export </w:t>
      </w:r>
      <w:r w:rsidR="001A7815" w:rsidRPr="00C73908">
        <w:rPr>
          <w:rFonts w:ascii="Times New Roman" w:hAnsi="Times New Roman" w:cs="Times New Roman"/>
          <w:lang w:val="en-IE"/>
        </w:rPr>
        <w:t xml:space="preserve">promotion </w:t>
      </w:r>
      <w:r w:rsidR="00407B73" w:rsidRPr="00C73908">
        <w:rPr>
          <w:rFonts w:ascii="Times New Roman" w:hAnsi="Times New Roman" w:cs="Times New Roman"/>
          <w:lang w:val="en-IE"/>
        </w:rPr>
        <w:t>variable</w:t>
      </w:r>
      <w:r w:rsidRPr="00C73908">
        <w:rPr>
          <w:rFonts w:ascii="Times New Roman" w:hAnsi="Times New Roman" w:cs="Times New Roman"/>
          <w:lang w:val="en-IE"/>
        </w:rPr>
        <w:t xml:space="preserve"> </w:t>
      </w:r>
      <w:r w:rsidR="00785BF8" w:rsidRPr="00C73908">
        <w:rPr>
          <w:rFonts w:ascii="Times New Roman" w:hAnsi="Times New Roman" w:cs="Times New Roman"/>
          <w:lang w:val="en-IE"/>
        </w:rPr>
        <w:t xml:space="preserve">is </w:t>
      </w:r>
      <w:r w:rsidR="00673EFD" w:rsidRPr="00C73908">
        <w:rPr>
          <w:rFonts w:ascii="Times New Roman" w:hAnsi="Times New Roman" w:cs="Times New Roman"/>
          <w:lang w:val="en-IE"/>
        </w:rPr>
        <w:t xml:space="preserve">based on a set of key performance indicators </w:t>
      </w:r>
      <w:r w:rsidR="004103FC" w:rsidRPr="00C73908">
        <w:rPr>
          <w:rFonts w:ascii="Times New Roman" w:hAnsi="Times New Roman" w:cs="Times New Roman"/>
          <w:lang w:val="en-IE"/>
        </w:rPr>
        <w:t xml:space="preserve">gathered by EI to </w:t>
      </w:r>
      <w:r w:rsidR="001A7815" w:rsidRPr="00C73908">
        <w:rPr>
          <w:rFonts w:ascii="Times New Roman" w:hAnsi="Times New Roman" w:cs="Times New Roman"/>
          <w:lang w:val="en-IE"/>
        </w:rPr>
        <w:t>measure</w:t>
      </w:r>
      <w:r w:rsidR="004103FC" w:rsidRPr="00C73908">
        <w:rPr>
          <w:rFonts w:ascii="Times New Roman" w:hAnsi="Times New Roman" w:cs="Times New Roman"/>
          <w:lang w:val="en-IE"/>
        </w:rPr>
        <w:t xml:space="preserve"> the level of engagement between</w:t>
      </w:r>
      <w:r w:rsidR="00165BFE" w:rsidRPr="00C73908">
        <w:rPr>
          <w:rFonts w:ascii="Times New Roman" w:hAnsi="Times New Roman" w:cs="Times New Roman"/>
          <w:lang w:val="en-IE"/>
        </w:rPr>
        <w:t xml:space="preserve"> the overseas</w:t>
      </w:r>
      <w:r w:rsidR="004103FC" w:rsidRPr="00C73908">
        <w:rPr>
          <w:rFonts w:ascii="Times New Roman" w:hAnsi="Times New Roman" w:cs="Times New Roman"/>
          <w:lang w:val="en-IE"/>
        </w:rPr>
        <w:t xml:space="preserve"> </w:t>
      </w:r>
      <w:r w:rsidR="001A7815" w:rsidRPr="00C73908">
        <w:rPr>
          <w:rFonts w:ascii="Times New Roman" w:hAnsi="Times New Roman" w:cs="Times New Roman"/>
          <w:lang w:val="en-IE"/>
        </w:rPr>
        <w:t>office</w:t>
      </w:r>
      <w:r w:rsidR="00D2708F" w:rsidRPr="00C73908">
        <w:rPr>
          <w:rFonts w:ascii="Times New Roman" w:hAnsi="Times New Roman" w:cs="Times New Roman"/>
          <w:lang w:val="en-IE"/>
        </w:rPr>
        <w:t xml:space="preserve">s and client companies. </w:t>
      </w:r>
      <w:r w:rsidR="00454C2A" w:rsidRPr="00C73908">
        <w:rPr>
          <w:rFonts w:ascii="Times New Roman" w:hAnsi="Times New Roman" w:cs="Times New Roman"/>
          <w:lang w:val="en-IE"/>
        </w:rPr>
        <w:t xml:space="preserve">These KPIs </w:t>
      </w:r>
      <w:r w:rsidR="00B834F5" w:rsidRPr="00C73908">
        <w:rPr>
          <w:rFonts w:ascii="Times New Roman" w:hAnsi="Times New Roman" w:cs="Times New Roman"/>
          <w:lang w:val="en-IE"/>
        </w:rPr>
        <w:t xml:space="preserve">cover a range of services </w:t>
      </w:r>
      <w:r w:rsidR="002E0493" w:rsidRPr="00C73908">
        <w:rPr>
          <w:rFonts w:ascii="Times New Roman" w:hAnsi="Times New Roman" w:cs="Times New Roman"/>
          <w:lang w:val="en-IE"/>
        </w:rPr>
        <w:t xml:space="preserve">and advisory supports </w:t>
      </w:r>
      <w:r w:rsidR="00B834F5" w:rsidRPr="00C73908">
        <w:rPr>
          <w:rFonts w:ascii="Times New Roman" w:hAnsi="Times New Roman" w:cs="Times New Roman"/>
          <w:lang w:val="en-IE"/>
        </w:rPr>
        <w:t xml:space="preserve">provided by </w:t>
      </w:r>
      <w:r w:rsidR="00263188">
        <w:rPr>
          <w:rFonts w:ascii="Times New Roman" w:hAnsi="Times New Roman" w:cs="Times New Roman"/>
          <w:lang w:val="en-IE"/>
        </w:rPr>
        <w:t xml:space="preserve">staff in </w:t>
      </w:r>
      <w:r w:rsidR="00B834F5" w:rsidRPr="00C73908">
        <w:rPr>
          <w:rFonts w:ascii="Times New Roman" w:hAnsi="Times New Roman" w:cs="Times New Roman"/>
          <w:lang w:val="en-IE"/>
        </w:rPr>
        <w:t>the overseas offices</w:t>
      </w:r>
      <w:r w:rsidR="00C16EE5" w:rsidRPr="00C73908">
        <w:rPr>
          <w:rFonts w:ascii="Times New Roman" w:hAnsi="Times New Roman" w:cs="Times New Roman"/>
          <w:lang w:val="en-IE"/>
        </w:rPr>
        <w:t>. Some of these s</w:t>
      </w:r>
      <w:r w:rsidR="002E0493" w:rsidRPr="00C73908">
        <w:rPr>
          <w:rFonts w:ascii="Times New Roman" w:hAnsi="Times New Roman" w:cs="Times New Roman"/>
          <w:lang w:val="en-IE"/>
        </w:rPr>
        <w:t>ervice</w:t>
      </w:r>
      <w:r w:rsidR="00C16EE5" w:rsidRPr="00C73908">
        <w:rPr>
          <w:rFonts w:ascii="Times New Roman" w:hAnsi="Times New Roman" w:cs="Times New Roman"/>
          <w:lang w:val="en-IE"/>
        </w:rPr>
        <w:t xml:space="preserve">s are primarily aimed at </w:t>
      </w:r>
      <w:r w:rsidR="002E0493" w:rsidRPr="00C73908">
        <w:rPr>
          <w:rFonts w:ascii="Times New Roman" w:hAnsi="Times New Roman" w:cs="Times New Roman"/>
          <w:lang w:val="en-IE"/>
        </w:rPr>
        <w:t>companies entering into new markets</w:t>
      </w:r>
      <w:r w:rsidR="008D1E87" w:rsidRPr="00C73908">
        <w:rPr>
          <w:rFonts w:ascii="Times New Roman" w:hAnsi="Times New Roman" w:cs="Times New Roman"/>
          <w:lang w:val="en-IE"/>
        </w:rPr>
        <w:t xml:space="preserve">, for example; there is a metric </w:t>
      </w:r>
      <w:r w:rsidR="008A463F" w:rsidRPr="00C73908">
        <w:rPr>
          <w:rFonts w:ascii="Times New Roman" w:hAnsi="Times New Roman" w:cs="Times New Roman"/>
          <w:lang w:val="en-IE"/>
        </w:rPr>
        <w:t xml:space="preserve">which tracks when </w:t>
      </w:r>
      <w:r w:rsidR="006C284D" w:rsidRPr="00C73908">
        <w:rPr>
          <w:rFonts w:ascii="Times New Roman" w:hAnsi="Times New Roman" w:cs="Times New Roman"/>
          <w:lang w:val="en-IE"/>
        </w:rPr>
        <w:t xml:space="preserve">market information </w:t>
      </w:r>
      <w:r w:rsidR="006C284D">
        <w:rPr>
          <w:rFonts w:ascii="Times New Roman" w:hAnsi="Times New Roman" w:cs="Times New Roman"/>
          <w:lang w:val="en-IE"/>
        </w:rPr>
        <w:t xml:space="preserve">has been provided to </w:t>
      </w:r>
      <w:r w:rsidR="008A463F" w:rsidRPr="00C73908">
        <w:rPr>
          <w:rFonts w:ascii="Times New Roman" w:hAnsi="Times New Roman" w:cs="Times New Roman"/>
          <w:lang w:val="en-IE"/>
        </w:rPr>
        <w:t xml:space="preserve">a </w:t>
      </w:r>
      <w:r w:rsidR="00C66C2D">
        <w:rPr>
          <w:rFonts w:ascii="Times New Roman" w:hAnsi="Times New Roman" w:cs="Times New Roman"/>
          <w:lang w:val="en-IE"/>
        </w:rPr>
        <w:t xml:space="preserve">client </w:t>
      </w:r>
      <w:r w:rsidR="008A463F" w:rsidRPr="00C73908">
        <w:rPr>
          <w:rFonts w:ascii="Times New Roman" w:hAnsi="Times New Roman" w:cs="Times New Roman"/>
          <w:lang w:val="en-IE"/>
        </w:rPr>
        <w:t xml:space="preserve">company </w:t>
      </w:r>
      <w:r w:rsidR="008E3D77" w:rsidRPr="00C73908">
        <w:rPr>
          <w:rFonts w:ascii="Times New Roman" w:hAnsi="Times New Roman" w:cs="Times New Roman"/>
          <w:lang w:val="en-IE"/>
        </w:rPr>
        <w:t xml:space="preserve">and another metric which records visits </w:t>
      </w:r>
      <w:r w:rsidR="004E42DF" w:rsidRPr="00C73908">
        <w:rPr>
          <w:rFonts w:ascii="Times New Roman" w:hAnsi="Times New Roman" w:cs="Times New Roman"/>
          <w:lang w:val="en-IE"/>
        </w:rPr>
        <w:t>by companies to a new market wh</w:t>
      </w:r>
      <w:r w:rsidR="007C5088" w:rsidRPr="00C73908">
        <w:rPr>
          <w:rFonts w:ascii="Times New Roman" w:hAnsi="Times New Roman" w:cs="Times New Roman"/>
          <w:lang w:val="en-IE"/>
        </w:rPr>
        <w:t>ere</w:t>
      </w:r>
      <w:r w:rsidR="004E42DF" w:rsidRPr="00C73908">
        <w:rPr>
          <w:rFonts w:ascii="Times New Roman" w:hAnsi="Times New Roman" w:cs="Times New Roman"/>
          <w:lang w:val="en-IE"/>
        </w:rPr>
        <w:t xml:space="preserve"> EI was involved in setting up</w:t>
      </w:r>
      <w:r w:rsidR="007C5088" w:rsidRPr="00C73908">
        <w:rPr>
          <w:rFonts w:ascii="Times New Roman" w:hAnsi="Times New Roman" w:cs="Times New Roman"/>
          <w:lang w:val="en-IE"/>
        </w:rPr>
        <w:t xml:space="preserve"> an itinerary</w:t>
      </w:r>
      <w:r w:rsidR="003A513F" w:rsidRPr="00C73908">
        <w:rPr>
          <w:rFonts w:ascii="Times New Roman" w:hAnsi="Times New Roman" w:cs="Times New Roman"/>
          <w:lang w:val="en-IE"/>
        </w:rPr>
        <w:t>. Other</w:t>
      </w:r>
      <w:r w:rsidR="00B834F5" w:rsidRPr="00C73908">
        <w:rPr>
          <w:rFonts w:ascii="Times New Roman" w:hAnsi="Times New Roman" w:cs="Times New Roman"/>
          <w:lang w:val="en-IE"/>
        </w:rPr>
        <w:t xml:space="preserve"> </w:t>
      </w:r>
      <w:r w:rsidR="00032ACD" w:rsidRPr="00C73908">
        <w:rPr>
          <w:rFonts w:ascii="Times New Roman" w:hAnsi="Times New Roman" w:cs="Times New Roman"/>
          <w:lang w:val="en-IE"/>
        </w:rPr>
        <w:t xml:space="preserve">metrics are </w:t>
      </w:r>
      <w:r w:rsidR="000A73A9" w:rsidRPr="00C73908">
        <w:rPr>
          <w:rFonts w:ascii="Times New Roman" w:hAnsi="Times New Roman" w:cs="Times New Roman"/>
          <w:lang w:val="en-IE"/>
        </w:rPr>
        <w:t xml:space="preserve">related to activities </w:t>
      </w:r>
      <w:r w:rsidR="00133F45">
        <w:rPr>
          <w:rFonts w:ascii="Times New Roman" w:hAnsi="Times New Roman" w:cs="Times New Roman"/>
          <w:lang w:val="en-IE"/>
        </w:rPr>
        <w:t xml:space="preserve">which may take place </w:t>
      </w:r>
      <w:r w:rsidR="000A73A9" w:rsidRPr="00C73908">
        <w:rPr>
          <w:rFonts w:ascii="Times New Roman" w:hAnsi="Times New Roman" w:cs="Times New Roman"/>
          <w:lang w:val="en-IE"/>
        </w:rPr>
        <w:t xml:space="preserve">in </w:t>
      </w:r>
      <w:r w:rsidR="00133F45">
        <w:rPr>
          <w:rFonts w:ascii="Times New Roman" w:hAnsi="Times New Roman" w:cs="Times New Roman"/>
          <w:lang w:val="en-IE"/>
        </w:rPr>
        <w:t xml:space="preserve">either new or </w:t>
      </w:r>
      <w:r w:rsidR="000A73A9" w:rsidRPr="00C73908">
        <w:rPr>
          <w:rFonts w:ascii="Times New Roman" w:hAnsi="Times New Roman" w:cs="Times New Roman"/>
          <w:lang w:val="en-IE"/>
        </w:rPr>
        <w:t xml:space="preserve">existing markets such as </w:t>
      </w:r>
      <w:r w:rsidR="00AC6191" w:rsidRPr="00C73908">
        <w:rPr>
          <w:rFonts w:ascii="Times New Roman" w:hAnsi="Times New Roman" w:cs="Times New Roman"/>
          <w:lang w:val="en-IE"/>
        </w:rPr>
        <w:t>clien</w:t>
      </w:r>
      <w:r w:rsidR="00437793" w:rsidRPr="00C73908">
        <w:rPr>
          <w:rFonts w:ascii="Times New Roman" w:hAnsi="Times New Roman" w:cs="Times New Roman"/>
          <w:lang w:val="en-IE"/>
        </w:rPr>
        <w:t xml:space="preserve">t buyer introductions </w:t>
      </w:r>
      <w:r w:rsidR="00DF19B0" w:rsidRPr="00C73908">
        <w:rPr>
          <w:rFonts w:ascii="Times New Roman" w:hAnsi="Times New Roman" w:cs="Times New Roman"/>
          <w:lang w:val="en-IE"/>
        </w:rPr>
        <w:t xml:space="preserve">in </w:t>
      </w:r>
      <w:r w:rsidR="00437793" w:rsidRPr="00C73908">
        <w:rPr>
          <w:rFonts w:ascii="Times New Roman" w:hAnsi="Times New Roman" w:cs="Times New Roman"/>
          <w:lang w:val="en-IE"/>
        </w:rPr>
        <w:t xml:space="preserve">which </w:t>
      </w:r>
      <w:r w:rsidR="008B639F" w:rsidRPr="00C73908">
        <w:rPr>
          <w:rFonts w:ascii="Times New Roman" w:hAnsi="Times New Roman" w:cs="Times New Roman"/>
          <w:lang w:val="en-IE"/>
        </w:rPr>
        <w:t xml:space="preserve">EI brokers initial meetings between client companies and </w:t>
      </w:r>
      <w:r w:rsidR="002F7402" w:rsidRPr="00C73908">
        <w:rPr>
          <w:rFonts w:ascii="Times New Roman" w:hAnsi="Times New Roman" w:cs="Times New Roman"/>
          <w:lang w:val="en-IE"/>
        </w:rPr>
        <w:t>prospective</w:t>
      </w:r>
      <w:r w:rsidR="008B639F" w:rsidRPr="00C73908">
        <w:rPr>
          <w:rFonts w:ascii="Times New Roman" w:hAnsi="Times New Roman" w:cs="Times New Roman"/>
          <w:lang w:val="en-IE"/>
        </w:rPr>
        <w:t xml:space="preserve"> </w:t>
      </w:r>
      <w:r w:rsidR="002F7402" w:rsidRPr="00C73908">
        <w:rPr>
          <w:rFonts w:ascii="Times New Roman" w:hAnsi="Times New Roman" w:cs="Times New Roman"/>
          <w:lang w:val="en-IE"/>
        </w:rPr>
        <w:t>customers</w:t>
      </w:r>
      <w:r w:rsidR="000A73A9" w:rsidRPr="00C73908">
        <w:rPr>
          <w:rFonts w:ascii="Times New Roman" w:hAnsi="Times New Roman" w:cs="Times New Roman"/>
          <w:lang w:val="en-IE"/>
        </w:rPr>
        <w:t>.</w:t>
      </w:r>
      <w:r w:rsidR="002F7402" w:rsidRPr="00C73908">
        <w:rPr>
          <w:rFonts w:ascii="Times New Roman" w:hAnsi="Times New Roman" w:cs="Times New Roman"/>
          <w:lang w:val="en-IE"/>
        </w:rPr>
        <w:t xml:space="preserve"> </w:t>
      </w:r>
      <w:r w:rsidR="00DD2EE6" w:rsidRPr="00C73908">
        <w:rPr>
          <w:rFonts w:ascii="Times New Roman" w:hAnsi="Times New Roman" w:cs="Times New Roman"/>
          <w:lang w:val="en-IE"/>
        </w:rPr>
        <w:t xml:space="preserve">For the regression, </w:t>
      </w:r>
      <w:r w:rsidR="00785BF8" w:rsidRPr="00C73908">
        <w:rPr>
          <w:rFonts w:ascii="Times New Roman" w:hAnsi="Times New Roman" w:cs="Times New Roman"/>
          <w:lang w:val="en-IE"/>
        </w:rPr>
        <w:t xml:space="preserve">a </w:t>
      </w:r>
      <w:r w:rsidR="00DD2EE6" w:rsidRPr="00C73908">
        <w:rPr>
          <w:rFonts w:ascii="Times New Roman" w:hAnsi="Times New Roman" w:cs="Times New Roman"/>
          <w:lang w:val="en-IE"/>
        </w:rPr>
        <w:t>binary</w:t>
      </w:r>
      <w:r w:rsidR="00785BF8" w:rsidRPr="00C73908">
        <w:rPr>
          <w:rFonts w:ascii="Times New Roman" w:hAnsi="Times New Roman" w:cs="Times New Roman"/>
          <w:lang w:val="en-IE"/>
        </w:rPr>
        <w:t xml:space="preserve"> variable </w:t>
      </w:r>
      <w:r w:rsidR="00DD2EE6" w:rsidRPr="00C73908">
        <w:rPr>
          <w:rFonts w:ascii="Times New Roman" w:hAnsi="Times New Roman" w:cs="Times New Roman"/>
          <w:lang w:val="en-IE"/>
        </w:rPr>
        <w:t xml:space="preserve">is generated </w:t>
      </w:r>
      <w:r w:rsidR="00785BF8" w:rsidRPr="00C73908">
        <w:rPr>
          <w:rFonts w:ascii="Times New Roman" w:hAnsi="Times New Roman" w:cs="Times New Roman"/>
          <w:lang w:val="en-IE"/>
        </w:rPr>
        <w:t xml:space="preserve">which indicates whether or not the company </w:t>
      </w:r>
      <w:r w:rsidR="00DD2EE6" w:rsidRPr="00C73908">
        <w:rPr>
          <w:rFonts w:ascii="Times New Roman" w:hAnsi="Times New Roman" w:cs="Times New Roman"/>
          <w:lang w:val="en-IE"/>
        </w:rPr>
        <w:t>availed of</w:t>
      </w:r>
      <w:r w:rsidR="00462563" w:rsidRPr="00C73908">
        <w:rPr>
          <w:rFonts w:ascii="Times New Roman" w:hAnsi="Times New Roman" w:cs="Times New Roman"/>
          <w:lang w:val="en-IE"/>
        </w:rPr>
        <w:t xml:space="preserve"> the</w:t>
      </w:r>
      <w:r w:rsidR="00020ADF" w:rsidRPr="00C73908">
        <w:rPr>
          <w:rFonts w:ascii="Times New Roman" w:hAnsi="Times New Roman" w:cs="Times New Roman"/>
          <w:lang w:val="en-IE"/>
        </w:rPr>
        <w:t xml:space="preserve"> services provided</w:t>
      </w:r>
      <w:r w:rsidR="00462563" w:rsidRPr="00C73908">
        <w:rPr>
          <w:rFonts w:ascii="Times New Roman" w:hAnsi="Times New Roman" w:cs="Times New Roman"/>
          <w:lang w:val="en-IE"/>
        </w:rPr>
        <w:t xml:space="preserve"> </w:t>
      </w:r>
      <w:r w:rsidR="007F68F5" w:rsidRPr="00C73908">
        <w:rPr>
          <w:rFonts w:ascii="Times New Roman" w:hAnsi="Times New Roman" w:cs="Times New Roman"/>
          <w:lang w:val="en-IE"/>
        </w:rPr>
        <w:t xml:space="preserve">the EI </w:t>
      </w:r>
      <w:r w:rsidR="00462563" w:rsidRPr="00C73908">
        <w:rPr>
          <w:rFonts w:ascii="Times New Roman" w:hAnsi="Times New Roman" w:cs="Times New Roman"/>
          <w:lang w:val="en-IE"/>
        </w:rPr>
        <w:t>overseas office</w:t>
      </w:r>
      <w:r w:rsidR="007F68F5" w:rsidRPr="00C73908">
        <w:rPr>
          <w:rFonts w:ascii="Times New Roman" w:hAnsi="Times New Roman" w:cs="Times New Roman"/>
          <w:lang w:val="en-IE"/>
        </w:rPr>
        <w:t xml:space="preserve"> network</w:t>
      </w:r>
      <w:r w:rsidR="00462563" w:rsidRPr="00C73908">
        <w:rPr>
          <w:rFonts w:ascii="Times New Roman" w:hAnsi="Times New Roman" w:cs="Times New Roman"/>
          <w:lang w:val="en-IE"/>
        </w:rPr>
        <w:t xml:space="preserve"> in a given year.</w:t>
      </w:r>
    </w:p>
    <w:p w14:paraId="52A0FA10" w14:textId="6B93F860" w:rsidR="006D2EA9" w:rsidRPr="00C73908" w:rsidRDefault="006D2EA9" w:rsidP="008A6DF2">
      <w:pPr>
        <w:spacing w:line="360" w:lineRule="auto"/>
        <w:jc w:val="both"/>
        <w:rPr>
          <w:rFonts w:ascii="Times New Roman" w:hAnsi="Times New Roman" w:cs="Times New Roman"/>
          <w:lang w:val="en-IE"/>
        </w:rPr>
      </w:pPr>
      <w:r w:rsidRPr="00C73908">
        <w:rPr>
          <w:rFonts w:ascii="Times New Roman" w:hAnsi="Times New Roman" w:cs="Times New Roman"/>
          <w:lang w:val="en-IE"/>
        </w:rPr>
        <w:t>Lastly, firm age</w:t>
      </w:r>
      <w:r w:rsidR="00E64735">
        <w:rPr>
          <w:rFonts w:ascii="Times New Roman" w:hAnsi="Times New Roman" w:cs="Times New Roman"/>
          <w:lang w:val="en-IE"/>
        </w:rPr>
        <w:t xml:space="preserve"> (based on</w:t>
      </w:r>
      <w:r w:rsidR="00872495">
        <w:rPr>
          <w:rFonts w:ascii="Times New Roman" w:hAnsi="Times New Roman" w:cs="Times New Roman"/>
          <w:lang w:val="en-IE"/>
        </w:rPr>
        <w:t xml:space="preserve"> the year in which a company first registered with the CRO)</w:t>
      </w:r>
      <w:r w:rsidRPr="00C73908">
        <w:rPr>
          <w:rFonts w:ascii="Times New Roman" w:hAnsi="Times New Roman" w:cs="Times New Roman"/>
          <w:lang w:val="en-IE"/>
        </w:rPr>
        <w:t xml:space="preserve"> is included as an independent variable to examine the influence that experience levels have on export performance.</w:t>
      </w:r>
      <w:r w:rsidR="00B04B48" w:rsidRPr="00C73908">
        <w:rPr>
          <w:rFonts w:ascii="Times New Roman" w:hAnsi="Times New Roman" w:cs="Times New Roman"/>
          <w:lang w:val="en-IE"/>
        </w:rPr>
        <w:t xml:space="preserve"> In addition to the indepe</w:t>
      </w:r>
      <w:r w:rsidR="00D906B3" w:rsidRPr="00C73908">
        <w:rPr>
          <w:rFonts w:ascii="Times New Roman" w:hAnsi="Times New Roman" w:cs="Times New Roman"/>
          <w:lang w:val="en-IE"/>
        </w:rPr>
        <w:t xml:space="preserve">ndent variables outlined above, </w:t>
      </w:r>
      <w:r w:rsidR="007D62AB">
        <w:rPr>
          <w:rFonts w:ascii="Times New Roman" w:hAnsi="Times New Roman" w:cs="Times New Roman"/>
          <w:lang w:val="en-IE"/>
        </w:rPr>
        <w:t xml:space="preserve">annual </w:t>
      </w:r>
      <w:r w:rsidR="00D906B3" w:rsidRPr="00C73908">
        <w:rPr>
          <w:rFonts w:ascii="Times New Roman" w:hAnsi="Times New Roman" w:cs="Times New Roman"/>
          <w:lang w:val="en-IE"/>
        </w:rPr>
        <w:t xml:space="preserve">sales are included </w:t>
      </w:r>
      <w:r w:rsidR="001E31E3" w:rsidRPr="00C73908">
        <w:rPr>
          <w:rFonts w:ascii="Times New Roman" w:hAnsi="Times New Roman" w:cs="Times New Roman"/>
          <w:lang w:val="en-IE"/>
        </w:rPr>
        <w:t xml:space="preserve">as an independent variable </w:t>
      </w:r>
      <w:r w:rsidR="00D906B3" w:rsidRPr="00C73908">
        <w:rPr>
          <w:rFonts w:ascii="Times New Roman" w:hAnsi="Times New Roman" w:cs="Times New Roman"/>
          <w:lang w:val="en-IE"/>
        </w:rPr>
        <w:t>to control for company size</w:t>
      </w:r>
      <w:r w:rsidR="001E1698" w:rsidRPr="00C73908">
        <w:rPr>
          <w:rFonts w:ascii="Times New Roman" w:hAnsi="Times New Roman" w:cs="Times New Roman"/>
          <w:lang w:val="en-IE"/>
        </w:rPr>
        <w:t>.</w:t>
      </w:r>
      <w:r w:rsidRPr="00C73908">
        <w:rPr>
          <w:rFonts w:ascii="Times New Roman" w:hAnsi="Times New Roman" w:cs="Times New Roman"/>
          <w:lang w:val="en-IE"/>
        </w:rPr>
        <w:t xml:space="preserve"> Table </w:t>
      </w:r>
      <w:r w:rsidR="00387C0A" w:rsidRPr="00C73908">
        <w:rPr>
          <w:rFonts w:ascii="Times New Roman" w:hAnsi="Times New Roman" w:cs="Times New Roman"/>
          <w:lang w:val="en-IE"/>
        </w:rPr>
        <w:t>1</w:t>
      </w:r>
      <w:r w:rsidRPr="00C73908">
        <w:rPr>
          <w:rFonts w:ascii="Times New Roman" w:hAnsi="Times New Roman" w:cs="Times New Roman"/>
          <w:lang w:val="en-IE"/>
        </w:rPr>
        <w:t xml:space="preserve"> below provides a full summary of variables included in the analysis.</w:t>
      </w:r>
    </w:p>
    <w:p w14:paraId="04A60AC3" w14:textId="2AAFCD11" w:rsidR="006D2EA9" w:rsidRPr="00C73908" w:rsidRDefault="006D2EA9" w:rsidP="00CD0BF9">
      <w:pPr>
        <w:widowControl w:val="0"/>
        <w:autoSpaceDE w:val="0"/>
        <w:autoSpaceDN w:val="0"/>
        <w:adjustRightInd w:val="0"/>
        <w:spacing w:after="0" w:line="240" w:lineRule="auto"/>
        <w:rPr>
          <w:rFonts w:ascii="Times New Roman" w:hAnsi="Times New Roman" w:cs="Times New Roman"/>
          <w:b/>
          <w:bCs/>
        </w:rPr>
      </w:pPr>
      <w:r w:rsidRPr="00C73908">
        <w:rPr>
          <w:rFonts w:ascii="Times New Roman" w:hAnsi="Times New Roman" w:cs="Times New Roman"/>
          <w:b/>
          <w:bCs/>
        </w:rPr>
        <w:t xml:space="preserve">Table </w:t>
      </w:r>
      <w:r w:rsidR="00387C0A" w:rsidRPr="00C73908">
        <w:rPr>
          <w:rFonts w:ascii="Times New Roman" w:hAnsi="Times New Roman" w:cs="Times New Roman"/>
          <w:b/>
          <w:bCs/>
        </w:rPr>
        <w:t>1</w:t>
      </w:r>
      <w:r w:rsidRPr="00C73908">
        <w:rPr>
          <w:rFonts w:ascii="Times New Roman" w:hAnsi="Times New Roman" w:cs="Times New Roman"/>
          <w:b/>
          <w:bCs/>
        </w:rPr>
        <w:t>: Summary and descriptions of dependent and independent variables</w:t>
      </w:r>
    </w:p>
    <w:tbl>
      <w:tblPr>
        <w:tblStyle w:val="GridTable4-Accent1"/>
        <w:tblW w:w="9493" w:type="dxa"/>
        <w:tblLook w:val="04A0" w:firstRow="1" w:lastRow="0" w:firstColumn="1" w:lastColumn="0" w:noHBand="0" w:noVBand="1"/>
      </w:tblPr>
      <w:tblGrid>
        <w:gridCol w:w="1434"/>
        <w:gridCol w:w="1841"/>
        <w:gridCol w:w="6218"/>
      </w:tblGrid>
      <w:tr w:rsidR="006D2EA9" w:rsidRPr="00C73908" w14:paraId="0B9862F7" w14:textId="77777777" w:rsidTr="008724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14:paraId="70F7913C" w14:textId="77777777" w:rsidR="006D2EA9" w:rsidRPr="00C73908" w:rsidRDefault="006D2EA9" w:rsidP="008C6E8E">
            <w:pPr>
              <w:jc w:val="center"/>
              <w:rPr>
                <w:rFonts w:ascii="Times New Roman" w:hAnsi="Times New Roman" w:cs="Times New Roman"/>
                <w:lang w:val="en-IE"/>
              </w:rPr>
            </w:pPr>
            <w:r w:rsidRPr="00C73908">
              <w:rPr>
                <w:rFonts w:ascii="Times New Roman" w:hAnsi="Times New Roman" w:cs="Times New Roman"/>
                <w:lang w:val="en-IE"/>
              </w:rPr>
              <w:t>Focus Area</w:t>
            </w:r>
          </w:p>
        </w:tc>
        <w:tc>
          <w:tcPr>
            <w:tcW w:w="1841" w:type="dxa"/>
          </w:tcPr>
          <w:p w14:paraId="648BA60D" w14:textId="77777777" w:rsidR="006D2EA9" w:rsidRPr="00C73908" w:rsidRDefault="006D2EA9" w:rsidP="008C6E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IE"/>
              </w:rPr>
            </w:pPr>
            <w:r w:rsidRPr="00C73908">
              <w:rPr>
                <w:rFonts w:ascii="Times New Roman" w:hAnsi="Times New Roman" w:cs="Times New Roman"/>
                <w:lang w:val="en-IE"/>
              </w:rPr>
              <w:t>Variable Name</w:t>
            </w:r>
          </w:p>
        </w:tc>
        <w:tc>
          <w:tcPr>
            <w:tcW w:w="6218" w:type="dxa"/>
          </w:tcPr>
          <w:p w14:paraId="5C6E3948" w14:textId="77777777" w:rsidR="006D2EA9" w:rsidRPr="00C73908" w:rsidRDefault="006D2EA9" w:rsidP="008C6E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IE"/>
              </w:rPr>
            </w:pPr>
            <w:r w:rsidRPr="00C73908">
              <w:rPr>
                <w:rFonts w:ascii="Times New Roman" w:hAnsi="Times New Roman" w:cs="Times New Roman"/>
                <w:lang w:val="en-IE"/>
              </w:rPr>
              <w:t>Variable Description</w:t>
            </w:r>
          </w:p>
        </w:tc>
      </w:tr>
      <w:tr w:rsidR="006D2EA9" w:rsidRPr="00C73908" w14:paraId="5C7933B3" w14:textId="77777777" w:rsidTr="00872495">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434" w:type="dxa"/>
            <w:vMerge w:val="restart"/>
            <w:vAlign w:val="center"/>
          </w:tcPr>
          <w:p w14:paraId="70194F1B" w14:textId="77777777" w:rsidR="006D2EA9" w:rsidRPr="00C73908" w:rsidRDefault="006D2EA9" w:rsidP="008C6E8E">
            <w:pPr>
              <w:jc w:val="center"/>
              <w:rPr>
                <w:rFonts w:ascii="Times New Roman" w:hAnsi="Times New Roman" w:cs="Times New Roman"/>
                <w:sz w:val="20"/>
                <w:szCs w:val="20"/>
                <w:lang w:val="en-IE"/>
              </w:rPr>
            </w:pPr>
            <w:r w:rsidRPr="00C73908">
              <w:rPr>
                <w:rFonts w:ascii="Times New Roman" w:hAnsi="Times New Roman" w:cs="Times New Roman"/>
                <w:sz w:val="20"/>
                <w:szCs w:val="20"/>
                <w:lang w:val="en-IE"/>
              </w:rPr>
              <w:t>Dependent Variables</w:t>
            </w:r>
          </w:p>
        </w:tc>
        <w:tc>
          <w:tcPr>
            <w:tcW w:w="1841" w:type="dxa"/>
            <w:vAlign w:val="center"/>
          </w:tcPr>
          <w:p w14:paraId="051E9DFC" w14:textId="14C51DEA" w:rsidR="006D2EA9" w:rsidRDefault="006D2EA9" w:rsidP="008C6E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Export</w:t>
            </w:r>
            <w:r w:rsidR="007D62AB">
              <w:rPr>
                <w:rFonts w:ascii="Times New Roman" w:hAnsi="Times New Roman" w:cs="Times New Roman"/>
                <w:sz w:val="20"/>
                <w:szCs w:val="20"/>
                <w:lang w:val="en-IE"/>
              </w:rPr>
              <w:t xml:space="preserve"> Values</w:t>
            </w:r>
          </w:p>
          <w:p w14:paraId="15FCB38D" w14:textId="029F7324" w:rsidR="00B3520D" w:rsidRPr="00C73908" w:rsidRDefault="00B3520D" w:rsidP="008C6E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E"/>
              </w:rPr>
            </w:pPr>
            <w:r>
              <w:rPr>
                <w:rFonts w:ascii="Times New Roman" w:hAnsi="Times New Roman" w:cs="Times New Roman"/>
                <w:sz w:val="20"/>
                <w:szCs w:val="20"/>
                <w:lang w:val="en-IE"/>
              </w:rPr>
              <w:t>(Intensive Margin)</w:t>
            </w:r>
          </w:p>
        </w:tc>
        <w:tc>
          <w:tcPr>
            <w:tcW w:w="6218" w:type="dxa"/>
            <w:vAlign w:val="center"/>
          </w:tcPr>
          <w:p w14:paraId="1A80DBB3" w14:textId="0C2179FD" w:rsidR="006D2EA9" w:rsidRPr="00C73908" w:rsidRDefault="00A539E2" w:rsidP="008C6E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E"/>
              </w:rPr>
            </w:pPr>
            <w:r>
              <w:rPr>
                <w:rFonts w:ascii="Times New Roman" w:hAnsi="Times New Roman" w:cs="Times New Roman"/>
                <w:sz w:val="20"/>
                <w:szCs w:val="20"/>
                <w:lang w:val="en-IE"/>
              </w:rPr>
              <w:t>Total v</w:t>
            </w:r>
            <w:r w:rsidR="006D2EA9" w:rsidRPr="00C73908">
              <w:rPr>
                <w:rFonts w:ascii="Times New Roman" w:hAnsi="Times New Roman" w:cs="Times New Roman"/>
                <w:sz w:val="20"/>
                <w:szCs w:val="20"/>
                <w:lang w:val="en-IE"/>
              </w:rPr>
              <w:t>alue of goods and services exports.</w:t>
            </w:r>
          </w:p>
        </w:tc>
      </w:tr>
      <w:tr w:rsidR="006D2EA9" w:rsidRPr="00C73908" w14:paraId="4EA8CDCB" w14:textId="77777777" w:rsidTr="00872495">
        <w:trPr>
          <w:trHeight w:val="509"/>
        </w:trPr>
        <w:tc>
          <w:tcPr>
            <w:cnfStyle w:val="001000000000" w:firstRow="0" w:lastRow="0" w:firstColumn="1" w:lastColumn="0" w:oddVBand="0" w:evenVBand="0" w:oddHBand="0" w:evenHBand="0" w:firstRowFirstColumn="0" w:firstRowLastColumn="0" w:lastRowFirstColumn="0" w:lastRowLastColumn="0"/>
            <w:tcW w:w="1434" w:type="dxa"/>
            <w:vMerge/>
            <w:shd w:val="clear" w:color="auto" w:fill="D9E2F3" w:themeFill="accent1" w:themeFillTint="33"/>
            <w:vAlign w:val="center"/>
          </w:tcPr>
          <w:p w14:paraId="30C1336B" w14:textId="77777777" w:rsidR="006D2EA9" w:rsidRPr="00C73908" w:rsidRDefault="006D2EA9" w:rsidP="008C6E8E">
            <w:pPr>
              <w:jc w:val="center"/>
              <w:rPr>
                <w:rFonts w:ascii="Times New Roman" w:hAnsi="Times New Roman" w:cs="Times New Roman"/>
                <w:sz w:val="20"/>
                <w:szCs w:val="20"/>
                <w:lang w:val="en-IE"/>
              </w:rPr>
            </w:pPr>
          </w:p>
        </w:tc>
        <w:tc>
          <w:tcPr>
            <w:tcW w:w="1841" w:type="dxa"/>
            <w:vAlign w:val="center"/>
          </w:tcPr>
          <w:p w14:paraId="7EDE5E18" w14:textId="4727DE7D" w:rsidR="006D2EA9" w:rsidRPr="00C73908" w:rsidRDefault="006D2EA9" w:rsidP="008C6E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No. Export Markets</w:t>
            </w:r>
            <w:r w:rsidR="00B3520D">
              <w:rPr>
                <w:rFonts w:ascii="Times New Roman" w:hAnsi="Times New Roman" w:cs="Times New Roman"/>
                <w:sz w:val="20"/>
                <w:szCs w:val="20"/>
                <w:lang w:val="en-IE"/>
              </w:rPr>
              <w:t xml:space="preserve"> (Extensive Margin)</w:t>
            </w:r>
          </w:p>
        </w:tc>
        <w:tc>
          <w:tcPr>
            <w:tcW w:w="6218" w:type="dxa"/>
            <w:vAlign w:val="center"/>
          </w:tcPr>
          <w:p w14:paraId="33CCB0D6" w14:textId="626B5D69" w:rsidR="006D2EA9" w:rsidRPr="00C73908" w:rsidRDefault="006D2EA9" w:rsidP="008C6E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 xml:space="preserve">The number of markets which a </w:t>
            </w:r>
            <w:r w:rsidR="00324371">
              <w:rPr>
                <w:rFonts w:ascii="Times New Roman" w:hAnsi="Times New Roman" w:cs="Times New Roman"/>
                <w:sz w:val="20"/>
                <w:szCs w:val="20"/>
                <w:lang w:val="en-IE"/>
              </w:rPr>
              <w:t>company</w:t>
            </w:r>
            <w:r w:rsidR="00324371" w:rsidRPr="00C73908">
              <w:rPr>
                <w:rFonts w:ascii="Times New Roman" w:hAnsi="Times New Roman" w:cs="Times New Roman"/>
                <w:sz w:val="20"/>
                <w:szCs w:val="20"/>
                <w:lang w:val="en-IE"/>
              </w:rPr>
              <w:t xml:space="preserve"> export</w:t>
            </w:r>
            <w:r w:rsidR="00324371">
              <w:rPr>
                <w:rFonts w:ascii="Times New Roman" w:hAnsi="Times New Roman" w:cs="Times New Roman"/>
                <w:sz w:val="20"/>
                <w:szCs w:val="20"/>
                <w:lang w:val="en-IE"/>
              </w:rPr>
              <w:t>s</w:t>
            </w:r>
            <w:r w:rsidRPr="00C73908">
              <w:rPr>
                <w:rFonts w:ascii="Times New Roman" w:hAnsi="Times New Roman" w:cs="Times New Roman"/>
                <w:sz w:val="20"/>
                <w:szCs w:val="20"/>
                <w:lang w:val="en-IE"/>
              </w:rPr>
              <w:t xml:space="preserve"> to in the year.</w:t>
            </w:r>
          </w:p>
        </w:tc>
      </w:tr>
      <w:tr w:rsidR="006D2EA9" w:rsidRPr="00C73908" w14:paraId="3A0DBA73" w14:textId="77777777" w:rsidTr="00872495">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434" w:type="dxa"/>
            <w:vMerge w:val="restart"/>
            <w:vAlign w:val="center"/>
          </w:tcPr>
          <w:p w14:paraId="3CEBCC99" w14:textId="77777777" w:rsidR="006D2EA9" w:rsidRPr="00C73908" w:rsidRDefault="006D2EA9" w:rsidP="008C6E8E">
            <w:pPr>
              <w:jc w:val="center"/>
              <w:rPr>
                <w:rFonts w:ascii="Times New Roman" w:hAnsi="Times New Roman" w:cs="Times New Roman"/>
                <w:sz w:val="20"/>
                <w:szCs w:val="20"/>
                <w:lang w:val="en-IE"/>
              </w:rPr>
            </w:pPr>
            <w:r w:rsidRPr="00C73908">
              <w:rPr>
                <w:rFonts w:ascii="Times New Roman" w:hAnsi="Times New Roman" w:cs="Times New Roman"/>
                <w:sz w:val="20"/>
                <w:szCs w:val="20"/>
                <w:lang w:val="en-IE"/>
              </w:rPr>
              <w:t>Productivity</w:t>
            </w:r>
          </w:p>
        </w:tc>
        <w:tc>
          <w:tcPr>
            <w:tcW w:w="1841" w:type="dxa"/>
            <w:vAlign w:val="center"/>
          </w:tcPr>
          <w:p w14:paraId="3D14D9FB" w14:textId="77777777" w:rsidR="006D2EA9" w:rsidRPr="00C73908" w:rsidRDefault="006D2EA9" w:rsidP="008C6E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Value Added per Employee</w:t>
            </w:r>
          </w:p>
        </w:tc>
        <w:tc>
          <w:tcPr>
            <w:tcW w:w="6218" w:type="dxa"/>
            <w:vAlign w:val="center"/>
          </w:tcPr>
          <w:p w14:paraId="63FB4833" w14:textId="6A93DDF9" w:rsidR="006D2EA9" w:rsidRPr="00C73908" w:rsidRDefault="006D2EA9" w:rsidP="008C6E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A measure of productivity, calculated as sales less materials and services</w:t>
            </w:r>
            <w:r w:rsidR="00D77025">
              <w:rPr>
                <w:rFonts w:ascii="Times New Roman" w:hAnsi="Times New Roman" w:cs="Times New Roman"/>
                <w:sz w:val="20"/>
                <w:szCs w:val="20"/>
                <w:lang w:val="en-IE"/>
              </w:rPr>
              <w:t xml:space="preserve"> costs</w:t>
            </w:r>
            <w:r w:rsidRPr="00C73908">
              <w:rPr>
                <w:rFonts w:ascii="Times New Roman" w:hAnsi="Times New Roman" w:cs="Times New Roman"/>
                <w:sz w:val="20"/>
                <w:szCs w:val="20"/>
                <w:lang w:val="en-IE"/>
              </w:rPr>
              <w:t xml:space="preserve"> divided by total employment.</w:t>
            </w:r>
          </w:p>
        </w:tc>
      </w:tr>
      <w:tr w:rsidR="006D2EA9" w:rsidRPr="00C73908" w14:paraId="3E8A6A55" w14:textId="77777777" w:rsidTr="00872495">
        <w:tc>
          <w:tcPr>
            <w:cnfStyle w:val="001000000000" w:firstRow="0" w:lastRow="0" w:firstColumn="1" w:lastColumn="0" w:oddVBand="0" w:evenVBand="0" w:oddHBand="0" w:evenHBand="0" w:firstRowFirstColumn="0" w:firstRowLastColumn="0" w:lastRowFirstColumn="0" w:lastRowLastColumn="0"/>
            <w:tcW w:w="1434" w:type="dxa"/>
            <w:vMerge/>
            <w:shd w:val="clear" w:color="auto" w:fill="D9E2F3" w:themeFill="accent1" w:themeFillTint="33"/>
            <w:vAlign w:val="center"/>
          </w:tcPr>
          <w:p w14:paraId="3BB69329" w14:textId="77777777" w:rsidR="006D2EA9" w:rsidRPr="00C73908" w:rsidRDefault="006D2EA9" w:rsidP="008C6E8E">
            <w:pPr>
              <w:jc w:val="center"/>
              <w:rPr>
                <w:rFonts w:ascii="Times New Roman" w:hAnsi="Times New Roman" w:cs="Times New Roman"/>
                <w:sz w:val="20"/>
                <w:szCs w:val="20"/>
                <w:lang w:val="en-IE"/>
              </w:rPr>
            </w:pPr>
          </w:p>
        </w:tc>
        <w:tc>
          <w:tcPr>
            <w:tcW w:w="1841" w:type="dxa"/>
            <w:vAlign w:val="center"/>
          </w:tcPr>
          <w:p w14:paraId="66386D60" w14:textId="6071EF29" w:rsidR="006D2EA9" w:rsidRPr="00C73908" w:rsidRDefault="007B62E0" w:rsidP="008C6E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Capital/</w:t>
            </w:r>
            <w:r w:rsidR="006D2EA9" w:rsidRPr="00C73908">
              <w:rPr>
                <w:rFonts w:ascii="Times New Roman" w:hAnsi="Times New Roman" w:cs="Times New Roman"/>
                <w:sz w:val="20"/>
                <w:szCs w:val="20"/>
                <w:lang w:val="en-IE"/>
              </w:rPr>
              <w:t>LEAN</w:t>
            </w:r>
          </w:p>
        </w:tc>
        <w:tc>
          <w:tcPr>
            <w:tcW w:w="6218" w:type="dxa"/>
            <w:vAlign w:val="center"/>
          </w:tcPr>
          <w:p w14:paraId="1DC8E1C8" w14:textId="0A65D969" w:rsidR="006D2EA9" w:rsidRPr="00C73908" w:rsidRDefault="006D2EA9" w:rsidP="008C6E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 xml:space="preserve">Company received funding from EI for </w:t>
            </w:r>
            <w:r w:rsidR="00057086" w:rsidRPr="00C73908">
              <w:rPr>
                <w:rFonts w:ascii="Times New Roman" w:hAnsi="Times New Roman" w:cs="Times New Roman"/>
                <w:sz w:val="20"/>
                <w:szCs w:val="20"/>
                <w:lang w:val="en-IE"/>
              </w:rPr>
              <w:t xml:space="preserve">capital investment </w:t>
            </w:r>
            <w:r w:rsidR="007B62E0" w:rsidRPr="00C73908">
              <w:rPr>
                <w:rFonts w:ascii="Times New Roman" w:hAnsi="Times New Roman" w:cs="Times New Roman"/>
                <w:sz w:val="20"/>
                <w:szCs w:val="20"/>
                <w:lang w:val="en-IE"/>
              </w:rPr>
              <w:t xml:space="preserve">or </w:t>
            </w:r>
            <w:r w:rsidRPr="00C73908">
              <w:rPr>
                <w:rFonts w:ascii="Times New Roman" w:hAnsi="Times New Roman" w:cs="Times New Roman"/>
                <w:sz w:val="20"/>
                <w:szCs w:val="20"/>
                <w:lang w:val="en-IE"/>
              </w:rPr>
              <w:t>project</w:t>
            </w:r>
            <w:r w:rsidR="007B62E0" w:rsidRPr="00C73908">
              <w:rPr>
                <w:rFonts w:ascii="Times New Roman" w:hAnsi="Times New Roman" w:cs="Times New Roman"/>
                <w:sz w:val="20"/>
                <w:szCs w:val="20"/>
                <w:lang w:val="en-IE"/>
              </w:rPr>
              <w:t>s</w:t>
            </w:r>
            <w:r w:rsidRPr="00C73908">
              <w:rPr>
                <w:rFonts w:ascii="Times New Roman" w:hAnsi="Times New Roman" w:cs="Times New Roman"/>
                <w:sz w:val="20"/>
                <w:szCs w:val="20"/>
                <w:lang w:val="en-IE"/>
              </w:rPr>
              <w:t xml:space="preserve"> </w:t>
            </w:r>
            <w:r w:rsidR="00A3073E" w:rsidRPr="00C73908">
              <w:rPr>
                <w:rFonts w:ascii="Times New Roman" w:hAnsi="Times New Roman" w:cs="Times New Roman"/>
                <w:sz w:val="20"/>
                <w:szCs w:val="20"/>
                <w:lang w:val="en-IE"/>
              </w:rPr>
              <w:t>aimed at</w:t>
            </w:r>
            <w:r w:rsidRPr="00C73908">
              <w:rPr>
                <w:rFonts w:ascii="Times New Roman" w:hAnsi="Times New Roman" w:cs="Times New Roman"/>
                <w:sz w:val="20"/>
                <w:szCs w:val="20"/>
                <w:lang w:val="en-IE"/>
              </w:rPr>
              <w:t xml:space="preserve"> improv</w:t>
            </w:r>
            <w:r w:rsidR="00C06D07" w:rsidRPr="00C73908">
              <w:rPr>
                <w:rFonts w:ascii="Times New Roman" w:hAnsi="Times New Roman" w:cs="Times New Roman"/>
                <w:sz w:val="20"/>
                <w:szCs w:val="20"/>
                <w:lang w:val="en-IE"/>
              </w:rPr>
              <w:t>ing</w:t>
            </w:r>
            <w:r w:rsidRPr="00C73908">
              <w:rPr>
                <w:rFonts w:ascii="Times New Roman" w:hAnsi="Times New Roman" w:cs="Times New Roman"/>
                <w:sz w:val="20"/>
                <w:szCs w:val="20"/>
                <w:lang w:val="en-IE"/>
              </w:rPr>
              <w:t xml:space="preserve"> productivity</w:t>
            </w:r>
            <w:r w:rsidR="00341DEB">
              <w:rPr>
                <w:rFonts w:ascii="Times New Roman" w:hAnsi="Times New Roman" w:cs="Times New Roman"/>
                <w:sz w:val="20"/>
                <w:szCs w:val="20"/>
                <w:lang w:val="en-IE"/>
              </w:rPr>
              <w:t>.</w:t>
            </w:r>
            <w:r w:rsidRPr="00C73908">
              <w:rPr>
                <w:rFonts w:ascii="Times New Roman" w:hAnsi="Times New Roman" w:cs="Times New Roman"/>
                <w:sz w:val="20"/>
                <w:szCs w:val="20"/>
                <w:lang w:val="en-IE"/>
              </w:rPr>
              <w:t xml:space="preserve"> (</w:t>
            </w:r>
            <w:r w:rsidR="00872495">
              <w:rPr>
                <w:rFonts w:ascii="Times New Roman" w:hAnsi="Times New Roman" w:cs="Times New Roman"/>
                <w:sz w:val="20"/>
                <w:szCs w:val="20"/>
                <w:lang w:val="en-IE"/>
              </w:rPr>
              <w:t>Dummy</w:t>
            </w:r>
            <w:r w:rsidRPr="00C73908">
              <w:rPr>
                <w:rFonts w:ascii="Times New Roman" w:hAnsi="Times New Roman" w:cs="Times New Roman"/>
                <w:sz w:val="20"/>
                <w:szCs w:val="20"/>
                <w:lang w:val="en-IE"/>
              </w:rPr>
              <w:t xml:space="preserve"> variable)</w:t>
            </w:r>
          </w:p>
        </w:tc>
      </w:tr>
      <w:tr w:rsidR="006D2EA9" w:rsidRPr="00C73908" w14:paraId="2EEE475C" w14:textId="77777777" w:rsidTr="00872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vMerge w:val="restart"/>
            <w:vAlign w:val="center"/>
          </w:tcPr>
          <w:p w14:paraId="5F1E0CF4" w14:textId="77777777" w:rsidR="006D2EA9" w:rsidRPr="00C73908" w:rsidRDefault="006D2EA9" w:rsidP="008C6E8E">
            <w:pPr>
              <w:jc w:val="center"/>
              <w:rPr>
                <w:rFonts w:ascii="Times New Roman" w:hAnsi="Times New Roman" w:cs="Times New Roman"/>
                <w:sz w:val="20"/>
                <w:szCs w:val="20"/>
                <w:lang w:val="en-IE"/>
              </w:rPr>
            </w:pPr>
            <w:r w:rsidRPr="00C73908">
              <w:rPr>
                <w:rFonts w:ascii="Times New Roman" w:hAnsi="Times New Roman" w:cs="Times New Roman"/>
                <w:sz w:val="20"/>
                <w:szCs w:val="20"/>
                <w:lang w:val="en-IE"/>
              </w:rPr>
              <w:t>Innovation</w:t>
            </w:r>
          </w:p>
        </w:tc>
        <w:tc>
          <w:tcPr>
            <w:tcW w:w="1841" w:type="dxa"/>
            <w:vAlign w:val="center"/>
          </w:tcPr>
          <w:p w14:paraId="1EE3D0D2" w14:textId="77777777" w:rsidR="006D2EA9" w:rsidRPr="00C73908" w:rsidRDefault="006D2EA9" w:rsidP="008C6E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R&amp;D Spend</w:t>
            </w:r>
          </w:p>
        </w:tc>
        <w:tc>
          <w:tcPr>
            <w:tcW w:w="6218" w:type="dxa"/>
            <w:vAlign w:val="center"/>
          </w:tcPr>
          <w:p w14:paraId="24CEDC83" w14:textId="38679F28" w:rsidR="006D2EA9" w:rsidRPr="00C73908" w:rsidRDefault="006D2EA9" w:rsidP="008C6E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Total annual expenditure on Research and Development (</w:t>
            </w:r>
            <w:r w:rsidR="00C06D07" w:rsidRPr="00C73908">
              <w:rPr>
                <w:rFonts w:ascii="Times New Roman" w:hAnsi="Times New Roman" w:cs="Times New Roman"/>
                <w:sz w:val="20"/>
                <w:szCs w:val="20"/>
                <w:lang w:val="en-IE"/>
              </w:rPr>
              <w:t xml:space="preserve">including </w:t>
            </w:r>
            <w:r w:rsidRPr="00C73908">
              <w:rPr>
                <w:rFonts w:ascii="Times New Roman" w:hAnsi="Times New Roman" w:cs="Times New Roman"/>
                <w:sz w:val="20"/>
                <w:szCs w:val="20"/>
                <w:lang w:val="en-IE"/>
              </w:rPr>
              <w:t>both in-house and outsourced)</w:t>
            </w:r>
          </w:p>
        </w:tc>
      </w:tr>
      <w:tr w:rsidR="006D2EA9" w:rsidRPr="00C73908" w14:paraId="3C6BEF93" w14:textId="77777777" w:rsidTr="00872495">
        <w:tc>
          <w:tcPr>
            <w:cnfStyle w:val="001000000000" w:firstRow="0" w:lastRow="0" w:firstColumn="1" w:lastColumn="0" w:oddVBand="0" w:evenVBand="0" w:oddHBand="0" w:evenHBand="0" w:firstRowFirstColumn="0" w:firstRowLastColumn="0" w:lastRowFirstColumn="0" w:lastRowLastColumn="0"/>
            <w:tcW w:w="1434" w:type="dxa"/>
            <w:vMerge/>
            <w:shd w:val="clear" w:color="auto" w:fill="D9E2F3" w:themeFill="accent1" w:themeFillTint="33"/>
            <w:vAlign w:val="center"/>
          </w:tcPr>
          <w:p w14:paraId="06346FFD" w14:textId="77777777" w:rsidR="006D2EA9" w:rsidRPr="00C73908" w:rsidRDefault="006D2EA9" w:rsidP="008C6E8E">
            <w:pPr>
              <w:jc w:val="center"/>
              <w:rPr>
                <w:rFonts w:ascii="Times New Roman" w:hAnsi="Times New Roman" w:cs="Times New Roman"/>
                <w:sz w:val="20"/>
                <w:szCs w:val="20"/>
                <w:lang w:val="en-IE"/>
              </w:rPr>
            </w:pPr>
          </w:p>
        </w:tc>
        <w:tc>
          <w:tcPr>
            <w:tcW w:w="1841" w:type="dxa"/>
            <w:vAlign w:val="center"/>
          </w:tcPr>
          <w:p w14:paraId="24B8EF0A" w14:textId="77777777" w:rsidR="006D2EA9" w:rsidRPr="00C73908" w:rsidRDefault="006D2EA9" w:rsidP="008C6E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New Product Sales</w:t>
            </w:r>
          </w:p>
        </w:tc>
        <w:tc>
          <w:tcPr>
            <w:tcW w:w="6218" w:type="dxa"/>
            <w:vAlign w:val="center"/>
          </w:tcPr>
          <w:p w14:paraId="65B719F6" w14:textId="00524DB1" w:rsidR="006D2EA9" w:rsidRPr="00C73908" w:rsidRDefault="006D2EA9" w:rsidP="008C6E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Company generated sales from</w:t>
            </w:r>
            <w:r w:rsidR="000A0D41">
              <w:rPr>
                <w:rFonts w:ascii="Times New Roman" w:hAnsi="Times New Roman" w:cs="Times New Roman"/>
                <w:sz w:val="20"/>
                <w:szCs w:val="20"/>
                <w:lang w:val="en-IE"/>
              </w:rPr>
              <w:t xml:space="preserve"> new</w:t>
            </w:r>
            <w:r w:rsidRPr="00C73908">
              <w:rPr>
                <w:rFonts w:ascii="Times New Roman" w:hAnsi="Times New Roman" w:cs="Times New Roman"/>
                <w:sz w:val="20"/>
                <w:szCs w:val="20"/>
                <w:lang w:val="en-IE"/>
              </w:rPr>
              <w:t xml:space="preserve"> products which were developed in the last 3 years</w:t>
            </w:r>
            <w:r w:rsidR="00341DEB">
              <w:rPr>
                <w:rFonts w:ascii="Times New Roman" w:hAnsi="Times New Roman" w:cs="Times New Roman"/>
                <w:sz w:val="20"/>
                <w:szCs w:val="20"/>
                <w:lang w:val="en-IE"/>
              </w:rPr>
              <w:t>.</w:t>
            </w:r>
            <w:r w:rsidRPr="00C73908">
              <w:rPr>
                <w:rFonts w:ascii="Times New Roman" w:hAnsi="Times New Roman" w:cs="Times New Roman"/>
                <w:sz w:val="20"/>
                <w:szCs w:val="20"/>
                <w:lang w:val="en-IE"/>
              </w:rPr>
              <w:t xml:space="preserve"> (</w:t>
            </w:r>
            <w:r w:rsidR="00872495">
              <w:rPr>
                <w:rFonts w:ascii="Times New Roman" w:hAnsi="Times New Roman" w:cs="Times New Roman"/>
                <w:sz w:val="20"/>
                <w:szCs w:val="20"/>
                <w:lang w:val="en-IE"/>
              </w:rPr>
              <w:t>Dummy Variable</w:t>
            </w:r>
            <w:r w:rsidRPr="00C73908">
              <w:rPr>
                <w:rFonts w:ascii="Times New Roman" w:hAnsi="Times New Roman" w:cs="Times New Roman"/>
                <w:sz w:val="20"/>
                <w:szCs w:val="20"/>
                <w:lang w:val="en-IE"/>
              </w:rPr>
              <w:t>)</w:t>
            </w:r>
          </w:p>
        </w:tc>
      </w:tr>
      <w:tr w:rsidR="006D2EA9" w:rsidRPr="00C73908" w14:paraId="252C6F23" w14:textId="77777777" w:rsidTr="00872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vMerge/>
            <w:vAlign w:val="center"/>
          </w:tcPr>
          <w:p w14:paraId="13D2A1E3" w14:textId="77777777" w:rsidR="006D2EA9" w:rsidRPr="00C73908" w:rsidRDefault="006D2EA9" w:rsidP="008C6E8E">
            <w:pPr>
              <w:jc w:val="center"/>
              <w:rPr>
                <w:rFonts w:ascii="Times New Roman" w:hAnsi="Times New Roman" w:cs="Times New Roman"/>
                <w:sz w:val="20"/>
                <w:szCs w:val="20"/>
                <w:lang w:val="en-IE"/>
              </w:rPr>
            </w:pPr>
          </w:p>
        </w:tc>
        <w:tc>
          <w:tcPr>
            <w:tcW w:w="1841" w:type="dxa"/>
            <w:vAlign w:val="center"/>
          </w:tcPr>
          <w:p w14:paraId="12993FE2" w14:textId="77777777" w:rsidR="006D2EA9" w:rsidRPr="00C73908" w:rsidRDefault="006D2EA9" w:rsidP="008C6E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Collaborative Innovation</w:t>
            </w:r>
          </w:p>
        </w:tc>
        <w:tc>
          <w:tcPr>
            <w:tcW w:w="6218" w:type="dxa"/>
            <w:vAlign w:val="center"/>
          </w:tcPr>
          <w:p w14:paraId="1C348058" w14:textId="5909863D" w:rsidR="006D2EA9" w:rsidRPr="00C73908" w:rsidRDefault="006D2EA9" w:rsidP="008C6E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 xml:space="preserve">Company engaged in </w:t>
            </w:r>
            <w:r w:rsidR="00EF1587" w:rsidRPr="00C73908">
              <w:rPr>
                <w:rFonts w:ascii="Times New Roman" w:hAnsi="Times New Roman" w:cs="Times New Roman"/>
                <w:sz w:val="20"/>
                <w:szCs w:val="20"/>
                <w:lang w:val="en-IE"/>
              </w:rPr>
              <w:t xml:space="preserve">collaborative </w:t>
            </w:r>
            <w:r w:rsidRPr="00C73908">
              <w:rPr>
                <w:rFonts w:ascii="Times New Roman" w:hAnsi="Times New Roman" w:cs="Times New Roman"/>
                <w:sz w:val="20"/>
                <w:szCs w:val="20"/>
                <w:lang w:val="en-IE"/>
              </w:rPr>
              <w:t>research projects with external entities</w:t>
            </w:r>
            <w:r w:rsidR="006C3B98" w:rsidRPr="00C73908">
              <w:rPr>
                <w:rFonts w:ascii="Times New Roman" w:hAnsi="Times New Roman" w:cs="Times New Roman"/>
                <w:sz w:val="20"/>
                <w:szCs w:val="20"/>
                <w:lang w:val="en-IE"/>
              </w:rPr>
              <w:t xml:space="preserve"> such as</w:t>
            </w:r>
            <w:r w:rsidRPr="00C73908">
              <w:rPr>
                <w:rFonts w:ascii="Times New Roman" w:hAnsi="Times New Roman" w:cs="Times New Roman"/>
                <w:sz w:val="20"/>
                <w:szCs w:val="20"/>
                <w:lang w:val="en-IE"/>
              </w:rPr>
              <w:t xml:space="preserve"> 3</w:t>
            </w:r>
            <w:r w:rsidRPr="00C73908">
              <w:rPr>
                <w:rFonts w:ascii="Times New Roman" w:hAnsi="Times New Roman" w:cs="Times New Roman"/>
                <w:sz w:val="20"/>
                <w:szCs w:val="20"/>
                <w:vertAlign w:val="superscript"/>
                <w:lang w:val="en-IE"/>
              </w:rPr>
              <w:t>rd</w:t>
            </w:r>
            <w:r w:rsidRPr="00C73908">
              <w:rPr>
                <w:rFonts w:ascii="Times New Roman" w:hAnsi="Times New Roman" w:cs="Times New Roman"/>
                <w:sz w:val="20"/>
                <w:szCs w:val="20"/>
                <w:lang w:val="en-IE"/>
              </w:rPr>
              <w:t xml:space="preserve"> level institutions and industry-led networks. (</w:t>
            </w:r>
            <w:r w:rsidR="00872495">
              <w:rPr>
                <w:rFonts w:ascii="Times New Roman" w:hAnsi="Times New Roman" w:cs="Times New Roman"/>
                <w:sz w:val="20"/>
                <w:szCs w:val="20"/>
                <w:lang w:val="en-IE"/>
              </w:rPr>
              <w:t>Dummy Variable</w:t>
            </w:r>
            <w:r w:rsidRPr="00C73908">
              <w:rPr>
                <w:rFonts w:ascii="Times New Roman" w:hAnsi="Times New Roman" w:cs="Times New Roman"/>
                <w:sz w:val="20"/>
                <w:szCs w:val="20"/>
                <w:lang w:val="en-IE"/>
              </w:rPr>
              <w:t>)</w:t>
            </w:r>
          </w:p>
        </w:tc>
      </w:tr>
      <w:tr w:rsidR="005B782F" w:rsidRPr="00C73908" w14:paraId="36D79A55" w14:textId="77777777" w:rsidTr="00872495">
        <w:tc>
          <w:tcPr>
            <w:cnfStyle w:val="001000000000" w:firstRow="0" w:lastRow="0" w:firstColumn="1" w:lastColumn="0" w:oddVBand="0" w:evenVBand="0" w:oddHBand="0" w:evenHBand="0" w:firstRowFirstColumn="0" w:firstRowLastColumn="0" w:lastRowFirstColumn="0" w:lastRowLastColumn="0"/>
            <w:tcW w:w="1434" w:type="dxa"/>
            <w:vMerge w:val="restart"/>
            <w:shd w:val="clear" w:color="auto" w:fill="D9E2F3" w:themeFill="accent1" w:themeFillTint="33"/>
            <w:vAlign w:val="center"/>
          </w:tcPr>
          <w:p w14:paraId="34B049E9" w14:textId="3E4B6E43" w:rsidR="005B782F" w:rsidRPr="00C73908" w:rsidRDefault="005B782F" w:rsidP="008C6E8E">
            <w:pPr>
              <w:jc w:val="center"/>
              <w:rPr>
                <w:rFonts w:ascii="Times New Roman" w:hAnsi="Times New Roman" w:cs="Times New Roman"/>
                <w:sz w:val="20"/>
                <w:szCs w:val="20"/>
                <w:lang w:val="en-IE"/>
              </w:rPr>
            </w:pPr>
            <w:r w:rsidRPr="00C73908">
              <w:rPr>
                <w:rFonts w:ascii="Times New Roman" w:hAnsi="Times New Roman" w:cs="Times New Roman"/>
                <w:sz w:val="20"/>
                <w:szCs w:val="20"/>
                <w:lang w:val="en-IE"/>
              </w:rPr>
              <w:t>Skill Levels</w:t>
            </w:r>
          </w:p>
        </w:tc>
        <w:tc>
          <w:tcPr>
            <w:tcW w:w="1841" w:type="dxa"/>
            <w:vAlign w:val="center"/>
          </w:tcPr>
          <w:p w14:paraId="6A105253" w14:textId="77777777" w:rsidR="005B782F" w:rsidRPr="00C73908" w:rsidRDefault="005B782F" w:rsidP="008C6E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Average Wages</w:t>
            </w:r>
          </w:p>
        </w:tc>
        <w:tc>
          <w:tcPr>
            <w:tcW w:w="6218" w:type="dxa"/>
            <w:vAlign w:val="center"/>
          </w:tcPr>
          <w:p w14:paraId="0F331C76" w14:textId="4249073B" w:rsidR="005B782F" w:rsidRPr="00C73908" w:rsidRDefault="005B782F" w:rsidP="008C6E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Total payroll costs divided by total employment. Indicator of staff skill levels.</w:t>
            </w:r>
          </w:p>
        </w:tc>
      </w:tr>
      <w:tr w:rsidR="005B782F" w:rsidRPr="00C73908" w14:paraId="0F7E630E" w14:textId="77777777" w:rsidTr="00872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vMerge/>
            <w:vAlign w:val="center"/>
          </w:tcPr>
          <w:p w14:paraId="36021946" w14:textId="77777777" w:rsidR="005B782F" w:rsidRPr="00C73908" w:rsidRDefault="005B782F" w:rsidP="008C6E8E">
            <w:pPr>
              <w:jc w:val="center"/>
              <w:rPr>
                <w:rFonts w:ascii="Times New Roman" w:hAnsi="Times New Roman" w:cs="Times New Roman"/>
                <w:sz w:val="20"/>
                <w:szCs w:val="20"/>
                <w:lang w:val="en-IE"/>
              </w:rPr>
            </w:pPr>
          </w:p>
        </w:tc>
        <w:tc>
          <w:tcPr>
            <w:tcW w:w="1841" w:type="dxa"/>
            <w:vAlign w:val="center"/>
          </w:tcPr>
          <w:p w14:paraId="0990502D" w14:textId="49FE7070" w:rsidR="005B782F" w:rsidRPr="00C73908" w:rsidRDefault="00E5499F" w:rsidP="008C6E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Training Expenditure</w:t>
            </w:r>
          </w:p>
        </w:tc>
        <w:tc>
          <w:tcPr>
            <w:tcW w:w="6218" w:type="dxa"/>
            <w:vAlign w:val="center"/>
          </w:tcPr>
          <w:p w14:paraId="0060753D" w14:textId="590C2B6A" w:rsidR="005B782F" w:rsidRPr="00C73908" w:rsidRDefault="00E5499F" w:rsidP="008C6E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 xml:space="preserve">Annual expenditure on </w:t>
            </w:r>
            <w:r w:rsidR="007B4D83" w:rsidRPr="00C73908">
              <w:rPr>
                <w:rFonts w:ascii="Times New Roman" w:hAnsi="Times New Roman" w:cs="Times New Roman"/>
                <w:sz w:val="20"/>
                <w:szCs w:val="20"/>
                <w:lang w:val="en-IE"/>
              </w:rPr>
              <w:t>formal, structured</w:t>
            </w:r>
            <w:r w:rsidRPr="00C73908">
              <w:rPr>
                <w:rFonts w:ascii="Times New Roman" w:hAnsi="Times New Roman" w:cs="Times New Roman"/>
                <w:sz w:val="20"/>
                <w:szCs w:val="20"/>
                <w:lang w:val="en-IE"/>
              </w:rPr>
              <w:t xml:space="preserve"> training </w:t>
            </w:r>
            <w:r w:rsidR="00B16620" w:rsidRPr="00C73908">
              <w:rPr>
                <w:rFonts w:ascii="Times New Roman" w:hAnsi="Times New Roman" w:cs="Times New Roman"/>
                <w:sz w:val="20"/>
                <w:szCs w:val="20"/>
                <w:lang w:val="en-IE"/>
              </w:rPr>
              <w:t>excluding on-the job training</w:t>
            </w:r>
            <w:r w:rsidR="009F3627" w:rsidRPr="00C73908">
              <w:rPr>
                <w:rFonts w:ascii="Times New Roman" w:hAnsi="Times New Roman" w:cs="Times New Roman"/>
                <w:sz w:val="20"/>
                <w:szCs w:val="20"/>
                <w:lang w:val="en-IE"/>
              </w:rPr>
              <w:t>.</w:t>
            </w:r>
          </w:p>
        </w:tc>
      </w:tr>
      <w:tr w:rsidR="00CD499D" w:rsidRPr="00C73908" w14:paraId="7C1B8794" w14:textId="77777777" w:rsidTr="00872495">
        <w:tc>
          <w:tcPr>
            <w:cnfStyle w:val="001000000000" w:firstRow="0" w:lastRow="0" w:firstColumn="1" w:lastColumn="0" w:oddVBand="0" w:evenVBand="0" w:oddHBand="0" w:evenHBand="0" w:firstRowFirstColumn="0" w:firstRowLastColumn="0" w:lastRowFirstColumn="0" w:lastRowLastColumn="0"/>
            <w:tcW w:w="1434" w:type="dxa"/>
            <w:vMerge w:val="restart"/>
            <w:shd w:val="clear" w:color="auto" w:fill="D9E2F3" w:themeFill="accent1" w:themeFillTint="33"/>
            <w:vAlign w:val="center"/>
          </w:tcPr>
          <w:p w14:paraId="084882F4" w14:textId="77777777" w:rsidR="00CD499D" w:rsidRPr="00C73908" w:rsidRDefault="00CD499D" w:rsidP="008C6E8E">
            <w:pPr>
              <w:jc w:val="center"/>
              <w:rPr>
                <w:rFonts w:ascii="Times New Roman" w:hAnsi="Times New Roman" w:cs="Times New Roman"/>
                <w:sz w:val="20"/>
                <w:szCs w:val="20"/>
                <w:lang w:val="en-IE"/>
              </w:rPr>
            </w:pPr>
            <w:r w:rsidRPr="00C73908">
              <w:rPr>
                <w:rFonts w:ascii="Times New Roman" w:hAnsi="Times New Roman" w:cs="Times New Roman"/>
                <w:sz w:val="20"/>
                <w:szCs w:val="20"/>
                <w:lang w:val="en-IE"/>
              </w:rPr>
              <w:t>Export Promotion</w:t>
            </w:r>
          </w:p>
        </w:tc>
        <w:tc>
          <w:tcPr>
            <w:tcW w:w="1841" w:type="dxa"/>
            <w:vAlign w:val="center"/>
          </w:tcPr>
          <w:p w14:paraId="60D47679" w14:textId="1B41C789" w:rsidR="00CD499D" w:rsidRPr="00C73908" w:rsidRDefault="00CD499D" w:rsidP="008C6E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Export Promotion Funding</w:t>
            </w:r>
          </w:p>
        </w:tc>
        <w:tc>
          <w:tcPr>
            <w:tcW w:w="6218" w:type="dxa"/>
            <w:vAlign w:val="center"/>
          </w:tcPr>
          <w:p w14:paraId="51D1E3C3" w14:textId="0A03F141" w:rsidR="00CD499D" w:rsidRPr="00C73908" w:rsidRDefault="00CD499D" w:rsidP="008C6E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 xml:space="preserve">Company received support from EI to conduct market research </w:t>
            </w:r>
            <w:r w:rsidR="00EB0341">
              <w:rPr>
                <w:rFonts w:ascii="Times New Roman" w:hAnsi="Times New Roman" w:cs="Times New Roman"/>
                <w:sz w:val="20"/>
                <w:szCs w:val="20"/>
                <w:lang w:val="en-IE"/>
              </w:rPr>
              <w:t>or</w:t>
            </w:r>
            <w:r w:rsidRPr="00C73908">
              <w:rPr>
                <w:rFonts w:ascii="Times New Roman" w:hAnsi="Times New Roman" w:cs="Times New Roman"/>
                <w:sz w:val="20"/>
                <w:szCs w:val="20"/>
                <w:lang w:val="en-IE"/>
              </w:rPr>
              <w:t xml:space="preserve"> </w:t>
            </w:r>
            <w:r w:rsidR="00EB0341">
              <w:rPr>
                <w:rFonts w:ascii="Times New Roman" w:hAnsi="Times New Roman" w:cs="Times New Roman"/>
                <w:sz w:val="20"/>
                <w:szCs w:val="20"/>
                <w:lang w:val="en-IE"/>
              </w:rPr>
              <w:t>review/</w:t>
            </w:r>
            <w:r w:rsidRPr="00C73908">
              <w:rPr>
                <w:rFonts w:ascii="Times New Roman" w:hAnsi="Times New Roman" w:cs="Times New Roman"/>
                <w:sz w:val="20"/>
                <w:szCs w:val="20"/>
                <w:lang w:val="en-IE"/>
              </w:rPr>
              <w:t xml:space="preserve">develop </w:t>
            </w:r>
            <w:r w:rsidR="00EB0341">
              <w:rPr>
                <w:rFonts w:ascii="Times New Roman" w:hAnsi="Times New Roman" w:cs="Times New Roman"/>
                <w:sz w:val="20"/>
                <w:szCs w:val="20"/>
                <w:lang w:val="en-IE"/>
              </w:rPr>
              <w:t>their export</w:t>
            </w:r>
            <w:r w:rsidRPr="00C73908">
              <w:rPr>
                <w:rFonts w:ascii="Times New Roman" w:hAnsi="Times New Roman" w:cs="Times New Roman"/>
                <w:sz w:val="20"/>
                <w:szCs w:val="20"/>
                <w:lang w:val="en-IE"/>
              </w:rPr>
              <w:t xml:space="preserve"> strategy</w:t>
            </w:r>
            <w:r w:rsidR="00341DEB">
              <w:rPr>
                <w:rFonts w:ascii="Times New Roman" w:hAnsi="Times New Roman" w:cs="Times New Roman"/>
                <w:sz w:val="20"/>
                <w:szCs w:val="20"/>
                <w:lang w:val="en-IE"/>
              </w:rPr>
              <w:t>.</w:t>
            </w:r>
            <w:r w:rsidRPr="00C73908">
              <w:rPr>
                <w:rFonts w:ascii="Times New Roman" w:hAnsi="Times New Roman" w:cs="Times New Roman"/>
                <w:sz w:val="20"/>
                <w:szCs w:val="20"/>
                <w:lang w:val="en-IE"/>
              </w:rPr>
              <w:t xml:space="preserve"> (</w:t>
            </w:r>
            <w:r w:rsidR="00872495">
              <w:rPr>
                <w:rFonts w:ascii="Times New Roman" w:hAnsi="Times New Roman" w:cs="Times New Roman"/>
                <w:sz w:val="20"/>
                <w:szCs w:val="20"/>
                <w:lang w:val="en-IE"/>
              </w:rPr>
              <w:t>Dummy</w:t>
            </w:r>
            <w:r w:rsidRPr="00C73908">
              <w:rPr>
                <w:rFonts w:ascii="Times New Roman" w:hAnsi="Times New Roman" w:cs="Times New Roman"/>
                <w:sz w:val="20"/>
                <w:szCs w:val="20"/>
                <w:lang w:val="en-IE"/>
              </w:rPr>
              <w:t xml:space="preserve"> variable)</w:t>
            </w:r>
          </w:p>
        </w:tc>
      </w:tr>
      <w:tr w:rsidR="00CD499D" w:rsidRPr="00C73908" w14:paraId="3453DFCB" w14:textId="77777777" w:rsidTr="00872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vMerge/>
            <w:vAlign w:val="center"/>
          </w:tcPr>
          <w:p w14:paraId="58B2D7BC" w14:textId="77777777" w:rsidR="00CD499D" w:rsidRPr="00C73908" w:rsidRDefault="00CD499D" w:rsidP="008C6E8E">
            <w:pPr>
              <w:jc w:val="center"/>
              <w:rPr>
                <w:rFonts w:ascii="Times New Roman" w:hAnsi="Times New Roman" w:cs="Times New Roman"/>
                <w:sz w:val="20"/>
                <w:szCs w:val="20"/>
                <w:lang w:val="en-IE"/>
              </w:rPr>
            </w:pPr>
          </w:p>
        </w:tc>
        <w:tc>
          <w:tcPr>
            <w:tcW w:w="1841" w:type="dxa"/>
            <w:vAlign w:val="center"/>
          </w:tcPr>
          <w:p w14:paraId="600B33FB" w14:textId="4796E9D8" w:rsidR="00CD499D" w:rsidRPr="00C73908" w:rsidRDefault="00AC2229" w:rsidP="008C6E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 xml:space="preserve">Overseas Office </w:t>
            </w:r>
            <w:r w:rsidR="005E4172" w:rsidRPr="00C73908">
              <w:rPr>
                <w:rFonts w:ascii="Times New Roman" w:hAnsi="Times New Roman" w:cs="Times New Roman"/>
                <w:sz w:val="20"/>
                <w:szCs w:val="20"/>
                <w:lang w:val="en-IE"/>
              </w:rPr>
              <w:t>Support</w:t>
            </w:r>
          </w:p>
        </w:tc>
        <w:tc>
          <w:tcPr>
            <w:tcW w:w="6218" w:type="dxa"/>
            <w:vAlign w:val="center"/>
          </w:tcPr>
          <w:p w14:paraId="28D5FCE7" w14:textId="3A19FD64" w:rsidR="00CD499D" w:rsidRPr="00C73908" w:rsidRDefault="00AC2229" w:rsidP="008C6E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Company received support from the EI overseas office network.</w:t>
            </w:r>
            <w:r w:rsidR="00EF30D4">
              <w:rPr>
                <w:rFonts w:ascii="Times New Roman" w:hAnsi="Times New Roman" w:cs="Times New Roman"/>
                <w:sz w:val="20"/>
                <w:szCs w:val="20"/>
                <w:lang w:val="en-IE"/>
              </w:rPr>
              <w:t xml:space="preserve"> (Dummy Variable)</w:t>
            </w:r>
          </w:p>
        </w:tc>
      </w:tr>
      <w:tr w:rsidR="006D2EA9" w:rsidRPr="00C73908" w14:paraId="06E9FD35" w14:textId="77777777" w:rsidTr="00872495">
        <w:trPr>
          <w:trHeight w:val="96"/>
        </w:trPr>
        <w:tc>
          <w:tcPr>
            <w:cnfStyle w:val="001000000000" w:firstRow="0" w:lastRow="0" w:firstColumn="1" w:lastColumn="0" w:oddVBand="0" w:evenVBand="0" w:oddHBand="0" w:evenHBand="0" w:firstRowFirstColumn="0" w:firstRowLastColumn="0" w:lastRowFirstColumn="0" w:lastRowLastColumn="0"/>
            <w:tcW w:w="1434" w:type="dxa"/>
            <w:shd w:val="clear" w:color="auto" w:fill="D9E2F3" w:themeFill="accent1" w:themeFillTint="33"/>
            <w:vAlign w:val="center"/>
          </w:tcPr>
          <w:p w14:paraId="472D2D81" w14:textId="77777777" w:rsidR="006D2EA9" w:rsidRPr="00C73908" w:rsidRDefault="006D2EA9" w:rsidP="008C6E8E">
            <w:pPr>
              <w:jc w:val="center"/>
              <w:rPr>
                <w:rFonts w:ascii="Times New Roman" w:hAnsi="Times New Roman" w:cs="Times New Roman"/>
                <w:sz w:val="20"/>
                <w:szCs w:val="20"/>
                <w:lang w:val="en-IE"/>
              </w:rPr>
            </w:pPr>
            <w:r w:rsidRPr="00C73908">
              <w:rPr>
                <w:rFonts w:ascii="Times New Roman" w:hAnsi="Times New Roman" w:cs="Times New Roman"/>
                <w:sz w:val="20"/>
                <w:szCs w:val="20"/>
                <w:lang w:val="en-IE"/>
              </w:rPr>
              <w:t>Firm Age/ Experience</w:t>
            </w:r>
          </w:p>
        </w:tc>
        <w:tc>
          <w:tcPr>
            <w:tcW w:w="1841" w:type="dxa"/>
            <w:vAlign w:val="center"/>
          </w:tcPr>
          <w:p w14:paraId="2B3787B4" w14:textId="77777777" w:rsidR="006D2EA9" w:rsidRPr="00C73908" w:rsidRDefault="006D2EA9" w:rsidP="008C6E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Firm Age</w:t>
            </w:r>
          </w:p>
        </w:tc>
        <w:tc>
          <w:tcPr>
            <w:tcW w:w="6218" w:type="dxa"/>
            <w:vAlign w:val="center"/>
          </w:tcPr>
          <w:p w14:paraId="0C5DD611" w14:textId="02C8AA54" w:rsidR="006D2EA9" w:rsidRPr="00C73908" w:rsidRDefault="006D2EA9" w:rsidP="008C6E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E"/>
              </w:rPr>
            </w:pPr>
            <w:r w:rsidRPr="00C73908">
              <w:rPr>
                <w:rFonts w:ascii="Times New Roman" w:hAnsi="Times New Roman" w:cs="Times New Roman"/>
                <w:sz w:val="20"/>
                <w:szCs w:val="20"/>
                <w:lang w:val="en-IE"/>
              </w:rPr>
              <w:t>Number of years since the company was established, based on CRO registration date</w:t>
            </w:r>
            <w:r w:rsidR="00511461">
              <w:rPr>
                <w:rFonts w:ascii="Times New Roman" w:hAnsi="Times New Roman" w:cs="Times New Roman"/>
                <w:sz w:val="20"/>
                <w:szCs w:val="20"/>
                <w:lang w:val="en-IE"/>
              </w:rPr>
              <w:t>.</w:t>
            </w:r>
          </w:p>
        </w:tc>
      </w:tr>
    </w:tbl>
    <w:p w14:paraId="5505248C" w14:textId="5A663D5F" w:rsidR="005732F9" w:rsidRPr="00C73908" w:rsidRDefault="005732F9" w:rsidP="008A6DF2">
      <w:pPr>
        <w:pStyle w:val="Heading1"/>
        <w:numPr>
          <w:ilvl w:val="1"/>
          <w:numId w:val="4"/>
        </w:numPr>
        <w:spacing w:after="240" w:line="360" w:lineRule="auto"/>
        <w:jc w:val="both"/>
        <w:rPr>
          <w:rFonts w:ascii="Times New Roman" w:hAnsi="Times New Roman" w:cs="Times New Roman"/>
          <w:b/>
          <w:bCs/>
          <w:color w:val="0070C0"/>
          <w:lang w:val="en-IE"/>
        </w:rPr>
      </w:pPr>
      <w:bookmarkStart w:id="24" w:name="_Toc67143563"/>
      <w:bookmarkStart w:id="25" w:name="_Toc69198804"/>
      <w:r w:rsidRPr="00C73908">
        <w:rPr>
          <w:rFonts w:ascii="Times New Roman" w:hAnsi="Times New Roman" w:cs="Times New Roman"/>
          <w:b/>
          <w:bCs/>
          <w:color w:val="0070C0"/>
          <w:lang w:val="en-IE"/>
        </w:rPr>
        <w:lastRenderedPageBreak/>
        <w:t xml:space="preserve">Sectoral </w:t>
      </w:r>
      <w:r w:rsidR="00D16262" w:rsidRPr="00C73908">
        <w:rPr>
          <w:rFonts w:ascii="Times New Roman" w:hAnsi="Times New Roman" w:cs="Times New Roman"/>
          <w:b/>
          <w:bCs/>
          <w:color w:val="0070C0"/>
          <w:lang w:val="en-IE"/>
        </w:rPr>
        <w:t>Characteristics and Trends</w:t>
      </w:r>
      <w:bookmarkEnd w:id="24"/>
      <w:bookmarkEnd w:id="25"/>
    </w:p>
    <w:p w14:paraId="47F89BF7" w14:textId="3D6CE1D6" w:rsidR="00406CA6" w:rsidRPr="00C73908" w:rsidRDefault="00F37799" w:rsidP="008A6DF2">
      <w:pPr>
        <w:spacing w:after="240" w:line="360" w:lineRule="auto"/>
        <w:jc w:val="both"/>
        <w:rPr>
          <w:rFonts w:ascii="Times New Roman" w:hAnsi="Times New Roman" w:cs="Times New Roman"/>
          <w:lang w:val="en-IE"/>
        </w:rPr>
      </w:pPr>
      <w:r>
        <w:rPr>
          <w:rFonts w:ascii="Times New Roman" w:hAnsi="Times New Roman" w:cs="Times New Roman"/>
          <w:lang w:val="en-IE"/>
        </w:rPr>
        <w:t xml:space="preserve">This section </w:t>
      </w:r>
      <w:r w:rsidR="00F228C7">
        <w:rPr>
          <w:rFonts w:ascii="Times New Roman" w:hAnsi="Times New Roman" w:cs="Times New Roman"/>
          <w:lang w:val="en-IE"/>
        </w:rPr>
        <w:t>outlines</w:t>
      </w:r>
      <w:r>
        <w:rPr>
          <w:rFonts w:ascii="Times New Roman" w:hAnsi="Times New Roman" w:cs="Times New Roman"/>
          <w:lang w:val="en-IE"/>
        </w:rPr>
        <w:t xml:space="preserve"> descriptive statistics which </w:t>
      </w:r>
      <w:r w:rsidR="00F228C7">
        <w:rPr>
          <w:rFonts w:ascii="Times New Roman" w:hAnsi="Times New Roman" w:cs="Times New Roman"/>
          <w:lang w:val="en-IE"/>
        </w:rPr>
        <w:t>provide</w:t>
      </w:r>
      <w:r>
        <w:rPr>
          <w:rFonts w:ascii="Times New Roman" w:hAnsi="Times New Roman" w:cs="Times New Roman"/>
          <w:lang w:val="en-IE"/>
        </w:rPr>
        <w:t xml:space="preserve"> a</w:t>
      </w:r>
      <w:r w:rsidR="00EE1C7B">
        <w:rPr>
          <w:rFonts w:ascii="Times New Roman" w:hAnsi="Times New Roman" w:cs="Times New Roman"/>
          <w:lang w:val="en-IE"/>
        </w:rPr>
        <w:t xml:space="preserve"> detailed</w:t>
      </w:r>
      <w:r>
        <w:rPr>
          <w:rFonts w:ascii="Times New Roman" w:hAnsi="Times New Roman" w:cs="Times New Roman"/>
          <w:lang w:val="en-IE"/>
        </w:rPr>
        <w:t xml:space="preserve"> </w:t>
      </w:r>
      <w:r w:rsidR="00956642">
        <w:rPr>
          <w:rFonts w:ascii="Times New Roman" w:hAnsi="Times New Roman" w:cs="Times New Roman"/>
          <w:lang w:val="en-IE"/>
        </w:rPr>
        <w:t xml:space="preserve">insight into </w:t>
      </w:r>
      <w:r>
        <w:rPr>
          <w:rFonts w:ascii="Times New Roman" w:hAnsi="Times New Roman" w:cs="Times New Roman"/>
          <w:lang w:val="en-IE"/>
        </w:rPr>
        <w:t xml:space="preserve">the characteristics </w:t>
      </w:r>
      <w:r w:rsidR="003C5B8A">
        <w:rPr>
          <w:rFonts w:ascii="Times New Roman" w:hAnsi="Times New Roman" w:cs="Times New Roman"/>
          <w:lang w:val="en-IE"/>
        </w:rPr>
        <w:t xml:space="preserve">of the </w:t>
      </w:r>
      <w:r w:rsidR="00D2598B">
        <w:rPr>
          <w:rFonts w:ascii="Times New Roman" w:hAnsi="Times New Roman" w:cs="Times New Roman"/>
          <w:lang w:val="en-IE"/>
        </w:rPr>
        <w:t xml:space="preserve">companies in the sample. </w:t>
      </w:r>
      <w:r w:rsidR="00DA135D">
        <w:rPr>
          <w:rFonts w:ascii="Times New Roman" w:hAnsi="Times New Roman" w:cs="Times New Roman"/>
          <w:lang w:val="en-IE"/>
        </w:rPr>
        <w:t>This includes</w:t>
      </w:r>
      <w:r w:rsidR="00CB6E49">
        <w:rPr>
          <w:rFonts w:ascii="Times New Roman" w:hAnsi="Times New Roman" w:cs="Times New Roman"/>
          <w:lang w:val="en-IE"/>
        </w:rPr>
        <w:t xml:space="preserve"> a broad range of indicators </w:t>
      </w:r>
      <w:r w:rsidR="00DA135D">
        <w:rPr>
          <w:rFonts w:ascii="Times New Roman" w:hAnsi="Times New Roman" w:cs="Times New Roman"/>
          <w:lang w:val="en-IE"/>
        </w:rPr>
        <w:t>such as</w:t>
      </w:r>
      <w:r w:rsidR="00CB6E49">
        <w:rPr>
          <w:rFonts w:ascii="Times New Roman" w:hAnsi="Times New Roman" w:cs="Times New Roman"/>
          <w:lang w:val="en-IE"/>
        </w:rPr>
        <w:t xml:space="preserve"> turnover, </w:t>
      </w:r>
      <w:r w:rsidR="00EE1C7B">
        <w:rPr>
          <w:rFonts w:ascii="Times New Roman" w:hAnsi="Times New Roman" w:cs="Times New Roman"/>
          <w:lang w:val="en-IE"/>
        </w:rPr>
        <w:t>employment</w:t>
      </w:r>
      <w:r w:rsidR="00F228C7">
        <w:rPr>
          <w:rFonts w:ascii="Times New Roman" w:hAnsi="Times New Roman" w:cs="Times New Roman"/>
          <w:lang w:val="en-IE"/>
        </w:rPr>
        <w:t>, average wages</w:t>
      </w:r>
      <w:r w:rsidR="007412AE">
        <w:rPr>
          <w:rFonts w:ascii="Times New Roman" w:hAnsi="Times New Roman" w:cs="Times New Roman"/>
          <w:lang w:val="en-IE"/>
        </w:rPr>
        <w:t>,</w:t>
      </w:r>
      <w:r w:rsidR="00F228C7">
        <w:rPr>
          <w:rFonts w:ascii="Times New Roman" w:hAnsi="Times New Roman" w:cs="Times New Roman"/>
          <w:lang w:val="en-IE"/>
        </w:rPr>
        <w:t xml:space="preserve"> and R&amp;D expenditure. It shows trends in </w:t>
      </w:r>
      <w:r w:rsidR="007D662D">
        <w:rPr>
          <w:rFonts w:ascii="Times New Roman" w:hAnsi="Times New Roman" w:cs="Times New Roman"/>
          <w:lang w:val="en-IE"/>
        </w:rPr>
        <w:t xml:space="preserve">several </w:t>
      </w:r>
      <w:r w:rsidR="00F228C7">
        <w:rPr>
          <w:rFonts w:ascii="Times New Roman" w:hAnsi="Times New Roman" w:cs="Times New Roman"/>
          <w:lang w:val="en-IE"/>
        </w:rPr>
        <w:t xml:space="preserve">key indicators such as </w:t>
      </w:r>
      <w:r w:rsidR="00BF0D71">
        <w:rPr>
          <w:rFonts w:ascii="Times New Roman" w:hAnsi="Times New Roman" w:cs="Times New Roman"/>
          <w:lang w:val="en-IE"/>
        </w:rPr>
        <w:t>average exports and R&amp;D intensity from 2010 to 2019</w:t>
      </w:r>
      <w:r w:rsidR="001A5158">
        <w:rPr>
          <w:rFonts w:ascii="Times New Roman" w:hAnsi="Times New Roman" w:cs="Times New Roman"/>
          <w:lang w:val="en-IE"/>
        </w:rPr>
        <w:t>,</w:t>
      </w:r>
      <w:r w:rsidR="001A5158" w:rsidRPr="001A5158">
        <w:rPr>
          <w:rFonts w:ascii="Times New Roman" w:hAnsi="Times New Roman" w:cs="Times New Roman"/>
          <w:lang w:val="en-IE"/>
        </w:rPr>
        <w:t xml:space="preserve"> </w:t>
      </w:r>
      <w:r w:rsidR="001A5158">
        <w:rPr>
          <w:rFonts w:ascii="Times New Roman" w:hAnsi="Times New Roman" w:cs="Times New Roman"/>
          <w:lang w:val="en-IE"/>
        </w:rPr>
        <w:t xml:space="preserve">as well as breakdowns by NACE sector and </w:t>
      </w:r>
      <w:r w:rsidR="00E67749">
        <w:rPr>
          <w:rFonts w:ascii="Times New Roman" w:hAnsi="Times New Roman" w:cs="Times New Roman"/>
          <w:lang w:val="en-IE"/>
        </w:rPr>
        <w:t xml:space="preserve">company </w:t>
      </w:r>
      <w:r w:rsidR="001A5158">
        <w:rPr>
          <w:rFonts w:ascii="Times New Roman" w:hAnsi="Times New Roman" w:cs="Times New Roman"/>
          <w:lang w:val="en-IE"/>
        </w:rPr>
        <w:t>size categories (based on annual turnover and employment)</w:t>
      </w:r>
      <w:r w:rsidR="002B0C34">
        <w:rPr>
          <w:rFonts w:ascii="Times New Roman" w:hAnsi="Times New Roman" w:cs="Times New Roman"/>
          <w:lang w:val="en-IE"/>
        </w:rPr>
        <w:t>.</w:t>
      </w:r>
      <w:r w:rsidR="00CB6E49">
        <w:rPr>
          <w:rFonts w:ascii="Times New Roman" w:hAnsi="Times New Roman" w:cs="Times New Roman"/>
          <w:lang w:val="en-IE"/>
        </w:rPr>
        <w:t xml:space="preserve"> </w:t>
      </w:r>
      <w:r w:rsidR="005D4BA9" w:rsidRPr="00C73908">
        <w:rPr>
          <w:rFonts w:ascii="Times New Roman" w:hAnsi="Times New Roman" w:cs="Times New Roman"/>
          <w:lang w:val="en-IE"/>
        </w:rPr>
        <w:t>The</w:t>
      </w:r>
      <w:r w:rsidR="00F4272C" w:rsidRPr="00C73908">
        <w:rPr>
          <w:rFonts w:ascii="Times New Roman" w:hAnsi="Times New Roman" w:cs="Times New Roman"/>
          <w:lang w:val="en-IE"/>
        </w:rPr>
        <w:t xml:space="preserve"> sample contains 2,780 companies </w:t>
      </w:r>
      <w:r w:rsidR="00EA4A2C" w:rsidRPr="00C73908">
        <w:rPr>
          <w:rFonts w:ascii="Times New Roman" w:hAnsi="Times New Roman" w:cs="Times New Roman"/>
          <w:lang w:val="en-IE"/>
        </w:rPr>
        <w:t>across a range of sectors. For the purposes of the econometric ana</w:t>
      </w:r>
      <w:r w:rsidR="00120B92" w:rsidRPr="00C73908">
        <w:rPr>
          <w:rFonts w:ascii="Times New Roman" w:hAnsi="Times New Roman" w:cs="Times New Roman"/>
          <w:lang w:val="en-IE"/>
        </w:rPr>
        <w:t>lysis</w:t>
      </w:r>
      <w:r w:rsidR="00172BC7" w:rsidRPr="00C73908">
        <w:rPr>
          <w:rFonts w:ascii="Times New Roman" w:hAnsi="Times New Roman" w:cs="Times New Roman"/>
          <w:lang w:val="en-IE"/>
        </w:rPr>
        <w:t>, companies are divided into manufacturing and services sectors</w:t>
      </w:r>
      <w:r w:rsidR="00676D80" w:rsidRPr="00C73908">
        <w:rPr>
          <w:rFonts w:ascii="Times New Roman" w:hAnsi="Times New Roman" w:cs="Times New Roman"/>
          <w:lang w:val="en-IE"/>
        </w:rPr>
        <w:t>:</w:t>
      </w:r>
    </w:p>
    <w:p w14:paraId="530A0993" w14:textId="56CC0759" w:rsidR="00C53FA6" w:rsidRPr="00C73908" w:rsidRDefault="00C53FA6" w:rsidP="008A6DF2">
      <w:pPr>
        <w:pStyle w:val="ListParagraph"/>
        <w:numPr>
          <w:ilvl w:val="0"/>
          <w:numId w:val="5"/>
        </w:numPr>
        <w:spacing w:after="240" w:line="360" w:lineRule="auto"/>
        <w:jc w:val="both"/>
        <w:rPr>
          <w:rFonts w:ascii="Times New Roman" w:hAnsi="Times New Roman" w:cs="Times New Roman"/>
          <w:lang w:val="en-IE"/>
        </w:rPr>
      </w:pPr>
      <w:r w:rsidRPr="00C73908">
        <w:rPr>
          <w:rFonts w:ascii="Times New Roman" w:hAnsi="Times New Roman" w:cs="Times New Roman"/>
          <w:b/>
          <w:bCs/>
          <w:lang w:val="en-IE"/>
        </w:rPr>
        <w:t>Manufacturing</w:t>
      </w:r>
      <w:r w:rsidR="008D3CBE" w:rsidRPr="00C73908">
        <w:rPr>
          <w:rFonts w:ascii="Times New Roman" w:hAnsi="Times New Roman" w:cs="Times New Roman"/>
          <w:b/>
          <w:bCs/>
          <w:lang w:val="en-IE"/>
        </w:rPr>
        <w:t xml:space="preserve"> </w:t>
      </w:r>
      <w:r w:rsidR="002919D7" w:rsidRPr="00C73908">
        <w:rPr>
          <w:rFonts w:ascii="Times New Roman" w:hAnsi="Times New Roman" w:cs="Times New Roman"/>
          <w:lang w:val="en-IE"/>
        </w:rPr>
        <w:t xml:space="preserve">(NACE Codes </w:t>
      </w:r>
      <w:r w:rsidR="00822CEE" w:rsidRPr="00C73908">
        <w:rPr>
          <w:rFonts w:ascii="Times New Roman" w:hAnsi="Times New Roman" w:cs="Times New Roman"/>
          <w:lang w:val="en-IE"/>
        </w:rPr>
        <w:t>01</w:t>
      </w:r>
      <w:r w:rsidR="002919D7" w:rsidRPr="00C73908">
        <w:rPr>
          <w:rFonts w:ascii="Times New Roman" w:hAnsi="Times New Roman" w:cs="Times New Roman"/>
          <w:lang w:val="en-IE"/>
        </w:rPr>
        <w:t>-33)</w:t>
      </w:r>
      <w:r w:rsidRPr="00C73908">
        <w:rPr>
          <w:rFonts w:ascii="Times New Roman" w:hAnsi="Times New Roman" w:cs="Times New Roman"/>
          <w:lang w:val="en-IE"/>
        </w:rPr>
        <w:t xml:space="preserve">: </w:t>
      </w:r>
      <w:r w:rsidR="0007704E" w:rsidRPr="00C73908">
        <w:rPr>
          <w:rFonts w:ascii="Times New Roman" w:hAnsi="Times New Roman" w:cs="Times New Roman"/>
          <w:lang w:val="en-IE"/>
        </w:rPr>
        <w:t>t</w:t>
      </w:r>
      <w:r w:rsidR="00D82549" w:rsidRPr="00C73908">
        <w:rPr>
          <w:rFonts w:ascii="Times New Roman" w:hAnsi="Times New Roman" w:cs="Times New Roman"/>
          <w:lang w:val="en-IE"/>
        </w:rPr>
        <w:t xml:space="preserve">here are </w:t>
      </w:r>
      <w:r w:rsidR="00D82549" w:rsidRPr="00C73908">
        <w:rPr>
          <w:rFonts w:ascii="Times New Roman" w:hAnsi="Times New Roman" w:cs="Times New Roman"/>
          <w:b/>
          <w:bCs/>
          <w:lang w:val="en-IE"/>
        </w:rPr>
        <w:t>1,387</w:t>
      </w:r>
      <w:r w:rsidR="00D82549" w:rsidRPr="00C73908">
        <w:rPr>
          <w:rFonts w:ascii="Times New Roman" w:hAnsi="Times New Roman" w:cs="Times New Roman"/>
          <w:lang w:val="en-IE"/>
        </w:rPr>
        <w:t xml:space="preserve"> manufacturing</w:t>
      </w:r>
      <w:r w:rsidR="00A845FC" w:rsidRPr="00C73908">
        <w:rPr>
          <w:rFonts w:ascii="Times New Roman" w:hAnsi="Times New Roman" w:cs="Times New Roman"/>
          <w:lang w:val="en-IE"/>
        </w:rPr>
        <w:t xml:space="preserve"> companies in </w:t>
      </w:r>
      <w:r w:rsidR="00D82549" w:rsidRPr="00C73908">
        <w:rPr>
          <w:rFonts w:ascii="Times New Roman" w:hAnsi="Times New Roman" w:cs="Times New Roman"/>
          <w:lang w:val="en-IE"/>
        </w:rPr>
        <w:t>the sample. This</w:t>
      </w:r>
      <w:r w:rsidR="00141B7F" w:rsidRPr="00C73908">
        <w:rPr>
          <w:rFonts w:ascii="Times New Roman" w:hAnsi="Times New Roman" w:cs="Times New Roman"/>
          <w:lang w:val="en-IE"/>
        </w:rPr>
        <w:t xml:space="preserve"> </w:t>
      </w:r>
      <w:r w:rsidR="000B4908">
        <w:rPr>
          <w:rFonts w:ascii="Times New Roman" w:hAnsi="Times New Roman" w:cs="Times New Roman"/>
          <w:lang w:val="en-IE"/>
        </w:rPr>
        <w:t>includes</w:t>
      </w:r>
      <w:r w:rsidR="00A845FC" w:rsidRPr="00C73908">
        <w:rPr>
          <w:rFonts w:ascii="Times New Roman" w:hAnsi="Times New Roman" w:cs="Times New Roman"/>
          <w:lang w:val="en-IE"/>
        </w:rPr>
        <w:t xml:space="preserve"> </w:t>
      </w:r>
      <w:r w:rsidR="002919D7" w:rsidRPr="00C73908">
        <w:rPr>
          <w:rFonts w:ascii="Times New Roman" w:hAnsi="Times New Roman" w:cs="Times New Roman"/>
          <w:lang w:val="en-IE"/>
        </w:rPr>
        <w:t>manufacturers of</w:t>
      </w:r>
      <w:r w:rsidR="00284DC1" w:rsidRPr="00C73908">
        <w:rPr>
          <w:rFonts w:ascii="Times New Roman" w:hAnsi="Times New Roman" w:cs="Times New Roman"/>
          <w:lang w:val="en-IE"/>
        </w:rPr>
        <w:t xml:space="preserve"> a wide range of products</w:t>
      </w:r>
      <w:r w:rsidR="002919D7" w:rsidRPr="00C73908">
        <w:rPr>
          <w:rFonts w:ascii="Times New Roman" w:hAnsi="Times New Roman" w:cs="Times New Roman"/>
          <w:lang w:val="en-IE"/>
        </w:rPr>
        <w:t xml:space="preserve"> </w:t>
      </w:r>
      <w:r w:rsidR="000B4908">
        <w:rPr>
          <w:rFonts w:ascii="Times New Roman" w:hAnsi="Times New Roman" w:cs="Times New Roman"/>
          <w:lang w:val="en-IE"/>
        </w:rPr>
        <w:t xml:space="preserve">such as </w:t>
      </w:r>
      <w:r w:rsidR="00284DC1" w:rsidRPr="00C73908">
        <w:rPr>
          <w:rFonts w:ascii="Times New Roman" w:hAnsi="Times New Roman" w:cs="Times New Roman"/>
          <w:lang w:val="en-IE"/>
        </w:rPr>
        <w:t xml:space="preserve">food products, </w:t>
      </w:r>
      <w:r w:rsidR="00975041" w:rsidRPr="00C73908">
        <w:rPr>
          <w:rFonts w:ascii="Times New Roman" w:hAnsi="Times New Roman" w:cs="Times New Roman"/>
          <w:lang w:val="en-IE"/>
        </w:rPr>
        <w:t xml:space="preserve">fabricated metal products, machinery and equipment, </w:t>
      </w:r>
      <w:r w:rsidR="001702BF" w:rsidRPr="00C73908">
        <w:rPr>
          <w:rFonts w:ascii="Times New Roman" w:hAnsi="Times New Roman" w:cs="Times New Roman"/>
          <w:lang w:val="en-IE"/>
        </w:rPr>
        <w:t>electrical equipment, pharma</w:t>
      </w:r>
      <w:r w:rsidR="00C01432" w:rsidRPr="00C73908">
        <w:rPr>
          <w:rFonts w:ascii="Times New Roman" w:hAnsi="Times New Roman" w:cs="Times New Roman"/>
          <w:lang w:val="en-IE"/>
        </w:rPr>
        <w:t>ceutical</w:t>
      </w:r>
      <w:r w:rsidR="001702BF" w:rsidRPr="00C73908">
        <w:rPr>
          <w:rFonts w:ascii="Times New Roman" w:hAnsi="Times New Roman" w:cs="Times New Roman"/>
          <w:lang w:val="en-IE"/>
        </w:rPr>
        <w:t xml:space="preserve"> products</w:t>
      </w:r>
      <w:r w:rsidR="006A5A57" w:rsidRPr="00C73908">
        <w:rPr>
          <w:rFonts w:ascii="Times New Roman" w:hAnsi="Times New Roman" w:cs="Times New Roman"/>
          <w:lang w:val="en-IE"/>
        </w:rPr>
        <w:t xml:space="preserve">, medical </w:t>
      </w:r>
      <w:r w:rsidR="000C3CD4" w:rsidRPr="00C73908">
        <w:rPr>
          <w:rFonts w:ascii="Times New Roman" w:hAnsi="Times New Roman" w:cs="Times New Roman"/>
          <w:lang w:val="en-IE"/>
        </w:rPr>
        <w:t>devices,</w:t>
      </w:r>
      <w:r w:rsidR="00284DC1" w:rsidRPr="00C73908">
        <w:rPr>
          <w:rFonts w:ascii="Times New Roman" w:hAnsi="Times New Roman" w:cs="Times New Roman"/>
          <w:lang w:val="en-IE"/>
        </w:rPr>
        <w:t xml:space="preserve"> and </w:t>
      </w:r>
      <w:r w:rsidR="00E729CF" w:rsidRPr="00C73908">
        <w:rPr>
          <w:rFonts w:ascii="Times New Roman" w:hAnsi="Times New Roman" w:cs="Times New Roman"/>
          <w:lang w:val="en-IE"/>
        </w:rPr>
        <w:t>construction materials</w:t>
      </w:r>
      <w:r w:rsidR="001702BF" w:rsidRPr="00C73908">
        <w:rPr>
          <w:rFonts w:ascii="Times New Roman" w:hAnsi="Times New Roman" w:cs="Times New Roman"/>
          <w:lang w:val="en-IE"/>
        </w:rPr>
        <w:t>.</w:t>
      </w:r>
    </w:p>
    <w:p w14:paraId="78B25878" w14:textId="758DB344" w:rsidR="003E7F3A" w:rsidRPr="00C73908" w:rsidRDefault="003E7F3A" w:rsidP="008A6DF2">
      <w:pPr>
        <w:pStyle w:val="ListParagraph"/>
        <w:numPr>
          <w:ilvl w:val="0"/>
          <w:numId w:val="5"/>
        </w:numPr>
        <w:spacing w:after="240" w:line="360" w:lineRule="auto"/>
        <w:jc w:val="both"/>
        <w:rPr>
          <w:rFonts w:ascii="Times New Roman" w:hAnsi="Times New Roman" w:cs="Times New Roman"/>
          <w:lang w:val="en-IE"/>
        </w:rPr>
      </w:pPr>
      <w:r w:rsidRPr="00C73908">
        <w:rPr>
          <w:rFonts w:ascii="Times New Roman" w:hAnsi="Times New Roman" w:cs="Times New Roman"/>
          <w:b/>
          <w:bCs/>
          <w:lang w:val="en-IE"/>
        </w:rPr>
        <w:t xml:space="preserve">Services </w:t>
      </w:r>
      <w:r w:rsidRPr="00C73908">
        <w:rPr>
          <w:rFonts w:ascii="Times New Roman" w:hAnsi="Times New Roman" w:cs="Times New Roman"/>
          <w:lang w:val="en-IE"/>
        </w:rPr>
        <w:t>(NACE Codes</w:t>
      </w:r>
      <w:r w:rsidR="005F4969" w:rsidRPr="00C73908">
        <w:rPr>
          <w:rFonts w:ascii="Times New Roman" w:hAnsi="Times New Roman" w:cs="Times New Roman"/>
          <w:lang w:val="en-IE"/>
        </w:rPr>
        <w:t xml:space="preserve"> 35-52,</w:t>
      </w:r>
      <w:r w:rsidRPr="00C73908">
        <w:rPr>
          <w:rFonts w:ascii="Times New Roman" w:hAnsi="Times New Roman" w:cs="Times New Roman"/>
          <w:b/>
          <w:bCs/>
          <w:lang w:val="en-IE"/>
        </w:rPr>
        <w:t xml:space="preserve"> </w:t>
      </w:r>
      <w:r w:rsidR="00D30383" w:rsidRPr="00C73908">
        <w:rPr>
          <w:rFonts w:ascii="Times New Roman" w:hAnsi="Times New Roman" w:cs="Times New Roman"/>
          <w:lang w:val="en-IE"/>
        </w:rPr>
        <w:t>58-</w:t>
      </w:r>
      <w:r w:rsidR="005F4969" w:rsidRPr="00C73908">
        <w:rPr>
          <w:rFonts w:ascii="Times New Roman" w:hAnsi="Times New Roman" w:cs="Times New Roman"/>
          <w:lang w:val="en-IE"/>
        </w:rPr>
        <w:t>86</w:t>
      </w:r>
      <w:r w:rsidR="00D30383" w:rsidRPr="00C73908">
        <w:rPr>
          <w:rFonts w:ascii="Times New Roman" w:hAnsi="Times New Roman" w:cs="Times New Roman"/>
          <w:lang w:val="en-IE"/>
        </w:rPr>
        <w:t xml:space="preserve">): </w:t>
      </w:r>
      <w:r w:rsidR="00EA3B90" w:rsidRPr="00C73908">
        <w:rPr>
          <w:rFonts w:ascii="Times New Roman" w:hAnsi="Times New Roman" w:cs="Times New Roman"/>
          <w:lang w:val="en-IE"/>
        </w:rPr>
        <w:t>there are</w:t>
      </w:r>
      <w:r w:rsidR="00EA3B90" w:rsidRPr="00C73908">
        <w:rPr>
          <w:rFonts w:ascii="Times New Roman" w:hAnsi="Times New Roman" w:cs="Times New Roman"/>
          <w:b/>
          <w:bCs/>
          <w:lang w:val="en-IE"/>
        </w:rPr>
        <w:t xml:space="preserve"> </w:t>
      </w:r>
      <w:r w:rsidR="00600618" w:rsidRPr="00C73908">
        <w:rPr>
          <w:rFonts w:ascii="Times New Roman" w:hAnsi="Times New Roman" w:cs="Times New Roman"/>
          <w:b/>
          <w:bCs/>
          <w:lang w:val="en-IE"/>
        </w:rPr>
        <w:t>1,393</w:t>
      </w:r>
      <w:r w:rsidR="00600618" w:rsidRPr="00C73908">
        <w:rPr>
          <w:rFonts w:ascii="Times New Roman" w:hAnsi="Times New Roman" w:cs="Times New Roman"/>
          <w:lang w:val="en-IE"/>
        </w:rPr>
        <w:t xml:space="preserve"> </w:t>
      </w:r>
      <w:r w:rsidR="00A36DFB" w:rsidRPr="00C73908">
        <w:rPr>
          <w:rFonts w:ascii="Times New Roman" w:hAnsi="Times New Roman" w:cs="Times New Roman"/>
          <w:lang w:val="en-IE"/>
        </w:rPr>
        <w:t>services companies in the sample</w:t>
      </w:r>
      <w:r w:rsidR="00262A49" w:rsidRPr="00C73908">
        <w:rPr>
          <w:rFonts w:ascii="Times New Roman" w:hAnsi="Times New Roman" w:cs="Times New Roman"/>
          <w:lang w:val="en-IE"/>
        </w:rPr>
        <w:t>.</w:t>
      </w:r>
      <w:r w:rsidR="00A74A3D" w:rsidRPr="00C73908">
        <w:rPr>
          <w:rFonts w:ascii="Times New Roman" w:hAnsi="Times New Roman" w:cs="Times New Roman"/>
          <w:lang w:val="en-IE"/>
        </w:rPr>
        <w:t xml:space="preserve"> </w:t>
      </w:r>
      <w:r w:rsidR="007579C3" w:rsidRPr="00C73908">
        <w:rPr>
          <w:rFonts w:ascii="Times New Roman" w:hAnsi="Times New Roman" w:cs="Times New Roman"/>
          <w:lang w:val="en-IE"/>
        </w:rPr>
        <w:t xml:space="preserve">The majority of companies are in ICT Services and </w:t>
      </w:r>
      <w:r w:rsidR="00B1746B" w:rsidRPr="00C73908">
        <w:rPr>
          <w:rFonts w:ascii="Times New Roman" w:hAnsi="Times New Roman" w:cs="Times New Roman"/>
          <w:lang w:val="en-IE"/>
        </w:rPr>
        <w:t>‘</w:t>
      </w:r>
      <w:r w:rsidR="00175ADD" w:rsidRPr="00C73908">
        <w:rPr>
          <w:rFonts w:ascii="Times New Roman" w:hAnsi="Times New Roman" w:cs="Times New Roman"/>
          <w:lang w:val="en-IE"/>
        </w:rPr>
        <w:t>Computer Programming</w:t>
      </w:r>
      <w:r w:rsidR="00B9067D" w:rsidRPr="00C73908">
        <w:rPr>
          <w:rFonts w:ascii="Times New Roman" w:hAnsi="Times New Roman" w:cs="Times New Roman"/>
          <w:lang w:val="en-IE"/>
        </w:rPr>
        <w:t xml:space="preserve"> and Related </w:t>
      </w:r>
      <w:r w:rsidR="00A74A3D" w:rsidRPr="00C73908">
        <w:rPr>
          <w:rFonts w:ascii="Times New Roman" w:hAnsi="Times New Roman" w:cs="Times New Roman"/>
          <w:lang w:val="en-IE"/>
        </w:rPr>
        <w:t>A</w:t>
      </w:r>
      <w:r w:rsidR="00B9067D" w:rsidRPr="00C73908">
        <w:rPr>
          <w:rFonts w:ascii="Times New Roman" w:hAnsi="Times New Roman" w:cs="Times New Roman"/>
          <w:lang w:val="en-IE"/>
        </w:rPr>
        <w:t>ctivities</w:t>
      </w:r>
      <w:r w:rsidR="00B1746B" w:rsidRPr="00C73908">
        <w:rPr>
          <w:rFonts w:ascii="Times New Roman" w:hAnsi="Times New Roman" w:cs="Times New Roman"/>
          <w:lang w:val="en-IE"/>
        </w:rPr>
        <w:t>’</w:t>
      </w:r>
      <w:r w:rsidR="00C3714F" w:rsidRPr="00C73908">
        <w:rPr>
          <w:rFonts w:ascii="Times New Roman" w:hAnsi="Times New Roman" w:cs="Times New Roman"/>
          <w:lang w:val="en-IE"/>
        </w:rPr>
        <w:t xml:space="preserve">, which mainly consists of </w:t>
      </w:r>
      <w:r w:rsidR="000E3CE0" w:rsidRPr="00C73908">
        <w:rPr>
          <w:rFonts w:ascii="Times New Roman" w:hAnsi="Times New Roman" w:cs="Times New Roman"/>
          <w:lang w:val="en-IE"/>
        </w:rPr>
        <w:t>software companies,</w:t>
      </w:r>
      <w:r w:rsidR="00645BD2" w:rsidRPr="00C73908">
        <w:rPr>
          <w:rFonts w:ascii="Times New Roman" w:hAnsi="Times New Roman" w:cs="Times New Roman"/>
          <w:lang w:val="en-IE"/>
        </w:rPr>
        <w:t xml:space="preserve"> </w:t>
      </w:r>
      <w:r w:rsidR="00F340AE" w:rsidRPr="00C73908">
        <w:rPr>
          <w:rFonts w:ascii="Times New Roman" w:hAnsi="Times New Roman" w:cs="Times New Roman"/>
          <w:lang w:val="en-IE"/>
        </w:rPr>
        <w:t>is the largest sector accounting for 534 companies</w:t>
      </w:r>
      <w:r w:rsidR="00562534" w:rsidRPr="00C73908">
        <w:rPr>
          <w:rFonts w:ascii="Times New Roman" w:hAnsi="Times New Roman" w:cs="Times New Roman"/>
          <w:lang w:val="en-IE"/>
        </w:rPr>
        <w:t>.</w:t>
      </w:r>
      <w:r w:rsidR="000E3CE0" w:rsidRPr="00C73908">
        <w:rPr>
          <w:rFonts w:ascii="Times New Roman" w:hAnsi="Times New Roman" w:cs="Times New Roman"/>
          <w:lang w:val="en-IE"/>
        </w:rPr>
        <w:t xml:space="preserve"> </w:t>
      </w:r>
      <w:r w:rsidR="00161EA7" w:rsidRPr="00C73908">
        <w:rPr>
          <w:rFonts w:ascii="Times New Roman" w:hAnsi="Times New Roman" w:cs="Times New Roman"/>
          <w:lang w:val="en-IE"/>
        </w:rPr>
        <w:t xml:space="preserve">Other sectors include </w:t>
      </w:r>
      <w:r w:rsidR="000D29F2">
        <w:rPr>
          <w:rFonts w:ascii="Times New Roman" w:hAnsi="Times New Roman" w:cs="Times New Roman"/>
          <w:lang w:val="en-IE"/>
        </w:rPr>
        <w:t>e</w:t>
      </w:r>
      <w:r w:rsidR="005219F8" w:rsidRPr="00C73908">
        <w:rPr>
          <w:rFonts w:ascii="Times New Roman" w:hAnsi="Times New Roman" w:cs="Times New Roman"/>
          <w:lang w:val="en-IE"/>
        </w:rPr>
        <w:t xml:space="preserve">ngineering </w:t>
      </w:r>
      <w:r w:rsidR="000D29F2">
        <w:rPr>
          <w:rFonts w:ascii="Times New Roman" w:hAnsi="Times New Roman" w:cs="Times New Roman"/>
          <w:lang w:val="en-IE"/>
        </w:rPr>
        <w:t>s</w:t>
      </w:r>
      <w:r w:rsidR="005219F8" w:rsidRPr="00C73908">
        <w:rPr>
          <w:rFonts w:ascii="Times New Roman" w:hAnsi="Times New Roman" w:cs="Times New Roman"/>
          <w:lang w:val="en-IE"/>
        </w:rPr>
        <w:t xml:space="preserve">ervices </w:t>
      </w:r>
      <w:r w:rsidR="00161EA7" w:rsidRPr="00C73908">
        <w:rPr>
          <w:rFonts w:ascii="Times New Roman" w:hAnsi="Times New Roman" w:cs="Times New Roman"/>
          <w:lang w:val="en-IE"/>
        </w:rPr>
        <w:t xml:space="preserve">and </w:t>
      </w:r>
      <w:r w:rsidR="000D29F2">
        <w:rPr>
          <w:rFonts w:ascii="Times New Roman" w:hAnsi="Times New Roman" w:cs="Times New Roman"/>
          <w:lang w:val="en-IE"/>
        </w:rPr>
        <w:t>p</w:t>
      </w:r>
      <w:r w:rsidR="005219F8" w:rsidRPr="00C73908">
        <w:rPr>
          <w:rFonts w:ascii="Times New Roman" w:hAnsi="Times New Roman" w:cs="Times New Roman"/>
          <w:lang w:val="en-IE"/>
        </w:rPr>
        <w:t xml:space="preserve">rofessional, </w:t>
      </w:r>
      <w:r w:rsidR="000D6D5D">
        <w:rPr>
          <w:rFonts w:ascii="Times New Roman" w:hAnsi="Times New Roman" w:cs="Times New Roman"/>
          <w:lang w:val="en-IE"/>
        </w:rPr>
        <w:t>s</w:t>
      </w:r>
      <w:r w:rsidR="000D6D5D" w:rsidRPr="00C73908">
        <w:rPr>
          <w:rFonts w:ascii="Times New Roman" w:hAnsi="Times New Roman" w:cs="Times New Roman"/>
          <w:lang w:val="en-IE"/>
        </w:rPr>
        <w:t>cientific,</w:t>
      </w:r>
      <w:r w:rsidR="005219F8" w:rsidRPr="00C73908">
        <w:rPr>
          <w:rFonts w:ascii="Times New Roman" w:hAnsi="Times New Roman" w:cs="Times New Roman"/>
          <w:lang w:val="en-IE"/>
        </w:rPr>
        <w:t xml:space="preserve"> and </w:t>
      </w:r>
      <w:r w:rsidR="000D29F2">
        <w:rPr>
          <w:rFonts w:ascii="Times New Roman" w:hAnsi="Times New Roman" w:cs="Times New Roman"/>
          <w:lang w:val="en-IE"/>
        </w:rPr>
        <w:t>t</w:t>
      </w:r>
      <w:r w:rsidR="005219F8" w:rsidRPr="00C73908">
        <w:rPr>
          <w:rFonts w:ascii="Times New Roman" w:hAnsi="Times New Roman" w:cs="Times New Roman"/>
          <w:lang w:val="en-IE"/>
        </w:rPr>
        <w:t xml:space="preserve">echnical </w:t>
      </w:r>
      <w:r w:rsidR="000D29F2">
        <w:rPr>
          <w:rFonts w:ascii="Times New Roman" w:hAnsi="Times New Roman" w:cs="Times New Roman"/>
          <w:lang w:val="en-IE"/>
        </w:rPr>
        <w:t>s</w:t>
      </w:r>
      <w:r w:rsidR="005219F8" w:rsidRPr="00C73908">
        <w:rPr>
          <w:rFonts w:ascii="Times New Roman" w:hAnsi="Times New Roman" w:cs="Times New Roman"/>
          <w:lang w:val="en-IE"/>
        </w:rPr>
        <w:t>ervices</w:t>
      </w:r>
      <w:r w:rsidR="00161EA7" w:rsidRPr="00C73908">
        <w:rPr>
          <w:rFonts w:ascii="Times New Roman" w:hAnsi="Times New Roman" w:cs="Times New Roman"/>
          <w:lang w:val="en-IE"/>
        </w:rPr>
        <w:t>.</w:t>
      </w:r>
    </w:p>
    <w:p w14:paraId="14380308" w14:textId="78A277AA" w:rsidR="000E18D5" w:rsidRPr="00C73908" w:rsidRDefault="000E18D5" w:rsidP="003E21F5">
      <w:pPr>
        <w:widowControl w:val="0"/>
        <w:autoSpaceDE w:val="0"/>
        <w:autoSpaceDN w:val="0"/>
        <w:adjustRightInd w:val="0"/>
        <w:spacing w:after="0" w:line="240" w:lineRule="auto"/>
        <w:rPr>
          <w:rFonts w:ascii="Times New Roman" w:hAnsi="Times New Roman" w:cs="Times New Roman"/>
          <w:b/>
          <w:bCs/>
        </w:rPr>
      </w:pPr>
      <w:r w:rsidRPr="00C73908">
        <w:rPr>
          <w:rFonts w:ascii="Times New Roman" w:hAnsi="Times New Roman" w:cs="Times New Roman"/>
          <w:b/>
          <w:bCs/>
        </w:rPr>
        <w:t xml:space="preserve">Table </w:t>
      </w:r>
      <w:r w:rsidR="00387C0A" w:rsidRPr="00C73908">
        <w:rPr>
          <w:rFonts w:ascii="Times New Roman" w:hAnsi="Times New Roman" w:cs="Times New Roman"/>
          <w:b/>
          <w:bCs/>
        </w:rPr>
        <w:t>2</w:t>
      </w:r>
      <w:r w:rsidR="00112B61" w:rsidRPr="00C73908">
        <w:rPr>
          <w:rFonts w:ascii="Times New Roman" w:hAnsi="Times New Roman" w:cs="Times New Roman"/>
          <w:b/>
          <w:bCs/>
        </w:rPr>
        <w:t xml:space="preserve">: </w:t>
      </w:r>
      <w:r w:rsidR="0024416E" w:rsidRPr="00C73908">
        <w:rPr>
          <w:rFonts w:ascii="Times New Roman" w:hAnsi="Times New Roman" w:cs="Times New Roman"/>
          <w:b/>
          <w:bCs/>
        </w:rPr>
        <w:t>Sectoral</w:t>
      </w:r>
      <w:r w:rsidR="00112B61" w:rsidRPr="00C73908">
        <w:rPr>
          <w:rFonts w:ascii="Times New Roman" w:hAnsi="Times New Roman" w:cs="Times New Roman"/>
          <w:b/>
          <w:bCs/>
        </w:rPr>
        <w:t xml:space="preserve"> characteristics based on </w:t>
      </w:r>
      <w:r w:rsidR="001340AD" w:rsidRPr="00C73908">
        <w:rPr>
          <w:rFonts w:ascii="Times New Roman" w:hAnsi="Times New Roman" w:cs="Times New Roman"/>
          <w:b/>
          <w:bCs/>
        </w:rPr>
        <w:t>2019</w:t>
      </w:r>
      <w:r w:rsidR="0024416E" w:rsidRPr="00C73908">
        <w:rPr>
          <w:rFonts w:ascii="Times New Roman" w:hAnsi="Times New Roman" w:cs="Times New Roman"/>
          <w:b/>
          <w:bCs/>
        </w:rPr>
        <w:t xml:space="preserve"> figures</w:t>
      </w:r>
    </w:p>
    <w:tbl>
      <w:tblPr>
        <w:tblStyle w:val="ListTable7Colorful-Accent1"/>
        <w:tblW w:w="9776" w:type="dxa"/>
        <w:tblLayout w:type="fixed"/>
        <w:tblCellMar>
          <w:left w:w="0" w:type="dxa"/>
          <w:right w:w="0" w:type="dxa"/>
        </w:tblCellMar>
        <w:tblLook w:val="04E0" w:firstRow="1" w:lastRow="1" w:firstColumn="1" w:lastColumn="0" w:noHBand="0" w:noVBand="1"/>
      </w:tblPr>
      <w:tblGrid>
        <w:gridCol w:w="1413"/>
        <w:gridCol w:w="808"/>
        <w:gridCol w:w="949"/>
        <w:gridCol w:w="949"/>
        <w:gridCol w:w="949"/>
        <w:gridCol w:w="949"/>
        <w:gridCol w:w="949"/>
        <w:gridCol w:w="949"/>
        <w:gridCol w:w="949"/>
        <w:gridCol w:w="912"/>
      </w:tblGrid>
      <w:tr w:rsidR="00987080" w:rsidRPr="00C73908" w14:paraId="53EC3CE6" w14:textId="77777777" w:rsidTr="0079339E">
        <w:trPr>
          <w:cnfStyle w:val="100000000000" w:firstRow="1" w:lastRow="0" w:firstColumn="0" w:lastColumn="0" w:oddVBand="0" w:evenVBand="0" w:oddHBand="0" w:evenHBand="0" w:firstRowFirstColumn="0" w:firstRowLastColumn="0" w:lastRowFirstColumn="0" w:lastRowLastColumn="0"/>
          <w:trHeight w:val="910"/>
        </w:trPr>
        <w:tc>
          <w:tcPr>
            <w:cnfStyle w:val="001000000100" w:firstRow="0" w:lastRow="0" w:firstColumn="1" w:lastColumn="0" w:oddVBand="0" w:evenVBand="0" w:oddHBand="0" w:evenHBand="0" w:firstRowFirstColumn="1" w:firstRowLastColumn="0" w:lastRowFirstColumn="0" w:lastRowLastColumn="0"/>
            <w:tcW w:w="1413" w:type="dxa"/>
            <w:tcBorders>
              <w:top w:val="single" w:sz="4" w:space="0" w:color="auto"/>
              <w:left w:val="single" w:sz="4" w:space="0" w:color="auto"/>
            </w:tcBorders>
            <w:vAlign w:val="center"/>
            <w:hideMark/>
          </w:tcPr>
          <w:p w14:paraId="55B4B7A6" w14:textId="77777777" w:rsidR="00987080" w:rsidRPr="00C73908" w:rsidRDefault="00987080" w:rsidP="008F7E8C">
            <w:pPr>
              <w:jc w:val="center"/>
              <w:rPr>
                <w:rFonts w:ascii="Times New Roman" w:hAnsi="Times New Roman" w:cs="Times New Roman"/>
                <w:b/>
                <w:bCs/>
                <w:i w:val="0"/>
                <w:iCs w:val="0"/>
                <w:sz w:val="20"/>
                <w:szCs w:val="20"/>
              </w:rPr>
            </w:pPr>
            <w:r w:rsidRPr="00C73908">
              <w:rPr>
                <w:rFonts w:ascii="Times New Roman" w:hAnsi="Times New Roman" w:cs="Times New Roman"/>
                <w:b/>
                <w:bCs/>
                <w:i w:val="0"/>
                <w:iCs w:val="0"/>
                <w:sz w:val="20"/>
                <w:szCs w:val="20"/>
              </w:rPr>
              <w:t>Sectors</w:t>
            </w:r>
          </w:p>
        </w:tc>
        <w:tc>
          <w:tcPr>
            <w:tcW w:w="808" w:type="dxa"/>
            <w:tcBorders>
              <w:top w:val="single" w:sz="4" w:space="0" w:color="auto"/>
            </w:tcBorders>
            <w:vAlign w:val="center"/>
            <w:hideMark/>
          </w:tcPr>
          <w:p w14:paraId="10F640FC" w14:textId="59EFF25A" w:rsidR="00987080" w:rsidRPr="00C73908" w:rsidRDefault="00987080" w:rsidP="008F7E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20"/>
              </w:rPr>
            </w:pPr>
            <w:r w:rsidRPr="00C73908">
              <w:rPr>
                <w:rFonts w:ascii="Times New Roman" w:hAnsi="Times New Roman" w:cs="Times New Roman"/>
                <w:b/>
                <w:bCs/>
                <w:i w:val="0"/>
                <w:iCs w:val="0"/>
                <w:sz w:val="20"/>
                <w:szCs w:val="20"/>
              </w:rPr>
              <w:t>No. Firms</w:t>
            </w:r>
          </w:p>
        </w:tc>
        <w:tc>
          <w:tcPr>
            <w:tcW w:w="949" w:type="dxa"/>
            <w:tcBorders>
              <w:top w:val="single" w:sz="4" w:space="0" w:color="auto"/>
            </w:tcBorders>
            <w:vAlign w:val="center"/>
            <w:hideMark/>
          </w:tcPr>
          <w:p w14:paraId="5227C9AE" w14:textId="15DE7780" w:rsidR="00987080" w:rsidRPr="00C73908" w:rsidRDefault="00160384" w:rsidP="008F7E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C73908">
              <w:rPr>
                <w:rFonts w:ascii="Times New Roman" w:hAnsi="Times New Roman" w:cs="Times New Roman"/>
                <w:b/>
                <w:bCs/>
                <w:i w:val="0"/>
                <w:iCs w:val="0"/>
                <w:sz w:val="20"/>
                <w:szCs w:val="20"/>
              </w:rPr>
              <w:t>Average</w:t>
            </w:r>
            <w:r w:rsidRPr="00C73908">
              <w:rPr>
                <w:rFonts w:ascii="Times New Roman" w:hAnsi="Times New Roman" w:cs="Times New Roman"/>
                <w:b/>
                <w:bCs/>
                <w:sz w:val="20"/>
                <w:szCs w:val="20"/>
              </w:rPr>
              <w:t xml:space="preserve"> </w:t>
            </w:r>
            <w:r w:rsidR="00987080" w:rsidRPr="00C73908">
              <w:rPr>
                <w:rFonts w:ascii="Times New Roman" w:hAnsi="Times New Roman" w:cs="Times New Roman"/>
                <w:b/>
                <w:bCs/>
                <w:i w:val="0"/>
                <w:iCs w:val="0"/>
                <w:sz w:val="20"/>
                <w:szCs w:val="20"/>
              </w:rPr>
              <w:t>Sales (€000s)</w:t>
            </w:r>
          </w:p>
        </w:tc>
        <w:tc>
          <w:tcPr>
            <w:tcW w:w="949" w:type="dxa"/>
            <w:tcBorders>
              <w:top w:val="single" w:sz="4" w:space="0" w:color="auto"/>
            </w:tcBorders>
            <w:vAlign w:val="center"/>
            <w:hideMark/>
          </w:tcPr>
          <w:p w14:paraId="5B70F2A6" w14:textId="634BF707" w:rsidR="00987080" w:rsidRPr="00C73908" w:rsidRDefault="00987080" w:rsidP="008F7E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20"/>
              </w:rPr>
            </w:pPr>
            <w:r w:rsidRPr="00C73908">
              <w:rPr>
                <w:rFonts w:ascii="Times New Roman" w:hAnsi="Times New Roman" w:cs="Times New Roman"/>
                <w:b/>
                <w:bCs/>
                <w:i w:val="0"/>
                <w:iCs w:val="0"/>
                <w:sz w:val="20"/>
                <w:szCs w:val="20"/>
              </w:rPr>
              <w:t>Employees</w:t>
            </w:r>
          </w:p>
        </w:tc>
        <w:tc>
          <w:tcPr>
            <w:tcW w:w="949" w:type="dxa"/>
            <w:tcBorders>
              <w:top w:val="single" w:sz="4" w:space="0" w:color="auto"/>
            </w:tcBorders>
            <w:vAlign w:val="center"/>
            <w:hideMark/>
          </w:tcPr>
          <w:p w14:paraId="1719AD5D" w14:textId="499A19B0" w:rsidR="00987080" w:rsidRPr="00C73908" w:rsidRDefault="00987080" w:rsidP="008F7E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20"/>
              </w:rPr>
            </w:pPr>
            <w:r w:rsidRPr="00C73908">
              <w:rPr>
                <w:rFonts w:ascii="Times New Roman" w:hAnsi="Times New Roman" w:cs="Times New Roman"/>
                <w:b/>
                <w:bCs/>
                <w:i w:val="0"/>
                <w:iCs w:val="0"/>
                <w:sz w:val="20"/>
                <w:szCs w:val="20"/>
              </w:rPr>
              <w:t>Export Intensity</w:t>
            </w:r>
          </w:p>
        </w:tc>
        <w:tc>
          <w:tcPr>
            <w:tcW w:w="949" w:type="dxa"/>
            <w:tcBorders>
              <w:top w:val="single" w:sz="4" w:space="0" w:color="auto"/>
            </w:tcBorders>
            <w:vAlign w:val="center"/>
            <w:hideMark/>
          </w:tcPr>
          <w:p w14:paraId="4F1C8135" w14:textId="6B24C39D" w:rsidR="00987080" w:rsidRPr="00C73908" w:rsidRDefault="00987080" w:rsidP="008F7E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20"/>
              </w:rPr>
            </w:pPr>
            <w:r w:rsidRPr="00C73908">
              <w:rPr>
                <w:rFonts w:ascii="Times New Roman" w:hAnsi="Times New Roman" w:cs="Times New Roman"/>
                <w:b/>
                <w:bCs/>
                <w:i w:val="0"/>
                <w:iCs w:val="0"/>
                <w:sz w:val="20"/>
                <w:szCs w:val="20"/>
              </w:rPr>
              <w:t>No. Export Markets</w:t>
            </w:r>
          </w:p>
        </w:tc>
        <w:tc>
          <w:tcPr>
            <w:tcW w:w="949" w:type="dxa"/>
            <w:tcBorders>
              <w:top w:val="single" w:sz="4" w:space="0" w:color="auto"/>
            </w:tcBorders>
            <w:vAlign w:val="center"/>
            <w:hideMark/>
          </w:tcPr>
          <w:p w14:paraId="13959F7B" w14:textId="252328E0" w:rsidR="00987080" w:rsidRPr="00C73908" w:rsidRDefault="00987080" w:rsidP="008F7E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20"/>
              </w:rPr>
            </w:pPr>
            <w:r w:rsidRPr="00C73908">
              <w:rPr>
                <w:rFonts w:ascii="Times New Roman" w:hAnsi="Times New Roman" w:cs="Times New Roman"/>
                <w:b/>
                <w:bCs/>
                <w:i w:val="0"/>
                <w:iCs w:val="0"/>
                <w:sz w:val="20"/>
                <w:szCs w:val="20"/>
              </w:rPr>
              <w:t>R&amp;D Intensity</w:t>
            </w:r>
          </w:p>
        </w:tc>
        <w:tc>
          <w:tcPr>
            <w:tcW w:w="949" w:type="dxa"/>
            <w:tcBorders>
              <w:top w:val="single" w:sz="4" w:space="0" w:color="auto"/>
            </w:tcBorders>
            <w:vAlign w:val="center"/>
          </w:tcPr>
          <w:p w14:paraId="477B3A7B" w14:textId="57369C2B" w:rsidR="00987080" w:rsidRPr="00C73908" w:rsidRDefault="00987080" w:rsidP="008F7E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20"/>
              </w:rPr>
            </w:pPr>
            <w:r w:rsidRPr="00C73908">
              <w:rPr>
                <w:rFonts w:ascii="Times New Roman" w:hAnsi="Times New Roman" w:cs="Times New Roman"/>
                <w:b/>
                <w:bCs/>
                <w:i w:val="0"/>
                <w:iCs w:val="0"/>
                <w:sz w:val="20"/>
                <w:szCs w:val="20"/>
              </w:rPr>
              <w:t>New Produc</w:t>
            </w:r>
            <w:r w:rsidR="00551E3B" w:rsidRPr="00C73908">
              <w:rPr>
                <w:rFonts w:ascii="Times New Roman" w:hAnsi="Times New Roman" w:cs="Times New Roman"/>
                <w:b/>
                <w:bCs/>
                <w:i w:val="0"/>
                <w:iCs w:val="0"/>
                <w:sz w:val="20"/>
                <w:szCs w:val="20"/>
              </w:rPr>
              <w:t>t %</w:t>
            </w:r>
          </w:p>
        </w:tc>
        <w:tc>
          <w:tcPr>
            <w:tcW w:w="949" w:type="dxa"/>
            <w:tcBorders>
              <w:top w:val="single" w:sz="4" w:space="0" w:color="auto"/>
            </w:tcBorders>
            <w:vAlign w:val="center"/>
            <w:hideMark/>
          </w:tcPr>
          <w:p w14:paraId="6E13E143" w14:textId="5F4AB73B" w:rsidR="00987080" w:rsidRPr="00C73908" w:rsidRDefault="00987080" w:rsidP="008F7E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20"/>
              </w:rPr>
            </w:pPr>
            <w:r w:rsidRPr="00C73908">
              <w:rPr>
                <w:rFonts w:ascii="Times New Roman" w:hAnsi="Times New Roman" w:cs="Times New Roman"/>
                <w:b/>
                <w:bCs/>
                <w:i w:val="0"/>
                <w:iCs w:val="0"/>
                <w:sz w:val="20"/>
                <w:szCs w:val="20"/>
              </w:rPr>
              <w:t>VA per Employee</w:t>
            </w:r>
            <w:r w:rsidR="00C01432" w:rsidRPr="00C73908">
              <w:rPr>
                <w:rFonts w:ascii="Times New Roman" w:hAnsi="Times New Roman" w:cs="Times New Roman"/>
                <w:b/>
                <w:bCs/>
                <w:i w:val="0"/>
                <w:iCs w:val="0"/>
                <w:sz w:val="20"/>
                <w:szCs w:val="20"/>
              </w:rPr>
              <w:t xml:space="preserve"> €</w:t>
            </w:r>
          </w:p>
        </w:tc>
        <w:tc>
          <w:tcPr>
            <w:tcW w:w="912" w:type="dxa"/>
            <w:tcBorders>
              <w:top w:val="single" w:sz="4" w:space="0" w:color="auto"/>
              <w:right w:val="single" w:sz="4" w:space="0" w:color="auto"/>
            </w:tcBorders>
            <w:vAlign w:val="center"/>
            <w:hideMark/>
          </w:tcPr>
          <w:p w14:paraId="0BB5AE4B" w14:textId="180FE5B3" w:rsidR="00987080" w:rsidRPr="00C73908" w:rsidRDefault="00B00438" w:rsidP="008F7E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20"/>
              </w:rPr>
            </w:pPr>
            <w:r>
              <w:rPr>
                <w:rFonts w:ascii="Times New Roman" w:hAnsi="Times New Roman" w:cs="Times New Roman"/>
                <w:b/>
                <w:bCs/>
                <w:i w:val="0"/>
                <w:iCs w:val="0"/>
                <w:sz w:val="20"/>
                <w:szCs w:val="20"/>
              </w:rPr>
              <w:t>Average</w:t>
            </w:r>
            <w:r w:rsidRPr="00C73908">
              <w:rPr>
                <w:rFonts w:ascii="Times New Roman" w:hAnsi="Times New Roman" w:cs="Times New Roman"/>
                <w:b/>
                <w:bCs/>
                <w:i w:val="0"/>
                <w:iCs w:val="0"/>
                <w:sz w:val="20"/>
                <w:szCs w:val="20"/>
              </w:rPr>
              <w:t xml:space="preserve"> Wages</w:t>
            </w:r>
            <w:r w:rsidR="00C01432" w:rsidRPr="00C73908">
              <w:rPr>
                <w:rFonts w:ascii="Times New Roman" w:hAnsi="Times New Roman" w:cs="Times New Roman"/>
                <w:b/>
                <w:bCs/>
                <w:i w:val="0"/>
                <w:iCs w:val="0"/>
                <w:sz w:val="20"/>
                <w:szCs w:val="20"/>
              </w:rPr>
              <w:t xml:space="preserve"> €</w:t>
            </w:r>
          </w:p>
        </w:tc>
      </w:tr>
      <w:tr w:rsidR="008C00DF" w:rsidRPr="00C73908" w14:paraId="04C401D1" w14:textId="77777777" w:rsidTr="008324E2">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noWrap/>
            <w:vAlign w:val="center"/>
            <w:hideMark/>
          </w:tcPr>
          <w:p w14:paraId="28E9329A" w14:textId="3975D1B9" w:rsidR="008C00DF" w:rsidRPr="00C73908" w:rsidRDefault="008C00DF" w:rsidP="008F7E8C">
            <w:pPr>
              <w:jc w:val="center"/>
              <w:rPr>
                <w:rFonts w:ascii="Times New Roman" w:hAnsi="Times New Roman" w:cs="Times New Roman"/>
                <w:b/>
                <w:bCs/>
                <w:i w:val="0"/>
                <w:iCs w:val="0"/>
                <w:sz w:val="20"/>
                <w:szCs w:val="20"/>
              </w:rPr>
            </w:pPr>
            <w:r w:rsidRPr="00C73908">
              <w:rPr>
                <w:rFonts w:ascii="Times New Roman" w:hAnsi="Times New Roman" w:cs="Times New Roman"/>
                <w:b/>
                <w:bCs/>
                <w:i w:val="0"/>
                <w:iCs w:val="0"/>
                <w:sz w:val="20"/>
                <w:szCs w:val="20"/>
              </w:rPr>
              <w:t>Manufacturing</w:t>
            </w:r>
          </w:p>
        </w:tc>
        <w:tc>
          <w:tcPr>
            <w:tcW w:w="808" w:type="dxa"/>
            <w:noWrap/>
            <w:vAlign w:val="center"/>
            <w:hideMark/>
          </w:tcPr>
          <w:p w14:paraId="1546F8C4" w14:textId="4C3F8103" w:rsidR="008C00DF" w:rsidRPr="00C73908" w:rsidRDefault="008C00DF" w:rsidP="008F7E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73908">
              <w:rPr>
                <w:rFonts w:ascii="Times New Roman" w:hAnsi="Times New Roman" w:cs="Times New Roman"/>
                <w:sz w:val="20"/>
                <w:szCs w:val="20"/>
              </w:rPr>
              <w:t>1,387</w:t>
            </w:r>
          </w:p>
        </w:tc>
        <w:tc>
          <w:tcPr>
            <w:tcW w:w="949" w:type="dxa"/>
            <w:noWrap/>
            <w:vAlign w:val="center"/>
            <w:hideMark/>
          </w:tcPr>
          <w:p w14:paraId="5EC2413B" w14:textId="5F90ACBC" w:rsidR="008C00DF" w:rsidRPr="00C73908" w:rsidRDefault="008C00DF" w:rsidP="008F7E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73908">
              <w:rPr>
                <w:rFonts w:ascii="Times New Roman" w:hAnsi="Times New Roman" w:cs="Times New Roman"/>
                <w:sz w:val="20"/>
                <w:szCs w:val="20"/>
              </w:rPr>
              <w:t>26,058</w:t>
            </w:r>
          </w:p>
        </w:tc>
        <w:tc>
          <w:tcPr>
            <w:tcW w:w="949" w:type="dxa"/>
            <w:noWrap/>
            <w:vAlign w:val="center"/>
            <w:hideMark/>
          </w:tcPr>
          <w:p w14:paraId="5D4D5FF4" w14:textId="78EFE0E1" w:rsidR="008C00DF" w:rsidRPr="00C73908" w:rsidRDefault="008C00DF" w:rsidP="008F7E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73908">
              <w:rPr>
                <w:rFonts w:ascii="Times New Roman" w:hAnsi="Times New Roman" w:cs="Times New Roman"/>
                <w:sz w:val="20"/>
                <w:szCs w:val="20"/>
              </w:rPr>
              <w:t>78</w:t>
            </w:r>
          </w:p>
        </w:tc>
        <w:tc>
          <w:tcPr>
            <w:tcW w:w="949" w:type="dxa"/>
            <w:noWrap/>
            <w:vAlign w:val="center"/>
            <w:hideMark/>
          </w:tcPr>
          <w:p w14:paraId="7C670694" w14:textId="125C9266" w:rsidR="008C00DF" w:rsidRPr="00C73908" w:rsidRDefault="008C00DF" w:rsidP="008F7E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73908">
              <w:rPr>
                <w:rFonts w:ascii="Times New Roman" w:hAnsi="Times New Roman" w:cs="Times New Roman"/>
                <w:sz w:val="20"/>
                <w:szCs w:val="20"/>
              </w:rPr>
              <w:t>41%</w:t>
            </w:r>
          </w:p>
        </w:tc>
        <w:tc>
          <w:tcPr>
            <w:tcW w:w="949" w:type="dxa"/>
            <w:noWrap/>
            <w:vAlign w:val="center"/>
            <w:hideMark/>
          </w:tcPr>
          <w:p w14:paraId="17744E09" w14:textId="1560DD71" w:rsidR="008C00DF" w:rsidRPr="00C73908" w:rsidRDefault="008C00DF" w:rsidP="008F7E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73908">
              <w:rPr>
                <w:rFonts w:ascii="Times New Roman" w:hAnsi="Times New Roman" w:cs="Times New Roman"/>
                <w:sz w:val="20"/>
                <w:szCs w:val="20"/>
              </w:rPr>
              <w:t>6.1</w:t>
            </w:r>
          </w:p>
        </w:tc>
        <w:tc>
          <w:tcPr>
            <w:tcW w:w="949" w:type="dxa"/>
            <w:noWrap/>
            <w:vAlign w:val="center"/>
            <w:hideMark/>
          </w:tcPr>
          <w:p w14:paraId="63E262E5" w14:textId="539A1C39" w:rsidR="008C00DF" w:rsidRPr="00C73908" w:rsidRDefault="008C00DF" w:rsidP="008F7E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73908">
              <w:rPr>
                <w:rFonts w:ascii="Times New Roman" w:hAnsi="Times New Roman" w:cs="Times New Roman"/>
                <w:sz w:val="20"/>
                <w:szCs w:val="20"/>
              </w:rPr>
              <w:t>1.2%</w:t>
            </w:r>
          </w:p>
        </w:tc>
        <w:tc>
          <w:tcPr>
            <w:tcW w:w="949" w:type="dxa"/>
            <w:vAlign w:val="center"/>
          </w:tcPr>
          <w:p w14:paraId="7943101F" w14:textId="3BAC0EB7" w:rsidR="008C00DF" w:rsidRPr="00C73908" w:rsidRDefault="008C00DF" w:rsidP="008F7E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73908">
              <w:rPr>
                <w:rFonts w:ascii="Times New Roman" w:hAnsi="Times New Roman" w:cs="Times New Roman"/>
                <w:sz w:val="20"/>
                <w:szCs w:val="20"/>
              </w:rPr>
              <w:t>10%</w:t>
            </w:r>
          </w:p>
        </w:tc>
        <w:tc>
          <w:tcPr>
            <w:tcW w:w="949" w:type="dxa"/>
            <w:noWrap/>
            <w:vAlign w:val="center"/>
            <w:hideMark/>
          </w:tcPr>
          <w:p w14:paraId="7EF8CACC" w14:textId="0A8C0731" w:rsidR="008C00DF" w:rsidRPr="00C73908" w:rsidRDefault="008C00DF" w:rsidP="008F7E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73908">
              <w:rPr>
                <w:rFonts w:ascii="Times New Roman" w:hAnsi="Times New Roman" w:cs="Times New Roman"/>
                <w:sz w:val="20"/>
                <w:szCs w:val="20"/>
              </w:rPr>
              <w:t>72,251</w:t>
            </w:r>
          </w:p>
        </w:tc>
        <w:tc>
          <w:tcPr>
            <w:tcW w:w="912" w:type="dxa"/>
            <w:tcBorders>
              <w:right w:val="single" w:sz="4" w:space="0" w:color="auto"/>
            </w:tcBorders>
            <w:noWrap/>
            <w:vAlign w:val="center"/>
            <w:hideMark/>
          </w:tcPr>
          <w:p w14:paraId="2988EB9F" w14:textId="4E6E4455" w:rsidR="008C00DF" w:rsidRPr="00C73908" w:rsidRDefault="008C00DF" w:rsidP="008F7E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73908">
              <w:rPr>
                <w:rFonts w:ascii="Times New Roman" w:hAnsi="Times New Roman" w:cs="Times New Roman"/>
                <w:sz w:val="20"/>
                <w:szCs w:val="20"/>
              </w:rPr>
              <w:t>41,522</w:t>
            </w:r>
          </w:p>
        </w:tc>
      </w:tr>
      <w:tr w:rsidR="008C00DF" w:rsidRPr="00C73908" w14:paraId="1BCE0232" w14:textId="77777777" w:rsidTr="008324E2">
        <w:trPr>
          <w:trHeight w:val="62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noWrap/>
            <w:vAlign w:val="center"/>
            <w:hideMark/>
          </w:tcPr>
          <w:p w14:paraId="6E86543D" w14:textId="2DE10F30" w:rsidR="008C00DF" w:rsidRPr="00C73908" w:rsidRDefault="008C00DF" w:rsidP="008F7E8C">
            <w:pPr>
              <w:jc w:val="center"/>
              <w:rPr>
                <w:rFonts w:ascii="Times New Roman" w:hAnsi="Times New Roman" w:cs="Times New Roman"/>
                <w:b/>
                <w:bCs/>
                <w:i w:val="0"/>
                <w:iCs w:val="0"/>
                <w:sz w:val="20"/>
                <w:szCs w:val="20"/>
              </w:rPr>
            </w:pPr>
            <w:r w:rsidRPr="00C73908">
              <w:rPr>
                <w:rFonts w:ascii="Times New Roman" w:hAnsi="Times New Roman" w:cs="Times New Roman"/>
                <w:b/>
                <w:bCs/>
                <w:i w:val="0"/>
                <w:iCs w:val="0"/>
                <w:sz w:val="20"/>
                <w:szCs w:val="20"/>
              </w:rPr>
              <w:t>Services</w:t>
            </w:r>
          </w:p>
        </w:tc>
        <w:tc>
          <w:tcPr>
            <w:tcW w:w="808" w:type="dxa"/>
            <w:noWrap/>
            <w:vAlign w:val="center"/>
            <w:hideMark/>
          </w:tcPr>
          <w:p w14:paraId="325A9389" w14:textId="1DC2FE29" w:rsidR="008C00DF" w:rsidRPr="00C73908" w:rsidRDefault="008C00DF" w:rsidP="008F7E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73908">
              <w:rPr>
                <w:rFonts w:ascii="Times New Roman" w:hAnsi="Times New Roman" w:cs="Times New Roman"/>
                <w:sz w:val="20"/>
                <w:szCs w:val="20"/>
              </w:rPr>
              <w:t>1,393</w:t>
            </w:r>
          </w:p>
        </w:tc>
        <w:tc>
          <w:tcPr>
            <w:tcW w:w="949" w:type="dxa"/>
            <w:noWrap/>
            <w:vAlign w:val="center"/>
            <w:hideMark/>
          </w:tcPr>
          <w:p w14:paraId="57DAAD7C" w14:textId="797522BF" w:rsidR="008C00DF" w:rsidRPr="00C73908" w:rsidRDefault="008C00DF" w:rsidP="008F7E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73908">
              <w:rPr>
                <w:rFonts w:ascii="Times New Roman" w:hAnsi="Times New Roman" w:cs="Times New Roman"/>
                <w:sz w:val="20"/>
                <w:szCs w:val="20"/>
              </w:rPr>
              <w:t>18,383</w:t>
            </w:r>
          </w:p>
        </w:tc>
        <w:tc>
          <w:tcPr>
            <w:tcW w:w="949" w:type="dxa"/>
            <w:noWrap/>
            <w:vAlign w:val="center"/>
            <w:hideMark/>
          </w:tcPr>
          <w:p w14:paraId="7B3E4928" w14:textId="1F43F842" w:rsidR="008C00DF" w:rsidRPr="00C73908" w:rsidRDefault="008C00DF" w:rsidP="008F7E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73908">
              <w:rPr>
                <w:rFonts w:ascii="Times New Roman" w:hAnsi="Times New Roman" w:cs="Times New Roman"/>
                <w:sz w:val="20"/>
                <w:szCs w:val="20"/>
              </w:rPr>
              <w:t>59</w:t>
            </w:r>
          </w:p>
        </w:tc>
        <w:tc>
          <w:tcPr>
            <w:tcW w:w="949" w:type="dxa"/>
            <w:noWrap/>
            <w:vAlign w:val="center"/>
            <w:hideMark/>
          </w:tcPr>
          <w:p w14:paraId="1F897EF1" w14:textId="053DD3BA" w:rsidR="008C00DF" w:rsidRPr="00C73908" w:rsidRDefault="008C00DF" w:rsidP="008F7E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73908">
              <w:rPr>
                <w:rFonts w:ascii="Times New Roman" w:hAnsi="Times New Roman" w:cs="Times New Roman"/>
                <w:sz w:val="20"/>
                <w:szCs w:val="20"/>
              </w:rPr>
              <w:t>49%</w:t>
            </w:r>
          </w:p>
        </w:tc>
        <w:tc>
          <w:tcPr>
            <w:tcW w:w="949" w:type="dxa"/>
            <w:noWrap/>
            <w:vAlign w:val="center"/>
            <w:hideMark/>
          </w:tcPr>
          <w:p w14:paraId="78D79D51" w14:textId="135D36D6" w:rsidR="008C00DF" w:rsidRPr="00C73908" w:rsidRDefault="008C00DF" w:rsidP="008F7E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73908">
              <w:rPr>
                <w:rFonts w:ascii="Times New Roman" w:hAnsi="Times New Roman" w:cs="Times New Roman"/>
                <w:sz w:val="20"/>
                <w:szCs w:val="20"/>
              </w:rPr>
              <w:t>4.5</w:t>
            </w:r>
          </w:p>
        </w:tc>
        <w:tc>
          <w:tcPr>
            <w:tcW w:w="949" w:type="dxa"/>
            <w:noWrap/>
            <w:vAlign w:val="center"/>
            <w:hideMark/>
          </w:tcPr>
          <w:p w14:paraId="02BB2E5B" w14:textId="6FDDC056" w:rsidR="008C00DF" w:rsidRPr="00C73908" w:rsidRDefault="008C00DF" w:rsidP="008F7E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73908">
              <w:rPr>
                <w:rFonts w:ascii="Times New Roman" w:hAnsi="Times New Roman" w:cs="Times New Roman"/>
                <w:sz w:val="20"/>
                <w:szCs w:val="20"/>
              </w:rPr>
              <w:t>3.1%</w:t>
            </w:r>
          </w:p>
        </w:tc>
        <w:tc>
          <w:tcPr>
            <w:tcW w:w="949" w:type="dxa"/>
            <w:vAlign w:val="center"/>
          </w:tcPr>
          <w:p w14:paraId="49C8A1C8" w14:textId="7F330207" w:rsidR="008C00DF" w:rsidRPr="00C73908" w:rsidRDefault="008C00DF" w:rsidP="008F7E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73908">
              <w:rPr>
                <w:rFonts w:ascii="Times New Roman" w:hAnsi="Times New Roman" w:cs="Times New Roman"/>
                <w:sz w:val="20"/>
                <w:szCs w:val="20"/>
              </w:rPr>
              <w:t>12%</w:t>
            </w:r>
          </w:p>
        </w:tc>
        <w:tc>
          <w:tcPr>
            <w:tcW w:w="949" w:type="dxa"/>
            <w:noWrap/>
            <w:vAlign w:val="center"/>
            <w:hideMark/>
          </w:tcPr>
          <w:p w14:paraId="61EE0B55" w14:textId="6F6A8417" w:rsidR="008C00DF" w:rsidRPr="00C73908" w:rsidRDefault="008C00DF" w:rsidP="008F7E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73908">
              <w:rPr>
                <w:rFonts w:ascii="Times New Roman" w:hAnsi="Times New Roman" w:cs="Times New Roman"/>
                <w:sz w:val="20"/>
                <w:szCs w:val="20"/>
              </w:rPr>
              <w:t>104,249</w:t>
            </w:r>
          </w:p>
        </w:tc>
        <w:tc>
          <w:tcPr>
            <w:tcW w:w="912" w:type="dxa"/>
            <w:tcBorders>
              <w:right w:val="single" w:sz="4" w:space="0" w:color="auto"/>
            </w:tcBorders>
            <w:noWrap/>
            <w:vAlign w:val="center"/>
            <w:hideMark/>
          </w:tcPr>
          <w:p w14:paraId="0435B784" w14:textId="78B069A1" w:rsidR="008C00DF" w:rsidRPr="00C73908" w:rsidRDefault="008C00DF" w:rsidP="008F7E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73908">
              <w:rPr>
                <w:rFonts w:ascii="Times New Roman" w:hAnsi="Times New Roman" w:cs="Times New Roman"/>
                <w:sz w:val="20"/>
                <w:szCs w:val="20"/>
              </w:rPr>
              <w:t>56,867</w:t>
            </w:r>
          </w:p>
        </w:tc>
      </w:tr>
      <w:tr w:rsidR="008C00DF" w:rsidRPr="00C73908" w14:paraId="7E2BE321" w14:textId="77777777" w:rsidTr="008324E2">
        <w:trPr>
          <w:cnfStyle w:val="010000000000" w:firstRow="0" w:lastRow="1" w:firstColumn="0" w:lastColumn="0" w:oddVBand="0" w:evenVBand="0" w:oddHBand="0" w:evenHBand="0" w:firstRowFirstColumn="0" w:firstRowLastColumn="0" w:lastRowFirstColumn="0" w:lastRowLastColumn="0"/>
          <w:trHeight w:val="620"/>
        </w:trPr>
        <w:tc>
          <w:tcPr>
            <w:cnfStyle w:val="001000000001" w:firstRow="0" w:lastRow="0" w:firstColumn="1" w:lastColumn="0" w:oddVBand="0" w:evenVBand="0" w:oddHBand="0" w:evenHBand="0" w:firstRowFirstColumn="0" w:firstRowLastColumn="0" w:lastRowFirstColumn="1" w:lastRowLastColumn="0"/>
            <w:tcW w:w="1413" w:type="dxa"/>
            <w:tcBorders>
              <w:left w:val="single" w:sz="4" w:space="0" w:color="auto"/>
              <w:bottom w:val="single" w:sz="4" w:space="0" w:color="auto"/>
            </w:tcBorders>
            <w:noWrap/>
            <w:vAlign w:val="center"/>
            <w:hideMark/>
          </w:tcPr>
          <w:p w14:paraId="1B8A7AD9" w14:textId="6B15E941" w:rsidR="008C00DF" w:rsidRPr="00C73908" w:rsidRDefault="000B3AFE" w:rsidP="008F7E8C">
            <w:pPr>
              <w:jc w:val="center"/>
              <w:rPr>
                <w:rFonts w:ascii="Times New Roman" w:hAnsi="Times New Roman" w:cs="Times New Roman"/>
                <w:b/>
                <w:bCs/>
                <w:i w:val="0"/>
                <w:iCs w:val="0"/>
                <w:sz w:val="20"/>
                <w:szCs w:val="20"/>
              </w:rPr>
            </w:pPr>
            <w:r>
              <w:rPr>
                <w:rFonts w:ascii="Times New Roman" w:hAnsi="Times New Roman" w:cs="Times New Roman"/>
                <w:b/>
                <w:bCs/>
                <w:i w:val="0"/>
                <w:iCs w:val="0"/>
                <w:sz w:val="20"/>
                <w:szCs w:val="20"/>
              </w:rPr>
              <w:t>All Companies</w:t>
            </w:r>
          </w:p>
        </w:tc>
        <w:tc>
          <w:tcPr>
            <w:tcW w:w="808" w:type="dxa"/>
            <w:tcBorders>
              <w:bottom w:val="single" w:sz="4" w:space="0" w:color="auto"/>
            </w:tcBorders>
            <w:noWrap/>
            <w:vAlign w:val="center"/>
            <w:hideMark/>
          </w:tcPr>
          <w:p w14:paraId="2A9787C3" w14:textId="37088295" w:rsidR="008C00DF" w:rsidRPr="00C73908" w:rsidRDefault="008C00DF" w:rsidP="008F7E8C">
            <w:pPr>
              <w:jc w:val="center"/>
              <w:cnfStyle w:val="010000000000" w:firstRow="0" w:lastRow="1" w:firstColumn="0" w:lastColumn="0" w:oddVBand="0" w:evenVBand="0" w:oddHBand="0" w:evenHBand="0" w:firstRowFirstColumn="0" w:firstRowLastColumn="0" w:lastRowFirstColumn="0" w:lastRowLastColumn="0"/>
              <w:rPr>
                <w:rFonts w:ascii="Times New Roman" w:eastAsiaTheme="minorHAnsi" w:hAnsi="Times New Roman" w:cs="Times New Roman"/>
                <w:b/>
                <w:bCs/>
                <w:i w:val="0"/>
                <w:iCs w:val="0"/>
                <w:sz w:val="20"/>
                <w:szCs w:val="20"/>
              </w:rPr>
            </w:pPr>
            <w:r w:rsidRPr="00C73908">
              <w:rPr>
                <w:rFonts w:ascii="Times New Roman" w:eastAsiaTheme="minorHAnsi" w:hAnsi="Times New Roman" w:cs="Times New Roman"/>
                <w:b/>
                <w:bCs/>
                <w:i w:val="0"/>
                <w:iCs w:val="0"/>
                <w:sz w:val="20"/>
                <w:szCs w:val="20"/>
              </w:rPr>
              <w:t>2780</w:t>
            </w:r>
          </w:p>
        </w:tc>
        <w:tc>
          <w:tcPr>
            <w:tcW w:w="949" w:type="dxa"/>
            <w:tcBorders>
              <w:bottom w:val="single" w:sz="4" w:space="0" w:color="auto"/>
            </w:tcBorders>
            <w:noWrap/>
            <w:vAlign w:val="center"/>
            <w:hideMark/>
          </w:tcPr>
          <w:p w14:paraId="12400EC5" w14:textId="72B53C6D" w:rsidR="008C00DF" w:rsidRPr="00C73908" w:rsidRDefault="008C00DF" w:rsidP="008F7E8C">
            <w:pPr>
              <w:jc w:val="center"/>
              <w:cnfStyle w:val="010000000000" w:firstRow="0" w:lastRow="1" w:firstColumn="0" w:lastColumn="0" w:oddVBand="0" w:evenVBand="0" w:oddHBand="0" w:evenHBand="0" w:firstRowFirstColumn="0" w:firstRowLastColumn="0" w:lastRowFirstColumn="0" w:lastRowLastColumn="0"/>
              <w:rPr>
                <w:rFonts w:ascii="Times New Roman" w:eastAsiaTheme="minorHAnsi" w:hAnsi="Times New Roman" w:cs="Times New Roman"/>
                <w:b/>
                <w:bCs/>
                <w:i w:val="0"/>
                <w:iCs w:val="0"/>
                <w:sz w:val="20"/>
                <w:szCs w:val="20"/>
              </w:rPr>
            </w:pPr>
            <w:r w:rsidRPr="00C73908">
              <w:rPr>
                <w:rFonts w:ascii="Times New Roman" w:eastAsiaTheme="minorHAnsi" w:hAnsi="Times New Roman" w:cs="Times New Roman"/>
                <w:b/>
                <w:bCs/>
                <w:i w:val="0"/>
                <w:iCs w:val="0"/>
                <w:sz w:val="20"/>
                <w:szCs w:val="20"/>
              </w:rPr>
              <w:t>22,404</w:t>
            </w:r>
          </w:p>
        </w:tc>
        <w:tc>
          <w:tcPr>
            <w:tcW w:w="949" w:type="dxa"/>
            <w:tcBorders>
              <w:bottom w:val="single" w:sz="4" w:space="0" w:color="auto"/>
            </w:tcBorders>
            <w:noWrap/>
            <w:vAlign w:val="center"/>
            <w:hideMark/>
          </w:tcPr>
          <w:p w14:paraId="3E83679E" w14:textId="2A82B99A" w:rsidR="008C00DF" w:rsidRPr="00C73908" w:rsidRDefault="008C00DF" w:rsidP="008F7E8C">
            <w:pPr>
              <w:jc w:val="center"/>
              <w:cnfStyle w:val="010000000000" w:firstRow="0" w:lastRow="1" w:firstColumn="0" w:lastColumn="0" w:oddVBand="0" w:evenVBand="0" w:oddHBand="0" w:evenHBand="0" w:firstRowFirstColumn="0" w:firstRowLastColumn="0" w:lastRowFirstColumn="0" w:lastRowLastColumn="0"/>
              <w:rPr>
                <w:rFonts w:ascii="Times New Roman" w:eastAsiaTheme="minorHAnsi" w:hAnsi="Times New Roman" w:cs="Times New Roman"/>
                <w:b/>
                <w:bCs/>
                <w:i w:val="0"/>
                <w:iCs w:val="0"/>
                <w:sz w:val="20"/>
                <w:szCs w:val="20"/>
              </w:rPr>
            </w:pPr>
            <w:r w:rsidRPr="00C73908">
              <w:rPr>
                <w:rFonts w:ascii="Times New Roman" w:eastAsiaTheme="minorHAnsi" w:hAnsi="Times New Roman" w:cs="Times New Roman"/>
                <w:b/>
                <w:bCs/>
                <w:i w:val="0"/>
                <w:iCs w:val="0"/>
                <w:sz w:val="20"/>
                <w:szCs w:val="20"/>
              </w:rPr>
              <w:t>69</w:t>
            </w:r>
          </w:p>
        </w:tc>
        <w:tc>
          <w:tcPr>
            <w:tcW w:w="949" w:type="dxa"/>
            <w:tcBorders>
              <w:bottom w:val="single" w:sz="4" w:space="0" w:color="auto"/>
            </w:tcBorders>
            <w:noWrap/>
            <w:vAlign w:val="center"/>
            <w:hideMark/>
          </w:tcPr>
          <w:p w14:paraId="522B0040" w14:textId="18523B80" w:rsidR="008C00DF" w:rsidRPr="00C73908" w:rsidRDefault="008C00DF" w:rsidP="008F7E8C">
            <w:pPr>
              <w:jc w:val="center"/>
              <w:cnfStyle w:val="010000000000" w:firstRow="0" w:lastRow="1" w:firstColumn="0" w:lastColumn="0" w:oddVBand="0" w:evenVBand="0" w:oddHBand="0" w:evenHBand="0" w:firstRowFirstColumn="0" w:firstRowLastColumn="0" w:lastRowFirstColumn="0" w:lastRowLastColumn="0"/>
              <w:rPr>
                <w:rFonts w:ascii="Times New Roman" w:eastAsiaTheme="minorHAnsi" w:hAnsi="Times New Roman" w:cs="Times New Roman"/>
                <w:b/>
                <w:bCs/>
                <w:i w:val="0"/>
                <w:iCs w:val="0"/>
                <w:sz w:val="20"/>
                <w:szCs w:val="20"/>
              </w:rPr>
            </w:pPr>
            <w:r w:rsidRPr="00C73908">
              <w:rPr>
                <w:rFonts w:ascii="Times New Roman" w:eastAsiaTheme="minorHAnsi" w:hAnsi="Times New Roman" w:cs="Times New Roman"/>
                <w:b/>
                <w:bCs/>
                <w:i w:val="0"/>
                <w:iCs w:val="0"/>
                <w:sz w:val="20"/>
                <w:szCs w:val="20"/>
              </w:rPr>
              <w:t>45%</w:t>
            </w:r>
          </w:p>
        </w:tc>
        <w:tc>
          <w:tcPr>
            <w:tcW w:w="949" w:type="dxa"/>
            <w:tcBorders>
              <w:bottom w:val="single" w:sz="4" w:space="0" w:color="auto"/>
            </w:tcBorders>
            <w:noWrap/>
            <w:vAlign w:val="center"/>
            <w:hideMark/>
          </w:tcPr>
          <w:p w14:paraId="56B567A6" w14:textId="32097F75" w:rsidR="008C00DF" w:rsidRPr="00C73908" w:rsidRDefault="008C00DF" w:rsidP="008F7E8C">
            <w:pPr>
              <w:jc w:val="center"/>
              <w:cnfStyle w:val="010000000000" w:firstRow="0" w:lastRow="1" w:firstColumn="0" w:lastColumn="0" w:oddVBand="0" w:evenVBand="0" w:oddHBand="0" w:evenHBand="0" w:firstRowFirstColumn="0" w:firstRowLastColumn="0" w:lastRowFirstColumn="0" w:lastRowLastColumn="0"/>
              <w:rPr>
                <w:rFonts w:ascii="Times New Roman" w:eastAsiaTheme="minorHAnsi" w:hAnsi="Times New Roman" w:cs="Times New Roman"/>
                <w:b/>
                <w:bCs/>
                <w:i w:val="0"/>
                <w:iCs w:val="0"/>
                <w:sz w:val="20"/>
                <w:szCs w:val="20"/>
              </w:rPr>
            </w:pPr>
            <w:r w:rsidRPr="00C73908">
              <w:rPr>
                <w:rFonts w:ascii="Times New Roman" w:eastAsiaTheme="minorHAnsi" w:hAnsi="Times New Roman" w:cs="Times New Roman"/>
                <w:b/>
                <w:bCs/>
                <w:i w:val="0"/>
                <w:iCs w:val="0"/>
                <w:sz w:val="20"/>
                <w:szCs w:val="20"/>
              </w:rPr>
              <w:t>5.3</w:t>
            </w:r>
          </w:p>
        </w:tc>
        <w:tc>
          <w:tcPr>
            <w:tcW w:w="949" w:type="dxa"/>
            <w:tcBorders>
              <w:bottom w:val="single" w:sz="4" w:space="0" w:color="auto"/>
            </w:tcBorders>
            <w:noWrap/>
            <w:vAlign w:val="center"/>
            <w:hideMark/>
          </w:tcPr>
          <w:p w14:paraId="08562153" w14:textId="149ABA9E" w:rsidR="008C00DF" w:rsidRPr="00C73908" w:rsidRDefault="008C00DF" w:rsidP="008F7E8C">
            <w:pPr>
              <w:jc w:val="center"/>
              <w:cnfStyle w:val="010000000000" w:firstRow="0" w:lastRow="1" w:firstColumn="0" w:lastColumn="0" w:oddVBand="0" w:evenVBand="0" w:oddHBand="0" w:evenHBand="0" w:firstRowFirstColumn="0" w:firstRowLastColumn="0" w:lastRowFirstColumn="0" w:lastRowLastColumn="0"/>
              <w:rPr>
                <w:rFonts w:ascii="Times New Roman" w:eastAsiaTheme="minorHAnsi" w:hAnsi="Times New Roman" w:cs="Times New Roman"/>
                <w:b/>
                <w:bCs/>
                <w:i w:val="0"/>
                <w:iCs w:val="0"/>
                <w:sz w:val="20"/>
                <w:szCs w:val="20"/>
              </w:rPr>
            </w:pPr>
            <w:r w:rsidRPr="00C73908">
              <w:rPr>
                <w:rFonts w:ascii="Times New Roman" w:eastAsiaTheme="minorHAnsi" w:hAnsi="Times New Roman" w:cs="Times New Roman"/>
                <w:b/>
                <w:bCs/>
                <w:i w:val="0"/>
                <w:iCs w:val="0"/>
                <w:sz w:val="20"/>
                <w:szCs w:val="20"/>
              </w:rPr>
              <w:t>2.0%</w:t>
            </w:r>
          </w:p>
        </w:tc>
        <w:tc>
          <w:tcPr>
            <w:tcW w:w="949" w:type="dxa"/>
            <w:tcBorders>
              <w:bottom w:val="single" w:sz="4" w:space="0" w:color="auto"/>
            </w:tcBorders>
            <w:vAlign w:val="center"/>
          </w:tcPr>
          <w:p w14:paraId="06AFEC0D" w14:textId="4DBB2982" w:rsidR="008C00DF" w:rsidRPr="00C73908" w:rsidRDefault="008C00DF" w:rsidP="008F7E8C">
            <w:pPr>
              <w:jc w:val="center"/>
              <w:cnfStyle w:val="010000000000" w:firstRow="0" w:lastRow="1" w:firstColumn="0" w:lastColumn="0" w:oddVBand="0" w:evenVBand="0" w:oddHBand="0" w:evenHBand="0" w:firstRowFirstColumn="0" w:firstRowLastColumn="0" w:lastRowFirstColumn="0" w:lastRowLastColumn="0"/>
              <w:rPr>
                <w:rFonts w:ascii="Times New Roman" w:eastAsiaTheme="minorHAnsi" w:hAnsi="Times New Roman" w:cs="Times New Roman"/>
                <w:b/>
                <w:bCs/>
                <w:i w:val="0"/>
                <w:iCs w:val="0"/>
                <w:sz w:val="20"/>
                <w:szCs w:val="20"/>
              </w:rPr>
            </w:pPr>
            <w:r w:rsidRPr="00C73908">
              <w:rPr>
                <w:rFonts w:ascii="Times New Roman" w:eastAsiaTheme="minorHAnsi" w:hAnsi="Times New Roman" w:cs="Times New Roman"/>
                <w:b/>
                <w:bCs/>
                <w:i w:val="0"/>
                <w:iCs w:val="0"/>
                <w:sz w:val="20"/>
                <w:szCs w:val="20"/>
              </w:rPr>
              <w:t>11%</w:t>
            </w:r>
          </w:p>
        </w:tc>
        <w:tc>
          <w:tcPr>
            <w:tcW w:w="949" w:type="dxa"/>
            <w:tcBorders>
              <w:bottom w:val="single" w:sz="4" w:space="0" w:color="auto"/>
            </w:tcBorders>
            <w:noWrap/>
            <w:vAlign w:val="center"/>
            <w:hideMark/>
          </w:tcPr>
          <w:p w14:paraId="6B4934B5" w14:textId="03DEDE8B" w:rsidR="008C00DF" w:rsidRPr="00C73908" w:rsidRDefault="008C00DF" w:rsidP="008F7E8C">
            <w:pPr>
              <w:jc w:val="center"/>
              <w:cnfStyle w:val="010000000000" w:firstRow="0" w:lastRow="1" w:firstColumn="0" w:lastColumn="0" w:oddVBand="0" w:evenVBand="0" w:oddHBand="0" w:evenHBand="0" w:firstRowFirstColumn="0" w:firstRowLastColumn="0" w:lastRowFirstColumn="0" w:lastRowLastColumn="0"/>
              <w:rPr>
                <w:rFonts w:ascii="Times New Roman" w:eastAsiaTheme="minorHAnsi" w:hAnsi="Times New Roman" w:cs="Times New Roman"/>
                <w:b/>
                <w:bCs/>
                <w:i w:val="0"/>
                <w:iCs w:val="0"/>
                <w:sz w:val="20"/>
                <w:szCs w:val="20"/>
              </w:rPr>
            </w:pPr>
            <w:r w:rsidRPr="00C73908">
              <w:rPr>
                <w:rFonts w:ascii="Times New Roman" w:eastAsiaTheme="minorHAnsi" w:hAnsi="Times New Roman" w:cs="Times New Roman"/>
                <w:b/>
                <w:bCs/>
                <w:i w:val="0"/>
                <w:iCs w:val="0"/>
                <w:sz w:val="20"/>
                <w:szCs w:val="20"/>
              </w:rPr>
              <w:t>87,369</w:t>
            </w:r>
          </w:p>
        </w:tc>
        <w:tc>
          <w:tcPr>
            <w:tcW w:w="912" w:type="dxa"/>
            <w:tcBorders>
              <w:bottom w:val="single" w:sz="4" w:space="0" w:color="auto"/>
              <w:right w:val="single" w:sz="4" w:space="0" w:color="auto"/>
            </w:tcBorders>
            <w:noWrap/>
            <w:vAlign w:val="center"/>
            <w:hideMark/>
          </w:tcPr>
          <w:p w14:paraId="7277EF80" w14:textId="258EC3AB" w:rsidR="008C00DF" w:rsidRPr="00C73908" w:rsidRDefault="008C00DF" w:rsidP="008F7E8C">
            <w:pPr>
              <w:jc w:val="center"/>
              <w:cnfStyle w:val="010000000000" w:firstRow="0" w:lastRow="1" w:firstColumn="0" w:lastColumn="0" w:oddVBand="0" w:evenVBand="0" w:oddHBand="0" w:evenHBand="0" w:firstRowFirstColumn="0" w:firstRowLastColumn="0" w:lastRowFirstColumn="0" w:lastRowLastColumn="0"/>
              <w:rPr>
                <w:rFonts w:ascii="Times New Roman" w:eastAsiaTheme="minorHAnsi" w:hAnsi="Times New Roman" w:cs="Times New Roman"/>
                <w:b/>
                <w:bCs/>
                <w:i w:val="0"/>
                <w:iCs w:val="0"/>
                <w:sz w:val="20"/>
                <w:szCs w:val="20"/>
              </w:rPr>
            </w:pPr>
            <w:r w:rsidRPr="00C73908">
              <w:rPr>
                <w:rFonts w:ascii="Times New Roman" w:eastAsiaTheme="minorHAnsi" w:hAnsi="Times New Roman" w:cs="Times New Roman"/>
                <w:b/>
                <w:bCs/>
                <w:i w:val="0"/>
                <w:iCs w:val="0"/>
                <w:sz w:val="20"/>
                <w:szCs w:val="20"/>
              </w:rPr>
              <w:t>48,805</w:t>
            </w:r>
          </w:p>
        </w:tc>
      </w:tr>
    </w:tbl>
    <w:p w14:paraId="1E5928F2" w14:textId="3421926D" w:rsidR="005C504D" w:rsidRPr="00C73908" w:rsidRDefault="005C504D" w:rsidP="008A6DF2">
      <w:pPr>
        <w:spacing w:after="240" w:line="360" w:lineRule="auto"/>
        <w:jc w:val="both"/>
        <w:rPr>
          <w:rFonts w:ascii="Times New Roman" w:hAnsi="Times New Roman" w:cs="Times New Roman"/>
          <w:lang w:val="en-IE"/>
        </w:rPr>
      </w:pPr>
    </w:p>
    <w:p w14:paraId="13A818A5" w14:textId="56042900" w:rsidR="00DD1CCB" w:rsidRPr="00C73908" w:rsidRDefault="001F21A7"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 xml:space="preserve">Table 1 provides an overview of the characteristics of the </w:t>
      </w:r>
      <w:r w:rsidR="00232EBB" w:rsidRPr="00C73908">
        <w:rPr>
          <w:rFonts w:ascii="Times New Roman" w:hAnsi="Times New Roman" w:cs="Times New Roman"/>
          <w:lang w:val="en-IE"/>
        </w:rPr>
        <w:t>2,780</w:t>
      </w:r>
      <w:r w:rsidR="0053010D" w:rsidRPr="00C73908">
        <w:rPr>
          <w:rFonts w:ascii="Times New Roman" w:hAnsi="Times New Roman" w:cs="Times New Roman"/>
          <w:lang w:val="en-IE"/>
        </w:rPr>
        <w:t xml:space="preserve"> manufacturing and services</w:t>
      </w:r>
      <w:r w:rsidRPr="00C73908">
        <w:rPr>
          <w:rFonts w:ascii="Times New Roman" w:hAnsi="Times New Roman" w:cs="Times New Roman"/>
          <w:lang w:val="en-IE"/>
        </w:rPr>
        <w:t xml:space="preserve"> companies in the sample based on 2019</w:t>
      </w:r>
      <w:r w:rsidR="00FD5B7F" w:rsidRPr="00C73908">
        <w:rPr>
          <w:rFonts w:ascii="Times New Roman" w:hAnsi="Times New Roman" w:cs="Times New Roman"/>
          <w:lang w:val="en-IE"/>
        </w:rPr>
        <w:t xml:space="preserve"> averages values</w:t>
      </w:r>
      <w:r w:rsidRPr="00C73908">
        <w:rPr>
          <w:rFonts w:ascii="Times New Roman" w:hAnsi="Times New Roman" w:cs="Times New Roman"/>
          <w:lang w:val="en-IE"/>
        </w:rPr>
        <w:t xml:space="preserve">. </w:t>
      </w:r>
      <w:r w:rsidR="0053010D" w:rsidRPr="00C73908">
        <w:rPr>
          <w:rFonts w:ascii="Times New Roman" w:hAnsi="Times New Roman" w:cs="Times New Roman"/>
          <w:lang w:val="en-IE"/>
        </w:rPr>
        <w:t>M</w:t>
      </w:r>
      <w:r w:rsidR="00BE6B3A" w:rsidRPr="00C73908">
        <w:rPr>
          <w:rFonts w:ascii="Times New Roman" w:hAnsi="Times New Roman" w:cs="Times New Roman"/>
          <w:lang w:val="en-IE"/>
        </w:rPr>
        <w:t xml:space="preserve">anufacturers are larger than </w:t>
      </w:r>
      <w:r w:rsidR="0053010D" w:rsidRPr="00C73908">
        <w:rPr>
          <w:rFonts w:ascii="Times New Roman" w:hAnsi="Times New Roman" w:cs="Times New Roman"/>
          <w:lang w:val="en-IE"/>
        </w:rPr>
        <w:t>services companies</w:t>
      </w:r>
      <w:r w:rsidR="00BE6B3A" w:rsidRPr="00C73908">
        <w:rPr>
          <w:rFonts w:ascii="Times New Roman" w:hAnsi="Times New Roman" w:cs="Times New Roman"/>
          <w:lang w:val="en-IE"/>
        </w:rPr>
        <w:t xml:space="preserve"> on average </w:t>
      </w:r>
      <w:r w:rsidR="00290844" w:rsidRPr="00C73908">
        <w:rPr>
          <w:rFonts w:ascii="Times New Roman" w:hAnsi="Times New Roman" w:cs="Times New Roman"/>
          <w:lang w:val="en-IE"/>
        </w:rPr>
        <w:t>wit</w:t>
      </w:r>
      <w:r w:rsidR="0053010D" w:rsidRPr="00C73908">
        <w:rPr>
          <w:rFonts w:ascii="Times New Roman" w:hAnsi="Times New Roman" w:cs="Times New Roman"/>
          <w:lang w:val="en-IE"/>
        </w:rPr>
        <w:t xml:space="preserve">h </w:t>
      </w:r>
      <w:r w:rsidR="00290844" w:rsidRPr="00C73908">
        <w:rPr>
          <w:rFonts w:ascii="Times New Roman" w:hAnsi="Times New Roman" w:cs="Times New Roman"/>
          <w:lang w:val="en-IE"/>
        </w:rPr>
        <w:t xml:space="preserve">turnover of </w:t>
      </w:r>
      <w:r w:rsidR="00450513" w:rsidRPr="00C73908">
        <w:rPr>
          <w:rFonts w:ascii="Times New Roman" w:hAnsi="Times New Roman" w:cs="Times New Roman"/>
          <w:lang w:val="en-IE"/>
        </w:rPr>
        <w:t>€</w:t>
      </w:r>
      <w:r w:rsidR="004F2796" w:rsidRPr="00C73908">
        <w:rPr>
          <w:rFonts w:ascii="Times New Roman" w:hAnsi="Times New Roman" w:cs="Times New Roman"/>
          <w:lang w:val="en-IE"/>
        </w:rPr>
        <w:t>2</w:t>
      </w:r>
      <w:r w:rsidR="008E42E7" w:rsidRPr="00C73908">
        <w:rPr>
          <w:rFonts w:ascii="Times New Roman" w:hAnsi="Times New Roman" w:cs="Times New Roman"/>
          <w:lang w:val="en-IE"/>
        </w:rPr>
        <w:t>6</w:t>
      </w:r>
      <w:r w:rsidR="00450513" w:rsidRPr="00C73908">
        <w:rPr>
          <w:rFonts w:ascii="Times New Roman" w:hAnsi="Times New Roman" w:cs="Times New Roman"/>
          <w:lang w:val="en-IE"/>
        </w:rPr>
        <w:t xml:space="preserve"> million and employment </w:t>
      </w:r>
      <w:r w:rsidR="00FE4715" w:rsidRPr="00C73908">
        <w:rPr>
          <w:rFonts w:ascii="Times New Roman" w:hAnsi="Times New Roman" w:cs="Times New Roman"/>
          <w:lang w:val="en-IE"/>
        </w:rPr>
        <w:t xml:space="preserve">of </w:t>
      </w:r>
      <w:r w:rsidR="00940EAA" w:rsidRPr="00C73908">
        <w:rPr>
          <w:rFonts w:ascii="Times New Roman" w:hAnsi="Times New Roman" w:cs="Times New Roman"/>
          <w:lang w:val="en-IE"/>
        </w:rPr>
        <w:t>79</w:t>
      </w:r>
      <w:r w:rsidR="00B93C58" w:rsidRPr="00C73908">
        <w:rPr>
          <w:rFonts w:ascii="Times New Roman" w:hAnsi="Times New Roman" w:cs="Times New Roman"/>
          <w:lang w:val="en-IE"/>
        </w:rPr>
        <w:t xml:space="preserve"> owing</w:t>
      </w:r>
      <w:r w:rsidR="00C57838" w:rsidRPr="00C73908">
        <w:rPr>
          <w:rFonts w:ascii="Times New Roman" w:hAnsi="Times New Roman" w:cs="Times New Roman"/>
          <w:lang w:val="en-IE"/>
        </w:rPr>
        <w:t xml:space="preserve"> to the presence of a </w:t>
      </w:r>
      <w:r w:rsidR="00F54152" w:rsidRPr="00C73908">
        <w:rPr>
          <w:rFonts w:ascii="Times New Roman" w:hAnsi="Times New Roman" w:cs="Times New Roman"/>
          <w:lang w:val="en-IE"/>
        </w:rPr>
        <w:t xml:space="preserve">small number of </w:t>
      </w:r>
      <w:r w:rsidR="00DB318C" w:rsidRPr="00C73908">
        <w:rPr>
          <w:rFonts w:ascii="Times New Roman" w:hAnsi="Times New Roman" w:cs="Times New Roman"/>
          <w:lang w:val="en-IE"/>
        </w:rPr>
        <w:t xml:space="preserve">very </w:t>
      </w:r>
      <w:r w:rsidR="00F54152" w:rsidRPr="00C73908">
        <w:rPr>
          <w:rFonts w:ascii="Times New Roman" w:hAnsi="Times New Roman" w:cs="Times New Roman"/>
          <w:lang w:val="en-IE"/>
        </w:rPr>
        <w:t xml:space="preserve">large multinational </w:t>
      </w:r>
      <w:r w:rsidR="00FF5075" w:rsidRPr="00C73908">
        <w:rPr>
          <w:rFonts w:ascii="Times New Roman" w:hAnsi="Times New Roman" w:cs="Times New Roman"/>
          <w:lang w:val="en-IE"/>
        </w:rPr>
        <w:t>food</w:t>
      </w:r>
      <w:r w:rsidR="006D3614" w:rsidRPr="00C73908">
        <w:rPr>
          <w:rFonts w:ascii="Times New Roman" w:hAnsi="Times New Roman" w:cs="Times New Roman"/>
          <w:lang w:val="en-IE"/>
        </w:rPr>
        <w:t xml:space="preserve"> processors. Services companies, on the other hand, </w:t>
      </w:r>
      <w:r w:rsidR="004A4E00" w:rsidRPr="00C73908">
        <w:rPr>
          <w:rFonts w:ascii="Times New Roman" w:hAnsi="Times New Roman" w:cs="Times New Roman"/>
          <w:lang w:val="en-IE"/>
        </w:rPr>
        <w:t>tend to be</w:t>
      </w:r>
      <w:r w:rsidR="00313493" w:rsidRPr="00C73908">
        <w:rPr>
          <w:rFonts w:ascii="Times New Roman" w:hAnsi="Times New Roman" w:cs="Times New Roman"/>
          <w:lang w:val="en-IE"/>
        </w:rPr>
        <w:t xml:space="preserve"> smaller</w:t>
      </w:r>
      <w:r w:rsidR="00FF4C28" w:rsidRPr="00C73908">
        <w:rPr>
          <w:rFonts w:ascii="Times New Roman" w:hAnsi="Times New Roman" w:cs="Times New Roman"/>
          <w:lang w:val="en-IE"/>
        </w:rPr>
        <w:t xml:space="preserve"> </w:t>
      </w:r>
      <w:r w:rsidR="002410A3" w:rsidRPr="00C73908">
        <w:rPr>
          <w:rFonts w:ascii="Times New Roman" w:hAnsi="Times New Roman" w:cs="Times New Roman"/>
          <w:lang w:val="en-IE"/>
        </w:rPr>
        <w:t>with</w:t>
      </w:r>
      <w:r w:rsidR="00FF4C28" w:rsidRPr="00C73908">
        <w:rPr>
          <w:rFonts w:ascii="Times New Roman" w:hAnsi="Times New Roman" w:cs="Times New Roman"/>
          <w:lang w:val="en-IE"/>
        </w:rPr>
        <w:t xml:space="preserve"> </w:t>
      </w:r>
      <w:r w:rsidR="002410A3" w:rsidRPr="00C73908">
        <w:rPr>
          <w:rFonts w:ascii="Times New Roman" w:hAnsi="Times New Roman" w:cs="Times New Roman"/>
          <w:lang w:val="en-IE"/>
        </w:rPr>
        <w:t xml:space="preserve">average </w:t>
      </w:r>
      <w:r w:rsidR="00FF4C28" w:rsidRPr="00C73908">
        <w:rPr>
          <w:rFonts w:ascii="Times New Roman" w:hAnsi="Times New Roman" w:cs="Times New Roman"/>
          <w:lang w:val="en-IE"/>
        </w:rPr>
        <w:t>sales</w:t>
      </w:r>
      <w:r w:rsidR="002410A3" w:rsidRPr="00C73908">
        <w:rPr>
          <w:rFonts w:ascii="Times New Roman" w:hAnsi="Times New Roman" w:cs="Times New Roman"/>
          <w:lang w:val="en-IE"/>
        </w:rPr>
        <w:t xml:space="preserve"> of €18 million and </w:t>
      </w:r>
      <w:r w:rsidR="00FF4C28" w:rsidRPr="00C73908">
        <w:rPr>
          <w:rFonts w:ascii="Times New Roman" w:hAnsi="Times New Roman" w:cs="Times New Roman"/>
          <w:lang w:val="en-IE"/>
        </w:rPr>
        <w:t>employment</w:t>
      </w:r>
      <w:r w:rsidR="002410A3" w:rsidRPr="00C73908">
        <w:rPr>
          <w:rFonts w:ascii="Times New Roman" w:hAnsi="Times New Roman" w:cs="Times New Roman"/>
          <w:lang w:val="en-IE"/>
        </w:rPr>
        <w:t xml:space="preserve"> of 59</w:t>
      </w:r>
      <w:r w:rsidR="00BA72D1" w:rsidRPr="00C73908">
        <w:rPr>
          <w:rFonts w:ascii="Times New Roman" w:hAnsi="Times New Roman" w:cs="Times New Roman"/>
          <w:lang w:val="en-IE"/>
        </w:rPr>
        <w:t>. This</w:t>
      </w:r>
      <w:r w:rsidR="00313493" w:rsidRPr="00C73908">
        <w:rPr>
          <w:rFonts w:ascii="Times New Roman" w:hAnsi="Times New Roman" w:cs="Times New Roman"/>
          <w:lang w:val="en-IE"/>
        </w:rPr>
        <w:t xml:space="preserve"> </w:t>
      </w:r>
      <w:r w:rsidR="00171B66" w:rsidRPr="00C73908">
        <w:rPr>
          <w:rFonts w:ascii="Times New Roman" w:hAnsi="Times New Roman" w:cs="Times New Roman"/>
          <w:lang w:val="en-IE"/>
        </w:rPr>
        <w:t>reflects</w:t>
      </w:r>
      <w:r w:rsidR="00944D0B" w:rsidRPr="00C73908">
        <w:rPr>
          <w:rFonts w:ascii="Times New Roman" w:hAnsi="Times New Roman" w:cs="Times New Roman"/>
          <w:lang w:val="en-IE"/>
        </w:rPr>
        <w:t xml:space="preserve"> the emergence of </w:t>
      </w:r>
      <w:r w:rsidR="00210943" w:rsidRPr="00C73908">
        <w:rPr>
          <w:rFonts w:ascii="Times New Roman" w:hAnsi="Times New Roman" w:cs="Times New Roman"/>
          <w:lang w:val="en-IE"/>
        </w:rPr>
        <w:t>high-tech software sectors in recent decades and</w:t>
      </w:r>
      <w:r w:rsidR="00313493" w:rsidRPr="00C73908">
        <w:rPr>
          <w:rFonts w:ascii="Times New Roman" w:hAnsi="Times New Roman" w:cs="Times New Roman"/>
          <w:lang w:val="en-IE"/>
        </w:rPr>
        <w:t xml:space="preserve"> high level</w:t>
      </w:r>
      <w:r w:rsidR="004A4E00" w:rsidRPr="00C73908">
        <w:rPr>
          <w:rFonts w:ascii="Times New Roman" w:hAnsi="Times New Roman" w:cs="Times New Roman"/>
          <w:lang w:val="en-IE"/>
        </w:rPr>
        <w:t>s</w:t>
      </w:r>
      <w:r w:rsidR="00313493" w:rsidRPr="00C73908">
        <w:rPr>
          <w:rFonts w:ascii="Times New Roman" w:hAnsi="Times New Roman" w:cs="Times New Roman"/>
          <w:lang w:val="en-IE"/>
        </w:rPr>
        <w:t xml:space="preserve"> of start</w:t>
      </w:r>
      <w:r w:rsidR="001743E3" w:rsidRPr="00C73908">
        <w:rPr>
          <w:rFonts w:ascii="Times New Roman" w:hAnsi="Times New Roman" w:cs="Times New Roman"/>
          <w:lang w:val="en-IE"/>
        </w:rPr>
        <w:t xml:space="preserve">-up activity </w:t>
      </w:r>
      <w:r w:rsidR="00BA72D1" w:rsidRPr="00C73908">
        <w:rPr>
          <w:rFonts w:ascii="Times New Roman" w:hAnsi="Times New Roman" w:cs="Times New Roman"/>
          <w:lang w:val="en-IE"/>
        </w:rPr>
        <w:t xml:space="preserve">with </w:t>
      </w:r>
      <w:r w:rsidR="0050157E" w:rsidRPr="00C73908">
        <w:rPr>
          <w:rFonts w:ascii="Times New Roman" w:hAnsi="Times New Roman" w:cs="Times New Roman"/>
          <w:lang w:val="en-IE"/>
        </w:rPr>
        <w:t>s</w:t>
      </w:r>
      <w:r w:rsidR="00BA72D1" w:rsidRPr="00C73908">
        <w:rPr>
          <w:rFonts w:ascii="Times New Roman" w:hAnsi="Times New Roman" w:cs="Times New Roman"/>
          <w:lang w:val="en-IE"/>
        </w:rPr>
        <w:t xml:space="preserve">ervices </w:t>
      </w:r>
      <w:r w:rsidR="00AE1D69">
        <w:rPr>
          <w:rFonts w:ascii="Times New Roman" w:hAnsi="Times New Roman" w:cs="Times New Roman"/>
          <w:lang w:val="en-IE"/>
        </w:rPr>
        <w:t>companies</w:t>
      </w:r>
      <w:r w:rsidR="00390283" w:rsidRPr="00C73908">
        <w:rPr>
          <w:rFonts w:ascii="Times New Roman" w:hAnsi="Times New Roman" w:cs="Times New Roman"/>
          <w:lang w:val="en-IE"/>
        </w:rPr>
        <w:t xml:space="preserve"> </w:t>
      </w:r>
      <w:r w:rsidR="00BA72D1" w:rsidRPr="00C73908">
        <w:rPr>
          <w:rFonts w:ascii="Times New Roman" w:hAnsi="Times New Roman" w:cs="Times New Roman"/>
          <w:lang w:val="en-IE"/>
        </w:rPr>
        <w:t xml:space="preserve">accounting for </w:t>
      </w:r>
      <w:r w:rsidR="00390283" w:rsidRPr="00C73908">
        <w:rPr>
          <w:rFonts w:ascii="Times New Roman" w:hAnsi="Times New Roman" w:cs="Times New Roman"/>
          <w:lang w:val="en-IE"/>
        </w:rPr>
        <w:t>70%</w:t>
      </w:r>
      <w:r w:rsidR="001743E3" w:rsidRPr="00C73908">
        <w:rPr>
          <w:rFonts w:ascii="Times New Roman" w:hAnsi="Times New Roman" w:cs="Times New Roman"/>
          <w:lang w:val="en-IE"/>
        </w:rPr>
        <w:t xml:space="preserve"> of </w:t>
      </w:r>
      <w:r w:rsidR="008E42E7" w:rsidRPr="00C73908">
        <w:rPr>
          <w:rFonts w:ascii="Times New Roman" w:hAnsi="Times New Roman" w:cs="Times New Roman"/>
          <w:lang w:val="en-IE"/>
        </w:rPr>
        <w:t>all</w:t>
      </w:r>
      <w:r w:rsidR="001743E3" w:rsidRPr="00C73908">
        <w:rPr>
          <w:rFonts w:ascii="Times New Roman" w:hAnsi="Times New Roman" w:cs="Times New Roman"/>
          <w:lang w:val="en-IE"/>
        </w:rPr>
        <w:t xml:space="preserve"> companies founded since </w:t>
      </w:r>
      <w:r w:rsidR="00014426" w:rsidRPr="00C73908">
        <w:rPr>
          <w:rFonts w:ascii="Times New Roman" w:hAnsi="Times New Roman" w:cs="Times New Roman"/>
          <w:lang w:val="en-IE"/>
        </w:rPr>
        <w:t>2005.</w:t>
      </w:r>
      <w:r w:rsidR="00705587" w:rsidRPr="00C73908">
        <w:rPr>
          <w:rFonts w:ascii="Times New Roman" w:hAnsi="Times New Roman" w:cs="Times New Roman"/>
          <w:lang w:val="en-IE"/>
        </w:rPr>
        <w:t xml:space="preserve"> </w:t>
      </w:r>
      <w:r w:rsidR="00087098" w:rsidRPr="00C73908">
        <w:rPr>
          <w:rFonts w:ascii="Times New Roman" w:hAnsi="Times New Roman" w:cs="Times New Roman"/>
          <w:lang w:val="en-IE"/>
        </w:rPr>
        <w:t>In terms of company sizes, l</w:t>
      </w:r>
      <w:r w:rsidR="00FD515B" w:rsidRPr="00C73908">
        <w:rPr>
          <w:rFonts w:ascii="Times New Roman" w:hAnsi="Times New Roman" w:cs="Times New Roman"/>
          <w:lang w:val="en-IE"/>
        </w:rPr>
        <w:t xml:space="preserve">arge </w:t>
      </w:r>
      <w:r w:rsidR="00EF17DD" w:rsidRPr="00C73908">
        <w:rPr>
          <w:rFonts w:ascii="Times New Roman" w:hAnsi="Times New Roman" w:cs="Times New Roman"/>
          <w:lang w:val="en-IE"/>
        </w:rPr>
        <w:t xml:space="preserve">companies </w:t>
      </w:r>
      <w:r w:rsidR="004C66EB" w:rsidRPr="00C73908">
        <w:rPr>
          <w:rFonts w:ascii="Times New Roman" w:hAnsi="Times New Roman" w:cs="Times New Roman"/>
          <w:lang w:val="en-IE"/>
        </w:rPr>
        <w:t xml:space="preserve">make up approximately 9% of </w:t>
      </w:r>
      <w:r w:rsidR="005C09CE" w:rsidRPr="00C73908">
        <w:rPr>
          <w:rFonts w:ascii="Times New Roman" w:hAnsi="Times New Roman" w:cs="Times New Roman"/>
          <w:lang w:val="en-IE"/>
        </w:rPr>
        <w:t>the total</w:t>
      </w:r>
      <w:r w:rsidR="00836335" w:rsidRPr="00C73908">
        <w:rPr>
          <w:rFonts w:ascii="Times New Roman" w:hAnsi="Times New Roman" w:cs="Times New Roman"/>
          <w:lang w:val="en-IE"/>
        </w:rPr>
        <w:t xml:space="preserve"> </w:t>
      </w:r>
      <w:r w:rsidR="00836335" w:rsidRPr="00C73908">
        <w:rPr>
          <w:rFonts w:ascii="Times New Roman" w:hAnsi="Times New Roman" w:cs="Times New Roman"/>
          <w:lang w:val="en-IE"/>
        </w:rPr>
        <w:lastRenderedPageBreak/>
        <w:t>with</w:t>
      </w:r>
      <w:r w:rsidR="004C66EB" w:rsidRPr="00C73908">
        <w:rPr>
          <w:rFonts w:ascii="Times New Roman" w:hAnsi="Times New Roman" w:cs="Times New Roman"/>
          <w:lang w:val="en-IE"/>
        </w:rPr>
        <w:t xml:space="preserve"> medium </w:t>
      </w:r>
      <w:r w:rsidR="007A3561" w:rsidRPr="00C73908">
        <w:rPr>
          <w:rFonts w:ascii="Times New Roman" w:hAnsi="Times New Roman" w:cs="Times New Roman"/>
          <w:lang w:val="en-IE"/>
        </w:rPr>
        <w:t>and small</w:t>
      </w:r>
      <w:r w:rsidR="00836335" w:rsidRPr="00C73908">
        <w:rPr>
          <w:rFonts w:ascii="Times New Roman" w:hAnsi="Times New Roman" w:cs="Times New Roman"/>
          <w:lang w:val="en-IE"/>
        </w:rPr>
        <w:t xml:space="preserve"> </w:t>
      </w:r>
      <w:r w:rsidR="007A3561" w:rsidRPr="00C73908">
        <w:rPr>
          <w:rFonts w:ascii="Times New Roman" w:hAnsi="Times New Roman" w:cs="Times New Roman"/>
          <w:lang w:val="en-IE"/>
        </w:rPr>
        <w:t>companies account</w:t>
      </w:r>
      <w:r w:rsidR="00836335" w:rsidRPr="00C73908">
        <w:rPr>
          <w:rFonts w:ascii="Times New Roman" w:hAnsi="Times New Roman" w:cs="Times New Roman"/>
          <w:lang w:val="en-IE"/>
        </w:rPr>
        <w:t>ing</w:t>
      </w:r>
      <w:r w:rsidR="007A3561" w:rsidRPr="00C73908">
        <w:rPr>
          <w:rFonts w:ascii="Times New Roman" w:hAnsi="Times New Roman" w:cs="Times New Roman"/>
          <w:lang w:val="en-IE"/>
        </w:rPr>
        <w:t xml:space="preserve"> for </w:t>
      </w:r>
      <w:r w:rsidR="005414CC" w:rsidRPr="00C73908">
        <w:rPr>
          <w:rFonts w:ascii="Times New Roman" w:hAnsi="Times New Roman" w:cs="Times New Roman"/>
          <w:lang w:val="en-IE"/>
        </w:rPr>
        <w:t xml:space="preserve">32% and 59% </w:t>
      </w:r>
      <w:r w:rsidR="00836335" w:rsidRPr="00C73908">
        <w:rPr>
          <w:rFonts w:ascii="Times New Roman" w:hAnsi="Times New Roman" w:cs="Times New Roman"/>
          <w:lang w:val="en-IE"/>
        </w:rPr>
        <w:t>respectively</w:t>
      </w:r>
      <w:r w:rsidR="00090D05" w:rsidRPr="00C73908">
        <w:rPr>
          <w:rFonts w:ascii="Times New Roman" w:hAnsi="Times New Roman" w:cs="Times New Roman"/>
          <w:lang w:val="en-IE"/>
        </w:rPr>
        <w:t xml:space="preserve"> (based on </w:t>
      </w:r>
      <w:r w:rsidR="00394DF2" w:rsidRPr="00C73908">
        <w:rPr>
          <w:rFonts w:ascii="Times New Roman" w:hAnsi="Times New Roman" w:cs="Times New Roman"/>
          <w:lang w:val="en-IE"/>
        </w:rPr>
        <w:t xml:space="preserve">EU Commission definitions </w:t>
      </w:r>
      <w:r w:rsidR="00CF18B6" w:rsidRPr="00C73908">
        <w:rPr>
          <w:rFonts w:ascii="Times New Roman" w:hAnsi="Times New Roman" w:cs="Times New Roman"/>
          <w:lang w:val="en-IE"/>
        </w:rPr>
        <w:t>of company size).</w:t>
      </w:r>
    </w:p>
    <w:p w14:paraId="21338BBB" w14:textId="151088EB" w:rsidR="00E62D1E" w:rsidRPr="00C73908" w:rsidRDefault="0065293A"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t>Exports:</w:t>
      </w:r>
      <w:r w:rsidRPr="00C73908">
        <w:rPr>
          <w:rFonts w:ascii="Times New Roman" w:hAnsi="Times New Roman" w:cs="Times New Roman"/>
          <w:lang w:val="en-IE"/>
        </w:rPr>
        <w:t xml:space="preserve"> </w:t>
      </w:r>
      <w:r w:rsidR="00A22317" w:rsidRPr="00C73908">
        <w:rPr>
          <w:rFonts w:ascii="Times New Roman" w:hAnsi="Times New Roman" w:cs="Times New Roman"/>
          <w:lang w:val="en-IE"/>
        </w:rPr>
        <w:t xml:space="preserve">While </w:t>
      </w:r>
      <w:r w:rsidR="000D6D5D">
        <w:rPr>
          <w:rFonts w:ascii="Times New Roman" w:hAnsi="Times New Roman" w:cs="Times New Roman"/>
          <w:lang w:val="en-IE"/>
        </w:rPr>
        <w:t>s</w:t>
      </w:r>
      <w:r w:rsidR="00A22317" w:rsidRPr="00C73908">
        <w:rPr>
          <w:rFonts w:ascii="Times New Roman" w:hAnsi="Times New Roman" w:cs="Times New Roman"/>
          <w:lang w:val="en-IE"/>
        </w:rPr>
        <w:t>ervices companies tend to be smaller</w:t>
      </w:r>
      <w:r w:rsidR="00004183" w:rsidRPr="00C73908">
        <w:rPr>
          <w:rFonts w:ascii="Times New Roman" w:hAnsi="Times New Roman" w:cs="Times New Roman"/>
          <w:lang w:val="en-IE"/>
        </w:rPr>
        <w:t xml:space="preserve"> in size</w:t>
      </w:r>
      <w:r w:rsidR="00A22317" w:rsidRPr="00C73908">
        <w:rPr>
          <w:rFonts w:ascii="Times New Roman" w:hAnsi="Times New Roman" w:cs="Times New Roman"/>
          <w:lang w:val="en-IE"/>
        </w:rPr>
        <w:t xml:space="preserve">, they are generally more export focused </w:t>
      </w:r>
      <w:r w:rsidR="00384660" w:rsidRPr="00C73908">
        <w:rPr>
          <w:rFonts w:ascii="Times New Roman" w:hAnsi="Times New Roman" w:cs="Times New Roman"/>
          <w:lang w:val="en-IE"/>
        </w:rPr>
        <w:t xml:space="preserve">with an average export intensity of </w:t>
      </w:r>
      <w:r w:rsidR="004A6795" w:rsidRPr="00C73908">
        <w:rPr>
          <w:rFonts w:ascii="Times New Roman" w:hAnsi="Times New Roman" w:cs="Times New Roman"/>
          <w:lang w:val="en-IE"/>
        </w:rPr>
        <w:t>49</w:t>
      </w:r>
      <w:r w:rsidR="00384660" w:rsidRPr="00C73908">
        <w:rPr>
          <w:rFonts w:ascii="Times New Roman" w:hAnsi="Times New Roman" w:cs="Times New Roman"/>
          <w:lang w:val="en-IE"/>
        </w:rPr>
        <w:t>%</w:t>
      </w:r>
      <w:r w:rsidR="00A02609" w:rsidRPr="00C73908">
        <w:rPr>
          <w:rFonts w:ascii="Times New Roman" w:hAnsi="Times New Roman" w:cs="Times New Roman"/>
          <w:lang w:val="en-IE"/>
        </w:rPr>
        <w:t xml:space="preserve"> compared with </w:t>
      </w:r>
      <w:r w:rsidR="007B3770" w:rsidRPr="00C73908">
        <w:rPr>
          <w:rFonts w:ascii="Times New Roman" w:hAnsi="Times New Roman" w:cs="Times New Roman"/>
          <w:lang w:val="en-IE"/>
        </w:rPr>
        <w:t>41% for manufacturing</w:t>
      </w:r>
      <w:r w:rsidR="00ED7FC7" w:rsidRPr="00C73908">
        <w:rPr>
          <w:rFonts w:ascii="Times New Roman" w:hAnsi="Times New Roman" w:cs="Times New Roman"/>
          <w:lang w:val="en-IE"/>
        </w:rPr>
        <w:t>. This</w:t>
      </w:r>
      <w:r w:rsidR="00EF30D4">
        <w:rPr>
          <w:rFonts w:ascii="Times New Roman" w:hAnsi="Times New Roman" w:cs="Times New Roman"/>
          <w:lang w:val="en-IE"/>
        </w:rPr>
        <w:t xml:space="preserve"> may</w:t>
      </w:r>
      <w:r w:rsidR="00ED7FC7" w:rsidRPr="00C73908">
        <w:rPr>
          <w:rFonts w:ascii="Times New Roman" w:hAnsi="Times New Roman" w:cs="Times New Roman"/>
          <w:lang w:val="en-IE"/>
        </w:rPr>
        <w:t xml:space="preserve"> reflect the </w:t>
      </w:r>
      <w:r w:rsidR="00452846" w:rsidRPr="00C73908">
        <w:rPr>
          <w:rFonts w:ascii="Times New Roman" w:hAnsi="Times New Roman" w:cs="Times New Roman"/>
          <w:lang w:val="en-IE"/>
        </w:rPr>
        <w:t xml:space="preserve">lower barriers </w:t>
      </w:r>
      <w:r w:rsidR="00DE6128" w:rsidRPr="00C73908">
        <w:rPr>
          <w:rFonts w:ascii="Times New Roman" w:hAnsi="Times New Roman" w:cs="Times New Roman"/>
          <w:lang w:val="en-IE"/>
        </w:rPr>
        <w:t xml:space="preserve">to exporting </w:t>
      </w:r>
      <w:r w:rsidR="004219F5" w:rsidRPr="00C73908">
        <w:rPr>
          <w:rFonts w:ascii="Times New Roman" w:hAnsi="Times New Roman" w:cs="Times New Roman"/>
          <w:lang w:val="en-IE"/>
        </w:rPr>
        <w:t xml:space="preserve">in </w:t>
      </w:r>
      <w:r w:rsidR="00452846" w:rsidRPr="00C73908">
        <w:rPr>
          <w:rFonts w:ascii="Times New Roman" w:hAnsi="Times New Roman" w:cs="Times New Roman"/>
          <w:lang w:val="en-IE"/>
        </w:rPr>
        <w:t>service</w:t>
      </w:r>
      <w:r w:rsidR="004219F5" w:rsidRPr="00C73908">
        <w:rPr>
          <w:rFonts w:ascii="Times New Roman" w:hAnsi="Times New Roman" w:cs="Times New Roman"/>
          <w:lang w:val="en-IE"/>
        </w:rPr>
        <w:t xml:space="preserve">s sectors </w:t>
      </w:r>
      <w:r w:rsidR="008F0390" w:rsidRPr="00C73908">
        <w:rPr>
          <w:rFonts w:ascii="Times New Roman" w:hAnsi="Times New Roman" w:cs="Times New Roman"/>
          <w:lang w:val="en-IE"/>
        </w:rPr>
        <w:t>relative to manufacturing</w:t>
      </w:r>
      <w:r w:rsidR="00947F8B" w:rsidRPr="00C73908">
        <w:rPr>
          <w:rFonts w:ascii="Times New Roman" w:hAnsi="Times New Roman" w:cs="Times New Roman"/>
          <w:lang w:val="en-IE"/>
        </w:rPr>
        <w:t xml:space="preserve"> </w:t>
      </w:r>
      <w:r w:rsidR="004A37DC" w:rsidRPr="00C73908">
        <w:rPr>
          <w:rFonts w:ascii="Times New Roman" w:hAnsi="Times New Roman" w:cs="Times New Roman"/>
          <w:lang w:val="en-IE"/>
        </w:rPr>
        <w:t>and the early internationalisation of companies in the sector</w:t>
      </w:r>
      <w:r w:rsidR="00A176A4" w:rsidRPr="00C73908">
        <w:rPr>
          <w:rFonts w:ascii="Times New Roman" w:hAnsi="Times New Roman" w:cs="Times New Roman"/>
          <w:lang w:val="en-IE"/>
        </w:rPr>
        <w:t>.</w:t>
      </w:r>
      <w:r w:rsidR="006B6F94" w:rsidRPr="00C73908">
        <w:rPr>
          <w:rFonts w:ascii="Times New Roman" w:hAnsi="Times New Roman" w:cs="Times New Roman"/>
          <w:lang w:val="en-IE"/>
        </w:rPr>
        <w:t xml:space="preserve"> </w:t>
      </w:r>
      <w:r w:rsidR="005D16B7" w:rsidRPr="00C73908">
        <w:rPr>
          <w:rFonts w:ascii="Times New Roman" w:hAnsi="Times New Roman" w:cs="Times New Roman"/>
          <w:lang w:val="en-IE"/>
        </w:rPr>
        <w:t>The average export intensity of small companies</w:t>
      </w:r>
      <w:r w:rsidR="001A676A" w:rsidRPr="00C73908">
        <w:rPr>
          <w:rFonts w:ascii="Times New Roman" w:hAnsi="Times New Roman" w:cs="Times New Roman"/>
          <w:lang w:val="en-IE"/>
        </w:rPr>
        <w:t xml:space="preserve"> in 2019</w:t>
      </w:r>
      <w:r w:rsidR="005D16B7" w:rsidRPr="00C73908">
        <w:rPr>
          <w:rFonts w:ascii="Times New Roman" w:hAnsi="Times New Roman" w:cs="Times New Roman"/>
          <w:lang w:val="en-IE"/>
        </w:rPr>
        <w:t xml:space="preserve"> </w:t>
      </w:r>
      <w:r w:rsidR="00AA563A" w:rsidRPr="00C73908">
        <w:rPr>
          <w:rFonts w:ascii="Times New Roman" w:hAnsi="Times New Roman" w:cs="Times New Roman"/>
          <w:lang w:val="en-IE"/>
        </w:rPr>
        <w:t xml:space="preserve">was 53% </w:t>
      </w:r>
      <w:r w:rsidR="005D16B7" w:rsidRPr="00C73908">
        <w:rPr>
          <w:rFonts w:ascii="Times New Roman" w:hAnsi="Times New Roman" w:cs="Times New Roman"/>
          <w:lang w:val="en-IE"/>
        </w:rPr>
        <w:t xml:space="preserve">in services </w:t>
      </w:r>
      <w:r w:rsidR="00AA563A" w:rsidRPr="00C73908">
        <w:rPr>
          <w:rFonts w:ascii="Times New Roman" w:hAnsi="Times New Roman" w:cs="Times New Roman"/>
          <w:lang w:val="en-IE"/>
        </w:rPr>
        <w:t xml:space="preserve">and </w:t>
      </w:r>
      <w:r w:rsidR="001A676A" w:rsidRPr="00C73908">
        <w:rPr>
          <w:rFonts w:ascii="Times New Roman" w:hAnsi="Times New Roman" w:cs="Times New Roman"/>
          <w:lang w:val="en-IE"/>
        </w:rPr>
        <w:t>39% in manufacturing</w:t>
      </w:r>
      <w:r w:rsidR="003D78D2" w:rsidRPr="00C73908">
        <w:rPr>
          <w:rFonts w:ascii="Times New Roman" w:hAnsi="Times New Roman" w:cs="Times New Roman"/>
          <w:lang w:val="en-IE"/>
        </w:rPr>
        <w:t xml:space="preserve">, which </w:t>
      </w:r>
      <w:r w:rsidR="00821570">
        <w:rPr>
          <w:rFonts w:ascii="Times New Roman" w:hAnsi="Times New Roman" w:cs="Times New Roman"/>
          <w:lang w:val="en-IE"/>
        </w:rPr>
        <w:t>indicates</w:t>
      </w:r>
      <w:r w:rsidR="003D78D2" w:rsidRPr="00C73908">
        <w:rPr>
          <w:rFonts w:ascii="Times New Roman" w:hAnsi="Times New Roman" w:cs="Times New Roman"/>
          <w:lang w:val="en-IE"/>
        </w:rPr>
        <w:t xml:space="preserve"> </w:t>
      </w:r>
      <w:r w:rsidR="00535A2A">
        <w:rPr>
          <w:rFonts w:ascii="Times New Roman" w:hAnsi="Times New Roman" w:cs="Times New Roman"/>
          <w:lang w:val="en-IE"/>
        </w:rPr>
        <w:t>that</w:t>
      </w:r>
      <w:r w:rsidR="003D78D2" w:rsidRPr="00C73908">
        <w:rPr>
          <w:rFonts w:ascii="Times New Roman" w:hAnsi="Times New Roman" w:cs="Times New Roman"/>
          <w:lang w:val="en-IE"/>
        </w:rPr>
        <w:t xml:space="preserve"> services companies </w:t>
      </w:r>
      <w:r w:rsidR="00FD59CD">
        <w:rPr>
          <w:rFonts w:ascii="Times New Roman" w:hAnsi="Times New Roman" w:cs="Times New Roman"/>
          <w:lang w:val="en-IE"/>
        </w:rPr>
        <w:t>are more likely</w:t>
      </w:r>
      <w:r w:rsidR="00535A2A">
        <w:rPr>
          <w:rFonts w:ascii="Times New Roman" w:hAnsi="Times New Roman" w:cs="Times New Roman"/>
          <w:lang w:val="en-IE"/>
        </w:rPr>
        <w:t xml:space="preserve"> </w:t>
      </w:r>
      <w:r w:rsidR="003D78D2" w:rsidRPr="00C73908">
        <w:rPr>
          <w:rFonts w:ascii="Times New Roman" w:hAnsi="Times New Roman" w:cs="Times New Roman"/>
          <w:lang w:val="en-IE"/>
        </w:rPr>
        <w:t xml:space="preserve">to </w:t>
      </w:r>
      <w:r w:rsidR="00BA7F90" w:rsidRPr="00C73908">
        <w:rPr>
          <w:rFonts w:ascii="Times New Roman" w:hAnsi="Times New Roman" w:cs="Times New Roman"/>
          <w:lang w:val="en-IE"/>
        </w:rPr>
        <w:t>begin selling</w:t>
      </w:r>
      <w:r w:rsidR="003D78D2" w:rsidRPr="00C73908">
        <w:rPr>
          <w:rFonts w:ascii="Times New Roman" w:hAnsi="Times New Roman" w:cs="Times New Roman"/>
          <w:lang w:val="en-IE"/>
        </w:rPr>
        <w:t xml:space="preserve"> to </w:t>
      </w:r>
      <w:r w:rsidR="00D1325B" w:rsidRPr="00C73908">
        <w:rPr>
          <w:rFonts w:ascii="Times New Roman" w:hAnsi="Times New Roman" w:cs="Times New Roman"/>
          <w:lang w:val="en-IE"/>
        </w:rPr>
        <w:t>international markets at an earlier stage.</w:t>
      </w:r>
      <w:r w:rsidR="001A676A" w:rsidRPr="00C73908">
        <w:rPr>
          <w:rFonts w:ascii="Times New Roman" w:hAnsi="Times New Roman" w:cs="Times New Roman"/>
          <w:lang w:val="en-IE"/>
        </w:rPr>
        <w:t xml:space="preserve"> </w:t>
      </w:r>
      <w:r w:rsidR="001B2325" w:rsidRPr="00C73908">
        <w:rPr>
          <w:rFonts w:ascii="Times New Roman" w:hAnsi="Times New Roman" w:cs="Times New Roman"/>
          <w:lang w:val="en-IE"/>
        </w:rPr>
        <w:t>D</w:t>
      </w:r>
      <w:r w:rsidR="00DE6128" w:rsidRPr="00C73908">
        <w:rPr>
          <w:rFonts w:ascii="Times New Roman" w:hAnsi="Times New Roman" w:cs="Times New Roman"/>
          <w:lang w:val="en-IE"/>
        </w:rPr>
        <w:t>espite lower export intensities</w:t>
      </w:r>
      <w:r w:rsidR="009F258B" w:rsidRPr="00C73908">
        <w:rPr>
          <w:rFonts w:ascii="Times New Roman" w:hAnsi="Times New Roman" w:cs="Times New Roman"/>
          <w:lang w:val="en-IE"/>
        </w:rPr>
        <w:t xml:space="preserve">, manufacturing </w:t>
      </w:r>
      <w:r w:rsidR="00507D03" w:rsidRPr="00C73908">
        <w:rPr>
          <w:rFonts w:ascii="Times New Roman" w:hAnsi="Times New Roman" w:cs="Times New Roman"/>
          <w:lang w:val="en-IE"/>
        </w:rPr>
        <w:t xml:space="preserve">companies </w:t>
      </w:r>
      <w:r w:rsidR="001546FE" w:rsidRPr="00C73908">
        <w:rPr>
          <w:rFonts w:ascii="Times New Roman" w:hAnsi="Times New Roman" w:cs="Times New Roman"/>
          <w:lang w:val="en-IE"/>
        </w:rPr>
        <w:t>tend to be</w:t>
      </w:r>
      <w:r w:rsidR="00F723BA" w:rsidRPr="00C73908">
        <w:rPr>
          <w:rFonts w:ascii="Times New Roman" w:hAnsi="Times New Roman" w:cs="Times New Roman"/>
          <w:lang w:val="en-IE"/>
        </w:rPr>
        <w:t xml:space="preserve"> more</w:t>
      </w:r>
      <w:r w:rsidR="00507D03" w:rsidRPr="00C73908">
        <w:rPr>
          <w:rFonts w:ascii="Times New Roman" w:hAnsi="Times New Roman" w:cs="Times New Roman"/>
          <w:lang w:val="en-IE"/>
        </w:rPr>
        <w:t xml:space="preserve"> diversified</w:t>
      </w:r>
      <w:r w:rsidR="00F723BA" w:rsidRPr="00C73908">
        <w:rPr>
          <w:rFonts w:ascii="Times New Roman" w:hAnsi="Times New Roman" w:cs="Times New Roman"/>
          <w:lang w:val="en-IE"/>
        </w:rPr>
        <w:t>, exporting to 6.</w:t>
      </w:r>
      <w:r w:rsidR="00DE6128" w:rsidRPr="00C73908">
        <w:rPr>
          <w:rFonts w:ascii="Times New Roman" w:hAnsi="Times New Roman" w:cs="Times New Roman"/>
          <w:lang w:val="en-IE"/>
        </w:rPr>
        <w:t>1</w:t>
      </w:r>
      <w:r w:rsidR="00F723BA" w:rsidRPr="00C73908">
        <w:rPr>
          <w:rFonts w:ascii="Times New Roman" w:hAnsi="Times New Roman" w:cs="Times New Roman"/>
          <w:lang w:val="en-IE"/>
        </w:rPr>
        <w:t xml:space="preserve"> markets on average</w:t>
      </w:r>
      <w:r w:rsidR="00D656BB" w:rsidRPr="00C73908">
        <w:rPr>
          <w:rFonts w:ascii="Times New Roman" w:hAnsi="Times New Roman" w:cs="Times New Roman"/>
          <w:lang w:val="en-IE"/>
        </w:rPr>
        <w:t xml:space="preserve"> while services companies export to </w:t>
      </w:r>
      <w:r w:rsidR="000C6396" w:rsidRPr="00C73908">
        <w:rPr>
          <w:rFonts w:ascii="Times New Roman" w:hAnsi="Times New Roman" w:cs="Times New Roman"/>
          <w:lang w:val="en-IE"/>
        </w:rPr>
        <w:t>an average of 4.5 markets</w:t>
      </w:r>
      <w:r w:rsidR="003640B3" w:rsidRPr="00C73908">
        <w:rPr>
          <w:rFonts w:ascii="Times New Roman" w:hAnsi="Times New Roman" w:cs="Times New Roman"/>
          <w:lang w:val="en-IE"/>
        </w:rPr>
        <w:t xml:space="preserve">. </w:t>
      </w:r>
      <w:r w:rsidR="00CC734C" w:rsidRPr="00C73908">
        <w:rPr>
          <w:rFonts w:ascii="Times New Roman" w:hAnsi="Times New Roman" w:cs="Times New Roman"/>
          <w:lang w:val="en-IE"/>
        </w:rPr>
        <w:t>T</w:t>
      </w:r>
      <w:r w:rsidR="00866B46" w:rsidRPr="00C73908">
        <w:rPr>
          <w:rFonts w:ascii="Times New Roman" w:hAnsi="Times New Roman" w:cs="Times New Roman"/>
          <w:lang w:val="en-IE"/>
        </w:rPr>
        <w:t xml:space="preserve">his </w:t>
      </w:r>
      <w:r w:rsidR="00ED4F1B" w:rsidRPr="00C73908">
        <w:rPr>
          <w:rFonts w:ascii="Times New Roman" w:hAnsi="Times New Roman" w:cs="Times New Roman"/>
          <w:lang w:val="en-IE"/>
        </w:rPr>
        <w:t xml:space="preserve">gap </w:t>
      </w:r>
      <w:r w:rsidR="007F2A48" w:rsidRPr="00C73908">
        <w:rPr>
          <w:rFonts w:ascii="Times New Roman" w:hAnsi="Times New Roman" w:cs="Times New Roman"/>
          <w:lang w:val="en-IE"/>
        </w:rPr>
        <w:t xml:space="preserve">is also present among </w:t>
      </w:r>
      <w:r w:rsidR="001C04ED" w:rsidRPr="00C73908">
        <w:rPr>
          <w:rFonts w:ascii="Times New Roman" w:hAnsi="Times New Roman" w:cs="Times New Roman"/>
          <w:lang w:val="en-IE"/>
        </w:rPr>
        <w:t>small and medium enterprises with manufactur</w:t>
      </w:r>
      <w:r w:rsidR="005248E5" w:rsidRPr="00C73908">
        <w:rPr>
          <w:rFonts w:ascii="Times New Roman" w:hAnsi="Times New Roman" w:cs="Times New Roman"/>
          <w:lang w:val="en-IE"/>
        </w:rPr>
        <w:t>ers</w:t>
      </w:r>
      <w:r w:rsidR="001C04ED" w:rsidRPr="00C73908">
        <w:rPr>
          <w:rFonts w:ascii="Times New Roman" w:hAnsi="Times New Roman" w:cs="Times New Roman"/>
          <w:lang w:val="en-IE"/>
        </w:rPr>
        <w:t xml:space="preserve"> selling into 5 markets </w:t>
      </w:r>
      <w:r w:rsidR="00763B0D" w:rsidRPr="00C73908">
        <w:rPr>
          <w:rFonts w:ascii="Times New Roman" w:hAnsi="Times New Roman" w:cs="Times New Roman"/>
          <w:lang w:val="en-IE"/>
        </w:rPr>
        <w:t>on average and</w:t>
      </w:r>
      <w:r w:rsidR="00FF4FF3" w:rsidRPr="00C73908">
        <w:rPr>
          <w:rFonts w:ascii="Times New Roman" w:hAnsi="Times New Roman" w:cs="Times New Roman"/>
          <w:lang w:val="en-IE"/>
        </w:rPr>
        <w:t xml:space="preserve"> services </w:t>
      </w:r>
      <w:r w:rsidR="005248E5" w:rsidRPr="00C73908">
        <w:rPr>
          <w:rFonts w:ascii="Times New Roman" w:hAnsi="Times New Roman" w:cs="Times New Roman"/>
          <w:lang w:val="en-IE"/>
        </w:rPr>
        <w:t xml:space="preserve">SMEs </w:t>
      </w:r>
      <w:r w:rsidR="00FF4FF3" w:rsidRPr="00C73908">
        <w:rPr>
          <w:rFonts w:ascii="Times New Roman" w:hAnsi="Times New Roman" w:cs="Times New Roman"/>
          <w:lang w:val="en-IE"/>
        </w:rPr>
        <w:t>selling to 4 markets.</w:t>
      </w:r>
      <w:r w:rsidR="001C3508" w:rsidRPr="00C73908">
        <w:rPr>
          <w:rFonts w:ascii="Times New Roman" w:hAnsi="Times New Roman" w:cs="Times New Roman"/>
          <w:lang w:val="en-IE"/>
        </w:rPr>
        <w:t xml:space="preserve"> However, it is important to note that </w:t>
      </w:r>
      <w:r w:rsidR="007E4118" w:rsidRPr="00C73908">
        <w:rPr>
          <w:rFonts w:ascii="Times New Roman" w:hAnsi="Times New Roman" w:cs="Times New Roman"/>
          <w:lang w:val="en-IE"/>
        </w:rPr>
        <w:t xml:space="preserve">these averages are somewhat skewed by a small </w:t>
      </w:r>
      <w:r w:rsidR="00090964" w:rsidRPr="00C73908">
        <w:rPr>
          <w:rFonts w:ascii="Times New Roman" w:hAnsi="Times New Roman" w:cs="Times New Roman"/>
          <w:lang w:val="en-IE"/>
        </w:rPr>
        <w:t>group</w:t>
      </w:r>
      <w:r w:rsidR="007E4118" w:rsidRPr="00C73908">
        <w:rPr>
          <w:rFonts w:ascii="Times New Roman" w:hAnsi="Times New Roman" w:cs="Times New Roman"/>
          <w:lang w:val="en-IE"/>
        </w:rPr>
        <w:t xml:space="preserve"> of highly diversified exporters</w:t>
      </w:r>
      <w:r w:rsidR="008F46DF" w:rsidRPr="00C73908">
        <w:rPr>
          <w:rFonts w:ascii="Times New Roman" w:hAnsi="Times New Roman" w:cs="Times New Roman"/>
          <w:lang w:val="en-IE"/>
        </w:rPr>
        <w:t>. The manufacturing figures, in particular, are inflated by a handful of multinational food and beverage processors which sell to a large number of markets.</w:t>
      </w:r>
      <w:r w:rsidR="007C4FF8" w:rsidRPr="00C73908">
        <w:rPr>
          <w:rFonts w:ascii="Times New Roman" w:hAnsi="Times New Roman" w:cs="Times New Roman"/>
          <w:lang w:val="en-IE"/>
        </w:rPr>
        <w:t xml:space="preserve"> Two thirds of </w:t>
      </w:r>
      <w:r w:rsidR="00A742A3">
        <w:rPr>
          <w:rFonts w:ascii="Times New Roman" w:hAnsi="Times New Roman" w:cs="Times New Roman"/>
          <w:lang w:val="en-IE"/>
        </w:rPr>
        <w:t xml:space="preserve">the </w:t>
      </w:r>
      <w:r w:rsidR="007C4FF8" w:rsidRPr="00C73908">
        <w:rPr>
          <w:rFonts w:ascii="Times New Roman" w:hAnsi="Times New Roman" w:cs="Times New Roman"/>
          <w:lang w:val="en-IE"/>
        </w:rPr>
        <w:t>companies in the sample expor</w:t>
      </w:r>
      <w:r w:rsidR="001832D9" w:rsidRPr="00C73908">
        <w:rPr>
          <w:rFonts w:ascii="Times New Roman" w:hAnsi="Times New Roman" w:cs="Times New Roman"/>
          <w:lang w:val="en-IE"/>
        </w:rPr>
        <w:t xml:space="preserve">t to less than 5 markets while </w:t>
      </w:r>
      <w:r w:rsidR="005951C5" w:rsidRPr="00C73908">
        <w:rPr>
          <w:rFonts w:ascii="Times New Roman" w:hAnsi="Times New Roman" w:cs="Times New Roman"/>
          <w:lang w:val="en-IE"/>
        </w:rPr>
        <w:t xml:space="preserve">21% export to just a single market with many companies focusing </w:t>
      </w:r>
      <w:r w:rsidR="0034129E" w:rsidRPr="00C73908">
        <w:rPr>
          <w:rFonts w:ascii="Times New Roman" w:hAnsi="Times New Roman" w:cs="Times New Roman"/>
          <w:lang w:val="en-IE"/>
        </w:rPr>
        <w:t>primari</w:t>
      </w:r>
      <w:r w:rsidR="007F089B" w:rsidRPr="00C73908">
        <w:rPr>
          <w:rFonts w:ascii="Times New Roman" w:hAnsi="Times New Roman" w:cs="Times New Roman"/>
          <w:lang w:val="en-IE"/>
        </w:rPr>
        <w:t>ly on the UK market.</w:t>
      </w:r>
    </w:p>
    <w:p w14:paraId="579F678A" w14:textId="4FA95CDD" w:rsidR="00085E34" w:rsidRPr="00C73908" w:rsidRDefault="00085E34" w:rsidP="000F5AF3">
      <w:pPr>
        <w:widowControl w:val="0"/>
        <w:autoSpaceDE w:val="0"/>
        <w:autoSpaceDN w:val="0"/>
        <w:adjustRightInd w:val="0"/>
        <w:spacing w:after="0" w:line="240" w:lineRule="auto"/>
        <w:rPr>
          <w:rFonts w:ascii="Times New Roman" w:hAnsi="Times New Roman" w:cs="Times New Roman"/>
          <w:lang w:val="en-IE"/>
        </w:rPr>
      </w:pPr>
      <w:r w:rsidRPr="00C73908">
        <w:rPr>
          <w:rFonts w:ascii="Times New Roman" w:hAnsi="Times New Roman" w:cs="Times New Roman"/>
          <w:b/>
          <w:bCs/>
        </w:rPr>
        <w:t xml:space="preserve">Figure </w:t>
      </w:r>
      <w:r w:rsidRPr="00C73908">
        <w:rPr>
          <w:rFonts w:ascii="Times New Roman" w:hAnsi="Times New Roman" w:cs="Times New Roman"/>
          <w:b/>
          <w:bCs/>
        </w:rPr>
        <w:fldChar w:fldCharType="begin"/>
      </w:r>
      <w:r w:rsidRPr="00C73908">
        <w:rPr>
          <w:rFonts w:ascii="Times New Roman" w:hAnsi="Times New Roman" w:cs="Times New Roman"/>
          <w:b/>
          <w:bCs/>
        </w:rPr>
        <w:instrText xml:space="preserve"> SEQ Table \* ARABIC </w:instrText>
      </w:r>
      <w:r w:rsidRPr="00C73908">
        <w:rPr>
          <w:rFonts w:ascii="Times New Roman" w:hAnsi="Times New Roman" w:cs="Times New Roman"/>
          <w:b/>
          <w:bCs/>
        </w:rPr>
        <w:fldChar w:fldCharType="separate"/>
      </w:r>
      <w:r w:rsidR="00A55DF4">
        <w:rPr>
          <w:rFonts w:ascii="Times New Roman" w:hAnsi="Times New Roman" w:cs="Times New Roman"/>
          <w:b/>
          <w:bCs/>
          <w:noProof/>
        </w:rPr>
        <w:t>1</w:t>
      </w:r>
      <w:r w:rsidRPr="00C73908">
        <w:rPr>
          <w:rFonts w:ascii="Times New Roman" w:hAnsi="Times New Roman" w:cs="Times New Roman"/>
          <w:b/>
          <w:bCs/>
        </w:rPr>
        <w:fldChar w:fldCharType="end"/>
      </w:r>
      <w:r w:rsidRPr="00C73908">
        <w:rPr>
          <w:rFonts w:ascii="Times New Roman" w:hAnsi="Times New Roman" w:cs="Times New Roman"/>
          <w:b/>
          <w:bCs/>
        </w:rPr>
        <w:t>: Sector trends in average export</w:t>
      </w:r>
      <w:r w:rsidR="00160384" w:rsidRPr="00C73908">
        <w:rPr>
          <w:rFonts w:ascii="Times New Roman" w:hAnsi="Times New Roman" w:cs="Times New Roman"/>
          <w:b/>
          <w:bCs/>
        </w:rPr>
        <w:t>s</w:t>
      </w:r>
      <w:r w:rsidRPr="00C73908">
        <w:rPr>
          <w:rFonts w:ascii="Times New Roman" w:hAnsi="Times New Roman" w:cs="Times New Roman"/>
          <w:b/>
          <w:bCs/>
        </w:rPr>
        <w:t xml:space="preserve"> from 2010-19</w:t>
      </w:r>
      <w:r w:rsidR="00DE4B2B" w:rsidRPr="00C73908">
        <w:rPr>
          <w:rFonts w:ascii="Times New Roman" w:hAnsi="Times New Roman" w:cs="Times New Roman"/>
          <w:b/>
          <w:bCs/>
          <w:noProof/>
        </w:rPr>
        <w:drawing>
          <wp:inline distT="0" distB="0" distL="0" distR="0" wp14:anchorId="5BA396D6" wp14:editId="17173FBD">
            <wp:extent cx="3975100" cy="23653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2365375"/>
                    </a:xfrm>
                    <a:prstGeom prst="rect">
                      <a:avLst/>
                    </a:prstGeom>
                    <a:noFill/>
                  </pic:spPr>
                </pic:pic>
              </a:graphicData>
            </a:graphic>
          </wp:inline>
        </w:drawing>
      </w:r>
    </w:p>
    <w:p w14:paraId="24B64AE2" w14:textId="6498F96E" w:rsidR="00A07BC9" w:rsidRPr="00C73908" w:rsidRDefault="002840DC"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E</w:t>
      </w:r>
      <w:r w:rsidR="00256B5E" w:rsidRPr="00C73908">
        <w:rPr>
          <w:rFonts w:ascii="Times New Roman" w:hAnsi="Times New Roman" w:cs="Times New Roman"/>
          <w:lang w:val="en-IE"/>
        </w:rPr>
        <w:t xml:space="preserve">xports </w:t>
      </w:r>
      <w:r w:rsidRPr="00C73908">
        <w:rPr>
          <w:rFonts w:ascii="Times New Roman" w:hAnsi="Times New Roman" w:cs="Times New Roman"/>
          <w:lang w:val="en-IE"/>
        </w:rPr>
        <w:t xml:space="preserve">in both sectors </w:t>
      </w:r>
      <w:r w:rsidR="00256B5E" w:rsidRPr="00C73908">
        <w:rPr>
          <w:rFonts w:ascii="Times New Roman" w:hAnsi="Times New Roman" w:cs="Times New Roman"/>
          <w:lang w:val="en-IE"/>
        </w:rPr>
        <w:t xml:space="preserve">have grown strongly </w:t>
      </w:r>
      <w:r w:rsidRPr="00C73908">
        <w:rPr>
          <w:rFonts w:ascii="Times New Roman" w:hAnsi="Times New Roman" w:cs="Times New Roman"/>
          <w:lang w:val="en-IE"/>
        </w:rPr>
        <w:t>in the period from 2010 to 2019</w:t>
      </w:r>
      <w:r w:rsidR="00D423EB" w:rsidRPr="00C73908">
        <w:rPr>
          <w:rFonts w:ascii="Times New Roman" w:hAnsi="Times New Roman" w:cs="Times New Roman"/>
          <w:lang w:val="en-IE"/>
        </w:rPr>
        <w:t xml:space="preserve"> </w:t>
      </w:r>
      <w:r w:rsidR="00C511B1" w:rsidRPr="00C73908">
        <w:rPr>
          <w:rFonts w:ascii="Times New Roman" w:hAnsi="Times New Roman" w:cs="Times New Roman"/>
          <w:lang w:val="en-IE"/>
        </w:rPr>
        <w:t>coincid</w:t>
      </w:r>
      <w:r w:rsidR="0018539F" w:rsidRPr="00C73908">
        <w:rPr>
          <w:rFonts w:ascii="Times New Roman" w:hAnsi="Times New Roman" w:cs="Times New Roman"/>
          <w:lang w:val="en-IE"/>
        </w:rPr>
        <w:t>ing</w:t>
      </w:r>
      <w:r w:rsidR="00C511B1" w:rsidRPr="00C73908">
        <w:rPr>
          <w:rFonts w:ascii="Times New Roman" w:hAnsi="Times New Roman" w:cs="Times New Roman"/>
          <w:lang w:val="en-IE"/>
        </w:rPr>
        <w:t xml:space="preserve"> with the </w:t>
      </w:r>
      <w:r w:rsidR="0058423D" w:rsidRPr="00C73908">
        <w:rPr>
          <w:rFonts w:ascii="Times New Roman" w:hAnsi="Times New Roman" w:cs="Times New Roman"/>
          <w:lang w:val="en-IE"/>
        </w:rPr>
        <w:t xml:space="preserve">general economic recovery </w:t>
      </w:r>
      <w:r w:rsidR="001A52F6" w:rsidRPr="00C73908">
        <w:rPr>
          <w:rFonts w:ascii="Times New Roman" w:hAnsi="Times New Roman" w:cs="Times New Roman"/>
          <w:lang w:val="en-IE"/>
        </w:rPr>
        <w:t>following the financial crisis of 2008 and subsequent recession.</w:t>
      </w:r>
      <w:r w:rsidR="00CA4815" w:rsidRPr="00C73908">
        <w:rPr>
          <w:rFonts w:ascii="Times New Roman" w:hAnsi="Times New Roman" w:cs="Times New Roman"/>
          <w:lang w:val="en-IE"/>
        </w:rPr>
        <w:t xml:space="preserve"> </w:t>
      </w:r>
      <w:r w:rsidR="00B97FD0" w:rsidRPr="00C73908">
        <w:rPr>
          <w:rFonts w:ascii="Times New Roman" w:hAnsi="Times New Roman" w:cs="Times New Roman"/>
          <w:lang w:val="en-IE"/>
        </w:rPr>
        <w:t>Data from the Annual Business Review survey show</w:t>
      </w:r>
      <w:r w:rsidR="008609F7">
        <w:rPr>
          <w:rFonts w:ascii="Times New Roman" w:hAnsi="Times New Roman" w:cs="Times New Roman"/>
          <w:lang w:val="en-IE"/>
        </w:rPr>
        <w:t>s</w:t>
      </w:r>
      <w:r w:rsidR="00B97FD0" w:rsidRPr="00C73908">
        <w:rPr>
          <w:rFonts w:ascii="Times New Roman" w:hAnsi="Times New Roman" w:cs="Times New Roman"/>
          <w:lang w:val="en-IE"/>
        </w:rPr>
        <w:t xml:space="preserve"> that t</w:t>
      </w:r>
      <w:r w:rsidR="00293562" w:rsidRPr="00C73908">
        <w:rPr>
          <w:rFonts w:ascii="Times New Roman" w:hAnsi="Times New Roman" w:cs="Times New Roman"/>
          <w:lang w:val="en-IE"/>
        </w:rPr>
        <w:t>otal</w:t>
      </w:r>
      <w:r w:rsidR="002672E1" w:rsidRPr="00C73908">
        <w:rPr>
          <w:rFonts w:ascii="Times New Roman" w:hAnsi="Times New Roman" w:cs="Times New Roman"/>
          <w:lang w:val="en-IE"/>
        </w:rPr>
        <w:t xml:space="preserve"> exports </w:t>
      </w:r>
      <w:r w:rsidR="008E0C7D" w:rsidRPr="00C73908">
        <w:rPr>
          <w:rFonts w:ascii="Times New Roman" w:hAnsi="Times New Roman" w:cs="Times New Roman"/>
          <w:lang w:val="en-IE"/>
        </w:rPr>
        <w:t xml:space="preserve">among </w:t>
      </w:r>
      <w:r w:rsidR="00AD1ED0">
        <w:rPr>
          <w:rFonts w:ascii="Times New Roman" w:hAnsi="Times New Roman" w:cs="Times New Roman"/>
          <w:lang w:val="en-IE"/>
        </w:rPr>
        <w:t>EI</w:t>
      </w:r>
      <w:r w:rsidR="008E0C7D" w:rsidRPr="00C73908">
        <w:rPr>
          <w:rFonts w:ascii="Times New Roman" w:hAnsi="Times New Roman" w:cs="Times New Roman"/>
          <w:lang w:val="en-IE"/>
        </w:rPr>
        <w:t xml:space="preserve"> client companies</w:t>
      </w:r>
      <w:r w:rsidR="00153FA2" w:rsidRPr="00C73908">
        <w:rPr>
          <w:rFonts w:ascii="Times New Roman" w:hAnsi="Times New Roman" w:cs="Times New Roman"/>
          <w:lang w:val="en-IE"/>
        </w:rPr>
        <w:t xml:space="preserve"> have </w:t>
      </w:r>
      <w:r w:rsidR="00B97FD0" w:rsidRPr="00C73908">
        <w:rPr>
          <w:rFonts w:ascii="Times New Roman" w:hAnsi="Times New Roman" w:cs="Times New Roman"/>
          <w:lang w:val="en-IE"/>
        </w:rPr>
        <w:t>nearly</w:t>
      </w:r>
      <w:r w:rsidR="00704C80" w:rsidRPr="00C73908">
        <w:rPr>
          <w:rFonts w:ascii="Times New Roman" w:hAnsi="Times New Roman" w:cs="Times New Roman"/>
          <w:lang w:val="en-IE"/>
        </w:rPr>
        <w:t xml:space="preserve"> doubled </w:t>
      </w:r>
      <w:r w:rsidR="00B97FD0" w:rsidRPr="00C73908">
        <w:rPr>
          <w:rFonts w:ascii="Times New Roman" w:hAnsi="Times New Roman" w:cs="Times New Roman"/>
          <w:lang w:val="en-IE"/>
        </w:rPr>
        <w:t xml:space="preserve">in the past decade </w:t>
      </w:r>
      <w:r w:rsidR="00704C80" w:rsidRPr="00C73908">
        <w:rPr>
          <w:rFonts w:ascii="Times New Roman" w:hAnsi="Times New Roman" w:cs="Times New Roman"/>
          <w:lang w:val="en-IE"/>
        </w:rPr>
        <w:t xml:space="preserve">with an overall growth of </w:t>
      </w:r>
      <w:r w:rsidR="00B97FD0" w:rsidRPr="00C73908">
        <w:rPr>
          <w:rFonts w:ascii="Times New Roman" w:hAnsi="Times New Roman" w:cs="Times New Roman"/>
          <w:lang w:val="en-IE"/>
        </w:rPr>
        <w:t>84</w:t>
      </w:r>
      <w:r w:rsidR="00704C80" w:rsidRPr="00C73908">
        <w:rPr>
          <w:rFonts w:ascii="Times New Roman" w:hAnsi="Times New Roman" w:cs="Times New Roman"/>
          <w:lang w:val="en-IE"/>
        </w:rPr>
        <w:t xml:space="preserve">% </w:t>
      </w:r>
      <w:r w:rsidR="00C10B61" w:rsidRPr="00C73908">
        <w:rPr>
          <w:rFonts w:ascii="Times New Roman" w:hAnsi="Times New Roman" w:cs="Times New Roman"/>
          <w:lang w:val="en-IE"/>
        </w:rPr>
        <w:t>from €13.9 billion in</w:t>
      </w:r>
      <w:r w:rsidR="00704C80" w:rsidRPr="00C73908">
        <w:rPr>
          <w:rFonts w:ascii="Times New Roman" w:hAnsi="Times New Roman" w:cs="Times New Roman"/>
          <w:lang w:val="en-IE"/>
        </w:rPr>
        <w:t xml:space="preserve"> 2010 to </w:t>
      </w:r>
      <w:r w:rsidR="00C10B61" w:rsidRPr="00C73908">
        <w:rPr>
          <w:rFonts w:ascii="Times New Roman" w:hAnsi="Times New Roman" w:cs="Times New Roman"/>
          <w:lang w:val="en-IE"/>
        </w:rPr>
        <w:t xml:space="preserve">€25.6 billion in </w:t>
      </w:r>
      <w:r w:rsidR="00704C80" w:rsidRPr="00C73908">
        <w:rPr>
          <w:rFonts w:ascii="Times New Roman" w:hAnsi="Times New Roman" w:cs="Times New Roman"/>
          <w:lang w:val="en-IE"/>
        </w:rPr>
        <w:t xml:space="preserve">2019. </w:t>
      </w:r>
      <w:r w:rsidR="00F45F6A" w:rsidRPr="00C73908">
        <w:rPr>
          <w:rFonts w:ascii="Times New Roman" w:hAnsi="Times New Roman" w:cs="Times New Roman"/>
          <w:lang w:val="en-IE"/>
        </w:rPr>
        <w:t xml:space="preserve">Services companies have </w:t>
      </w:r>
      <w:r w:rsidR="00D423EB" w:rsidRPr="00C73908">
        <w:rPr>
          <w:rFonts w:ascii="Times New Roman" w:hAnsi="Times New Roman" w:cs="Times New Roman"/>
          <w:lang w:val="en-IE"/>
        </w:rPr>
        <w:t xml:space="preserve">experienced the </w:t>
      </w:r>
      <w:r w:rsidR="00A52978" w:rsidRPr="00C73908">
        <w:rPr>
          <w:rFonts w:ascii="Times New Roman" w:hAnsi="Times New Roman" w:cs="Times New Roman"/>
          <w:lang w:val="en-IE"/>
        </w:rPr>
        <w:t>fastest growth</w:t>
      </w:r>
      <w:r w:rsidR="00D423EB" w:rsidRPr="00C73908">
        <w:rPr>
          <w:rFonts w:ascii="Times New Roman" w:hAnsi="Times New Roman" w:cs="Times New Roman"/>
          <w:lang w:val="en-IE"/>
        </w:rPr>
        <w:t xml:space="preserve"> </w:t>
      </w:r>
      <w:r w:rsidR="007662BB" w:rsidRPr="00C73908">
        <w:rPr>
          <w:rFonts w:ascii="Times New Roman" w:hAnsi="Times New Roman" w:cs="Times New Roman"/>
          <w:lang w:val="en-IE"/>
        </w:rPr>
        <w:t>with a compound annual growth rate</w:t>
      </w:r>
      <w:r w:rsidR="00710BAF" w:rsidRPr="00C73908">
        <w:rPr>
          <w:rFonts w:ascii="Times New Roman" w:hAnsi="Times New Roman" w:cs="Times New Roman"/>
          <w:lang w:val="en-IE"/>
        </w:rPr>
        <w:t xml:space="preserve"> (CAGR)</w:t>
      </w:r>
      <w:r w:rsidR="007662BB" w:rsidRPr="00C73908">
        <w:rPr>
          <w:rFonts w:ascii="Times New Roman" w:hAnsi="Times New Roman" w:cs="Times New Roman"/>
          <w:lang w:val="en-IE"/>
        </w:rPr>
        <w:t xml:space="preserve"> of 11.5% </w:t>
      </w:r>
      <w:r w:rsidR="00160384" w:rsidRPr="00C73908">
        <w:rPr>
          <w:rFonts w:ascii="Times New Roman" w:hAnsi="Times New Roman" w:cs="Times New Roman"/>
          <w:lang w:val="en-IE"/>
        </w:rPr>
        <w:t xml:space="preserve">per annum </w:t>
      </w:r>
      <w:r w:rsidR="007662BB" w:rsidRPr="00C73908">
        <w:rPr>
          <w:rFonts w:ascii="Times New Roman" w:hAnsi="Times New Roman" w:cs="Times New Roman"/>
          <w:lang w:val="en-IE"/>
        </w:rPr>
        <w:t>in average exports</w:t>
      </w:r>
      <w:r w:rsidR="007D1F53" w:rsidRPr="00C73908">
        <w:rPr>
          <w:rFonts w:ascii="Times New Roman" w:hAnsi="Times New Roman" w:cs="Times New Roman"/>
          <w:lang w:val="en-IE"/>
        </w:rPr>
        <w:t xml:space="preserve">. </w:t>
      </w:r>
      <w:r w:rsidR="00AB1B9B" w:rsidRPr="00C73908">
        <w:rPr>
          <w:rFonts w:ascii="Times New Roman" w:hAnsi="Times New Roman" w:cs="Times New Roman"/>
          <w:lang w:val="en-IE"/>
        </w:rPr>
        <w:t>E</w:t>
      </w:r>
      <w:r w:rsidR="007D1F53" w:rsidRPr="00C73908">
        <w:rPr>
          <w:rFonts w:ascii="Times New Roman" w:hAnsi="Times New Roman" w:cs="Times New Roman"/>
          <w:lang w:val="en-IE"/>
        </w:rPr>
        <w:t xml:space="preserve">xports have also grown strongly in the manufacturing sector with </w:t>
      </w:r>
      <w:r w:rsidR="00710BAF" w:rsidRPr="00C73908">
        <w:rPr>
          <w:rFonts w:ascii="Times New Roman" w:hAnsi="Times New Roman" w:cs="Times New Roman"/>
          <w:lang w:val="en-IE"/>
        </w:rPr>
        <w:t>a CAGR</w:t>
      </w:r>
      <w:r w:rsidR="007D1F53" w:rsidRPr="00C73908">
        <w:rPr>
          <w:rFonts w:ascii="Times New Roman" w:hAnsi="Times New Roman" w:cs="Times New Roman"/>
          <w:lang w:val="en-IE"/>
        </w:rPr>
        <w:t xml:space="preserve"> of </w:t>
      </w:r>
      <w:r w:rsidR="00F563C3" w:rsidRPr="00C73908">
        <w:rPr>
          <w:rFonts w:ascii="Times New Roman" w:hAnsi="Times New Roman" w:cs="Times New Roman"/>
          <w:lang w:val="en-IE"/>
        </w:rPr>
        <w:t>7%.</w:t>
      </w:r>
      <w:r w:rsidR="005816CD" w:rsidRPr="00C73908">
        <w:rPr>
          <w:rFonts w:ascii="Times New Roman" w:hAnsi="Times New Roman" w:cs="Times New Roman"/>
          <w:lang w:val="en-IE"/>
        </w:rPr>
        <w:t xml:space="preserve"> Figure 1 outlines the growth trends in average exports </w:t>
      </w:r>
      <w:r w:rsidR="00A23BB7" w:rsidRPr="00C73908">
        <w:rPr>
          <w:rFonts w:ascii="Times New Roman" w:hAnsi="Times New Roman" w:cs="Times New Roman"/>
          <w:lang w:val="en-IE"/>
        </w:rPr>
        <w:t>since 2010 for both sectors.</w:t>
      </w:r>
      <w:r w:rsidR="00E25B77">
        <w:rPr>
          <w:rFonts w:ascii="Times New Roman" w:hAnsi="Times New Roman" w:cs="Times New Roman"/>
          <w:lang w:val="en-IE"/>
        </w:rPr>
        <w:t xml:space="preserve"> </w:t>
      </w:r>
      <w:r w:rsidR="00A07BC9" w:rsidRPr="00C73908">
        <w:rPr>
          <w:rFonts w:ascii="Times New Roman" w:hAnsi="Times New Roman" w:cs="Times New Roman"/>
          <w:lang w:val="en-IE"/>
        </w:rPr>
        <w:t xml:space="preserve">In addition to the </w:t>
      </w:r>
      <w:r w:rsidR="009E7B3D" w:rsidRPr="00C73908">
        <w:rPr>
          <w:rFonts w:ascii="Times New Roman" w:hAnsi="Times New Roman" w:cs="Times New Roman"/>
          <w:lang w:val="en-IE"/>
        </w:rPr>
        <w:lastRenderedPageBreak/>
        <w:t xml:space="preserve">large increase in headline </w:t>
      </w:r>
      <w:r w:rsidR="00C40F4E" w:rsidRPr="00C73908">
        <w:rPr>
          <w:rFonts w:ascii="Times New Roman" w:hAnsi="Times New Roman" w:cs="Times New Roman"/>
          <w:lang w:val="en-IE"/>
        </w:rPr>
        <w:t xml:space="preserve">export </w:t>
      </w:r>
      <w:r w:rsidR="009E7B3D" w:rsidRPr="00C73908">
        <w:rPr>
          <w:rFonts w:ascii="Times New Roman" w:hAnsi="Times New Roman" w:cs="Times New Roman"/>
          <w:lang w:val="en-IE"/>
        </w:rPr>
        <w:t>figures</w:t>
      </w:r>
      <w:r w:rsidR="006328A2" w:rsidRPr="00C73908">
        <w:rPr>
          <w:rFonts w:ascii="Times New Roman" w:hAnsi="Times New Roman" w:cs="Times New Roman"/>
          <w:lang w:val="en-IE"/>
        </w:rPr>
        <w:t xml:space="preserve">, </w:t>
      </w:r>
      <w:r w:rsidR="008D58B1">
        <w:rPr>
          <w:rFonts w:ascii="Times New Roman" w:hAnsi="Times New Roman" w:cs="Times New Roman"/>
          <w:lang w:val="en-IE"/>
        </w:rPr>
        <w:t xml:space="preserve">this </w:t>
      </w:r>
      <w:r w:rsidR="009E7B3D" w:rsidRPr="00C73908">
        <w:rPr>
          <w:rFonts w:ascii="Times New Roman" w:hAnsi="Times New Roman" w:cs="Times New Roman"/>
          <w:lang w:val="en-IE"/>
        </w:rPr>
        <w:t xml:space="preserve">growth has </w:t>
      </w:r>
      <w:r w:rsidR="00C40F4E" w:rsidRPr="00C73908">
        <w:rPr>
          <w:rFonts w:ascii="Times New Roman" w:hAnsi="Times New Roman" w:cs="Times New Roman"/>
          <w:lang w:val="en-IE"/>
        </w:rPr>
        <w:t xml:space="preserve">also </w:t>
      </w:r>
      <w:r w:rsidR="009E7B3D" w:rsidRPr="00C73908">
        <w:rPr>
          <w:rFonts w:ascii="Times New Roman" w:hAnsi="Times New Roman" w:cs="Times New Roman"/>
          <w:lang w:val="en-IE"/>
        </w:rPr>
        <w:t xml:space="preserve">been relatively broad based. </w:t>
      </w:r>
      <w:r w:rsidR="00A9026C" w:rsidRPr="00C73908">
        <w:rPr>
          <w:rFonts w:ascii="Times New Roman" w:hAnsi="Times New Roman" w:cs="Times New Roman"/>
          <w:lang w:val="en-IE"/>
        </w:rPr>
        <w:t xml:space="preserve">Median export figures, which are less influenced by large outliers than averages, have </w:t>
      </w:r>
      <w:r w:rsidR="00180DE6" w:rsidRPr="00C73908">
        <w:rPr>
          <w:rFonts w:ascii="Times New Roman" w:hAnsi="Times New Roman" w:cs="Times New Roman"/>
          <w:lang w:val="en-IE"/>
        </w:rPr>
        <w:t>increased significantly</w:t>
      </w:r>
      <w:r w:rsidR="00855BC2" w:rsidRPr="00C73908">
        <w:rPr>
          <w:rFonts w:ascii="Times New Roman" w:hAnsi="Times New Roman" w:cs="Times New Roman"/>
          <w:lang w:val="en-IE"/>
        </w:rPr>
        <w:t xml:space="preserve"> with </w:t>
      </w:r>
      <w:r w:rsidR="004A048A" w:rsidRPr="00C73908">
        <w:rPr>
          <w:rFonts w:ascii="Times New Roman" w:hAnsi="Times New Roman" w:cs="Times New Roman"/>
          <w:lang w:val="en-IE"/>
        </w:rPr>
        <w:t xml:space="preserve">a compound annual growth in median exports of 11.2% for manufacturing companies and </w:t>
      </w:r>
      <w:r w:rsidR="001A3597" w:rsidRPr="00C73908">
        <w:rPr>
          <w:rFonts w:ascii="Times New Roman" w:hAnsi="Times New Roman" w:cs="Times New Roman"/>
          <w:lang w:val="en-IE"/>
        </w:rPr>
        <w:t>9.9% for services companies.</w:t>
      </w:r>
      <w:r w:rsidR="00A9026C" w:rsidRPr="00C73908">
        <w:rPr>
          <w:rFonts w:ascii="Times New Roman" w:hAnsi="Times New Roman" w:cs="Times New Roman"/>
          <w:lang w:val="en-IE"/>
        </w:rPr>
        <w:t xml:space="preserve"> </w:t>
      </w:r>
      <w:r w:rsidR="006F658F" w:rsidRPr="00C73908">
        <w:rPr>
          <w:rFonts w:ascii="Times New Roman" w:hAnsi="Times New Roman" w:cs="Times New Roman"/>
          <w:lang w:val="en-IE"/>
        </w:rPr>
        <w:t>At a more granular level</w:t>
      </w:r>
      <w:r w:rsidR="00DC3201">
        <w:rPr>
          <w:rFonts w:ascii="Times New Roman" w:hAnsi="Times New Roman" w:cs="Times New Roman"/>
          <w:lang w:val="en-IE"/>
        </w:rPr>
        <w:t>,</w:t>
      </w:r>
      <w:r w:rsidR="00FB60ED" w:rsidRPr="00C73908">
        <w:rPr>
          <w:rFonts w:ascii="Times New Roman" w:hAnsi="Times New Roman" w:cs="Times New Roman"/>
          <w:lang w:val="en-IE"/>
        </w:rPr>
        <w:t xml:space="preserve"> </w:t>
      </w:r>
      <w:r w:rsidR="0033673C" w:rsidRPr="00C73908">
        <w:rPr>
          <w:rFonts w:ascii="Times New Roman" w:hAnsi="Times New Roman" w:cs="Times New Roman"/>
          <w:lang w:val="en-IE"/>
        </w:rPr>
        <w:t>all sectors have experienced</w:t>
      </w:r>
      <w:r w:rsidR="00FB60ED" w:rsidRPr="00C73908">
        <w:rPr>
          <w:rFonts w:ascii="Times New Roman" w:hAnsi="Times New Roman" w:cs="Times New Roman"/>
          <w:lang w:val="en-IE"/>
        </w:rPr>
        <w:t xml:space="preserve"> growth </w:t>
      </w:r>
      <w:r w:rsidR="00113A0B" w:rsidRPr="00C73908">
        <w:rPr>
          <w:rFonts w:ascii="Times New Roman" w:hAnsi="Times New Roman" w:cs="Times New Roman"/>
          <w:lang w:val="en-IE"/>
        </w:rPr>
        <w:t>in average exports</w:t>
      </w:r>
      <w:r w:rsidR="00DC3201">
        <w:rPr>
          <w:rFonts w:ascii="Times New Roman" w:hAnsi="Times New Roman" w:cs="Times New Roman"/>
          <w:lang w:val="en-IE"/>
        </w:rPr>
        <w:t xml:space="preserve"> over the period</w:t>
      </w:r>
      <w:r w:rsidR="00113A0B" w:rsidRPr="00C73908">
        <w:rPr>
          <w:rFonts w:ascii="Times New Roman" w:hAnsi="Times New Roman" w:cs="Times New Roman"/>
          <w:lang w:val="en-IE"/>
        </w:rPr>
        <w:t xml:space="preserve"> including Food</w:t>
      </w:r>
      <w:r w:rsidR="004B0B3D">
        <w:rPr>
          <w:rFonts w:ascii="Times New Roman" w:hAnsi="Times New Roman" w:cs="Times New Roman"/>
          <w:lang w:val="en-IE"/>
        </w:rPr>
        <w:t>/</w:t>
      </w:r>
      <w:r w:rsidR="00C64AA7" w:rsidRPr="00C73908">
        <w:rPr>
          <w:rFonts w:ascii="Times New Roman" w:hAnsi="Times New Roman" w:cs="Times New Roman"/>
          <w:lang w:val="en-IE"/>
        </w:rPr>
        <w:t>Drink Manufacturing (</w:t>
      </w:r>
      <w:r w:rsidR="00EB79E9" w:rsidRPr="00C73908">
        <w:rPr>
          <w:rFonts w:ascii="Times New Roman" w:hAnsi="Times New Roman" w:cs="Times New Roman"/>
          <w:lang w:val="en-IE"/>
        </w:rPr>
        <w:t>+5% CAGR)</w:t>
      </w:r>
      <w:r w:rsidR="0081712F" w:rsidRPr="00C73908">
        <w:rPr>
          <w:rFonts w:ascii="Times New Roman" w:hAnsi="Times New Roman" w:cs="Times New Roman"/>
          <w:lang w:val="en-IE"/>
        </w:rPr>
        <w:t>,</w:t>
      </w:r>
      <w:r w:rsidR="007706BF" w:rsidRPr="00C73908">
        <w:rPr>
          <w:rFonts w:ascii="Times New Roman" w:hAnsi="Times New Roman" w:cs="Times New Roman"/>
          <w:lang w:val="en-IE"/>
        </w:rPr>
        <w:t xml:space="preserve"> Modern Manufacturing (+10.1%)</w:t>
      </w:r>
      <w:r w:rsidR="009C32EA" w:rsidRPr="00C73908">
        <w:rPr>
          <w:rFonts w:ascii="Times New Roman" w:hAnsi="Times New Roman" w:cs="Times New Roman"/>
          <w:lang w:val="en-IE"/>
        </w:rPr>
        <w:t>, Traditional Manufacturing (+8.3%),</w:t>
      </w:r>
      <w:r w:rsidR="0081712F" w:rsidRPr="00C73908">
        <w:rPr>
          <w:rFonts w:ascii="Times New Roman" w:hAnsi="Times New Roman" w:cs="Times New Roman"/>
          <w:lang w:val="en-IE"/>
        </w:rPr>
        <w:t xml:space="preserve"> ICT Services (</w:t>
      </w:r>
      <w:r w:rsidR="00160384" w:rsidRPr="00C73908">
        <w:rPr>
          <w:rFonts w:ascii="Times New Roman" w:hAnsi="Times New Roman" w:cs="Times New Roman"/>
          <w:lang w:val="en-IE"/>
        </w:rPr>
        <w:t>+</w:t>
      </w:r>
      <w:r w:rsidR="0081712F" w:rsidRPr="00C73908">
        <w:rPr>
          <w:rFonts w:ascii="Times New Roman" w:hAnsi="Times New Roman" w:cs="Times New Roman"/>
          <w:lang w:val="en-IE"/>
        </w:rPr>
        <w:t>7.5%)</w:t>
      </w:r>
      <w:r w:rsidR="009C32EA" w:rsidRPr="00C73908">
        <w:rPr>
          <w:rFonts w:ascii="Times New Roman" w:hAnsi="Times New Roman" w:cs="Times New Roman"/>
          <w:lang w:val="en-IE"/>
        </w:rPr>
        <w:t xml:space="preserve"> and</w:t>
      </w:r>
      <w:r w:rsidR="0081712F" w:rsidRPr="00C73908">
        <w:rPr>
          <w:rFonts w:ascii="Times New Roman" w:hAnsi="Times New Roman" w:cs="Times New Roman"/>
          <w:lang w:val="en-IE"/>
        </w:rPr>
        <w:t xml:space="preserve"> </w:t>
      </w:r>
      <w:r w:rsidR="00DF2B98" w:rsidRPr="00C73908">
        <w:rPr>
          <w:rFonts w:ascii="Times New Roman" w:hAnsi="Times New Roman" w:cs="Times New Roman"/>
          <w:lang w:val="en-IE"/>
        </w:rPr>
        <w:t>Business</w:t>
      </w:r>
      <w:r w:rsidR="0079531A">
        <w:rPr>
          <w:rFonts w:ascii="Times New Roman" w:hAnsi="Times New Roman" w:cs="Times New Roman"/>
          <w:lang w:val="en-IE"/>
        </w:rPr>
        <w:t xml:space="preserve"> </w:t>
      </w:r>
      <w:r w:rsidR="00DC3201">
        <w:rPr>
          <w:rFonts w:ascii="Times New Roman" w:hAnsi="Times New Roman" w:cs="Times New Roman"/>
          <w:lang w:val="en-IE"/>
        </w:rPr>
        <w:t xml:space="preserve">and </w:t>
      </w:r>
      <w:r w:rsidR="00DF2B98" w:rsidRPr="00C73908">
        <w:rPr>
          <w:rFonts w:ascii="Times New Roman" w:hAnsi="Times New Roman" w:cs="Times New Roman"/>
          <w:lang w:val="en-IE"/>
        </w:rPr>
        <w:t>Financial Services (+13.2%)</w:t>
      </w:r>
      <w:r w:rsidR="007706BF" w:rsidRPr="00C73908">
        <w:rPr>
          <w:rFonts w:ascii="Times New Roman" w:hAnsi="Times New Roman" w:cs="Times New Roman"/>
          <w:lang w:val="en-IE"/>
        </w:rPr>
        <w:t>.</w:t>
      </w:r>
    </w:p>
    <w:p w14:paraId="1698D302" w14:textId="60CC5BA8" w:rsidR="003726B4" w:rsidRPr="00C73908" w:rsidRDefault="009C217C"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As well as increase</w:t>
      </w:r>
      <w:r w:rsidR="00667F05" w:rsidRPr="00C73908">
        <w:rPr>
          <w:rFonts w:ascii="Times New Roman" w:hAnsi="Times New Roman" w:cs="Times New Roman"/>
          <w:lang w:val="en-IE"/>
        </w:rPr>
        <w:t>s in export</w:t>
      </w:r>
      <w:r w:rsidR="00610A29" w:rsidRPr="00C73908">
        <w:rPr>
          <w:rFonts w:ascii="Times New Roman" w:hAnsi="Times New Roman" w:cs="Times New Roman"/>
          <w:lang w:val="en-IE"/>
        </w:rPr>
        <w:t xml:space="preserve"> values,</w:t>
      </w:r>
      <w:r w:rsidRPr="00C73908">
        <w:rPr>
          <w:rFonts w:ascii="Times New Roman" w:hAnsi="Times New Roman" w:cs="Times New Roman"/>
          <w:lang w:val="en-IE"/>
        </w:rPr>
        <w:t xml:space="preserve"> </w:t>
      </w:r>
      <w:r w:rsidR="00667F05" w:rsidRPr="00C73908">
        <w:rPr>
          <w:rFonts w:ascii="Times New Roman" w:hAnsi="Times New Roman" w:cs="Times New Roman"/>
          <w:lang w:val="en-IE"/>
        </w:rPr>
        <w:t>companies</w:t>
      </w:r>
      <w:r w:rsidR="00A23BB7" w:rsidRPr="00C73908">
        <w:rPr>
          <w:rFonts w:ascii="Times New Roman" w:hAnsi="Times New Roman" w:cs="Times New Roman"/>
          <w:lang w:val="en-IE"/>
        </w:rPr>
        <w:t xml:space="preserve"> have also become more diversified since 2010 with the average number of export markets increasing from 4.2 to 6.1 among manufacturers and from 3.2 to 4.5 in the services sector.</w:t>
      </w:r>
      <w:r w:rsidR="00BA0183" w:rsidRPr="00C73908">
        <w:rPr>
          <w:rFonts w:ascii="Times New Roman" w:hAnsi="Times New Roman" w:cs="Times New Roman"/>
          <w:lang w:val="en-IE"/>
        </w:rPr>
        <w:t xml:space="preserve"> </w:t>
      </w:r>
      <w:r w:rsidR="00545CE9" w:rsidRPr="00C73908">
        <w:rPr>
          <w:rFonts w:ascii="Times New Roman" w:hAnsi="Times New Roman" w:cs="Times New Roman"/>
          <w:lang w:val="en-IE"/>
        </w:rPr>
        <w:t>D</w:t>
      </w:r>
      <w:r w:rsidR="00BA0183" w:rsidRPr="00C73908">
        <w:rPr>
          <w:rFonts w:ascii="Times New Roman" w:hAnsi="Times New Roman" w:cs="Times New Roman"/>
          <w:lang w:val="en-IE"/>
        </w:rPr>
        <w:t>iversif</w:t>
      </w:r>
      <w:r w:rsidR="00545CE9" w:rsidRPr="00C73908">
        <w:rPr>
          <w:rFonts w:ascii="Times New Roman" w:hAnsi="Times New Roman" w:cs="Times New Roman"/>
          <w:lang w:val="en-IE"/>
        </w:rPr>
        <w:t>ication of</w:t>
      </w:r>
      <w:r w:rsidR="00BA0183" w:rsidRPr="00C73908">
        <w:rPr>
          <w:rFonts w:ascii="Times New Roman" w:hAnsi="Times New Roman" w:cs="Times New Roman"/>
          <w:lang w:val="en-IE"/>
        </w:rPr>
        <w:t xml:space="preserve"> </w:t>
      </w:r>
      <w:r w:rsidR="00026772" w:rsidRPr="00C73908">
        <w:rPr>
          <w:rFonts w:ascii="Times New Roman" w:hAnsi="Times New Roman" w:cs="Times New Roman"/>
          <w:lang w:val="en-IE"/>
        </w:rPr>
        <w:t xml:space="preserve">the </w:t>
      </w:r>
      <w:r w:rsidR="00BA0183" w:rsidRPr="00C73908">
        <w:rPr>
          <w:rFonts w:ascii="Times New Roman" w:hAnsi="Times New Roman" w:cs="Times New Roman"/>
          <w:lang w:val="en-IE"/>
        </w:rPr>
        <w:t>export</w:t>
      </w:r>
      <w:r w:rsidR="00026772" w:rsidRPr="00C73908">
        <w:rPr>
          <w:rFonts w:ascii="Times New Roman" w:hAnsi="Times New Roman" w:cs="Times New Roman"/>
          <w:lang w:val="en-IE"/>
        </w:rPr>
        <w:t xml:space="preserve"> base of</w:t>
      </w:r>
      <w:r w:rsidR="008C72C1" w:rsidRPr="00C73908">
        <w:rPr>
          <w:rFonts w:ascii="Times New Roman" w:hAnsi="Times New Roman" w:cs="Times New Roman"/>
          <w:lang w:val="en-IE"/>
        </w:rPr>
        <w:t xml:space="preserve"> indigenous companies</w:t>
      </w:r>
      <w:r w:rsidR="00424424" w:rsidRPr="00C73908">
        <w:rPr>
          <w:rFonts w:ascii="Times New Roman" w:hAnsi="Times New Roman" w:cs="Times New Roman"/>
          <w:lang w:val="en-IE"/>
        </w:rPr>
        <w:t xml:space="preserve"> and </w:t>
      </w:r>
      <w:r w:rsidR="00236C32" w:rsidRPr="00C73908">
        <w:rPr>
          <w:rFonts w:ascii="Times New Roman" w:hAnsi="Times New Roman" w:cs="Times New Roman"/>
          <w:lang w:val="en-IE"/>
        </w:rPr>
        <w:t xml:space="preserve">a </w:t>
      </w:r>
      <w:r w:rsidR="00424424" w:rsidRPr="00C73908">
        <w:rPr>
          <w:rFonts w:ascii="Times New Roman" w:hAnsi="Times New Roman" w:cs="Times New Roman"/>
          <w:lang w:val="en-IE"/>
        </w:rPr>
        <w:t>reduc</w:t>
      </w:r>
      <w:r w:rsidR="00236C32" w:rsidRPr="00C73908">
        <w:rPr>
          <w:rFonts w:ascii="Times New Roman" w:hAnsi="Times New Roman" w:cs="Times New Roman"/>
          <w:lang w:val="en-IE"/>
        </w:rPr>
        <w:t>tion in</w:t>
      </w:r>
      <w:r w:rsidR="00424424" w:rsidRPr="00C73908">
        <w:rPr>
          <w:rFonts w:ascii="Times New Roman" w:hAnsi="Times New Roman" w:cs="Times New Roman"/>
          <w:lang w:val="en-IE"/>
        </w:rPr>
        <w:t xml:space="preserve"> the level of reliance </w:t>
      </w:r>
      <w:r w:rsidR="00026772" w:rsidRPr="00C73908">
        <w:rPr>
          <w:rFonts w:ascii="Times New Roman" w:hAnsi="Times New Roman" w:cs="Times New Roman"/>
          <w:lang w:val="en-IE"/>
        </w:rPr>
        <w:t>on the UK market</w:t>
      </w:r>
      <w:r w:rsidR="00236C32" w:rsidRPr="00C73908">
        <w:rPr>
          <w:rFonts w:ascii="Times New Roman" w:hAnsi="Times New Roman" w:cs="Times New Roman"/>
          <w:lang w:val="en-IE"/>
        </w:rPr>
        <w:t xml:space="preserve"> has been a </w:t>
      </w:r>
      <w:r w:rsidR="00A50B16" w:rsidRPr="00C73908">
        <w:rPr>
          <w:rFonts w:ascii="Times New Roman" w:hAnsi="Times New Roman" w:cs="Times New Roman"/>
          <w:lang w:val="en-IE"/>
        </w:rPr>
        <w:t>key objective</w:t>
      </w:r>
      <w:r w:rsidR="00236C32" w:rsidRPr="00C73908">
        <w:rPr>
          <w:rFonts w:ascii="Times New Roman" w:hAnsi="Times New Roman" w:cs="Times New Roman"/>
          <w:lang w:val="en-IE"/>
        </w:rPr>
        <w:t xml:space="preserve"> of Irish industrial policy since at least the </w:t>
      </w:r>
      <w:r w:rsidR="00CA464F" w:rsidRPr="00C73908">
        <w:rPr>
          <w:rFonts w:ascii="Times New Roman" w:hAnsi="Times New Roman" w:cs="Times New Roman"/>
          <w:lang w:val="en-IE"/>
        </w:rPr>
        <w:t>1960’s</w:t>
      </w:r>
      <w:r w:rsidR="00026772" w:rsidRPr="00C73908">
        <w:rPr>
          <w:rFonts w:ascii="Times New Roman" w:hAnsi="Times New Roman" w:cs="Times New Roman"/>
          <w:lang w:val="en-IE"/>
        </w:rPr>
        <w:t xml:space="preserve">. </w:t>
      </w:r>
      <w:r w:rsidR="00CA464F" w:rsidRPr="00C73908">
        <w:rPr>
          <w:rFonts w:ascii="Times New Roman" w:hAnsi="Times New Roman" w:cs="Times New Roman"/>
          <w:lang w:val="en-IE"/>
        </w:rPr>
        <w:t>In recent years, t</w:t>
      </w:r>
      <w:r w:rsidR="004D273E" w:rsidRPr="00C73908">
        <w:rPr>
          <w:rFonts w:ascii="Times New Roman" w:hAnsi="Times New Roman" w:cs="Times New Roman"/>
          <w:lang w:val="en-IE"/>
        </w:rPr>
        <w:t xml:space="preserve">hese efforts have intensified </w:t>
      </w:r>
      <w:r w:rsidR="006347BA" w:rsidRPr="00C73908">
        <w:rPr>
          <w:rFonts w:ascii="Times New Roman" w:hAnsi="Times New Roman" w:cs="Times New Roman"/>
          <w:lang w:val="en-IE"/>
        </w:rPr>
        <w:t xml:space="preserve">in order to </w:t>
      </w:r>
      <w:r w:rsidR="00513E55" w:rsidRPr="00C73908">
        <w:rPr>
          <w:rFonts w:ascii="Times New Roman" w:hAnsi="Times New Roman" w:cs="Times New Roman"/>
          <w:lang w:val="en-IE"/>
        </w:rPr>
        <w:t xml:space="preserve">mitigate against </w:t>
      </w:r>
      <w:r w:rsidR="00A32F58" w:rsidRPr="00C73908">
        <w:rPr>
          <w:rFonts w:ascii="Times New Roman" w:hAnsi="Times New Roman" w:cs="Times New Roman"/>
          <w:lang w:val="en-IE"/>
        </w:rPr>
        <w:t>any trade</w:t>
      </w:r>
      <w:r w:rsidR="006347BA" w:rsidRPr="00C73908">
        <w:rPr>
          <w:rFonts w:ascii="Times New Roman" w:hAnsi="Times New Roman" w:cs="Times New Roman"/>
          <w:lang w:val="en-IE"/>
        </w:rPr>
        <w:t xml:space="preserve"> disruption </w:t>
      </w:r>
      <w:r w:rsidR="00A849D7" w:rsidRPr="00C73908">
        <w:rPr>
          <w:rFonts w:ascii="Times New Roman" w:hAnsi="Times New Roman" w:cs="Times New Roman"/>
          <w:lang w:val="en-IE"/>
        </w:rPr>
        <w:t>caused by the UK’s departure from the European Union</w:t>
      </w:r>
      <w:r w:rsidR="006A5C6F" w:rsidRPr="00C73908">
        <w:rPr>
          <w:rFonts w:ascii="Times New Roman" w:hAnsi="Times New Roman" w:cs="Times New Roman"/>
          <w:lang w:val="en-IE"/>
        </w:rPr>
        <w:t xml:space="preserve"> and the potential trade barriers including </w:t>
      </w:r>
      <w:r w:rsidR="004C075E" w:rsidRPr="00C73908">
        <w:rPr>
          <w:rFonts w:ascii="Times New Roman" w:hAnsi="Times New Roman" w:cs="Times New Roman"/>
          <w:lang w:val="en-IE"/>
        </w:rPr>
        <w:t>tariffs on goods exports and divergent regulatory requirements</w:t>
      </w:r>
      <w:r w:rsidR="00C21DF2" w:rsidRPr="00C73908">
        <w:rPr>
          <w:rFonts w:ascii="Times New Roman" w:hAnsi="Times New Roman" w:cs="Times New Roman"/>
          <w:lang w:val="en-IE"/>
        </w:rPr>
        <w:t xml:space="preserve"> which may have arisen</w:t>
      </w:r>
      <w:r w:rsidR="00737DDE" w:rsidRPr="00C73908">
        <w:rPr>
          <w:rFonts w:ascii="Times New Roman" w:hAnsi="Times New Roman" w:cs="Times New Roman"/>
          <w:lang w:val="en-IE"/>
        </w:rPr>
        <w:t xml:space="preserve"> as a result</w:t>
      </w:r>
      <w:r w:rsidR="004C075E" w:rsidRPr="00C73908">
        <w:rPr>
          <w:rFonts w:ascii="Times New Roman" w:hAnsi="Times New Roman" w:cs="Times New Roman"/>
          <w:lang w:val="en-IE"/>
        </w:rPr>
        <w:t>.</w:t>
      </w:r>
      <w:r w:rsidR="00C21DF2" w:rsidRPr="00C73908">
        <w:rPr>
          <w:rFonts w:ascii="Times New Roman" w:hAnsi="Times New Roman" w:cs="Times New Roman"/>
          <w:lang w:val="en-IE"/>
        </w:rPr>
        <w:t xml:space="preserve"> Enterprise Ireland’s </w:t>
      </w:r>
      <w:r w:rsidR="006515E1" w:rsidRPr="00C73908">
        <w:rPr>
          <w:rFonts w:ascii="Times New Roman" w:hAnsi="Times New Roman" w:cs="Times New Roman"/>
          <w:lang w:val="en-IE"/>
        </w:rPr>
        <w:t>2017-2020 S</w:t>
      </w:r>
      <w:r w:rsidR="00C21DF2" w:rsidRPr="00C73908">
        <w:rPr>
          <w:rFonts w:ascii="Times New Roman" w:hAnsi="Times New Roman" w:cs="Times New Roman"/>
          <w:lang w:val="en-IE"/>
        </w:rPr>
        <w:t>trategy</w:t>
      </w:r>
      <w:r w:rsidR="00D958C5" w:rsidRPr="00C73908">
        <w:rPr>
          <w:rStyle w:val="FootnoteReference"/>
          <w:rFonts w:ascii="Times New Roman" w:hAnsi="Times New Roman" w:cs="Times New Roman"/>
          <w:lang w:val="en-IE"/>
        </w:rPr>
        <w:footnoteReference w:id="1"/>
      </w:r>
      <w:r w:rsidR="0090492F" w:rsidRPr="00C73908">
        <w:rPr>
          <w:rFonts w:ascii="Times New Roman" w:hAnsi="Times New Roman" w:cs="Times New Roman"/>
          <w:lang w:val="en-IE"/>
        </w:rPr>
        <w:t xml:space="preserve"> </w:t>
      </w:r>
      <w:r w:rsidR="008555FE" w:rsidRPr="00C73908">
        <w:rPr>
          <w:rFonts w:ascii="Times New Roman" w:hAnsi="Times New Roman" w:cs="Times New Roman"/>
          <w:lang w:val="en-IE"/>
        </w:rPr>
        <w:t xml:space="preserve">clearly </w:t>
      </w:r>
      <w:r w:rsidR="00A32F58" w:rsidRPr="00C73908">
        <w:rPr>
          <w:rFonts w:ascii="Times New Roman" w:hAnsi="Times New Roman" w:cs="Times New Roman"/>
          <w:lang w:val="en-IE"/>
        </w:rPr>
        <w:t>outlines</w:t>
      </w:r>
      <w:r w:rsidR="008555FE" w:rsidRPr="00C73908">
        <w:rPr>
          <w:rFonts w:ascii="Times New Roman" w:hAnsi="Times New Roman" w:cs="Times New Roman"/>
          <w:lang w:val="en-IE"/>
        </w:rPr>
        <w:t xml:space="preserve"> this ambition with a target of </w:t>
      </w:r>
      <w:r w:rsidR="00F77EB9" w:rsidRPr="00C73908">
        <w:rPr>
          <w:rFonts w:ascii="Times New Roman" w:hAnsi="Times New Roman" w:cs="Times New Roman"/>
          <w:lang w:val="en-IE"/>
        </w:rPr>
        <w:t>“increasing the diversification of client company exports into new markets, with two-thirds of exports going beyond the UK”</w:t>
      </w:r>
      <w:r w:rsidR="00460CBC" w:rsidRPr="00C73908">
        <w:rPr>
          <w:rFonts w:ascii="Times New Roman" w:hAnsi="Times New Roman" w:cs="Times New Roman"/>
          <w:lang w:val="en-IE"/>
        </w:rPr>
        <w:t xml:space="preserve"> and a </w:t>
      </w:r>
      <w:r w:rsidR="00FA136C" w:rsidRPr="00C73908">
        <w:rPr>
          <w:rFonts w:ascii="Times New Roman" w:hAnsi="Times New Roman" w:cs="Times New Roman"/>
          <w:lang w:val="en-IE"/>
        </w:rPr>
        <w:t>strategic</w:t>
      </w:r>
      <w:r w:rsidR="00460CBC" w:rsidRPr="00C73908">
        <w:rPr>
          <w:rFonts w:ascii="Times New Roman" w:hAnsi="Times New Roman" w:cs="Times New Roman"/>
          <w:lang w:val="en-IE"/>
        </w:rPr>
        <w:t xml:space="preserve"> focus on growing sales to Eurozone markets</w:t>
      </w:r>
      <w:r w:rsidR="00FA136C" w:rsidRPr="00C73908">
        <w:rPr>
          <w:rFonts w:ascii="Times New Roman" w:hAnsi="Times New Roman" w:cs="Times New Roman"/>
          <w:lang w:val="en-IE"/>
        </w:rPr>
        <w:t>.</w:t>
      </w:r>
      <w:r w:rsidR="00C2648A" w:rsidRPr="00C73908">
        <w:rPr>
          <w:rFonts w:ascii="Times New Roman" w:hAnsi="Times New Roman" w:cs="Times New Roman"/>
          <w:lang w:val="en-IE"/>
        </w:rPr>
        <w:t xml:space="preserve"> </w:t>
      </w:r>
      <w:r w:rsidR="00B15FFB" w:rsidRPr="00C73908">
        <w:rPr>
          <w:rFonts w:ascii="Times New Roman" w:hAnsi="Times New Roman" w:cs="Times New Roman"/>
          <w:lang w:val="en-IE"/>
        </w:rPr>
        <w:t xml:space="preserve">This policy objective is reflected </w:t>
      </w:r>
      <w:r w:rsidR="00B651FB" w:rsidRPr="00C73908">
        <w:rPr>
          <w:rFonts w:ascii="Times New Roman" w:hAnsi="Times New Roman" w:cs="Times New Roman"/>
          <w:lang w:val="en-IE"/>
        </w:rPr>
        <w:t>in the declining</w:t>
      </w:r>
      <w:r w:rsidR="00271B13" w:rsidRPr="00C73908">
        <w:rPr>
          <w:rFonts w:ascii="Times New Roman" w:hAnsi="Times New Roman" w:cs="Times New Roman"/>
          <w:lang w:val="en-IE"/>
        </w:rPr>
        <w:t xml:space="preserve"> </w:t>
      </w:r>
      <w:r w:rsidR="00F55082" w:rsidRPr="00C73908">
        <w:rPr>
          <w:rFonts w:ascii="Times New Roman" w:hAnsi="Times New Roman" w:cs="Times New Roman"/>
          <w:lang w:val="en-IE"/>
        </w:rPr>
        <w:t xml:space="preserve">share of </w:t>
      </w:r>
      <w:r w:rsidR="00D208CF" w:rsidRPr="00C73908">
        <w:rPr>
          <w:rFonts w:ascii="Times New Roman" w:hAnsi="Times New Roman" w:cs="Times New Roman"/>
          <w:lang w:val="en-IE"/>
        </w:rPr>
        <w:t xml:space="preserve">UK </w:t>
      </w:r>
      <w:r w:rsidR="00F55082" w:rsidRPr="00C73908">
        <w:rPr>
          <w:rFonts w:ascii="Times New Roman" w:hAnsi="Times New Roman" w:cs="Times New Roman"/>
          <w:lang w:val="en-IE"/>
        </w:rPr>
        <w:t xml:space="preserve">exports </w:t>
      </w:r>
      <w:r w:rsidR="00891E99" w:rsidRPr="00C73908">
        <w:rPr>
          <w:rFonts w:ascii="Times New Roman" w:hAnsi="Times New Roman" w:cs="Times New Roman"/>
          <w:lang w:val="en-IE"/>
        </w:rPr>
        <w:t xml:space="preserve">as a proportion of total exports which </w:t>
      </w:r>
      <w:r w:rsidR="00F55082" w:rsidRPr="00C73908">
        <w:rPr>
          <w:rFonts w:ascii="Times New Roman" w:hAnsi="Times New Roman" w:cs="Times New Roman"/>
          <w:lang w:val="en-IE"/>
        </w:rPr>
        <w:t>has reduced from 40% in 2010 to 31% in 2019</w:t>
      </w:r>
      <w:r w:rsidR="00271B13" w:rsidRPr="00C73908">
        <w:rPr>
          <w:rFonts w:ascii="Times New Roman" w:hAnsi="Times New Roman" w:cs="Times New Roman"/>
          <w:lang w:val="en-IE"/>
        </w:rPr>
        <w:t>.</w:t>
      </w:r>
    </w:p>
    <w:p w14:paraId="5B96616B" w14:textId="6D76D5D3" w:rsidR="007C0CD5" w:rsidRPr="00C73908" w:rsidRDefault="00B6025D"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t>I</w:t>
      </w:r>
      <w:r w:rsidR="00F9665C" w:rsidRPr="00C73908">
        <w:rPr>
          <w:rFonts w:ascii="Times New Roman" w:hAnsi="Times New Roman" w:cs="Times New Roman"/>
          <w:b/>
          <w:bCs/>
          <w:color w:val="0070C0"/>
          <w:lang w:val="en-IE"/>
        </w:rPr>
        <w:t>nnovation</w:t>
      </w:r>
      <w:r w:rsidRPr="00C73908">
        <w:rPr>
          <w:rFonts w:ascii="Times New Roman" w:hAnsi="Times New Roman" w:cs="Times New Roman"/>
          <w:b/>
          <w:bCs/>
          <w:color w:val="0070C0"/>
          <w:lang w:val="en-IE"/>
        </w:rPr>
        <w:t>:</w:t>
      </w:r>
      <w:r w:rsidR="00F9665C" w:rsidRPr="00C73908">
        <w:rPr>
          <w:rFonts w:ascii="Times New Roman" w:hAnsi="Times New Roman" w:cs="Times New Roman"/>
          <w:lang w:val="en-IE"/>
        </w:rPr>
        <w:t xml:space="preserve"> </w:t>
      </w:r>
      <w:r w:rsidR="0097079C" w:rsidRPr="00C73908">
        <w:rPr>
          <w:rFonts w:ascii="Times New Roman" w:hAnsi="Times New Roman" w:cs="Times New Roman"/>
          <w:lang w:val="en-IE"/>
        </w:rPr>
        <w:t xml:space="preserve">Services companies </w:t>
      </w:r>
      <w:r w:rsidR="004675DD" w:rsidRPr="00C73908">
        <w:rPr>
          <w:rFonts w:ascii="Times New Roman" w:hAnsi="Times New Roman" w:cs="Times New Roman"/>
          <w:lang w:val="en-IE"/>
        </w:rPr>
        <w:t>have</w:t>
      </w:r>
      <w:r w:rsidR="00CB4127" w:rsidRPr="00C73908">
        <w:rPr>
          <w:rFonts w:ascii="Times New Roman" w:hAnsi="Times New Roman" w:cs="Times New Roman"/>
          <w:lang w:val="en-IE"/>
        </w:rPr>
        <w:t xml:space="preserve"> </w:t>
      </w:r>
      <w:r w:rsidR="004675DD" w:rsidRPr="00C73908">
        <w:rPr>
          <w:rFonts w:ascii="Times New Roman" w:hAnsi="Times New Roman" w:cs="Times New Roman"/>
          <w:lang w:val="en-IE"/>
        </w:rPr>
        <w:t>the highest levels of R&amp;D intensity</w:t>
      </w:r>
      <w:r w:rsidR="001B5213" w:rsidRPr="00C73908">
        <w:rPr>
          <w:rFonts w:ascii="Times New Roman" w:hAnsi="Times New Roman" w:cs="Times New Roman"/>
          <w:lang w:val="en-IE"/>
        </w:rPr>
        <w:t xml:space="preserve"> (</w:t>
      </w:r>
      <w:r w:rsidR="008D1FC0" w:rsidRPr="00C73908">
        <w:rPr>
          <w:rFonts w:ascii="Times New Roman" w:hAnsi="Times New Roman" w:cs="Times New Roman"/>
          <w:lang w:val="en-IE"/>
        </w:rPr>
        <w:t>3.1</w:t>
      </w:r>
      <w:r w:rsidR="001B5213" w:rsidRPr="00C73908">
        <w:rPr>
          <w:rFonts w:ascii="Times New Roman" w:hAnsi="Times New Roman" w:cs="Times New Roman"/>
          <w:lang w:val="en-IE"/>
        </w:rPr>
        <w:t>%)</w:t>
      </w:r>
      <w:r w:rsidR="004675DD" w:rsidRPr="00C73908">
        <w:rPr>
          <w:rFonts w:ascii="Times New Roman" w:hAnsi="Times New Roman" w:cs="Times New Roman"/>
          <w:lang w:val="en-IE"/>
        </w:rPr>
        <w:t xml:space="preserve"> and </w:t>
      </w:r>
      <w:r w:rsidR="002F642F" w:rsidRPr="00C73908">
        <w:rPr>
          <w:rFonts w:ascii="Times New Roman" w:hAnsi="Times New Roman" w:cs="Times New Roman"/>
          <w:lang w:val="en-IE"/>
        </w:rPr>
        <w:t>a slightly higher</w:t>
      </w:r>
      <w:r w:rsidR="00CB4127" w:rsidRPr="00C73908">
        <w:rPr>
          <w:rFonts w:ascii="Times New Roman" w:hAnsi="Times New Roman" w:cs="Times New Roman"/>
          <w:lang w:val="en-IE"/>
        </w:rPr>
        <w:t xml:space="preserve"> </w:t>
      </w:r>
      <w:r w:rsidR="0007256E" w:rsidRPr="00C73908">
        <w:rPr>
          <w:rFonts w:ascii="Times New Roman" w:hAnsi="Times New Roman" w:cs="Times New Roman"/>
          <w:lang w:val="en-IE"/>
        </w:rPr>
        <w:t>proportion</w:t>
      </w:r>
      <w:r w:rsidR="00CB4127" w:rsidRPr="00C73908">
        <w:rPr>
          <w:rFonts w:ascii="Times New Roman" w:hAnsi="Times New Roman" w:cs="Times New Roman"/>
          <w:lang w:val="en-IE"/>
        </w:rPr>
        <w:t xml:space="preserve"> of </w:t>
      </w:r>
      <w:r w:rsidR="008E1930" w:rsidRPr="00C73908">
        <w:rPr>
          <w:rFonts w:ascii="Times New Roman" w:hAnsi="Times New Roman" w:cs="Times New Roman"/>
          <w:lang w:val="en-IE"/>
        </w:rPr>
        <w:t xml:space="preserve">sales generated </w:t>
      </w:r>
      <w:r w:rsidR="006641FC">
        <w:rPr>
          <w:rFonts w:ascii="Times New Roman" w:hAnsi="Times New Roman" w:cs="Times New Roman"/>
          <w:lang w:val="en-IE"/>
        </w:rPr>
        <w:t>from</w:t>
      </w:r>
      <w:r w:rsidR="008E1930" w:rsidRPr="00C73908">
        <w:rPr>
          <w:rFonts w:ascii="Times New Roman" w:hAnsi="Times New Roman" w:cs="Times New Roman"/>
          <w:lang w:val="en-IE"/>
        </w:rPr>
        <w:t xml:space="preserve"> </w:t>
      </w:r>
      <w:r w:rsidR="00CB4127" w:rsidRPr="00C73908">
        <w:rPr>
          <w:rFonts w:ascii="Times New Roman" w:hAnsi="Times New Roman" w:cs="Times New Roman"/>
          <w:lang w:val="en-IE"/>
        </w:rPr>
        <w:t>new products</w:t>
      </w:r>
      <w:r w:rsidR="001B5213" w:rsidRPr="00C73908">
        <w:rPr>
          <w:rFonts w:ascii="Times New Roman" w:hAnsi="Times New Roman" w:cs="Times New Roman"/>
          <w:lang w:val="en-IE"/>
        </w:rPr>
        <w:t xml:space="preserve"> (</w:t>
      </w:r>
      <w:r w:rsidR="002F642F" w:rsidRPr="00C73908">
        <w:rPr>
          <w:rFonts w:ascii="Times New Roman" w:hAnsi="Times New Roman" w:cs="Times New Roman"/>
          <w:lang w:val="en-IE"/>
        </w:rPr>
        <w:t>1</w:t>
      </w:r>
      <w:r w:rsidR="001B5213" w:rsidRPr="00C73908">
        <w:rPr>
          <w:rFonts w:ascii="Times New Roman" w:hAnsi="Times New Roman" w:cs="Times New Roman"/>
          <w:lang w:val="en-IE"/>
        </w:rPr>
        <w:t>2%)</w:t>
      </w:r>
      <w:r w:rsidR="00CB4127" w:rsidRPr="00C73908">
        <w:rPr>
          <w:rFonts w:ascii="Times New Roman" w:hAnsi="Times New Roman" w:cs="Times New Roman"/>
          <w:lang w:val="en-IE"/>
        </w:rPr>
        <w:t>.</w:t>
      </w:r>
      <w:r w:rsidR="008E1930" w:rsidRPr="00C73908">
        <w:rPr>
          <w:rFonts w:ascii="Times New Roman" w:hAnsi="Times New Roman" w:cs="Times New Roman"/>
          <w:lang w:val="en-IE"/>
        </w:rPr>
        <w:t xml:space="preserve"> </w:t>
      </w:r>
      <w:r w:rsidR="005C05EE" w:rsidRPr="00C73908">
        <w:rPr>
          <w:rFonts w:ascii="Times New Roman" w:hAnsi="Times New Roman" w:cs="Times New Roman"/>
          <w:lang w:val="en-IE"/>
        </w:rPr>
        <w:t xml:space="preserve">This reflects the </w:t>
      </w:r>
      <w:r w:rsidR="0065799C" w:rsidRPr="00C73908">
        <w:rPr>
          <w:rFonts w:ascii="Times New Roman" w:hAnsi="Times New Roman" w:cs="Times New Roman"/>
          <w:lang w:val="en-IE"/>
        </w:rPr>
        <w:t xml:space="preserve">need for companies in high-tech </w:t>
      </w:r>
      <w:r w:rsidR="00936297" w:rsidRPr="00C73908">
        <w:rPr>
          <w:rFonts w:ascii="Times New Roman" w:hAnsi="Times New Roman" w:cs="Times New Roman"/>
          <w:lang w:val="en-IE"/>
        </w:rPr>
        <w:t xml:space="preserve">ICT </w:t>
      </w:r>
      <w:r w:rsidR="0065799C" w:rsidRPr="00C73908">
        <w:rPr>
          <w:rFonts w:ascii="Times New Roman" w:hAnsi="Times New Roman" w:cs="Times New Roman"/>
          <w:lang w:val="en-IE"/>
        </w:rPr>
        <w:t xml:space="preserve">sectors to continually </w:t>
      </w:r>
      <w:r w:rsidR="00BE3463" w:rsidRPr="00C73908">
        <w:rPr>
          <w:rFonts w:ascii="Times New Roman" w:hAnsi="Times New Roman" w:cs="Times New Roman"/>
          <w:lang w:val="en-IE"/>
        </w:rPr>
        <w:t>invest in innovation</w:t>
      </w:r>
      <w:r w:rsidR="002A7CEF" w:rsidRPr="00C73908">
        <w:rPr>
          <w:rFonts w:ascii="Times New Roman" w:hAnsi="Times New Roman" w:cs="Times New Roman"/>
          <w:lang w:val="en-IE"/>
        </w:rPr>
        <w:t xml:space="preserve"> with m</w:t>
      </w:r>
      <w:r w:rsidR="00853811" w:rsidRPr="00C73908">
        <w:rPr>
          <w:rFonts w:ascii="Times New Roman" w:hAnsi="Times New Roman" w:cs="Times New Roman"/>
          <w:lang w:val="en-IE"/>
        </w:rPr>
        <w:t>any</w:t>
      </w:r>
      <w:r w:rsidR="00936297" w:rsidRPr="00C73908">
        <w:rPr>
          <w:rFonts w:ascii="Times New Roman" w:hAnsi="Times New Roman" w:cs="Times New Roman"/>
          <w:lang w:val="en-IE"/>
        </w:rPr>
        <w:t xml:space="preserve"> </w:t>
      </w:r>
      <w:r w:rsidR="009B3AA3" w:rsidRPr="00C73908">
        <w:rPr>
          <w:rFonts w:ascii="Times New Roman" w:hAnsi="Times New Roman" w:cs="Times New Roman"/>
          <w:lang w:val="en-IE"/>
        </w:rPr>
        <w:t>start-up</w:t>
      </w:r>
      <w:r w:rsidR="002A7CEF" w:rsidRPr="00C73908">
        <w:rPr>
          <w:rFonts w:ascii="Times New Roman" w:hAnsi="Times New Roman" w:cs="Times New Roman"/>
          <w:lang w:val="en-IE"/>
        </w:rPr>
        <w:t>s</w:t>
      </w:r>
      <w:r w:rsidR="0063783E" w:rsidRPr="00C73908">
        <w:rPr>
          <w:rFonts w:ascii="Times New Roman" w:hAnsi="Times New Roman" w:cs="Times New Roman"/>
          <w:lang w:val="en-IE"/>
        </w:rPr>
        <w:t xml:space="preserve"> </w:t>
      </w:r>
      <w:r w:rsidR="002A7CEF" w:rsidRPr="00C73908">
        <w:rPr>
          <w:rFonts w:ascii="Times New Roman" w:hAnsi="Times New Roman" w:cs="Times New Roman"/>
          <w:lang w:val="en-IE"/>
        </w:rPr>
        <w:t xml:space="preserve">investing </w:t>
      </w:r>
      <w:r w:rsidR="0063783E" w:rsidRPr="00C73908">
        <w:rPr>
          <w:rFonts w:ascii="Times New Roman" w:hAnsi="Times New Roman" w:cs="Times New Roman"/>
          <w:lang w:val="en-IE"/>
        </w:rPr>
        <w:t xml:space="preserve">heavily in </w:t>
      </w:r>
      <w:r w:rsidR="007F6ED8" w:rsidRPr="00C73908">
        <w:rPr>
          <w:rFonts w:ascii="Times New Roman" w:hAnsi="Times New Roman" w:cs="Times New Roman"/>
          <w:lang w:val="en-IE"/>
        </w:rPr>
        <w:t>product development before entering the market</w:t>
      </w:r>
      <w:r w:rsidR="00BD3FE7" w:rsidRPr="00C73908">
        <w:rPr>
          <w:rFonts w:ascii="Times New Roman" w:hAnsi="Times New Roman" w:cs="Times New Roman"/>
          <w:lang w:val="en-IE"/>
        </w:rPr>
        <w:t>.</w:t>
      </w:r>
      <w:r w:rsidR="001A7C4D" w:rsidRPr="00C73908">
        <w:rPr>
          <w:rFonts w:ascii="Times New Roman" w:hAnsi="Times New Roman" w:cs="Times New Roman"/>
          <w:lang w:val="en-IE"/>
        </w:rPr>
        <w:t xml:space="preserve"> </w:t>
      </w:r>
      <w:r w:rsidR="002C3732" w:rsidRPr="00C73908">
        <w:rPr>
          <w:rFonts w:ascii="Times New Roman" w:hAnsi="Times New Roman" w:cs="Times New Roman"/>
          <w:lang w:val="en-IE"/>
        </w:rPr>
        <w:t>While the services sector</w:t>
      </w:r>
      <w:r w:rsidR="002A7CEF" w:rsidRPr="00C73908">
        <w:rPr>
          <w:rFonts w:ascii="Times New Roman" w:hAnsi="Times New Roman" w:cs="Times New Roman"/>
          <w:lang w:val="en-IE"/>
        </w:rPr>
        <w:t xml:space="preserve"> has higher overall</w:t>
      </w:r>
      <w:r w:rsidR="002C3732" w:rsidRPr="00C73908">
        <w:rPr>
          <w:rFonts w:ascii="Times New Roman" w:hAnsi="Times New Roman" w:cs="Times New Roman"/>
          <w:lang w:val="en-IE"/>
        </w:rPr>
        <w:t xml:space="preserve"> </w:t>
      </w:r>
      <w:r w:rsidR="002A7CEF" w:rsidRPr="00C73908">
        <w:rPr>
          <w:rFonts w:ascii="Times New Roman" w:hAnsi="Times New Roman" w:cs="Times New Roman"/>
          <w:lang w:val="en-IE"/>
        </w:rPr>
        <w:t>investment in R&amp;D, t</w:t>
      </w:r>
      <w:r w:rsidR="00FD3A74" w:rsidRPr="00C73908">
        <w:rPr>
          <w:rFonts w:ascii="Times New Roman" w:hAnsi="Times New Roman" w:cs="Times New Roman"/>
          <w:lang w:val="en-IE"/>
        </w:rPr>
        <w:t xml:space="preserve">here is significant variance </w:t>
      </w:r>
      <w:r w:rsidR="0097793C" w:rsidRPr="00C73908">
        <w:rPr>
          <w:rFonts w:ascii="Times New Roman" w:hAnsi="Times New Roman" w:cs="Times New Roman"/>
          <w:lang w:val="en-IE"/>
        </w:rPr>
        <w:t xml:space="preserve">among </w:t>
      </w:r>
      <w:r w:rsidR="00D95706" w:rsidRPr="00C73908">
        <w:rPr>
          <w:rFonts w:ascii="Times New Roman" w:hAnsi="Times New Roman" w:cs="Times New Roman"/>
          <w:lang w:val="en-IE"/>
        </w:rPr>
        <w:t xml:space="preserve">different </w:t>
      </w:r>
      <w:r w:rsidR="005618C2" w:rsidRPr="00C73908">
        <w:rPr>
          <w:rFonts w:ascii="Times New Roman" w:hAnsi="Times New Roman" w:cs="Times New Roman"/>
          <w:lang w:val="en-IE"/>
        </w:rPr>
        <w:t>s</w:t>
      </w:r>
      <w:r w:rsidR="00D95706" w:rsidRPr="00C73908">
        <w:rPr>
          <w:rFonts w:ascii="Times New Roman" w:hAnsi="Times New Roman" w:cs="Times New Roman"/>
          <w:lang w:val="en-IE"/>
        </w:rPr>
        <w:t xml:space="preserve">ervices sectors </w:t>
      </w:r>
      <w:r w:rsidR="00FD3A74" w:rsidRPr="00C73908">
        <w:rPr>
          <w:rFonts w:ascii="Times New Roman" w:hAnsi="Times New Roman" w:cs="Times New Roman"/>
          <w:lang w:val="en-IE"/>
        </w:rPr>
        <w:t>in</w:t>
      </w:r>
      <w:r w:rsidR="00D95706" w:rsidRPr="00C73908">
        <w:rPr>
          <w:rFonts w:ascii="Times New Roman" w:hAnsi="Times New Roman" w:cs="Times New Roman"/>
          <w:lang w:val="en-IE"/>
        </w:rPr>
        <w:t xml:space="preserve"> terms of</w:t>
      </w:r>
      <w:r w:rsidR="00CE353A" w:rsidRPr="00C73908">
        <w:rPr>
          <w:rFonts w:ascii="Times New Roman" w:hAnsi="Times New Roman" w:cs="Times New Roman"/>
          <w:lang w:val="en-IE"/>
        </w:rPr>
        <w:t xml:space="preserve"> </w:t>
      </w:r>
      <w:r w:rsidR="001D34A8" w:rsidRPr="00C73908">
        <w:rPr>
          <w:rFonts w:ascii="Times New Roman" w:hAnsi="Times New Roman" w:cs="Times New Roman"/>
          <w:lang w:val="en-IE"/>
        </w:rPr>
        <w:t>R&amp;D intensity and new product sales</w:t>
      </w:r>
      <w:r w:rsidR="00752095" w:rsidRPr="00C73908">
        <w:rPr>
          <w:rFonts w:ascii="Times New Roman" w:hAnsi="Times New Roman" w:cs="Times New Roman"/>
          <w:lang w:val="en-IE"/>
        </w:rPr>
        <w:t>.</w:t>
      </w:r>
      <w:r w:rsidR="008F10CE" w:rsidRPr="00C73908">
        <w:rPr>
          <w:rFonts w:ascii="Times New Roman" w:hAnsi="Times New Roman" w:cs="Times New Roman"/>
          <w:lang w:val="en-IE"/>
        </w:rPr>
        <w:t xml:space="preserve"> </w:t>
      </w:r>
      <w:r w:rsidR="00BD7EDE" w:rsidRPr="00C73908">
        <w:rPr>
          <w:rFonts w:ascii="Times New Roman" w:hAnsi="Times New Roman" w:cs="Times New Roman"/>
          <w:lang w:val="en-IE"/>
        </w:rPr>
        <w:t>ICT companies</w:t>
      </w:r>
      <w:r w:rsidR="008F10CE" w:rsidRPr="00C73908">
        <w:rPr>
          <w:rFonts w:ascii="Times New Roman" w:hAnsi="Times New Roman" w:cs="Times New Roman"/>
          <w:lang w:val="en-IE"/>
        </w:rPr>
        <w:t xml:space="preserve"> </w:t>
      </w:r>
      <w:r w:rsidR="005E5608" w:rsidRPr="00C73908">
        <w:rPr>
          <w:rFonts w:ascii="Times New Roman" w:hAnsi="Times New Roman" w:cs="Times New Roman"/>
          <w:lang w:val="en-IE"/>
        </w:rPr>
        <w:t xml:space="preserve">have an average R&amp;D intensity of </w:t>
      </w:r>
      <w:r w:rsidR="00BD7EDE" w:rsidRPr="00C73908">
        <w:rPr>
          <w:rFonts w:ascii="Times New Roman" w:hAnsi="Times New Roman" w:cs="Times New Roman"/>
          <w:lang w:val="en-IE"/>
        </w:rPr>
        <w:t>9</w:t>
      </w:r>
      <w:r w:rsidR="005E5608" w:rsidRPr="00C73908">
        <w:rPr>
          <w:rFonts w:ascii="Times New Roman" w:hAnsi="Times New Roman" w:cs="Times New Roman"/>
          <w:lang w:val="en-IE"/>
        </w:rPr>
        <w:t xml:space="preserve">% </w:t>
      </w:r>
      <w:r w:rsidR="00D575FE" w:rsidRPr="00C73908">
        <w:rPr>
          <w:rFonts w:ascii="Times New Roman" w:hAnsi="Times New Roman" w:cs="Times New Roman"/>
          <w:lang w:val="en-IE"/>
        </w:rPr>
        <w:t xml:space="preserve">and </w:t>
      </w:r>
      <w:r w:rsidR="0011372C" w:rsidRPr="00C73908">
        <w:rPr>
          <w:rFonts w:ascii="Times New Roman" w:hAnsi="Times New Roman" w:cs="Times New Roman"/>
          <w:lang w:val="en-IE"/>
        </w:rPr>
        <w:t xml:space="preserve">new product </w:t>
      </w:r>
      <w:r w:rsidR="009D2E18" w:rsidRPr="00C73908">
        <w:rPr>
          <w:rFonts w:ascii="Times New Roman" w:hAnsi="Times New Roman" w:cs="Times New Roman"/>
          <w:lang w:val="en-IE"/>
        </w:rPr>
        <w:t>percentage</w:t>
      </w:r>
      <w:r w:rsidR="0011372C" w:rsidRPr="00C73908">
        <w:rPr>
          <w:rFonts w:ascii="Times New Roman" w:hAnsi="Times New Roman" w:cs="Times New Roman"/>
          <w:lang w:val="en-IE"/>
        </w:rPr>
        <w:t xml:space="preserve"> of </w:t>
      </w:r>
      <w:r w:rsidR="00086771" w:rsidRPr="00C73908">
        <w:rPr>
          <w:rFonts w:ascii="Times New Roman" w:hAnsi="Times New Roman" w:cs="Times New Roman"/>
          <w:lang w:val="en-IE"/>
        </w:rPr>
        <w:t>1</w:t>
      </w:r>
      <w:r w:rsidR="00BD7EDE" w:rsidRPr="00C73908">
        <w:rPr>
          <w:rFonts w:ascii="Times New Roman" w:hAnsi="Times New Roman" w:cs="Times New Roman"/>
          <w:lang w:val="en-IE"/>
        </w:rPr>
        <w:t>7</w:t>
      </w:r>
      <w:r w:rsidR="00086771" w:rsidRPr="00C73908">
        <w:rPr>
          <w:rFonts w:ascii="Times New Roman" w:hAnsi="Times New Roman" w:cs="Times New Roman"/>
          <w:lang w:val="en-IE"/>
        </w:rPr>
        <w:t>%</w:t>
      </w:r>
      <w:r w:rsidR="00302BCC" w:rsidRPr="00C73908">
        <w:rPr>
          <w:rFonts w:ascii="Times New Roman" w:hAnsi="Times New Roman" w:cs="Times New Roman"/>
          <w:lang w:val="en-IE"/>
        </w:rPr>
        <w:t xml:space="preserve"> whereas </w:t>
      </w:r>
      <w:r w:rsidR="00D1651C" w:rsidRPr="00C73908">
        <w:rPr>
          <w:rFonts w:ascii="Times New Roman" w:hAnsi="Times New Roman" w:cs="Times New Roman"/>
          <w:lang w:val="en-IE"/>
        </w:rPr>
        <w:t xml:space="preserve">the </w:t>
      </w:r>
      <w:r w:rsidR="00AD09B0" w:rsidRPr="00C73908">
        <w:rPr>
          <w:rFonts w:ascii="Times New Roman" w:hAnsi="Times New Roman" w:cs="Times New Roman"/>
          <w:lang w:val="en-IE"/>
        </w:rPr>
        <w:t xml:space="preserve">construction services </w:t>
      </w:r>
      <w:r w:rsidR="00D1651C" w:rsidRPr="00C73908">
        <w:rPr>
          <w:rFonts w:ascii="Times New Roman" w:hAnsi="Times New Roman" w:cs="Times New Roman"/>
          <w:lang w:val="en-IE"/>
        </w:rPr>
        <w:t xml:space="preserve">sector has an R&amp;D intensity of just 0.2% with </w:t>
      </w:r>
      <w:r w:rsidR="00C3595F" w:rsidRPr="00C73908">
        <w:rPr>
          <w:rFonts w:ascii="Times New Roman" w:hAnsi="Times New Roman" w:cs="Times New Roman"/>
          <w:lang w:val="en-IE"/>
        </w:rPr>
        <w:t>7% of sales from new products</w:t>
      </w:r>
      <w:r w:rsidR="007B4CEA" w:rsidRPr="00C73908">
        <w:rPr>
          <w:rFonts w:ascii="Times New Roman" w:hAnsi="Times New Roman" w:cs="Times New Roman"/>
          <w:lang w:val="en-IE"/>
        </w:rPr>
        <w:t>.</w:t>
      </w:r>
      <w:r w:rsidR="004D5686" w:rsidRPr="00C73908">
        <w:rPr>
          <w:rFonts w:ascii="Times New Roman" w:hAnsi="Times New Roman" w:cs="Times New Roman"/>
          <w:lang w:val="en-IE"/>
        </w:rPr>
        <w:t xml:space="preserve"> </w:t>
      </w:r>
      <w:r w:rsidR="000610B4" w:rsidRPr="00C73908">
        <w:rPr>
          <w:rFonts w:ascii="Times New Roman" w:hAnsi="Times New Roman" w:cs="Times New Roman"/>
          <w:lang w:val="en-IE"/>
        </w:rPr>
        <w:t>Manufacturing companies</w:t>
      </w:r>
      <w:r w:rsidR="00C85FDA" w:rsidRPr="00C73908">
        <w:rPr>
          <w:rFonts w:ascii="Times New Roman" w:hAnsi="Times New Roman" w:cs="Times New Roman"/>
          <w:lang w:val="en-IE"/>
        </w:rPr>
        <w:t xml:space="preserve"> generally invest less</w:t>
      </w:r>
      <w:r w:rsidR="009F3141" w:rsidRPr="00C73908">
        <w:rPr>
          <w:rFonts w:ascii="Times New Roman" w:hAnsi="Times New Roman" w:cs="Times New Roman"/>
          <w:lang w:val="en-IE"/>
        </w:rPr>
        <w:t xml:space="preserve"> intensively in R</w:t>
      </w:r>
      <w:r w:rsidR="00047689" w:rsidRPr="00C73908">
        <w:rPr>
          <w:rFonts w:ascii="Times New Roman" w:hAnsi="Times New Roman" w:cs="Times New Roman"/>
          <w:lang w:val="en-IE"/>
        </w:rPr>
        <w:t>&amp;</w:t>
      </w:r>
      <w:r w:rsidR="009F3141" w:rsidRPr="00C73908">
        <w:rPr>
          <w:rFonts w:ascii="Times New Roman" w:hAnsi="Times New Roman" w:cs="Times New Roman"/>
          <w:lang w:val="en-IE"/>
        </w:rPr>
        <w:t>D</w:t>
      </w:r>
      <w:r w:rsidR="000610B4" w:rsidRPr="00C73908">
        <w:rPr>
          <w:rFonts w:ascii="Times New Roman" w:hAnsi="Times New Roman" w:cs="Times New Roman"/>
          <w:lang w:val="en-IE"/>
        </w:rPr>
        <w:t xml:space="preserve"> </w:t>
      </w:r>
      <w:r w:rsidR="009F3141" w:rsidRPr="00C73908">
        <w:rPr>
          <w:rFonts w:ascii="Times New Roman" w:hAnsi="Times New Roman" w:cs="Times New Roman"/>
          <w:lang w:val="en-IE"/>
        </w:rPr>
        <w:t xml:space="preserve">and </w:t>
      </w:r>
      <w:r w:rsidR="000610B4" w:rsidRPr="00C73908">
        <w:rPr>
          <w:rFonts w:ascii="Times New Roman" w:hAnsi="Times New Roman" w:cs="Times New Roman"/>
          <w:lang w:val="en-IE"/>
        </w:rPr>
        <w:t xml:space="preserve">spend </w:t>
      </w:r>
      <w:r w:rsidR="009F3141" w:rsidRPr="00C73908">
        <w:rPr>
          <w:rFonts w:ascii="Times New Roman" w:hAnsi="Times New Roman" w:cs="Times New Roman"/>
          <w:lang w:val="en-IE"/>
        </w:rPr>
        <w:t xml:space="preserve">an average of </w:t>
      </w:r>
      <w:r w:rsidR="00CD2EE3" w:rsidRPr="00C73908">
        <w:rPr>
          <w:rFonts w:ascii="Times New Roman" w:hAnsi="Times New Roman" w:cs="Times New Roman"/>
          <w:lang w:val="en-IE"/>
        </w:rPr>
        <w:t>1.2</w:t>
      </w:r>
      <w:r w:rsidR="000610B4" w:rsidRPr="00C73908">
        <w:rPr>
          <w:rFonts w:ascii="Times New Roman" w:hAnsi="Times New Roman" w:cs="Times New Roman"/>
          <w:lang w:val="en-IE"/>
        </w:rPr>
        <w:t xml:space="preserve">% of revenue </w:t>
      </w:r>
      <w:r w:rsidR="0059313C" w:rsidRPr="00C73908">
        <w:rPr>
          <w:rFonts w:ascii="Times New Roman" w:hAnsi="Times New Roman" w:cs="Times New Roman"/>
          <w:lang w:val="en-IE"/>
        </w:rPr>
        <w:t xml:space="preserve">on R&amp;D </w:t>
      </w:r>
      <w:r w:rsidR="00816BAE" w:rsidRPr="00C73908">
        <w:rPr>
          <w:rFonts w:ascii="Times New Roman" w:hAnsi="Times New Roman" w:cs="Times New Roman"/>
          <w:lang w:val="en-IE"/>
        </w:rPr>
        <w:t>with</w:t>
      </w:r>
      <w:r w:rsidR="002B432B" w:rsidRPr="00C73908">
        <w:rPr>
          <w:rFonts w:ascii="Times New Roman" w:hAnsi="Times New Roman" w:cs="Times New Roman"/>
          <w:lang w:val="en-IE"/>
        </w:rPr>
        <w:t xml:space="preserve"> 10</w:t>
      </w:r>
      <w:r w:rsidR="00577B72" w:rsidRPr="00C73908">
        <w:rPr>
          <w:rFonts w:ascii="Times New Roman" w:hAnsi="Times New Roman" w:cs="Times New Roman"/>
          <w:lang w:val="en-IE"/>
        </w:rPr>
        <w:t xml:space="preserve">% of sales </w:t>
      </w:r>
      <w:r w:rsidR="00816BAE" w:rsidRPr="00C73908">
        <w:rPr>
          <w:rFonts w:ascii="Times New Roman" w:hAnsi="Times New Roman" w:cs="Times New Roman"/>
          <w:lang w:val="en-IE"/>
        </w:rPr>
        <w:t>generated by</w:t>
      </w:r>
      <w:r w:rsidR="00577B72" w:rsidRPr="00C73908">
        <w:rPr>
          <w:rFonts w:ascii="Times New Roman" w:hAnsi="Times New Roman" w:cs="Times New Roman"/>
          <w:lang w:val="en-IE"/>
        </w:rPr>
        <w:t xml:space="preserve"> new products</w:t>
      </w:r>
      <w:r w:rsidR="00EF6FCB" w:rsidRPr="00C73908">
        <w:rPr>
          <w:rFonts w:ascii="Times New Roman" w:hAnsi="Times New Roman" w:cs="Times New Roman"/>
          <w:lang w:val="en-IE"/>
        </w:rPr>
        <w:t xml:space="preserve">. Companies in the </w:t>
      </w:r>
      <w:r w:rsidR="00F71EB0" w:rsidRPr="00C73908">
        <w:rPr>
          <w:rFonts w:ascii="Times New Roman" w:hAnsi="Times New Roman" w:cs="Times New Roman"/>
          <w:lang w:val="en-IE"/>
        </w:rPr>
        <w:t>‘</w:t>
      </w:r>
      <w:r w:rsidR="00EF6FCB" w:rsidRPr="00C73908">
        <w:rPr>
          <w:rFonts w:ascii="Times New Roman" w:hAnsi="Times New Roman" w:cs="Times New Roman"/>
          <w:lang w:val="en-IE"/>
        </w:rPr>
        <w:t>Computer, Electronic and Optical products</w:t>
      </w:r>
      <w:r w:rsidR="00F71EB0" w:rsidRPr="00C73908">
        <w:rPr>
          <w:rFonts w:ascii="Times New Roman" w:hAnsi="Times New Roman" w:cs="Times New Roman"/>
          <w:lang w:val="en-IE"/>
        </w:rPr>
        <w:t xml:space="preserve">’ and the ‘Basic Pharma Products’ </w:t>
      </w:r>
      <w:r w:rsidR="0054442A" w:rsidRPr="00C73908">
        <w:rPr>
          <w:rFonts w:ascii="Times New Roman" w:hAnsi="Times New Roman" w:cs="Times New Roman"/>
          <w:lang w:val="en-IE"/>
        </w:rPr>
        <w:t xml:space="preserve">sectors </w:t>
      </w:r>
      <w:r w:rsidR="00EF323C" w:rsidRPr="00C73908">
        <w:rPr>
          <w:rFonts w:ascii="Times New Roman" w:hAnsi="Times New Roman" w:cs="Times New Roman"/>
          <w:lang w:val="en-IE"/>
        </w:rPr>
        <w:t xml:space="preserve">have the highest </w:t>
      </w:r>
      <w:r w:rsidR="0054442A" w:rsidRPr="00C73908">
        <w:rPr>
          <w:rFonts w:ascii="Times New Roman" w:hAnsi="Times New Roman" w:cs="Times New Roman"/>
          <w:lang w:val="en-IE"/>
        </w:rPr>
        <w:t xml:space="preserve">levels of R&amp;D investment with intensities of </w:t>
      </w:r>
      <w:r w:rsidR="00A60FB0" w:rsidRPr="00C73908">
        <w:rPr>
          <w:rFonts w:ascii="Times New Roman" w:hAnsi="Times New Roman" w:cs="Times New Roman"/>
          <w:lang w:val="en-IE"/>
        </w:rPr>
        <w:t>5.9% and 8.8% respectively.</w:t>
      </w:r>
      <w:r w:rsidR="00E1355B" w:rsidRPr="00C73908">
        <w:rPr>
          <w:rFonts w:ascii="Times New Roman" w:hAnsi="Times New Roman" w:cs="Times New Roman"/>
          <w:lang w:val="en-IE"/>
        </w:rPr>
        <w:t xml:space="preserve"> </w:t>
      </w:r>
      <w:r w:rsidR="00141D10" w:rsidRPr="00C73908">
        <w:rPr>
          <w:rFonts w:ascii="Times New Roman" w:hAnsi="Times New Roman" w:cs="Times New Roman"/>
          <w:lang w:val="en-IE"/>
        </w:rPr>
        <w:t xml:space="preserve"> </w:t>
      </w:r>
      <w:r w:rsidR="009D22CE" w:rsidRPr="00C73908">
        <w:rPr>
          <w:rFonts w:ascii="Times New Roman" w:hAnsi="Times New Roman" w:cs="Times New Roman"/>
          <w:lang w:val="en-IE"/>
        </w:rPr>
        <w:t>S</w:t>
      </w:r>
      <w:r w:rsidR="006A1692" w:rsidRPr="00C73908">
        <w:rPr>
          <w:rFonts w:ascii="Times New Roman" w:hAnsi="Times New Roman" w:cs="Times New Roman"/>
          <w:lang w:val="en-IE"/>
        </w:rPr>
        <w:t xml:space="preserve">mall companies </w:t>
      </w:r>
      <w:r w:rsidR="00F44574" w:rsidRPr="00C73908">
        <w:rPr>
          <w:rFonts w:ascii="Times New Roman" w:hAnsi="Times New Roman" w:cs="Times New Roman"/>
          <w:lang w:val="en-IE"/>
        </w:rPr>
        <w:t xml:space="preserve">have </w:t>
      </w:r>
      <w:r w:rsidR="0016681B" w:rsidRPr="00C73908">
        <w:rPr>
          <w:rFonts w:ascii="Times New Roman" w:hAnsi="Times New Roman" w:cs="Times New Roman"/>
          <w:lang w:val="en-IE"/>
        </w:rPr>
        <w:t xml:space="preserve">relatively higher levels of innovation with R&amp;D intensities of </w:t>
      </w:r>
      <w:r w:rsidR="00167D1F" w:rsidRPr="00C73908">
        <w:rPr>
          <w:rFonts w:ascii="Times New Roman" w:hAnsi="Times New Roman" w:cs="Times New Roman"/>
          <w:lang w:val="en-IE"/>
        </w:rPr>
        <w:t xml:space="preserve">12% </w:t>
      </w:r>
      <w:r w:rsidR="00595A8A" w:rsidRPr="00C73908">
        <w:rPr>
          <w:rFonts w:ascii="Times New Roman" w:hAnsi="Times New Roman" w:cs="Times New Roman"/>
          <w:lang w:val="en-IE"/>
        </w:rPr>
        <w:t xml:space="preserve">in services </w:t>
      </w:r>
      <w:r w:rsidR="00167D1F" w:rsidRPr="00C73908">
        <w:rPr>
          <w:rFonts w:ascii="Times New Roman" w:hAnsi="Times New Roman" w:cs="Times New Roman"/>
          <w:lang w:val="en-IE"/>
        </w:rPr>
        <w:t xml:space="preserve">and 3.4% </w:t>
      </w:r>
      <w:r w:rsidR="00595A8A" w:rsidRPr="00C73908">
        <w:rPr>
          <w:rFonts w:ascii="Times New Roman" w:hAnsi="Times New Roman" w:cs="Times New Roman"/>
          <w:lang w:val="en-IE"/>
        </w:rPr>
        <w:t>in</w:t>
      </w:r>
      <w:r w:rsidR="007841DB" w:rsidRPr="00C73908">
        <w:rPr>
          <w:rFonts w:ascii="Times New Roman" w:hAnsi="Times New Roman" w:cs="Times New Roman"/>
          <w:lang w:val="en-IE"/>
        </w:rPr>
        <w:t xml:space="preserve"> manufacturing</w:t>
      </w:r>
      <w:r w:rsidR="00F44574" w:rsidRPr="00C73908">
        <w:rPr>
          <w:rFonts w:ascii="Times New Roman" w:hAnsi="Times New Roman" w:cs="Times New Roman"/>
          <w:lang w:val="en-IE"/>
        </w:rPr>
        <w:t>.</w:t>
      </w:r>
      <w:r w:rsidR="007841DB" w:rsidRPr="00C73908">
        <w:rPr>
          <w:rFonts w:ascii="Times New Roman" w:hAnsi="Times New Roman" w:cs="Times New Roman"/>
          <w:lang w:val="en-IE"/>
        </w:rPr>
        <w:t xml:space="preserve"> They also generate </w:t>
      </w:r>
      <w:r w:rsidR="00BB2990" w:rsidRPr="00C73908">
        <w:rPr>
          <w:rFonts w:ascii="Times New Roman" w:hAnsi="Times New Roman" w:cs="Times New Roman"/>
          <w:lang w:val="en-IE"/>
        </w:rPr>
        <w:t xml:space="preserve">14% </w:t>
      </w:r>
      <w:r w:rsidR="007841DB" w:rsidRPr="00C73908">
        <w:rPr>
          <w:rFonts w:ascii="Times New Roman" w:hAnsi="Times New Roman" w:cs="Times New Roman"/>
          <w:lang w:val="en-IE"/>
        </w:rPr>
        <w:t xml:space="preserve">of sales from new products </w:t>
      </w:r>
      <w:r w:rsidR="00BB2990" w:rsidRPr="00C73908">
        <w:rPr>
          <w:rFonts w:ascii="Times New Roman" w:hAnsi="Times New Roman" w:cs="Times New Roman"/>
          <w:lang w:val="en-IE"/>
        </w:rPr>
        <w:t>compared with an average of 7% for medium and large companies.</w:t>
      </w:r>
      <w:r w:rsidR="00F44574" w:rsidRPr="00C73908">
        <w:rPr>
          <w:rFonts w:ascii="Times New Roman" w:hAnsi="Times New Roman" w:cs="Times New Roman"/>
          <w:lang w:val="en-IE"/>
        </w:rPr>
        <w:t xml:space="preserve"> </w:t>
      </w:r>
      <w:r w:rsidR="00841479">
        <w:rPr>
          <w:rFonts w:ascii="Times New Roman" w:hAnsi="Times New Roman" w:cs="Times New Roman"/>
          <w:lang w:val="en-IE"/>
        </w:rPr>
        <w:t xml:space="preserve">This may indicate that </w:t>
      </w:r>
      <w:r w:rsidR="00C13288">
        <w:rPr>
          <w:rFonts w:ascii="Times New Roman" w:hAnsi="Times New Roman" w:cs="Times New Roman"/>
          <w:lang w:val="en-IE"/>
        </w:rPr>
        <w:lastRenderedPageBreak/>
        <w:t>smaller companies have more of a requirement</w:t>
      </w:r>
      <w:r w:rsidR="00B116B2" w:rsidRPr="00C73908">
        <w:rPr>
          <w:rFonts w:ascii="Times New Roman" w:hAnsi="Times New Roman" w:cs="Times New Roman"/>
          <w:lang w:val="en-IE"/>
        </w:rPr>
        <w:t xml:space="preserve"> to </w:t>
      </w:r>
      <w:r w:rsidR="00854EEB" w:rsidRPr="00C73908">
        <w:rPr>
          <w:rFonts w:ascii="Times New Roman" w:hAnsi="Times New Roman" w:cs="Times New Roman"/>
          <w:lang w:val="en-IE"/>
        </w:rPr>
        <w:t xml:space="preserve">develop new </w:t>
      </w:r>
      <w:r w:rsidR="00895E4E" w:rsidRPr="00C73908">
        <w:rPr>
          <w:rFonts w:ascii="Times New Roman" w:hAnsi="Times New Roman" w:cs="Times New Roman"/>
          <w:lang w:val="en-IE"/>
        </w:rPr>
        <w:t>products</w:t>
      </w:r>
      <w:r w:rsidR="00097E04" w:rsidRPr="00C73908">
        <w:rPr>
          <w:rFonts w:ascii="Times New Roman" w:hAnsi="Times New Roman" w:cs="Times New Roman"/>
          <w:lang w:val="en-IE"/>
        </w:rPr>
        <w:t xml:space="preserve"> and </w:t>
      </w:r>
      <w:r w:rsidR="00174D06" w:rsidRPr="00C73908">
        <w:rPr>
          <w:rFonts w:ascii="Times New Roman" w:hAnsi="Times New Roman" w:cs="Times New Roman"/>
          <w:lang w:val="en-IE"/>
        </w:rPr>
        <w:t xml:space="preserve">create unique selling points which allow them </w:t>
      </w:r>
      <w:r w:rsidR="00895E4E" w:rsidRPr="00C73908">
        <w:rPr>
          <w:rFonts w:ascii="Times New Roman" w:hAnsi="Times New Roman" w:cs="Times New Roman"/>
          <w:lang w:val="en-IE"/>
        </w:rPr>
        <w:t xml:space="preserve">to gain market share and compete with </w:t>
      </w:r>
      <w:r w:rsidR="005B6301" w:rsidRPr="00C73908">
        <w:rPr>
          <w:rFonts w:ascii="Times New Roman" w:hAnsi="Times New Roman" w:cs="Times New Roman"/>
          <w:lang w:val="en-IE"/>
        </w:rPr>
        <w:t xml:space="preserve">their </w:t>
      </w:r>
      <w:r w:rsidR="00895E4E" w:rsidRPr="00C73908">
        <w:rPr>
          <w:rFonts w:ascii="Times New Roman" w:hAnsi="Times New Roman" w:cs="Times New Roman"/>
          <w:lang w:val="en-IE"/>
        </w:rPr>
        <w:t xml:space="preserve">larger, more established </w:t>
      </w:r>
      <w:r w:rsidR="005B6301" w:rsidRPr="00C73908">
        <w:rPr>
          <w:rFonts w:ascii="Times New Roman" w:hAnsi="Times New Roman" w:cs="Times New Roman"/>
          <w:lang w:val="en-IE"/>
        </w:rPr>
        <w:t>rivals.</w:t>
      </w:r>
    </w:p>
    <w:p w14:paraId="6575F940" w14:textId="77777777" w:rsidR="004F7AF7" w:rsidRPr="00C73908" w:rsidRDefault="004F7AF7" w:rsidP="003E21F5">
      <w:pPr>
        <w:widowControl w:val="0"/>
        <w:autoSpaceDE w:val="0"/>
        <w:autoSpaceDN w:val="0"/>
        <w:adjustRightInd w:val="0"/>
        <w:spacing w:after="0" w:line="240" w:lineRule="auto"/>
        <w:rPr>
          <w:rFonts w:ascii="Times New Roman" w:hAnsi="Times New Roman" w:cs="Times New Roman"/>
          <w:b/>
          <w:bCs/>
        </w:rPr>
      </w:pPr>
      <w:r w:rsidRPr="00C73908">
        <w:rPr>
          <w:rFonts w:ascii="Times New Roman" w:hAnsi="Times New Roman" w:cs="Times New Roman"/>
          <w:b/>
          <w:bCs/>
        </w:rPr>
        <w:t>Figure 2: Sector trends in median R&amp;D intensities 2010-19</w:t>
      </w:r>
    </w:p>
    <w:p w14:paraId="694D01F3" w14:textId="130BF6C8" w:rsidR="002F4D16" w:rsidRPr="00C73908" w:rsidRDefault="00DE4B2B" w:rsidP="008A6DF2">
      <w:pPr>
        <w:spacing w:after="240" w:line="360" w:lineRule="auto"/>
        <w:jc w:val="both"/>
        <w:rPr>
          <w:rFonts w:ascii="Times New Roman" w:hAnsi="Times New Roman" w:cs="Times New Roman"/>
          <w:lang w:val="en-IE"/>
        </w:rPr>
      </w:pPr>
      <w:r w:rsidRPr="00C73908">
        <w:rPr>
          <w:rFonts w:ascii="Times New Roman" w:hAnsi="Times New Roman" w:cs="Times New Roman"/>
          <w:noProof/>
          <w:lang w:val="en-IE"/>
        </w:rPr>
        <w:drawing>
          <wp:inline distT="0" distB="0" distL="0" distR="0" wp14:anchorId="361430C1" wp14:editId="6CA774C2">
            <wp:extent cx="3975100" cy="235331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2353310"/>
                    </a:xfrm>
                    <a:prstGeom prst="rect">
                      <a:avLst/>
                    </a:prstGeom>
                    <a:noFill/>
                  </pic:spPr>
                </pic:pic>
              </a:graphicData>
            </a:graphic>
          </wp:inline>
        </w:drawing>
      </w:r>
    </w:p>
    <w:p w14:paraId="5D647E1C" w14:textId="6F98C90A" w:rsidR="004674E6" w:rsidRDefault="00146A5B" w:rsidP="00C115B1">
      <w:pPr>
        <w:spacing w:after="0" w:line="360" w:lineRule="auto"/>
        <w:jc w:val="both"/>
        <w:rPr>
          <w:rFonts w:ascii="Times New Roman" w:hAnsi="Times New Roman" w:cs="Times New Roman"/>
          <w:lang w:val="en-IE"/>
        </w:rPr>
      </w:pPr>
      <w:r w:rsidRPr="00C73908">
        <w:rPr>
          <w:rFonts w:ascii="Times New Roman" w:hAnsi="Times New Roman" w:cs="Times New Roman"/>
          <w:lang w:val="en-IE"/>
        </w:rPr>
        <w:t xml:space="preserve">An analysis of the trends in </w:t>
      </w:r>
      <w:r w:rsidR="009F59A9" w:rsidRPr="00C73908">
        <w:rPr>
          <w:rFonts w:ascii="Times New Roman" w:hAnsi="Times New Roman" w:cs="Times New Roman"/>
          <w:lang w:val="en-IE"/>
        </w:rPr>
        <w:t xml:space="preserve">R&amp;D intensity and </w:t>
      </w:r>
      <w:r w:rsidR="007A0857" w:rsidRPr="00C73908">
        <w:rPr>
          <w:rFonts w:ascii="Times New Roman" w:hAnsi="Times New Roman" w:cs="Times New Roman"/>
          <w:lang w:val="en-IE"/>
        </w:rPr>
        <w:t xml:space="preserve">new product development </w:t>
      </w:r>
      <w:r w:rsidR="0077270F" w:rsidRPr="00C73908">
        <w:rPr>
          <w:rFonts w:ascii="Times New Roman" w:hAnsi="Times New Roman" w:cs="Times New Roman"/>
          <w:lang w:val="en-IE"/>
        </w:rPr>
        <w:t>s</w:t>
      </w:r>
      <w:r w:rsidR="007A0857" w:rsidRPr="00C73908">
        <w:rPr>
          <w:rFonts w:ascii="Times New Roman" w:hAnsi="Times New Roman" w:cs="Times New Roman"/>
          <w:lang w:val="en-IE"/>
        </w:rPr>
        <w:t>uggests that there has been</w:t>
      </w:r>
      <w:r w:rsidR="00290071" w:rsidRPr="00C73908">
        <w:rPr>
          <w:rFonts w:ascii="Times New Roman" w:hAnsi="Times New Roman" w:cs="Times New Roman"/>
          <w:lang w:val="en-IE"/>
        </w:rPr>
        <w:t xml:space="preserve"> a decline in </w:t>
      </w:r>
      <w:r w:rsidR="007A0857" w:rsidRPr="00C73908">
        <w:rPr>
          <w:rFonts w:ascii="Times New Roman" w:hAnsi="Times New Roman" w:cs="Times New Roman"/>
          <w:lang w:val="en-IE"/>
        </w:rPr>
        <w:t xml:space="preserve">both </w:t>
      </w:r>
      <w:r w:rsidR="005F2619" w:rsidRPr="00C73908">
        <w:rPr>
          <w:rFonts w:ascii="Times New Roman" w:hAnsi="Times New Roman" w:cs="Times New Roman"/>
          <w:lang w:val="en-IE"/>
        </w:rPr>
        <w:t xml:space="preserve">R&amp;D </w:t>
      </w:r>
      <w:r w:rsidR="007A0857" w:rsidRPr="00C73908">
        <w:rPr>
          <w:rFonts w:ascii="Times New Roman" w:hAnsi="Times New Roman" w:cs="Times New Roman"/>
          <w:lang w:val="en-IE"/>
        </w:rPr>
        <w:t>investment</w:t>
      </w:r>
      <w:r w:rsidR="00330214" w:rsidRPr="00C73908">
        <w:rPr>
          <w:rFonts w:ascii="Times New Roman" w:hAnsi="Times New Roman" w:cs="Times New Roman"/>
          <w:lang w:val="en-IE"/>
        </w:rPr>
        <w:t xml:space="preserve"> levels</w:t>
      </w:r>
      <w:r w:rsidR="007A0857" w:rsidRPr="00C73908">
        <w:rPr>
          <w:rFonts w:ascii="Times New Roman" w:hAnsi="Times New Roman" w:cs="Times New Roman"/>
          <w:lang w:val="en-IE"/>
        </w:rPr>
        <w:t xml:space="preserve"> and outputs from</w:t>
      </w:r>
      <w:r w:rsidR="00290071" w:rsidRPr="00C73908">
        <w:rPr>
          <w:rFonts w:ascii="Times New Roman" w:hAnsi="Times New Roman" w:cs="Times New Roman"/>
          <w:lang w:val="en-IE"/>
        </w:rPr>
        <w:t xml:space="preserve"> innovation</w:t>
      </w:r>
      <w:r w:rsidR="005F2619" w:rsidRPr="00C73908">
        <w:rPr>
          <w:rFonts w:ascii="Times New Roman" w:hAnsi="Times New Roman" w:cs="Times New Roman"/>
          <w:lang w:val="en-IE"/>
        </w:rPr>
        <w:t xml:space="preserve"> over the past decade</w:t>
      </w:r>
      <w:r w:rsidR="00290071" w:rsidRPr="00C73908">
        <w:rPr>
          <w:rFonts w:ascii="Times New Roman" w:hAnsi="Times New Roman" w:cs="Times New Roman"/>
          <w:lang w:val="en-IE"/>
        </w:rPr>
        <w:t>.</w:t>
      </w:r>
      <w:r w:rsidR="008D2A6B" w:rsidRPr="00C73908">
        <w:rPr>
          <w:rFonts w:ascii="Times New Roman" w:hAnsi="Times New Roman" w:cs="Times New Roman"/>
          <w:lang w:val="en-IE"/>
        </w:rPr>
        <w:t xml:space="preserve"> </w:t>
      </w:r>
      <w:r w:rsidR="002B5046" w:rsidRPr="00C73908">
        <w:rPr>
          <w:rFonts w:ascii="Times New Roman" w:hAnsi="Times New Roman" w:cs="Times New Roman"/>
          <w:lang w:val="en-IE"/>
        </w:rPr>
        <w:t xml:space="preserve">It is important to note that this is a relative decline. Absolute levels of investment in innovation have increased </w:t>
      </w:r>
      <w:r w:rsidR="00FC4545" w:rsidRPr="00C73908">
        <w:rPr>
          <w:rFonts w:ascii="Times New Roman" w:hAnsi="Times New Roman" w:cs="Times New Roman"/>
          <w:lang w:val="en-IE"/>
        </w:rPr>
        <w:t xml:space="preserve">since 2010 </w:t>
      </w:r>
      <w:r w:rsidR="002B5046" w:rsidRPr="00C73908">
        <w:rPr>
          <w:rFonts w:ascii="Times New Roman" w:hAnsi="Times New Roman" w:cs="Times New Roman"/>
          <w:lang w:val="en-IE"/>
        </w:rPr>
        <w:t xml:space="preserve">with average R&amp;D expenditure up by 31%. However, this is less than the growth in average sales which have increased by 90% over the same period, hence the relative decline of R&amp;D expenditure as a proportion of overall sales. </w:t>
      </w:r>
      <w:r w:rsidR="00B45DD1" w:rsidRPr="00C73908">
        <w:rPr>
          <w:rFonts w:ascii="Times New Roman" w:hAnsi="Times New Roman" w:cs="Times New Roman"/>
          <w:lang w:val="en-IE"/>
        </w:rPr>
        <w:t xml:space="preserve">Figure 2 </w:t>
      </w:r>
      <w:r w:rsidR="00085E34" w:rsidRPr="00C73908">
        <w:rPr>
          <w:rFonts w:ascii="Times New Roman" w:hAnsi="Times New Roman" w:cs="Times New Roman"/>
          <w:lang w:val="en-IE"/>
        </w:rPr>
        <w:t>above</w:t>
      </w:r>
      <w:r w:rsidR="00B45DD1" w:rsidRPr="00C73908">
        <w:rPr>
          <w:rFonts w:ascii="Times New Roman" w:hAnsi="Times New Roman" w:cs="Times New Roman"/>
          <w:lang w:val="en-IE"/>
        </w:rPr>
        <w:t xml:space="preserve"> shows th</w:t>
      </w:r>
      <w:r w:rsidR="00A7737C" w:rsidRPr="00C73908">
        <w:rPr>
          <w:rFonts w:ascii="Times New Roman" w:hAnsi="Times New Roman" w:cs="Times New Roman"/>
          <w:lang w:val="en-IE"/>
        </w:rPr>
        <w:t xml:space="preserve">at both sectors have </w:t>
      </w:r>
      <w:r w:rsidR="00A17E28" w:rsidRPr="00C73908">
        <w:rPr>
          <w:rFonts w:ascii="Times New Roman" w:hAnsi="Times New Roman" w:cs="Times New Roman"/>
          <w:lang w:val="en-IE"/>
        </w:rPr>
        <w:t>seen</w:t>
      </w:r>
      <w:r w:rsidR="00A7737C" w:rsidRPr="00C73908">
        <w:rPr>
          <w:rFonts w:ascii="Times New Roman" w:hAnsi="Times New Roman" w:cs="Times New Roman"/>
          <w:lang w:val="en-IE"/>
        </w:rPr>
        <w:t xml:space="preserve"> declines in</w:t>
      </w:r>
      <w:r w:rsidR="00B45DD1" w:rsidRPr="00C73908">
        <w:rPr>
          <w:rFonts w:ascii="Times New Roman" w:hAnsi="Times New Roman" w:cs="Times New Roman"/>
          <w:lang w:val="en-IE"/>
        </w:rPr>
        <w:t xml:space="preserve"> median</w:t>
      </w:r>
      <w:r w:rsidR="006518BE" w:rsidRPr="00C73908">
        <w:rPr>
          <w:rFonts w:ascii="Times New Roman" w:hAnsi="Times New Roman" w:cs="Times New Roman"/>
          <w:lang w:val="en-IE"/>
        </w:rPr>
        <w:t xml:space="preserve"> R&amp;D intensities</w:t>
      </w:r>
      <w:r w:rsidR="00D72F45" w:rsidRPr="00C73908">
        <w:rPr>
          <w:rFonts w:ascii="Times New Roman" w:hAnsi="Times New Roman" w:cs="Times New Roman"/>
          <w:lang w:val="en-IE"/>
        </w:rPr>
        <w:t xml:space="preserve"> from 2010 to 2019</w:t>
      </w:r>
      <w:r w:rsidR="00FF0194" w:rsidRPr="00C73908">
        <w:rPr>
          <w:rFonts w:ascii="Times New Roman" w:hAnsi="Times New Roman" w:cs="Times New Roman"/>
          <w:lang w:val="en-IE"/>
        </w:rPr>
        <w:t xml:space="preserve">. </w:t>
      </w:r>
      <w:r w:rsidR="00A17E28" w:rsidRPr="00C73908">
        <w:rPr>
          <w:rFonts w:ascii="Times New Roman" w:hAnsi="Times New Roman" w:cs="Times New Roman"/>
          <w:lang w:val="en-IE"/>
        </w:rPr>
        <w:t>M</w:t>
      </w:r>
      <w:r w:rsidR="00FF0194" w:rsidRPr="00C73908">
        <w:rPr>
          <w:rFonts w:ascii="Times New Roman" w:hAnsi="Times New Roman" w:cs="Times New Roman"/>
          <w:lang w:val="en-IE"/>
        </w:rPr>
        <w:t xml:space="preserve">anufacturing has </w:t>
      </w:r>
      <w:r w:rsidR="00CB1775" w:rsidRPr="00C73908">
        <w:rPr>
          <w:rFonts w:ascii="Times New Roman" w:hAnsi="Times New Roman" w:cs="Times New Roman"/>
          <w:lang w:val="en-IE"/>
        </w:rPr>
        <w:t xml:space="preserve">experienced a </w:t>
      </w:r>
      <w:r w:rsidR="00160384" w:rsidRPr="00C73908">
        <w:rPr>
          <w:rFonts w:ascii="Times New Roman" w:hAnsi="Times New Roman" w:cs="Times New Roman"/>
          <w:lang w:val="en-IE"/>
        </w:rPr>
        <w:t xml:space="preserve">significant </w:t>
      </w:r>
      <w:r w:rsidR="00CB1775" w:rsidRPr="00C73908">
        <w:rPr>
          <w:rFonts w:ascii="Times New Roman" w:hAnsi="Times New Roman" w:cs="Times New Roman"/>
          <w:lang w:val="en-IE"/>
        </w:rPr>
        <w:t>decline</w:t>
      </w:r>
      <w:r w:rsidR="00D9446D" w:rsidRPr="00C73908">
        <w:rPr>
          <w:rFonts w:ascii="Times New Roman" w:hAnsi="Times New Roman" w:cs="Times New Roman"/>
          <w:lang w:val="en-IE"/>
        </w:rPr>
        <w:t xml:space="preserve"> from 1.2% in 2010 to 0.8% in 2019.</w:t>
      </w:r>
      <w:r w:rsidR="00CB1775" w:rsidRPr="00C73908">
        <w:rPr>
          <w:rFonts w:ascii="Times New Roman" w:hAnsi="Times New Roman" w:cs="Times New Roman"/>
          <w:lang w:val="en-IE"/>
        </w:rPr>
        <w:t xml:space="preserve"> </w:t>
      </w:r>
      <w:r w:rsidR="00D9446D" w:rsidRPr="00C73908">
        <w:rPr>
          <w:rFonts w:ascii="Times New Roman" w:hAnsi="Times New Roman" w:cs="Times New Roman"/>
          <w:lang w:val="en-IE"/>
        </w:rPr>
        <w:t>T</w:t>
      </w:r>
      <w:r w:rsidR="00CB1775" w:rsidRPr="00C73908">
        <w:rPr>
          <w:rFonts w:ascii="Times New Roman" w:hAnsi="Times New Roman" w:cs="Times New Roman"/>
          <w:lang w:val="en-IE"/>
        </w:rPr>
        <w:t>he trend in services</w:t>
      </w:r>
      <w:r w:rsidR="00D9446D" w:rsidRPr="00C73908">
        <w:rPr>
          <w:rFonts w:ascii="Times New Roman" w:hAnsi="Times New Roman" w:cs="Times New Roman"/>
          <w:lang w:val="en-IE"/>
        </w:rPr>
        <w:t>, on the other hand,</w:t>
      </w:r>
      <w:r w:rsidR="00CB1775" w:rsidRPr="00C73908">
        <w:rPr>
          <w:rFonts w:ascii="Times New Roman" w:hAnsi="Times New Roman" w:cs="Times New Roman"/>
          <w:lang w:val="en-IE"/>
        </w:rPr>
        <w:t xml:space="preserve"> has been more volatile</w:t>
      </w:r>
      <w:r w:rsidR="004231E2" w:rsidRPr="00C73908">
        <w:rPr>
          <w:rFonts w:ascii="Times New Roman" w:hAnsi="Times New Roman" w:cs="Times New Roman"/>
          <w:lang w:val="en-IE"/>
        </w:rPr>
        <w:t xml:space="preserve"> with a large fall from 2010 to 2011</w:t>
      </w:r>
      <w:r w:rsidR="00D9446D" w:rsidRPr="00C73908">
        <w:rPr>
          <w:rFonts w:ascii="Times New Roman" w:hAnsi="Times New Roman" w:cs="Times New Roman"/>
          <w:lang w:val="en-IE"/>
        </w:rPr>
        <w:t xml:space="preserve"> followed by annual incre</w:t>
      </w:r>
      <w:r w:rsidR="0084210B" w:rsidRPr="00C73908">
        <w:rPr>
          <w:rFonts w:ascii="Times New Roman" w:hAnsi="Times New Roman" w:cs="Times New Roman"/>
          <w:lang w:val="en-IE"/>
        </w:rPr>
        <w:t>ases in 2012-14 and another fall in 2015</w:t>
      </w:r>
      <w:r w:rsidR="00CB1775" w:rsidRPr="00C73908">
        <w:rPr>
          <w:rFonts w:ascii="Times New Roman" w:hAnsi="Times New Roman" w:cs="Times New Roman"/>
          <w:lang w:val="en-IE"/>
        </w:rPr>
        <w:t>.</w:t>
      </w:r>
    </w:p>
    <w:p w14:paraId="1BD70130" w14:textId="77777777" w:rsidR="004F7AF7" w:rsidRPr="00C73908" w:rsidRDefault="004F7AF7" w:rsidP="00CD0BF9">
      <w:pPr>
        <w:widowControl w:val="0"/>
        <w:autoSpaceDE w:val="0"/>
        <w:autoSpaceDN w:val="0"/>
        <w:adjustRightInd w:val="0"/>
        <w:spacing w:after="0" w:line="240" w:lineRule="auto"/>
        <w:rPr>
          <w:rFonts w:ascii="Times New Roman" w:hAnsi="Times New Roman" w:cs="Times New Roman"/>
          <w:b/>
          <w:bCs/>
        </w:rPr>
      </w:pPr>
      <w:r w:rsidRPr="00C73908">
        <w:rPr>
          <w:rFonts w:ascii="Times New Roman" w:hAnsi="Times New Roman" w:cs="Times New Roman"/>
          <w:b/>
          <w:bCs/>
        </w:rPr>
        <w:t>Figure 3: Sector trends in average sales from new products 2010-19</w:t>
      </w:r>
    </w:p>
    <w:p w14:paraId="0A751291" w14:textId="2A31F315" w:rsidR="002F4D16" w:rsidRPr="00C73908" w:rsidRDefault="00DE4B2B" w:rsidP="008A6DF2">
      <w:pPr>
        <w:spacing w:after="240" w:line="360" w:lineRule="auto"/>
        <w:jc w:val="both"/>
        <w:rPr>
          <w:rFonts w:ascii="Times New Roman" w:hAnsi="Times New Roman" w:cs="Times New Roman"/>
          <w:lang w:val="en-IE"/>
        </w:rPr>
      </w:pPr>
      <w:r w:rsidRPr="00C73908">
        <w:rPr>
          <w:rFonts w:ascii="Times New Roman" w:hAnsi="Times New Roman" w:cs="Times New Roman"/>
          <w:noProof/>
          <w:lang w:val="en-IE"/>
        </w:rPr>
        <w:drawing>
          <wp:inline distT="0" distB="0" distL="0" distR="0" wp14:anchorId="67466FB4" wp14:editId="31CE1858">
            <wp:extent cx="3975100" cy="235331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5100" cy="2353310"/>
                    </a:xfrm>
                    <a:prstGeom prst="rect">
                      <a:avLst/>
                    </a:prstGeom>
                    <a:noFill/>
                  </pic:spPr>
                </pic:pic>
              </a:graphicData>
            </a:graphic>
          </wp:inline>
        </w:drawing>
      </w:r>
    </w:p>
    <w:p w14:paraId="3E3F4A74" w14:textId="77777777" w:rsidR="00EF7CC0" w:rsidRDefault="004D724C"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lastRenderedPageBreak/>
        <w:t xml:space="preserve">A similar trend is also observed </w:t>
      </w:r>
      <w:r w:rsidR="00F93B92" w:rsidRPr="00C73908">
        <w:rPr>
          <w:rFonts w:ascii="Times New Roman" w:hAnsi="Times New Roman" w:cs="Times New Roman"/>
          <w:lang w:val="en-IE"/>
        </w:rPr>
        <w:t>in the level of new product development across both sectors</w:t>
      </w:r>
      <w:r w:rsidR="00DD3DB3" w:rsidRPr="00C73908">
        <w:rPr>
          <w:rFonts w:ascii="Times New Roman" w:hAnsi="Times New Roman" w:cs="Times New Roman"/>
          <w:lang w:val="en-IE"/>
        </w:rPr>
        <w:t xml:space="preserve"> as outlined in Figure 3 </w:t>
      </w:r>
      <w:r w:rsidR="00085E34" w:rsidRPr="00C73908">
        <w:rPr>
          <w:rFonts w:ascii="Times New Roman" w:hAnsi="Times New Roman" w:cs="Times New Roman"/>
          <w:lang w:val="en-IE"/>
        </w:rPr>
        <w:t>above</w:t>
      </w:r>
      <w:r w:rsidR="00DD3DB3" w:rsidRPr="00C73908">
        <w:rPr>
          <w:rFonts w:ascii="Times New Roman" w:hAnsi="Times New Roman" w:cs="Times New Roman"/>
          <w:lang w:val="en-IE"/>
        </w:rPr>
        <w:t>.</w:t>
      </w:r>
      <w:r w:rsidR="00B234DA" w:rsidRPr="00C73908">
        <w:rPr>
          <w:rFonts w:ascii="Times New Roman" w:hAnsi="Times New Roman" w:cs="Times New Roman"/>
          <w:lang w:val="en-IE"/>
        </w:rPr>
        <w:t xml:space="preserve"> Services companies have seen the </w:t>
      </w:r>
      <w:r w:rsidR="00DD3DB3" w:rsidRPr="00C73908">
        <w:rPr>
          <w:rFonts w:ascii="Times New Roman" w:hAnsi="Times New Roman" w:cs="Times New Roman"/>
          <w:lang w:val="en-IE"/>
        </w:rPr>
        <w:t xml:space="preserve">largest declines with new products accounting for </w:t>
      </w:r>
      <w:r w:rsidR="005405BB" w:rsidRPr="00C73908">
        <w:rPr>
          <w:rFonts w:ascii="Times New Roman" w:hAnsi="Times New Roman" w:cs="Times New Roman"/>
          <w:lang w:val="en-IE"/>
        </w:rPr>
        <w:t>12% of sales on average</w:t>
      </w:r>
      <w:r w:rsidR="00883444" w:rsidRPr="00C73908">
        <w:rPr>
          <w:rFonts w:ascii="Times New Roman" w:hAnsi="Times New Roman" w:cs="Times New Roman"/>
          <w:lang w:val="en-IE"/>
        </w:rPr>
        <w:t xml:space="preserve"> in 2019 down from 24% in 2010</w:t>
      </w:r>
      <w:r w:rsidR="00261003" w:rsidRPr="00C73908">
        <w:rPr>
          <w:rFonts w:ascii="Times New Roman" w:hAnsi="Times New Roman" w:cs="Times New Roman"/>
          <w:lang w:val="en-IE"/>
        </w:rPr>
        <w:t xml:space="preserve">. Manufacturing </w:t>
      </w:r>
      <w:r w:rsidR="004F0424" w:rsidRPr="00C73908">
        <w:rPr>
          <w:rFonts w:ascii="Times New Roman" w:hAnsi="Times New Roman" w:cs="Times New Roman"/>
          <w:lang w:val="en-IE"/>
        </w:rPr>
        <w:t xml:space="preserve">is down from </w:t>
      </w:r>
      <w:r w:rsidR="00476B87" w:rsidRPr="00C73908">
        <w:rPr>
          <w:rFonts w:ascii="Times New Roman" w:hAnsi="Times New Roman" w:cs="Times New Roman"/>
          <w:lang w:val="en-IE"/>
        </w:rPr>
        <w:t xml:space="preserve">15% in 2010 to 10% in 2019. </w:t>
      </w:r>
      <w:r w:rsidR="004B0F1A" w:rsidRPr="00C73908">
        <w:rPr>
          <w:rFonts w:ascii="Times New Roman" w:hAnsi="Times New Roman" w:cs="Times New Roman"/>
          <w:lang w:val="en-IE"/>
        </w:rPr>
        <w:t>One possible reason for the declines in both R&amp;D intensity and new product development is th</w:t>
      </w:r>
      <w:r w:rsidR="00275424" w:rsidRPr="00C73908">
        <w:rPr>
          <w:rFonts w:ascii="Times New Roman" w:hAnsi="Times New Roman" w:cs="Times New Roman"/>
          <w:lang w:val="en-IE"/>
        </w:rPr>
        <w:t xml:space="preserve">at the level of investment in innovation </w:t>
      </w:r>
      <w:r w:rsidR="0077425F" w:rsidRPr="00C73908">
        <w:rPr>
          <w:rFonts w:ascii="Times New Roman" w:hAnsi="Times New Roman" w:cs="Times New Roman"/>
          <w:lang w:val="en-IE"/>
        </w:rPr>
        <w:t>increased</w:t>
      </w:r>
      <w:r w:rsidR="00392AE3" w:rsidRPr="00C73908">
        <w:rPr>
          <w:rFonts w:ascii="Times New Roman" w:hAnsi="Times New Roman" w:cs="Times New Roman"/>
          <w:lang w:val="en-IE"/>
        </w:rPr>
        <w:t xml:space="preserve"> </w:t>
      </w:r>
      <w:r w:rsidR="00E57CB5" w:rsidRPr="00C73908">
        <w:rPr>
          <w:rFonts w:ascii="Times New Roman" w:hAnsi="Times New Roman" w:cs="Times New Roman"/>
          <w:lang w:val="en-IE"/>
        </w:rPr>
        <w:t>after the onset of the recession in</w:t>
      </w:r>
      <w:r w:rsidR="009C62D1" w:rsidRPr="00C73908">
        <w:rPr>
          <w:rFonts w:ascii="Times New Roman" w:hAnsi="Times New Roman" w:cs="Times New Roman"/>
          <w:lang w:val="en-IE"/>
        </w:rPr>
        <w:t xml:space="preserve"> 2008</w:t>
      </w:r>
      <w:r w:rsidR="00D8218D" w:rsidRPr="00C73908">
        <w:rPr>
          <w:rFonts w:ascii="Times New Roman" w:hAnsi="Times New Roman" w:cs="Times New Roman"/>
          <w:lang w:val="en-IE"/>
        </w:rPr>
        <w:t xml:space="preserve">. With a particularly severe contraction in the </w:t>
      </w:r>
      <w:r w:rsidR="00C5697A" w:rsidRPr="00C73908">
        <w:rPr>
          <w:rFonts w:ascii="Times New Roman" w:hAnsi="Times New Roman" w:cs="Times New Roman"/>
          <w:lang w:val="en-IE"/>
        </w:rPr>
        <w:t xml:space="preserve">Irish </w:t>
      </w:r>
      <w:r w:rsidR="00D8218D" w:rsidRPr="00C73908">
        <w:rPr>
          <w:rFonts w:ascii="Times New Roman" w:hAnsi="Times New Roman" w:cs="Times New Roman"/>
          <w:lang w:val="en-IE"/>
        </w:rPr>
        <w:t xml:space="preserve">economy, </w:t>
      </w:r>
      <w:r w:rsidR="00A76DC2" w:rsidRPr="00C73908">
        <w:rPr>
          <w:rFonts w:ascii="Times New Roman" w:hAnsi="Times New Roman" w:cs="Times New Roman"/>
          <w:lang w:val="en-IE"/>
        </w:rPr>
        <w:t xml:space="preserve">indigenous </w:t>
      </w:r>
      <w:r w:rsidR="00994A72" w:rsidRPr="00C73908">
        <w:rPr>
          <w:rFonts w:ascii="Times New Roman" w:hAnsi="Times New Roman" w:cs="Times New Roman"/>
          <w:lang w:val="en-IE"/>
        </w:rPr>
        <w:t xml:space="preserve">companies </w:t>
      </w:r>
      <w:r w:rsidR="00A54233" w:rsidRPr="00C73908">
        <w:rPr>
          <w:rFonts w:ascii="Times New Roman" w:hAnsi="Times New Roman" w:cs="Times New Roman"/>
          <w:lang w:val="en-IE"/>
        </w:rPr>
        <w:t>sought</w:t>
      </w:r>
      <w:r w:rsidR="00501572" w:rsidRPr="00C73908">
        <w:rPr>
          <w:rFonts w:ascii="Times New Roman" w:hAnsi="Times New Roman" w:cs="Times New Roman"/>
          <w:lang w:val="en-IE"/>
        </w:rPr>
        <w:t xml:space="preserve"> to increase their exports to offset </w:t>
      </w:r>
      <w:r w:rsidR="003A7DAA" w:rsidRPr="00C73908">
        <w:rPr>
          <w:rFonts w:ascii="Times New Roman" w:hAnsi="Times New Roman" w:cs="Times New Roman"/>
          <w:lang w:val="en-IE"/>
        </w:rPr>
        <w:t>sales losses in the domestic market</w:t>
      </w:r>
      <w:r w:rsidR="00E57CB5" w:rsidRPr="00C73908">
        <w:rPr>
          <w:rFonts w:ascii="Times New Roman" w:hAnsi="Times New Roman" w:cs="Times New Roman"/>
          <w:lang w:val="en-IE"/>
        </w:rPr>
        <w:t xml:space="preserve"> (domestic sales of EI client companies </w:t>
      </w:r>
      <w:r w:rsidR="002861A9" w:rsidRPr="00C73908">
        <w:rPr>
          <w:rFonts w:ascii="Times New Roman" w:hAnsi="Times New Roman" w:cs="Times New Roman"/>
          <w:lang w:val="en-IE"/>
        </w:rPr>
        <w:t>declined by 24% between 2008 and 2012)</w:t>
      </w:r>
      <w:r w:rsidR="003A7DAA" w:rsidRPr="00C73908">
        <w:rPr>
          <w:rFonts w:ascii="Times New Roman" w:hAnsi="Times New Roman" w:cs="Times New Roman"/>
          <w:lang w:val="en-IE"/>
        </w:rPr>
        <w:t>.</w:t>
      </w:r>
      <w:r w:rsidR="00452155" w:rsidRPr="00C73908">
        <w:rPr>
          <w:rFonts w:ascii="Times New Roman" w:hAnsi="Times New Roman" w:cs="Times New Roman"/>
          <w:lang w:val="en-IE"/>
        </w:rPr>
        <w:t xml:space="preserve"> This</w:t>
      </w:r>
      <w:r w:rsidR="00FB2FDF" w:rsidRPr="00C73908">
        <w:rPr>
          <w:rFonts w:ascii="Times New Roman" w:hAnsi="Times New Roman" w:cs="Times New Roman"/>
          <w:lang w:val="en-IE"/>
        </w:rPr>
        <w:t xml:space="preserve"> </w:t>
      </w:r>
      <w:r w:rsidR="0075358B" w:rsidRPr="00C73908">
        <w:rPr>
          <w:rFonts w:ascii="Times New Roman" w:hAnsi="Times New Roman" w:cs="Times New Roman"/>
          <w:lang w:val="en-IE"/>
        </w:rPr>
        <w:t>meant that</w:t>
      </w:r>
      <w:r w:rsidR="00FB2FDF" w:rsidRPr="00C73908">
        <w:rPr>
          <w:rFonts w:ascii="Times New Roman" w:hAnsi="Times New Roman" w:cs="Times New Roman"/>
          <w:lang w:val="en-IE"/>
        </w:rPr>
        <w:t xml:space="preserve">, in order to </w:t>
      </w:r>
      <w:r w:rsidR="00752AA7" w:rsidRPr="00C73908">
        <w:rPr>
          <w:rFonts w:ascii="Times New Roman" w:hAnsi="Times New Roman" w:cs="Times New Roman"/>
          <w:lang w:val="en-IE"/>
        </w:rPr>
        <w:t xml:space="preserve">survive in </w:t>
      </w:r>
      <w:r w:rsidR="000C066E" w:rsidRPr="00C73908">
        <w:rPr>
          <w:rFonts w:ascii="Times New Roman" w:hAnsi="Times New Roman" w:cs="Times New Roman"/>
          <w:lang w:val="en-IE"/>
        </w:rPr>
        <w:t xml:space="preserve">a </w:t>
      </w:r>
      <w:r w:rsidR="00752AA7" w:rsidRPr="00C73908">
        <w:rPr>
          <w:rFonts w:ascii="Times New Roman" w:hAnsi="Times New Roman" w:cs="Times New Roman"/>
          <w:lang w:val="en-IE"/>
        </w:rPr>
        <w:t xml:space="preserve">very challenging </w:t>
      </w:r>
      <w:r w:rsidR="000C066E" w:rsidRPr="00C73908">
        <w:rPr>
          <w:rFonts w:ascii="Times New Roman" w:hAnsi="Times New Roman" w:cs="Times New Roman"/>
          <w:lang w:val="en-IE"/>
        </w:rPr>
        <w:t>economic environment</w:t>
      </w:r>
      <w:r w:rsidR="00FB2FDF" w:rsidRPr="00C73908">
        <w:rPr>
          <w:rFonts w:ascii="Times New Roman" w:hAnsi="Times New Roman" w:cs="Times New Roman"/>
          <w:lang w:val="en-IE"/>
        </w:rPr>
        <w:t>,</w:t>
      </w:r>
      <w:r w:rsidR="0075358B" w:rsidRPr="00C73908">
        <w:rPr>
          <w:rFonts w:ascii="Times New Roman" w:hAnsi="Times New Roman" w:cs="Times New Roman"/>
          <w:lang w:val="en-IE"/>
        </w:rPr>
        <w:t xml:space="preserve"> </w:t>
      </w:r>
      <w:r w:rsidR="00CC54F3" w:rsidRPr="00C73908">
        <w:rPr>
          <w:rFonts w:ascii="Times New Roman" w:hAnsi="Times New Roman" w:cs="Times New Roman"/>
          <w:lang w:val="en-IE"/>
        </w:rPr>
        <w:t>many</w:t>
      </w:r>
      <w:r w:rsidR="00452155" w:rsidRPr="00C73908">
        <w:rPr>
          <w:rFonts w:ascii="Times New Roman" w:hAnsi="Times New Roman" w:cs="Times New Roman"/>
          <w:lang w:val="en-IE"/>
        </w:rPr>
        <w:t xml:space="preserve"> companies </w:t>
      </w:r>
      <w:r w:rsidR="008B4BD9" w:rsidRPr="00C73908">
        <w:rPr>
          <w:rFonts w:ascii="Times New Roman" w:hAnsi="Times New Roman" w:cs="Times New Roman"/>
          <w:lang w:val="en-IE"/>
        </w:rPr>
        <w:t xml:space="preserve">needed </w:t>
      </w:r>
      <w:r w:rsidR="00452155" w:rsidRPr="00C73908">
        <w:rPr>
          <w:rFonts w:ascii="Times New Roman" w:hAnsi="Times New Roman" w:cs="Times New Roman"/>
          <w:lang w:val="en-IE"/>
        </w:rPr>
        <w:t xml:space="preserve">to </w:t>
      </w:r>
      <w:r w:rsidR="00FF267D" w:rsidRPr="00C73908">
        <w:rPr>
          <w:rFonts w:ascii="Times New Roman" w:hAnsi="Times New Roman" w:cs="Times New Roman"/>
          <w:lang w:val="en-IE"/>
        </w:rPr>
        <w:t>develop</w:t>
      </w:r>
      <w:r w:rsidR="0075358B" w:rsidRPr="00C73908">
        <w:rPr>
          <w:rFonts w:ascii="Times New Roman" w:hAnsi="Times New Roman" w:cs="Times New Roman"/>
          <w:lang w:val="en-IE"/>
        </w:rPr>
        <w:t xml:space="preserve"> new and improved products </w:t>
      </w:r>
      <w:r w:rsidR="008B4BD9" w:rsidRPr="00C73908">
        <w:rPr>
          <w:rFonts w:ascii="Times New Roman" w:hAnsi="Times New Roman" w:cs="Times New Roman"/>
          <w:lang w:val="en-IE"/>
        </w:rPr>
        <w:t>suitable for export markets</w:t>
      </w:r>
      <w:r w:rsidR="00FF267D" w:rsidRPr="00C73908">
        <w:rPr>
          <w:rFonts w:ascii="Times New Roman" w:hAnsi="Times New Roman" w:cs="Times New Roman"/>
          <w:lang w:val="en-IE"/>
        </w:rPr>
        <w:t xml:space="preserve"> </w:t>
      </w:r>
      <w:r w:rsidR="00FB2FDF" w:rsidRPr="00C73908">
        <w:rPr>
          <w:rFonts w:ascii="Times New Roman" w:hAnsi="Times New Roman" w:cs="Times New Roman"/>
          <w:lang w:val="en-IE"/>
        </w:rPr>
        <w:t>as well as undertaking process innovation to</w:t>
      </w:r>
      <w:r w:rsidR="00B42384" w:rsidRPr="00C73908">
        <w:rPr>
          <w:rFonts w:ascii="Times New Roman" w:hAnsi="Times New Roman" w:cs="Times New Roman"/>
          <w:lang w:val="en-IE"/>
        </w:rPr>
        <w:t xml:space="preserve"> drive efficiencies and</w:t>
      </w:r>
      <w:r w:rsidR="00FB2FDF" w:rsidRPr="00C73908">
        <w:rPr>
          <w:rFonts w:ascii="Times New Roman" w:hAnsi="Times New Roman" w:cs="Times New Roman"/>
          <w:lang w:val="en-IE"/>
        </w:rPr>
        <w:t xml:space="preserve"> </w:t>
      </w:r>
      <w:r w:rsidR="00374A69" w:rsidRPr="00C73908">
        <w:rPr>
          <w:rFonts w:ascii="Times New Roman" w:hAnsi="Times New Roman" w:cs="Times New Roman"/>
          <w:lang w:val="en-IE"/>
        </w:rPr>
        <w:t>reduce their cost base</w:t>
      </w:r>
      <w:r w:rsidR="008B4BD9" w:rsidRPr="00C73908">
        <w:rPr>
          <w:rFonts w:ascii="Times New Roman" w:hAnsi="Times New Roman" w:cs="Times New Roman"/>
          <w:lang w:val="en-IE"/>
        </w:rPr>
        <w:t xml:space="preserve">. </w:t>
      </w:r>
      <w:r w:rsidR="00AB6F32" w:rsidRPr="00C73908">
        <w:rPr>
          <w:rFonts w:ascii="Times New Roman" w:hAnsi="Times New Roman" w:cs="Times New Roman"/>
          <w:lang w:val="en-IE"/>
        </w:rPr>
        <w:t>Overall, this</w:t>
      </w:r>
      <w:r w:rsidR="00752AA7" w:rsidRPr="00C73908">
        <w:rPr>
          <w:rFonts w:ascii="Times New Roman" w:hAnsi="Times New Roman" w:cs="Times New Roman"/>
          <w:lang w:val="en-IE"/>
        </w:rPr>
        <w:t xml:space="preserve"> ensured that</w:t>
      </w:r>
      <w:r w:rsidR="00A76DC2" w:rsidRPr="00C73908">
        <w:rPr>
          <w:rFonts w:ascii="Times New Roman" w:hAnsi="Times New Roman" w:cs="Times New Roman"/>
          <w:lang w:val="en-IE"/>
        </w:rPr>
        <w:t xml:space="preserve"> the levels of </w:t>
      </w:r>
      <w:r w:rsidR="0024350F" w:rsidRPr="00C73908">
        <w:rPr>
          <w:rFonts w:ascii="Times New Roman" w:hAnsi="Times New Roman" w:cs="Times New Roman"/>
          <w:lang w:val="en-IE"/>
        </w:rPr>
        <w:t>innovation</w:t>
      </w:r>
      <w:r w:rsidR="00392A4D" w:rsidRPr="00C73908">
        <w:rPr>
          <w:rFonts w:ascii="Times New Roman" w:hAnsi="Times New Roman" w:cs="Times New Roman"/>
          <w:lang w:val="en-IE"/>
        </w:rPr>
        <w:t xml:space="preserve"> </w:t>
      </w:r>
      <w:r w:rsidR="003D4CDF" w:rsidRPr="00C73908">
        <w:rPr>
          <w:rFonts w:ascii="Times New Roman" w:hAnsi="Times New Roman" w:cs="Times New Roman"/>
          <w:lang w:val="en-IE"/>
        </w:rPr>
        <w:t xml:space="preserve">remained high and even </w:t>
      </w:r>
      <w:r w:rsidR="008A2195" w:rsidRPr="00C73908">
        <w:rPr>
          <w:rFonts w:ascii="Times New Roman" w:hAnsi="Times New Roman" w:cs="Times New Roman"/>
          <w:lang w:val="en-IE"/>
        </w:rPr>
        <w:t xml:space="preserve">increased during the recessionary period </w:t>
      </w:r>
      <w:r w:rsidR="003D4CDF" w:rsidRPr="00C73908">
        <w:rPr>
          <w:rFonts w:ascii="Times New Roman" w:hAnsi="Times New Roman" w:cs="Times New Roman"/>
          <w:lang w:val="en-IE"/>
        </w:rPr>
        <w:t xml:space="preserve">with median R&amp;D intensity going from </w:t>
      </w:r>
      <w:r w:rsidR="00F8420E" w:rsidRPr="00C73908">
        <w:rPr>
          <w:rFonts w:ascii="Times New Roman" w:hAnsi="Times New Roman" w:cs="Times New Roman"/>
          <w:lang w:val="en-IE"/>
        </w:rPr>
        <w:t>1.3% in 2008 to 1.9% in 2010</w:t>
      </w:r>
      <w:r w:rsidR="0077425F" w:rsidRPr="00C73908">
        <w:rPr>
          <w:rFonts w:ascii="Times New Roman" w:hAnsi="Times New Roman" w:cs="Times New Roman"/>
          <w:lang w:val="en-IE"/>
        </w:rPr>
        <w:t xml:space="preserve">. </w:t>
      </w:r>
    </w:p>
    <w:p w14:paraId="66941F4C" w14:textId="13299B80" w:rsidR="000548AE" w:rsidRPr="00C73908" w:rsidRDefault="00A91537"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Over the course of</w:t>
      </w:r>
      <w:r w:rsidR="00AC0F14" w:rsidRPr="00C73908">
        <w:rPr>
          <w:rFonts w:ascii="Times New Roman" w:hAnsi="Times New Roman" w:cs="Times New Roman"/>
          <w:lang w:val="en-IE"/>
        </w:rPr>
        <w:t xml:space="preserve"> the decade, as economic conditions improved substantially both at home and in international markets</w:t>
      </w:r>
      <w:r w:rsidRPr="00C73908">
        <w:rPr>
          <w:rFonts w:ascii="Times New Roman" w:hAnsi="Times New Roman" w:cs="Times New Roman"/>
          <w:lang w:val="en-IE"/>
        </w:rPr>
        <w:t>, companies no longer had such an urgent requirement to undertake innovation</w:t>
      </w:r>
      <w:r w:rsidR="0024350F" w:rsidRPr="00C73908">
        <w:rPr>
          <w:rFonts w:ascii="Times New Roman" w:hAnsi="Times New Roman" w:cs="Times New Roman"/>
          <w:lang w:val="en-IE"/>
        </w:rPr>
        <w:t xml:space="preserve"> and</w:t>
      </w:r>
      <w:r w:rsidR="00A323D5" w:rsidRPr="00C73908">
        <w:rPr>
          <w:rFonts w:ascii="Times New Roman" w:hAnsi="Times New Roman" w:cs="Times New Roman"/>
          <w:lang w:val="en-IE"/>
        </w:rPr>
        <w:t xml:space="preserve"> both</w:t>
      </w:r>
      <w:r w:rsidR="0024350F" w:rsidRPr="00C73908">
        <w:rPr>
          <w:rFonts w:ascii="Times New Roman" w:hAnsi="Times New Roman" w:cs="Times New Roman"/>
          <w:lang w:val="en-IE"/>
        </w:rPr>
        <w:t xml:space="preserve"> R&amp;D intensities and new product development</w:t>
      </w:r>
      <w:r w:rsidR="00EB7BF5" w:rsidRPr="00C73908">
        <w:rPr>
          <w:rFonts w:ascii="Times New Roman" w:hAnsi="Times New Roman" w:cs="Times New Roman"/>
          <w:lang w:val="en-IE"/>
        </w:rPr>
        <w:t xml:space="preserve"> may have</w:t>
      </w:r>
      <w:r w:rsidR="00A323D5" w:rsidRPr="00C73908">
        <w:rPr>
          <w:rFonts w:ascii="Times New Roman" w:hAnsi="Times New Roman" w:cs="Times New Roman"/>
          <w:lang w:val="en-IE"/>
        </w:rPr>
        <w:t xml:space="preserve"> declined as a result.</w:t>
      </w:r>
      <w:r w:rsidR="00EB7BF5" w:rsidRPr="00C73908">
        <w:rPr>
          <w:rFonts w:ascii="Times New Roman" w:hAnsi="Times New Roman" w:cs="Times New Roman"/>
          <w:lang w:val="en-IE"/>
        </w:rPr>
        <w:t xml:space="preserve"> </w:t>
      </w:r>
      <w:r w:rsidR="000548AE" w:rsidRPr="00C73908">
        <w:rPr>
          <w:rFonts w:ascii="Times New Roman" w:hAnsi="Times New Roman" w:cs="Times New Roman"/>
          <w:lang w:val="en-IE"/>
        </w:rPr>
        <w:t>On the other hand, the number of companies engaging in collaborative R&amp;D</w:t>
      </w:r>
      <w:r w:rsidR="004319F4" w:rsidRPr="00C73908">
        <w:rPr>
          <w:rFonts w:ascii="Times New Roman" w:hAnsi="Times New Roman" w:cs="Times New Roman"/>
          <w:lang w:val="en-IE"/>
        </w:rPr>
        <w:t xml:space="preserve"> projects</w:t>
      </w:r>
      <w:r w:rsidR="000548AE" w:rsidRPr="00C73908">
        <w:rPr>
          <w:rFonts w:ascii="Times New Roman" w:hAnsi="Times New Roman" w:cs="Times New Roman"/>
          <w:lang w:val="en-IE"/>
        </w:rPr>
        <w:t xml:space="preserve"> </w:t>
      </w:r>
      <w:r w:rsidR="00E0098F" w:rsidRPr="00C73908">
        <w:rPr>
          <w:rFonts w:ascii="Times New Roman" w:hAnsi="Times New Roman" w:cs="Times New Roman"/>
          <w:lang w:val="en-IE"/>
        </w:rPr>
        <w:t xml:space="preserve">has </w:t>
      </w:r>
      <w:r w:rsidR="00385B43" w:rsidRPr="00C73908">
        <w:rPr>
          <w:rFonts w:ascii="Times New Roman" w:hAnsi="Times New Roman" w:cs="Times New Roman"/>
          <w:lang w:val="en-IE"/>
        </w:rPr>
        <w:t xml:space="preserve">generally </w:t>
      </w:r>
      <w:r w:rsidR="00E0098F" w:rsidRPr="00C73908">
        <w:rPr>
          <w:rFonts w:ascii="Times New Roman" w:hAnsi="Times New Roman" w:cs="Times New Roman"/>
          <w:lang w:val="en-IE"/>
        </w:rPr>
        <w:t xml:space="preserve">been increasing </w:t>
      </w:r>
      <w:r w:rsidR="00385B43" w:rsidRPr="00C73908">
        <w:rPr>
          <w:rFonts w:ascii="Times New Roman" w:hAnsi="Times New Roman" w:cs="Times New Roman"/>
          <w:lang w:val="en-IE"/>
        </w:rPr>
        <w:t>year on year since 2010.</w:t>
      </w:r>
      <w:r w:rsidR="004319F4" w:rsidRPr="00C73908">
        <w:rPr>
          <w:rFonts w:ascii="Times New Roman" w:hAnsi="Times New Roman" w:cs="Times New Roman"/>
          <w:lang w:val="en-IE"/>
        </w:rPr>
        <w:t xml:space="preserve"> This </w:t>
      </w:r>
      <w:r w:rsidR="00BB585E" w:rsidRPr="00C73908">
        <w:rPr>
          <w:rFonts w:ascii="Times New Roman" w:hAnsi="Times New Roman" w:cs="Times New Roman"/>
          <w:lang w:val="en-IE"/>
        </w:rPr>
        <w:t>has c</w:t>
      </w:r>
      <w:r w:rsidR="00BC5D72" w:rsidRPr="00C73908">
        <w:rPr>
          <w:rFonts w:ascii="Times New Roman" w:hAnsi="Times New Roman" w:cs="Times New Roman"/>
          <w:lang w:val="en-IE"/>
        </w:rPr>
        <w:t>oincided with</w:t>
      </w:r>
      <w:r w:rsidR="004319F4" w:rsidRPr="00C73908">
        <w:rPr>
          <w:rFonts w:ascii="Times New Roman" w:hAnsi="Times New Roman" w:cs="Times New Roman"/>
          <w:lang w:val="en-IE"/>
        </w:rPr>
        <w:t xml:space="preserve"> </w:t>
      </w:r>
      <w:r w:rsidR="00393388" w:rsidRPr="00C73908">
        <w:rPr>
          <w:rFonts w:ascii="Times New Roman" w:hAnsi="Times New Roman" w:cs="Times New Roman"/>
          <w:lang w:val="en-IE"/>
        </w:rPr>
        <w:t xml:space="preserve">a growing policy focus on </w:t>
      </w:r>
      <w:r w:rsidR="00393E8C">
        <w:rPr>
          <w:rFonts w:ascii="Times New Roman" w:hAnsi="Times New Roman" w:cs="Times New Roman"/>
          <w:lang w:val="en-IE"/>
        </w:rPr>
        <w:t>promoting</w:t>
      </w:r>
      <w:r w:rsidR="00A94810" w:rsidRPr="00C73908">
        <w:rPr>
          <w:rFonts w:ascii="Times New Roman" w:hAnsi="Times New Roman" w:cs="Times New Roman"/>
          <w:lang w:val="en-IE"/>
        </w:rPr>
        <w:t xml:space="preserve"> collaborative R&amp;D and </w:t>
      </w:r>
      <w:r w:rsidR="00417B21" w:rsidRPr="00C73908">
        <w:rPr>
          <w:rFonts w:ascii="Times New Roman" w:hAnsi="Times New Roman" w:cs="Times New Roman"/>
          <w:lang w:val="en-IE"/>
        </w:rPr>
        <w:t xml:space="preserve">increased </w:t>
      </w:r>
      <w:r w:rsidR="00270AB1" w:rsidRPr="00C73908">
        <w:rPr>
          <w:rFonts w:ascii="Times New Roman" w:hAnsi="Times New Roman" w:cs="Times New Roman"/>
          <w:lang w:val="en-IE"/>
        </w:rPr>
        <w:t xml:space="preserve">funding for </w:t>
      </w:r>
      <w:r w:rsidR="00BC5D72" w:rsidRPr="00C73908">
        <w:rPr>
          <w:rFonts w:ascii="Times New Roman" w:hAnsi="Times New Roman" w:cs="Times New Roman"/>
          <w:lang w:val="en-IE"/>
        </w:rPr>
        <w:t xml:space="preserve">collaborative research centres with several technology centres opening </w:t>
      </w:r>
      <w:r w:rsidR="00910388" w:rsidRPr="00C73908">
        <w:rPr>
          <w:rFonts w:ascii="Times New Roman" w:hAnsi="Times New Roman" w:cs="Times New Roman"/>
          <w:lang w:val="en-IE"/>
        </w:rPr>
        <w:t>in recent years such as the Dairy Processing Technology Centre</w:t>
      </w:r>
      <w:r w:rsidR="00730290" w:rsidRPr="00C73908">
        <w:rPr>
          <w:rFonts w:ascii="Times New Roman" w:hAnsi="Times New Roman" w:cs="Times New Roman"/>
          <w:lang w:val="en-IE"/>
        </w:rPr>
        <w:t xml:space="preserve"> (DPTC)</w:t>
      </w:r>
      <w:r w:rsidR="00910388" w:rsidRPr="00C73908">
        <w:rPr>
          <w:rFonts w:ascii="Times New Roman" w:hAnsi="Times New Roman" w:cs="Times New Roman"/>
          <w:lang w:val="en-IE"/>
        </w:rPr>
        <w:t xml:space="preserve"> in 2015 and </w:t>
      </w:r>
      <w:r w:rsidR="00D3044F" w:rsidRPr="00C73908">
        <w:rPr>
          <w:rFonts w:ascii="Times New Roman" w:hAnsi="Times New Roman" w:cs="Times New Roman"/>
          <w:lang w:val="en-IE"/>
        </w:rPr>
        <w:t>CeADAR, Ireland’s national centre for Applied AI and Data Analytics, in 2013.</w:t>
      </w:r>
    </w:p>
    <w:p w14:paraId="1476F631" w14:textId="215A68EC" w:rsidR="005619B1" w:rsidRDefault="00313F60"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t>Productivity:</w:t>
      </w:r>
      <w:r w:rsidRPr="00C73908">
        <w:rPr>
          <w:rFonts w:ascii="Times New Roman" w:hAnsi="Times New Roman" w:cs="Times New Roman"/>
          <w:lang w:val="en-IE"/>
        </w:rPr>
        <w:t xml:space="preserve"> </w:t>
      </w:r>
      <w:r w:rsidR="002C5E39" w:rsidRPr="00C73908">
        <w:rPr>
          <w:rFonts w:ascii="Times New Roman" w:hAnsi="Times New Roman" w:cs="Times New Roman"/>
          <w:lang w:val="en-IE"/>
        </w:rPr>
        <w:t>Value added per employee</w:t>
      </w:r>
      <w:r w:rsidRPr="00C73908">
        <w:rPr>
          <w:rFonts w:ascii="Times New Roman" w:hAnsi="Times New Roman" w:cs="Times New Roman"/>
          <w:lang w:val="en-IE"/>
        </w:rPr>
        <w:t xml:space="preserve"> (with</w:t>
      </w:r>
      <w:r w:rsidR="00C450A3" w:rsidRPr="00C73908">
        <w:rPr>
          <w:rFonts w:ascii="Times New Roman" w:hAnsi="Times New Roman" w:cs="Times New Roman"/>
          <w:lang w:val="en-IE"/>
        </w:rPr>
        <w:t xml:space="preserve"> value added </w:t>
      </w:r>
      <w:r w:rsidR="00F42B89" w:rsidRPr="00C73908">
        <w:rPr>
          <w:rFonts w:ascii="Times New Roman" w:hAnsi="Times New Roman" w:cs="Times New Roman"/>
          <w:lang w:val="en-IE"/>
        </w:rPr>
        <w:t>calculated as</w:t>
      </w:r>
      <w:r w:rsidR="00C450A3" w:rsidRPr="00C73908">
        <w:rPr>
          <w:rFonts w:ascii="Times New Roman" w:hAnsi="Times New Roman" w:cs="Times New Roman"/>
          <w:lang w:val="en-IE"/>
        </w:rPr>
        <w:t xml:space="preserve"> </w:t>
      </w:r>
      <w:r w:rsidR="0033104D" w:rsidRPr="00C73908">
        <w:rPr>
          <w:rFonts w:ascii="Times New Roman" w:hAnsi="Times New Roman" w:cs="Times New Roman"/>
          <w:lang w:val="en-IE"/>
        </w:rPr>
        <w:t xml:space="preserve">sales minus </w:t>
      </w:r>
      <w:r w:rsidR="00B02976" w:rsidRPr="00C73908">
        <w:rPr>
          <w:rFonts w:ascii="Times New Roman" w:hAnsi="Times New Roman" w:cs="Times New Roman"/>
          <w:lang w:val="en-IE"/>
        </w:rPr>
        <w:t xml:space="preserve">the </w:t>
      </w:r>
      <w:r w:rsidR="0033104D" w:rsidRPr="00C73908">
        <w:rPr>
          <w:rFonts w:ascii="Times New Roman" w:hAnsi="Times New Roman" w:cs="Times New Roman"/>
          <w:lang w:val="en-IE"/>
        </w:rPr>
        <w:t>cost</w:t>
      </w:r>
      <w:r w:rsidR="00B02976" w:rsidRPr="00C73908">
        <w:rPr>
          <w:rFonts w:ascii="Times New Roman" w:hAnsi="Times New Roman" w:cs="Times New Roman"/>
          <w:lang w:val="en-IE"/>
        </w:rPr>
        <w:t>s</w:t>
      </w:r>
      <w:r w:rsidR="0033104D" w:rsidRPr="00C73908">
        <w:rPr>
          <w:rFonts w:ascii="Times New Roman" w:hAnsi="Times New Roman" w:cs="Times New Roman"/>
          <w:lang w:val="en-IE"/>
        </w:rPr>
        <w:t xml:space="preserve"> of </w:t>
      </w:r>
      <w:r w:rsidR="00105B6D" w:rsidRPr="00C73908">
        <w:rPr>
          <w:rFonts w:ascii="Times New Roman" w:hAnsi="Times New Roman" w:cs="Times New Roman"/>
          <w:lang w:val="en-IE"/>
        </w:rPr>
        <w:t>services and</w:t>
      </w:r>
      <w:r w:rsidR="00E95680" w:rsidRPr="00C73908">
        <w:rPr>
          <w:rFonts w:ascii="Times New Roman" w:hAnsi="Times New Roman" w:cs="Times New Roman"/>
          <w:lang w:val="en-IE"/>
        </w:rPr>
        <w:t xml:space="preserve"> materials</w:t>
      </w:r>
      <w:r w:rsidRPr="00C73908">
        <w:rPr>
          <w:rFonts w:ascii="Times New Roman" w:hAnsi="Times New Roman" w:cs="Times New Roman"/>
          <w:lang w:val="en-IE"/>
        </w:rPr>
        <w:t>)</w:t>
      </w:r>
      <w:r w:rsidR="002C5E39" w:rsidRPr="00C73908">
        <w:rPr>
          <w:rFonts w:ascii="Times New Roman" w:hAnsi="Times New Roman" w:cs="Times New Roman"/>
          <w:lang w:val="en-IE"/>
        </w:rPr>
        <w:t xml:space="preserve"> is used </w:t>
      </w:r>
      <w:r w:rsidR="0033104D" w:rsidRPr="00C73908">
        <w:rPr>
          <w:rFonts w:ascii="Times New Roman" w:hAnsi="Times New Roman" w:cs="Times New Roman"/>
          <w:lang w:val="en-IE"/>
        </w:rPr>
        <w:t xml:space="preserve">as a </w:t>
      </w:r>
      <w:r w:rsidR="002C5E39" w:rsidRPr="00C73908">
        <w:rPr>
          <w:rFonts w:ascii="Times New Roman" w:hAnsi="Times New Roman" w:cs="Times New Roman"/>
          <w:lang w:val="en-IE"/>
        </w:rPr>
        <w:t>measure of productivity at the firm level</w:t>
      </w:r>
      <w:r w:rsidR="0033104D" w:rsidRPr="00C73908">
        <w:rPr>
          <w:rFonts w:ascii="Times New Roman" w:hAnsi="Times New Roman" w:cs="Times New Roman"/>
          <w:lang w:val="en-IE"/>
        </w:rPr>
        <w:t xml:space="preserve">. </w:t>
      </w:r>
      <w:r w:rsidR="005A609D" w:rsidRPr="00C73908">
        <w:rPr>
          <w:rFonts w:ascii="Times New Roman" w:hAnsi="Times New Roman" w:cs="Times New Roman"/>
          <w:lang w:val="en-IE"/>
        </w:rPr>
        <w:t xml:space="preserve">Productivity levels are higher among </w:t>
      </w:r>
      <w:r w:rsidR="00804450" w:rsidRPr="00C73908">
        <w:rPr>
          <w:rFonts w:ascii="Times New Roman" w:hAnsi="Times New Roman" w:cs="Times New Roman"/>
          <w:lang w:val="en-IE"/>
        </w:rPr>
        <w:t>services sectors</w:t>
      </w:r>
      <w:r w:rsidR="00057DF5" w:rsidRPr="00C73908">
        <w:rPr>
          <w:rFonts w:ascii="Times New Roman" w:hAnsi="Times New Roman" w:cs="Times New Roman"/>
          <w:lang w:val="en-IE"/>
        </w:rPr>
        <w:t xml:space="preserve"> </w:t>
      </w:r>
      <w:r w:rsidR="00572E44" w:rsidRPr="00C73908">
        <w:rPr>
          <w:rFonts w:ascii="Times New Roman" w:hAnsi="Times New Roman" w:cs="Times New Roman"/>
          <w:lang w:val="en-IE"/>
        </w:rPr>
        <w:t>with an average VA per employee of €104,000</w:t>
      </w:r>
      <w:r w:rsidR="00C51478" w:rsidRPr="00C73908">
        <w:rPr>
          <w:rFonts w:ascii="Times New Roman" w:hAnsi="Times New Roman" w:cs="Times New Roman"/>
          <w:lang w:val="en-IE"/>
        </w:rPr>
        <w:t xml:space="preserve"> in 2019</w:t>
      </w:r>
      <w:r w:rsidR="00254736" w:rsidRPr="00C73908">
        <w:rPr>
          <w:rFonts w:ascii="Times New Roman" w:hAnsi="Times New Roman" w:cs="Times New Roman"/>
          <w:lang w:val="en-IE"/>
        </w:rPr>
        <w:t xml:space="preserve">. </w:t>
      </w:r>
      <w:r w:rsidR="00523490" w:rsidRPr="00C73908">
        <w:rPr>
          <w:rFonts w:ascii="Times New Roman" w:hAnsi="Times New Roman" w:cs="Times New Roman"/>
          <w:lang w:val="en-IE"/>
        </w:rPr>
        <w:t>Manufacturing companies generally have a</w:t>
      </w:r>
      <w:r w:rsidR="00082578" w:rsidRPr="00C73908">
        <w:rPr>
          <w:rFonts w:ascii="Times New Roman" w:hAnsi="Times New Roman" w:cs="Times New Roman"/>
          <w:lang w:val="en-IE"/>
        </w:rPr>
        <w:t xml:space="preserve"> </w:t>
      </w:r>
      <w:r w:rsidR="006376B1" w:rsidRPr="00C73908">
        <w:rPr>
          <w:rFonts w:ascii="Times New Roman" w:hAnsi="Times New Roman" w:cs="Times New Roman"/>
          <w:lang w:val="en-IE"/>
        </w:rPr>
        <w:t xml:space="preserve">higher cost base and </w:t>
      </w:r>
      <w:r w:rsidR="00F1035C" w:rsidRPr="00C73908">
        <w:rPr>
          <w:rFonts w:ascii="Times New Roman" w:hAnsi="Times New Roman" w:cs="Times New Roman"/>
          <w:lang w:val="en-IE"/>
        </w:rPr>
        <w:t>tight</w:t>
      </w:r>
      <w:r w:rsidR="00804450" w:rsidRPr="00C73908">
        <w:rPr>
          <w:rFonts w:ascii="Times New Roman" w:hAnsi="Times New Roman" w:cs="Times New Roman"/>
          <w:lang w:val="en-IE"/>
        </w:rPr>
        <w:t xml:space="preserve">er operating margins </w:t>
      </w:r>
      <w:r w:rsidR="00523490" w:rsidRPr="00C73908">
        <w:rPr>
          <w:rFonts w:ascii="Times New Roman" w:hAnsi="Times New Roman" w:cs="Times New Roman"/>
          <w:lang w:val="en-IE"/>
        </w:rPr>
        <w:t xml:space="preserve">with </w:t>
      </w:r>
      <w:r w:rsidR="00254736" w:rsidRPr="00C73908">
        <w:rPr>
          <w:rFonts w:ascii="Times New Roman" w:hAnsi="Times New Roman" w:cs="Times New Roman"/>
          <w:lang w:val="en-IE"/>
        </w:rPr>
        <w:t xml:space="preserve">average </w:t>
      </w:r>
      <w:r w:rsidR="00C51478" w:rsidRPr="00C73908">
        <w:rPr>
          <w:rFonts w:ascii="Times New Roman" w:hAnsi="Times New Roman" w:cs="Times New Roman"/>
          <w:lang w:val="en-IE"/>
        </w:rPr>
        <w:t xml:space="preserve">productivity </w:t>
      </w:r>
      <w:r w:rsidR="00254736" w:rsidRPr="00C73908">
        <w:rPr>
          <w:rFonts w:ascii="Times New Roman" w:hAnsi="Times New Roman" w:cs="Times New Roman"/>
          <w:lang w:val="en-IE"/>
        </w:rPr>
        <w:t>of €72,000</w:t>
      </w:r>
      <w:r w:rsidR="00382ACB" w:rsidRPr="00C73908">
        <w:rPr>
          <w:rFonts w:ascii="Times New Roman" w:hAnsi="Times New Roman" w:cs="Times New Roman"/>
          <w:lang w:val="en-IE"/>
        </w:rPr>
        <w:t xml:space="preserve">. </w:t>
      </w:r>
      <w:r w:rsidR="0050251C" w:rsidRPr="00C73908">
        <w:rPr>
          <w:rFonts w:ascii="Times New Roman" w:hAnsi="Times New Roman" w:cs="Times New Roman"/>
          <w:lang w:val="en-IE"/>
        </w:rPr>
        <w:t xml:space="preserve">As well as the </w:t>
      </w:r>
      <w:r w:rsidR="008D5E3D" w:rsidRPr="00C73908">
        <w:rPr>
          <w:rFonts w:ascii="Times New Roman" w:hAnsi="Times New Roman" w:cs="Times New Roman"/>
          <w:lang w:val="en-IE"/>
        </w:rPr>
        <w:t xml:space="preserve">sectoral split, there is also a disparity in productivity levels among </w:t>
      </w:r>
      <w:r w:rsidR="008B053A" w:rsidRPr="00C73908">
        <w:rPr>
          <w:rFonts w:ascii="Times New Roman" w:hAnsi="Times New Roman" w:cs="Times New Roman"/>
          <w:lang w:val="en-IE"/>
        </w:rPr>
        <w:t>different</w:t>
      </w:r>
      <w:r w:rsidR="00EF14E7" w:rsidRPr="00C73908">
        <w:rPr>
          <w:rFonts w:ascii="Times New Roman" w:hAnsi="Times New Roman" w:cs="Times New Roman"/>
          <w:lang w:val="en-IE"/>
        </w:rPr>
        <w:t xml:space="preserve"> </w:t>
      </w:r>
      <w:r w:rsidR="008B053A" w:rsidRPr="00C73908">
        <w:rPr>
          <w:rFonts w:ascii="Times New Roman" w:hAnsi="Times New Roman" w:cs="Times New Roman"/>
          <w:lang w:val="en-IE"/>
        </w:rPr>
        <w:t>size</w:t>
      </w:r>
      <w:r w:rsidR="00EF14E7" w:rsidRPr="00C73908">
        <w:rPr>
          <w:rFonts w:ascii="Times New Roman" w:hAnsi="Times New Roman" w:cs="Times New Roman"/>
          <w:lang w:val="en-IE"/>
        </w:rPr>
        <w:t xml:space="preserve"> categories</w:t>
      </w:r>
      <w:r w:rsidR="001E79F2" w:rsidRPr="00C73908">
        <w:rPr>
          <w:rFonts w:ascii="Times New Roman" w:hAnsi="Times New Roman" w:cs="Times New Roman"/>
          <w:lang w:val="en-IE"/>
        </w:rPr>
        <w:t>. L</w:t>
      </w:r>
      <w:r w:rsidR="00382ACB" w:rsidRPr="00C73908">
        <w:rPr>
          <w:rFonts w:ascii="Times New Roman" w:hAnsi="Times New Roman" w:cs="Times New Roman"/>
          <w:lang w:val="en-IE"/>
        </w:rPr>
        <w:t xml:space="preserve">arge companies </w:t>
      </w:r>
      <w:r w:rsidR="008B053A" w:rsidRPr="00C73908">
        <w:rPr>
          <w:rFonts w:ascii="Times New Roman" w:hAnsi="Times New Roman" w:cs="Times New Roman"/>
          <w:lang w:val="en-IE"/>
        </w:rPr>
        <w:t>hav</w:t>
      </w:r>
      <w:r w:rsidR="001E79F2" w:rsidRPr="00C73908">
        <w:rPr>
          <w:rFonts w:ascii="Times New Roman" w:hAnsi="Times New Roman" w:cs="Times New Roman"/>
          <w:lang w:val="en-IE"/>
        </w:rPr>
        <w:t>e</w:t>
      </w:r>
      <w:r w:rsidR="00382ACB" w:rsidRPr="00C73908">
        <w:rPr>
          <w:rFonts w:ascii="Times New Roman" w:hAnsi="Times New Roman" w:cs="Times New Roman"/>
          <w:lang w:val="en-IE"/>
        </w:rPr>
        <w:t xml:space="preserve"> </w:t>
      </w:r>
      <w:r w:rsidR="008B053A" w:rsidRPr="00C73908">
        <w:rPr>
          <w:rFonts w:ascii="Times New Roman" w:hAnsi="Times New Roman" w:cs="Times New Roman"/>
          <w:lang w:val="en-IE"/>
        </w:rPr>
        <w:t xml:space="preserve">much higher </w:t>
      </w:r>
      <w:r w:rsidR="00382ACB" w:rsidRPr="00C73908">
        <w:rPr>
          <w:rFonts w:ascii="Times New Roman" w:hAnsi="Times New Roman" w:cs="Times New Roman"/>
          <w:lang w:val="en-IE"/>
        </w:rPr>
        <w:t>productivity levels</w:t>
      </w:r>
      <w:r w:rsidR="008B053A" w:rsidRPr="00C73908">
        <w:rPr>
          <w:rFonts w:ascii="Times New Roman" w:hAnsi="Times New Roman" w:cs="Times New Roman"/>
          <w:lang w:val="en-IE"/>
        </w:rPr>
        <w:t xml:space="preserve"> than SME’s</w:t>
      </w:r>
      <w:r w:rsidR="001E79F2" w:rsidRPr="00C73908">
        <w:rPr>
          <w:rFonts w:ascii="Times New Roman" w:hAnsi="Times New Roman" w:cs="Times New Roman"/>
          <w:lang w:val="en-IE"/>
        </w:rPr>
        <w:t xml:space="preserve">, </w:t>
      </w:r>
      <w:r w:rsidR="00CE42C4" w:rsidRPr="00C73908">
        <w:rPr>
          <w:rFonts w:ascii="Times New Roman" w:hAnsi="Times New Roman" w:cs="Times New Roman"/>
          <w:lang w:val="en-IE"/>
        </w:rPr>
        <w:t xml:space="preserve">which </w:t>
      </w:r>
      <w:r w:rsidR="00A6696A">
        <w:rPr>
          <w:rFonts w:ascii="Times New Roman" w:hAnsi="Times New Roman" w:cs="Times New Roman"/>
          <w:lang w:val="en-IE"/>
        </w:rPr>
        <w:t xml:space="preserve">may be due to </w:t>
      </w:r>
      <w:r w:rsidR="00787036" w:rsidRPr="00C73908">
        <w:rPr>
          <w:rFonts w:ascii="Times New Roman" w:hAnsi="Times New Roman" w:cs="Times New Roman"/>
          <w:lang w:val="en-IE"/>
        </w:rPr>
        <w:t>the</w:t>
      </w:r>
      <w:r w:rsidR="00633410" w:rsidRPr="00C73908">
        <w:rPr>
          <w:rFonts w:ascii="Times New Roman" w:hAnsi="Times New Roman" w:cs="Times New Roman"/>
          <w:lang w:val="en-IE"/>
        </w:rPr>
        <w:t>ir</w:t>
      </w:r>
      <w:r w:rsidR="00787036" w:rsidRPr="00C73908">
        <w:rPr>
          <w:rFonts w:ascii="Times New Roman" w:hAnsi="Times New Roman" w:cs="Times New Roman"/>
          <w:lang w:val="en-IE"/>
        </w:rPr>
        <w:t xml:space="preserve"> ability </w:t>
      </w:r>
      <w:r w:rsidR="00C93D45" w:rsidRPr="00C73908">
        <w:rPr>
          <w:rFonts w:ascii="Times New Roman" w:hAnsi="Times New Roman" w:cs="Times New Roman"/>
          <w:lang w:val="en-IE"/>
        </w:rPr>
        <w:t xml:space="preserve">to generate </w:t>
      </w:r>
      <w:r w:rsidR="00787036" w:rsidRPr="00C73908">
        <w:rPr>
          <w:rFonts w:ascii="Times New Roman" w:hAnsi="Times New Roman" w:cs="Times New Roman"/>
          <w:lang w:val="en-IE"/>
        </w:rPr>
        <w:t>economies of scale</w:t>
      </w:r>
      <w:r w:rsidR="00C93D45" w:rsidRPr="00C73908">
        <w:rPr>
          <w:rFonts w:ascii="Times New Roman" w:hAnsi="Times New Roman" w:cs="Times New Roman"/>
          <w:lang w:val="en-IE"/>
        </w:rPr>
        <w:t>.</w:t>
      </w:r>
      <w:r w:rsidR="00015498" w:rsidRPr="00C73908">
        <w:rPr>
          <w:rFonts w:ascii="Times New Roman" w:hAnsi="Times New Roman" w:cs="Times New Roman"/>
          <w:lang w:val="en-IE"/>
        </w:rPr>
        <w:t xml:space="preserve"> </w:t>
      </w:r>
      <w:r w:rsidR="00157DF0" w:rsidRPr="00C73908">
        <w:rPr>
          <w:rFonts w:ascii="Times New Roman" w:hAnsi="Times New Roman" w:cs="Times New Roman"/>
          <w:lang w:val="en-IE"/>
        </w:rPr>
        <w:t xml:space="preserve">Sectors with the highest </w:t>
      </w:r>
      <w:r w:rsidR="008D5843" w:rsidRPr="00C73908">
        <w:rPr>
          <w:rFonts w:ascii="Times New Roman" w:hAnsi="Times New Roman" w:cs="Times New Roman"/>
          <w:lang w:val="en-IE"/>
        </w:rPr>
        <w:t xml:space="preserve">levels of </w:t>
      </w:r>
      <w:r w:rsidR="00157DF0" w:rsidRPr="00C73908">
        <w:rPr>
          <w:rFonts w:ascii="Times New Roman" w:hAnsi="Times New Roman" w:cs="Times New Roman"/>
          <w:lang w:val="en-IE"/>
        </w:rPr>
        <w:t xml:space="preserve">productivity include ICT services and </w:t>
      </w:r>
      <w:r w:rsidR="000D7290" w:rsidRPr="00C73908">
        <w:rPr>
          <w:rFonts w:ascii="Times New Roman" w:hAnsi="Times New Roman" w:cs="Times New Roman"/>
          <w:lang w:val="en-IE"/>
        </w:rPr>
        <w:t>financial services</w:t>
      </w:r>
      <w:r w:rsidR="008C10AE" w:rsidRPr="00C73908">
        <w:rPr>
          <w:rFonts w:ascii="Times New Roman" w:hAnsi="Times New Roman" w:cs="Times New Roman"/>
          <w:lang w:val="en-IE"/>
        </w:rPr>
        <w:t>. F</w:t>
      </w:r>
      <w:r w:rsidR="00F36C6D" w:rsidRPr="00C73908">
        <w:rPr>
          <w:rFonts w:ascii="Times New Roman" w:hAnsi="Times New Roman" w:cs="Times New Roman"/>
          <w:lang w:val="en-IE"/>
        </w:rPr>
        <w:t>ood and drink manufacturers</w:t>
      </w:r>
      <w:r w:rsidR="008C10AE" w:rsidRPr="00C73908">
        <w:rPr>
          <w:rFonts w:ascii="Times New Roman" w:hAnsi="Times New Roman" w:cs="Times New Roman"/>
          <w:lang w:val="en-IE"/>
        </w:rPr>
        <w:t>, on the other hand,</w:t>
      </w:r>
      <w:r w:rsidR="00F36C6D" w:rsidRPr="00C73908">
        <w:rPr>
          <w:rFonts w:ascii="Times New Roman" w:hAnsi="Times New Roman" w:cs="Times New Roman"/>
          <w:lang w:val="en-IE"/>
        </w:rPr>
        <w:t xml:space="preserve"> have the lowest average productivity </w:t>
      </w:r>
      <w:r w:rsidR="008C10AE" w:rsidRPr="00C73908">
        <w:rPr>
          <w:rFonts w:ascii="Times New Roman" w:hAnsi="Times New Roman" w:cs="Times New Roman"/>
          <w:lang w:val="en-IE"/>
        </w:rPr>
        <w:t xml:space="preserve">levels </w:t>
      </w:r>
      <w:r w:rsidR="002269F1" w:rsidRPr="00C73908">
        <w:rPr>
          <w:rFonts w:ascii="Times New Roman" w:hAnsi="Times New Roman" w:cs="Times New Roman"/>
          <w:lang w:val="en-IE"/>
        </w:rPr>
        <w:t>mainly due to tight operating margins</w:t>
      </w:r>
      <w:r w:rsidR="00035ED9" w:rsidRPr="00C73908">
        <w:rPr>
          <w:rFonts w:ascii="Times New Roman" w:hAnsi="Times New Roman" w:cs="Times New Roman"/>
          <w:lang w:val="en-IE"/>
        </w:rPr>
        <w:t xml:space="preserve"> and the labour</w:t>
      </w:r>
      <w:r w:rsidR="00A26A9C" w:rsidRPr="00C73908">
        <w:rPr>
          <w:rFonts w:ascii="Times New Roman" w:hAnsi="Times New Roman" w:cs="Times New Roman"/>
          <w:lang w:val="en-IE"/>
        </w:rPr>
        <w:t>-</w:t>
      </w:r>
      <w:r w:rsidR="00035ED9" w:rsidRPr="00C73908">
        <w:rPr>
          <w:rFonts w:ascii="Times New Roman" w:hAnsi="Times New Roman" w:cs="Times New Roman"/>
          <w:lang w:val="en-IE"/>
        </w:rPr>
        <w:t>intensive nature of the processing industry.</w:t>
      </w:r>
    </w:p>
    <w:p w14:paraId="07DA042B" w14:textId="10786399" w:rsidR="00A95309" w:rsidRDefault="00A95309" w:rsidP="008A6DF2">
      <w:pPr>
        <w:spacing w:after="240" w:line="360" w:lineRule="auto"/>
        <w:jc w:val="both"/>
        <w:rPr>
          <w:rFonts w:ascii="Times New Roman" w:hAnsi="Times New Roman" w:cs="Times New Roman"/>
          <w:lang w:val="en-IE"/>
        </w:rPr>
      </w:pPr>
    </w:p>
    <w:p w14:paraId="75919B0D" w14:textId="77777777" w:rsidR="007B52E0" w:rsidRDefault="007B52E0" w:rsidP="008A6DF2">
      <w:pPr>
        <w:spacing w:after="240" w:line="360" w:lineRule="auto"/>
        <w:jc w:val="both"/>
        <w:rPr>
          <w:rFonts w:ascii="Times New Roman" w:hAnsi="Times New Roman" w:cs="Times New Roman"/>
          <w:lang w:val="en-IE"/>
        </w:rPr>
      </w:pPr>
    </w:p>
    <w:p w14:paraId="0AFA2A1D" w14:textId="7F0202C2" w:rsidR="004520B1" w:rsidRPr="00C73908" w:rsidRDefault="004520B1" w:rsidP="00CD0BF9">
      <w:pPr>
        <w:widowControl w:val="0"/>
        <w:autoSpaceDE w:val="0"/>
        <w:autoSpaceDN w:val="0"/>
        <w:adjustRightInd w:val="0"/>
        <w:spacing w:after="0" w:line="240" w:lineRule="auto"/>
        <w:rPr>
          <w:rFonts w:ascii="Times New Roman" w:hAnsi="Times New Roman" w:cs="Times New Roman"/>
          <w:b/>
          <w:bCs/>
        </w:rPr>
      </w:pPr>
      <w:bookmarkStart w:id="26" w:name="_Hlk67337737"/>
      <w:r w:rsidRPr="00C73908">
        <w:rPr>
          <w:rFonts w:ascii="Times New Roman" w:hAnsi="Times New Roman" w:cs="Times New Roman"/>
          <w:b/>
          <w:bCs/>
        </w:rPr>
        <w:lastRenderedPageBreak/>
        <w:t xml:space="preserve">Figure </w:t>
      </w:r>
      <w:r w:rsidR="00352A27">
        <w:rPr>
          <w:rFonts w:ascii="Times New Roman" w:hAnsi="Times New Roman" w:cs="Times New Roman"/>
          <w:b/>
          <w:bCs/>
        </w:rPr>
        <w:t>4</w:t>
      </w:r>
      <w:r w:rsidRPr="00C73908">
        <w:rPr>
          <w:rFonts w:ascii="Times New Roman" w:hAnsi="Times New Roman" w:cs="Times New Roman"/>
          <w:b/>
          <w:bCs/>
        </w:rPr>
        <w:t xml:space="preserve">: Sector trends in average </w:t>
      </w:r>
      <w:r w:rsidR="005C3D08">
        <w:rPr>
          <w:rFonts w:ascii="Times New Roman" w:hAnsi="Times New Roman" w:cs="Times New Roman"/>
          <w:b/>
          <w:bCs/>
        </w:rPr>
        <w:t xml:space="preserve">value </w:t>
      </w:r>
      <w:r w:rsidR="006E4F21">
        <w:rPr>
          <w:rFonts w:ascii="Times New Roman" w:hAnsi="Times New Roman" w:cs="Times New Roman"/>
          <w:b/>
          <w:bCs/>
        </w:rPr>
        <w:t>added per employee</w:t>
      </w:r>
      <w:r w:rsidRPr="00C73908">
        <w:rPr>
          <w:rFonts w:ascii="Times New Roman" w:hAnsi="Times New Roman" w:cs="Times New Roman"/>
          <w:b/>
          <w:bCs/>
        </w:rPr>
        <w:t xml:space="preserve"> 2010-19</w:t>
      </w:r>
    </w:p>
    <w:bookmarkEnd w:id="26"/>
    <w:p w14:paraId="42A9570A" w14:textId="320F0072" w:rsidR="00A849E0" w:rsidRPr="00C73908" w:rsidRDefault="00DE4B2B" w:rsidP="008A6DF2">
      <w:pPr>
        <w:spacing w:after="240" w:line="360" w:lineRule="auto"/>
        <w:jc w:val="both"/>
        <w:rPr>
          <w:rFonts w:ascii="Times New Roman" w:hAnsi="Times New Roman" w:cs="Times New Roman"/>
          <w:lang w:val="en-IE"/>
        </w:rPr>
      </w:pPr>
      <w:r w:rsidRPr="00C73908">
        <w:rPr>
          <w:rFonts w:ascii="Times New Roman" w:hAnsi="Times New Roman" w:cs="Times New Roman"/>
          <w:noProof/>
          <w:lang w:val="en-IE"/>
        </w:rPr>
        <w:drawing>
          <wp:inline distT="0" distB="0" distL="0" distR="0" wp14:anchorId="3917B5A0" wp14:editId="6F412AAC">
            <wp:extent cx="3975100" cy="235331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5100" cy="2353310"/>
                    </a:xfrm>
                    <a:prstGeom prst="rect">
                      <a:avLst/>
                    </a:prstGeom>
                    <a:noFill/>
                  </pic:spPr>
                </pic:pic>
              </a:graphicData>
            </a:graphic>
          </wp:inline>
        </w:drawing>
      </w:r>
    </w:p>
    <w:p w14:paraId="5176DE96" w14:textId="284E42DF" w:rsidR="00E62606" w:rsidRPr="00C73908" w:rsidRDefault="00E62606"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 xml:space="preserve">Average productivity </w:t>
      </w:r>
      <w:r w:rsidR="001814A3" w:rsidRPr="00C73908">
        <w:rPr>
          <w:rFonts w:ascii="Times New Roman" w:hAnsi="Times New Roman" w:cs="Times New Roman"/>
          <w:lang w:val="en-IE"/>
        </w:rPr>
        <w:t>has</w:t>
      </w:r>
      <w:r w:rsidR="00860F68" w:rsidRPr="00C73908">
        <w:rPr>
          <w:rFonts w:ascii="Times New Roman" w:hAnsi="Times New Roman" w:cs="Times New Roman"/>
          <w:lang w:val="en-IE"/>
        </w:rPr>
        <w:t xml:space="preserve"> increased</w:t>
      </w:r>
      <w:r w:rsidRPr="00C73908">
        <w:rPr>
          <w:rFonts w:ascii="Times New Roman" w:hAnsi="Times New Roman" w:cs="Times New Roman"/>
          <w:lang w:val="en-IE"/>
        </w:rPr>
        <w:t xml:space="preserve"> </w:t>
      </w:r>
      <w:r w:rsidR="00425F4D" w:rsidRPr="00C73908">
        <w:rPr>
          <w:rFonts w:ascii="Times New Roman" w:hAnsi="Times New Roman" w:cs="Times New Roman"/>
          <w:lang w:val="en-IE"/>
        </w:rPr>
        <w:t>over the last ten years</w:t>
      </w:r>
      <w:r w:rsidR="00E006D4" w:rsidRPr="00C73908">
        <w:rPr>
          <w:rFonts w:ascii="Times New Roman" w:hAnsi="Times New Roman" w:cs="Times New Roman"/>
          <w:lang w:val="en-IE"/>
        </w:rPr>
        <w:t xml:space="preserve"> </w:t>
      </w:r>
      <w:r w:rsidR="00F12352" w:rsidRPr="00C73908">
        <w:rPr>
          <w:rFonts w:ascii="Times New Roman" w:hAnsi="Times New Roman" w:cs="Times New Roman"/>
          <w:lang w:val="en-IE"/>
        </w:rPr>
        <w:t>along with</w:t>
      </w:r>
      <w:r w:rsidRPr="00C73908">
        <w:rPr>
          <w:rFonts w:ascii="Times New Roman" w:hAnsi="Times New Roman" w:cs="Times New Roman"/>
          <w:lang w:val="en-IE"/>
        </w:rPr>
        <w:t xml:space="preserve"> sales and export growth</w:t>
      </w:r>
      <w:r w:rsidR="00E006D4" w:rsidRPr="00C73908">
        <w:rPr>
          <w:rFonts w:ascii="Times New Roman" w:hAnsi="Times New Roman" w:cs="Times New Roman"/>
          <w:lang w:val="en-IE"/>
        </w:rPr>
        <w:t>.</w:t>
      </w:r>
      <w:r w:rsidR="001814A3" w:rsidRPr="00C73908">
        <w:rPr>
          <w:rFonts w:ascii="Times New Roman" w:hAnsi="Times New Roman" w:cs="Times New Roman"/>
          <w:lang w:val="en-IE"/>
        </w:rPr>
        <w:t xml:space="preserve"> Productivity levels </w:t>
      </w:r>
      <w:r w:rsidR="00A97DA3" w:rsidRPr="00C73908">
        <w:rPr>
          <w:rFonts w:ascii="Times New Roman" w:hAnsi="Times New Roman" w:cs="Times New Roman"/>
          <w:lang w:val="en-IE"/>
        </w:rPr>
        <w:t xml:space="preserve">from 2010 to 2013 remained stagnant in the manufacturing sector </w:t>
      </w:r>
      <w:r w:rsidR="006F0AEE" w:rsidRPr="00C73908">
        <w:rPr>
          <w:rFonts w:ascii="Times New Roman" w:hAnsi="Times New Roman" w:cs="Times New Roman"/>
          <w:lang w:val="en-IE"/>
        </w:rPr>
        <w:t>w</w:t>
      </w:r>
      <w:r w:rsidR="004C2A74" w:rsidRPr="00C73908">
        <w:rPr>
          <w:rFonts w:ascii="Times New Roman" w:hAnsi="Times New Roman" w:cs="Times New Roman"/>
          <w:lang w:val="en-IE"/>
        </w:rPr>
        <w:t>hile services companies experienced</w:t>
      </w:r>
      <w:r w:rsidR="00175F6E" w:rsidRPr="00C73908">
        <w:rPr>
          <w:rFonts w:ascii="Times New Roman" w:hAnsi="Times New Roman" w:cs="Times New Roman"/>
          <w:lang w:val="en-IE"/>
        </w:rPr>
        <w:t xml:space="preserve"> a decline of 12% in average value added per employee </w:t>
      </w:r>
      <w:r w:rsidR="004C2A74" w:rsidRPr="00C73908">
        <w:rPr>
          <w:rFonts w:ascii="Times New Roman" w:hAnsi="Times New Roman" w:cs="Times New Roman"/>
          <w:lang w:val="en-IE"/>
        </w:rPr>
        <w:t>over</w:t>
      </w:r>
      <w:r w:rsidR="00175F6E" w:rsidRPr="00C73908">
        <w:rPr>
          <w:rFonts w:ascii="Times New Roman" w:hAnsi="Times New Roman" w:cs="Times New Roman"/>
          <w:lang w:val="en-IE"/>
        </w:rPr>
        <w:t xml:space="preserve"> the same period. However, since 2013 both sectors have </w:t>
      </w:r>
      <w:r w:rsidR="004C2A74" w:rsidRPr="00C73908">
        <w:rPr>
          <w:rFonts w:ascii="Times New Roman" w:hAnsi="Times New Roman" w:cs="Times New Roman"/>
          <w:lang w:val="en-IE"/>
        </w:rPr>
        <w:t xml:space="preserve">seen </w:t>
      </w:r>
      <w:r w:rsidR="00AC67EA" w:rsidRPr="00C73908">
        <w:rPr>
          <w:rFonts w:ascii="Times New Roman" w:hAnsi="Times New Roman" w:cs="Times New Roman"/>
          <w:lang w:val="en-IE"/>
        </w:rPr>
        <w:t xml:space="preserve">strong growth </w:t>
      </w:r>
      <w:r w:rsidR="00797FCB" w:rsidRPr="00C73908">
        <w:rPr>
          <w:rFonts w:ascii="Times New Roman" w:hAnsi="Times New Roman" w:cs="Times New Roman"/>
          <w:lang w:val="en-IE"/>
        </w:rPr>
        <w:t xml:space="preserve">with </w:t>
      </w:r>
      <w:r w:rsidR="00791D64" w:rsidRPr="00C73908">
        <w:rPr>
          <w:rFonts w:ascii="Times New Roman" w:hAnsi="Times New Roman" w:cs="Times New Roman"/>
          <w:lang w:val="en-IE"/>
        </w:rPr>
        <w:t xml:space="preserve">an increase of </w:t>
      </w:r>
      <w:r w:rsidR="007F052C" w:rsidRPr="00C73908">
        <w:rPr>
          <w:rFonts w:ascii="Times New Roman" w:hAnsi="Times New Roman" w:cs="Times New Roman"/>
          <w:lang w:val="en-IE"/>
        </w:rPr>
        <w:t>29% in average productivity for manufacturing companies and 34% for services.</w:t>
      </w:r>
      <w:r w:rsidR="000D6209" w:rsidRPr="00C73908">
        <w:rPr>
          <w:rFonts w:ascii="Times New Roman" w:hAnsi="Times New Roman" w:cs="Times New Roman"/>
          <w:lang w:val="en-IE"/>
        </w:rPr>
        <w:t xml:space="preserve"> Median productivity levels have also grown </w:t>
      </w:r>
      <w:r w:rsidR="004E0D67" w:rsidRPr="00C73908">
        <w:rPr>
          <w:rFonts w:ascii="Times New Roman" w:hAnsi="Times New Roman" w:cs="Times New Roman"/>
          <w:lang w:val="en-IE"/>
        </w:rPr>
        <w:t xml:space="preserve">strongly </w:t>
      </w:r>
      <w:r w:rsidR="000D6209" w:rsidRPr="00C73908">
        <w:rPr>
          <w:rFonts w:ascii="Times New Roman" w:hAnsi="Times New Roman" w:cs="Times New Roman"/>
          <w:lang w:val="en-IE"/>
        </w:rPr>
        <w:t xml:space="preserve">since 2010 </w:t>
      </w:r>
      <w:r w:rsidR="00D14223" w:rsidRPr="00C73908">
        <w:rPr>
          <w:rFonts w:ascii="Times New Roman" w:hAnsi="Times New Roman" w:cs="Times New Roman"/>
          <w:lang w:val="en-IE"/>
        </w:rPr>
        <w:t xml:space="preserve">which indicates widespread growth </w:t>
      </w:r>
      <w:r w:rsidR="00DA5C0A" w:rsidRPr="00C73908">
        <w:rPr>
          <w:rFonts w:ascii="Times New Roman" w:hAnsi="Times New Roman" w:cs="Times New Roman"/>
          <w:lang w:val="en-IE"/>
        </w:rPr>
        <w:t>a</w:t>
      </w:r>
      <w:r w:rsidR="004520B1" w:rsidRPr="00C73908">
        <w:rPr>
          <w:rFonts w:ascii="Times New Roman" w:hAnsi="Times New Roman" w:cs="Times New Roman"/>
          <w:lang w:val="en-IE"/>
        </w:rPr>
        <w:t xml:space="preserve">mong </w:t>
      </w:r>
      <w:r w:rsidR="000B7179">
        <w:rPr>
          <w:rFonts w:ascii="Times New Roman" w:hAnsi="Times New Roman" w:cs="Times New Roman"/>
          <w:lang w:val="en-IE"/>
        </w:rPr>
        <w:t>all</w:t>
      </w:r>
      <w:r w:rsidR="004520B1" w:rsidRPr="00C73908">
        <w:rPr>
          <w:rFonts w:ascii="Times New Roman" w:hAnsi="Times New Roman" w:cs="Times New Roman"/>
          <w:lang w:val="en-IE"/>
        </w:rPr>
        <w:t xml:space="preserve"> companies</w:t>
      </w:r>
      <w:r w:rsidR="00DA5C0A" w:rsidRPr="00C73908">
        <w:rPr>
          <w:rFonts w:ascii="Times New Roman" w:hAnsi="Times New Roman" w:cs="Times New Roman"/>
          <w:lang w:val="en-IE"/>
        </w:rPr>
        <w:t>.</w:t>
      </w:r>
    </w:p>
    <w:p w14:paraId="57C3DC11" w14:textId="71035E47" w:rsidR="006A4ACC" w:rsidRPr="00C73908" w:rsidRDefault="00B70860"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t>Average Wages:</w:t>
      </w:r>
      <w:r w:rsidRPr="00C73908">
        <w:rPr>
          <w:rFonts w:ascii="Times New Roman" w:hAnsi="Times New Roman" w:cs="Times New Roman"/>
          <w:lang w:val="en-IE"/>
        </w:rPr>
        <w:t xml:space="preserve"> </w:t>
      </w:r>
      <w:r w:rsidR="0073441B" w:rsidRPr="00C73908">
        <w:rPr>
          <w:rFonts w:ascii="Times New Roman" w:hAnsi="Times New Roman" w:cs="Times New Roman"/>
          <w:lang w:val="en-IE"/>
        </w:rPr>
        <w:t>The a</w:t>
      </w:r>
      <w:r w:rsidR="008E56F0" w:rsidRPr="00C73908">
        <w:rPr>
          <w:rFonts w:ascii="Times New Roman" w:hAnsi="Times New Roman" w:cs="Times New Roman"/>
          <w:lang w:val="en-IE"/>
        </w:rPr>
        <w:t xml:space="preserve">verage </w:t>
      </w:r>
      <w:r w:rsidR="008E2996" w:rsidRPr="00C73908">
        <w:rPr>
          <w:rFonts w:ascii="Times New Roman" w:hAnsi="Times New Roman" w:cs="Times New Roman"/>
          <w:lang w:val="en-IE"/>
        </w:rPr>
        <w:t xml:space="preserve">annual </w:t>
      </w:r>
      <w:r w:rsidR="0073441B" w:rsidRPr="00C73908">
        <w:rPr>
          <w:rFonts w:ascii="Times New Roman" w:hAnsi="Times New Roman" w:cs="Times New Roman"/>
          <w:lang w:val="en-IE"/>
        </w:rPr>
        <w:t>wages</w:t>
      </w:r>
      <w:r w:rsidR="008E2996" w:rsidRPr="00C73908">
        <w:rPr>
          <w:rFonts w:ascii="Times New Roman" w:hAnsi="Times New Roman" w:cs="Times New Roman"/>
          <w:lang w:val="en-IE"/>
        </w:rPr>
        <w:t xml:space="preserve"> for employees of EI client companies w</w:t>
      </w:r>
      <w:r w:rsidR="0073441B" w:rsidRPr="00C73908">
        <w:rPr>
          <w:rFonts w:ascii="Times New Roman" w:hAnsi="Times New Roman" w:cs="Times New Roman"/>
          <w:lang w:val="en-IE"/>
        </w:rPr>
        <w:t>as</w:t>
      </w:r>
      <w:r w:rsidR="008E2996" w:rsidRPr="00C73908">
        <w:rPr>
          <w:rFonts w:ascii="Times New Roman" w:hAnsi="Times New Roman" w:cs="Times New Roman"/>
          <w:lang w:val="en-IE"/>
        </w:rPr>
        <w:t xml:space="preserve"> </w:t>
      </w:r>
      <w:r w:rsidR="00835366" w:rsidRPr="00C73908">
        <w:rPr>
          <w:rFonts w:ascii="Times New Roman" w:hAnsi="Times New Roman" w:cs="Times New Roman"/>
          <w:lang w:val="en-IE"/>
        </w:rPr>
        <w:t>€48,805 in 2019.</w:t>
      </w:r>
      <w:r w:rsidR="00AF7425" w:rsidRPr="00C73908">
        <w:rPr>
          <w:rFonts w:ascii="Times New Roman" w:hAnsi="Times New Roman" w:cs="Times New Roman"/>
          <w:lang w:val="en-IE"/>
        </w:rPr>
        <w:t xml:space="preserve"> This is </w:t>
      </w:r>
      <w:r w:rsidR="007B5600" w:rsidRPr="00C73908">
        <w:rPr>
          <w:rFonts w:ascii="Times New Roman" w:hAnsi="Times New Roman" w:cs="Times New Roman"/>
          <w:lang w:val="en-IE"/>
        </w:rPr>
        <w:t>closely</w:t>
      </w:r>
      <w:r w:rsidR="00AF7425" w:rsidRPr="00C73908">
        <w:rPr>
          <w:rFonts w:ascii="Times New Roman" w:hAnsi="Times New Roman" w:cs="Times New Roman"/>
          <w:lang w:val="en-IE"/>
        </w:rPr>
        <w:t xml:space="preserve"> </w:t>
      </w:r>
      <w:r w:rsidR="007B5600" w:rsidRPr="00C73908">
        <w:rPr>
          <w:rFonts w:ascii="Times New Roman" w:hAnsi="Times New Roman" w:cs="Times New Roman"/>
          <w:lang w:val="en-IE"/>
        </w:rPr>
        <w:t>a</w:t>
      </w:r>
      <w:r w:rsidR="00AF7425" w:rsidRPr="00C73908">
        <w:rPr>
          <w:rFonts w:ascii="Times New Roman" w:hAnsi="Times New Roman" w:cs="Times New Roman"/>
          <w:lang w:val="en-IE"/>
        </w:rPr>
        <w:t>li</w:t>
      </w:r>
      <w:r w:rsidR="007B5600" w:rsidRPr="00C73908">
        <w:rPr>
          <w:rFonts w:ascii="Times New Roman" w:hAnsi="Times New Roman" w:cs="Times New Roman"/>
          <w:lang w:val="en-IE"/>
        </w:rPr>
        <w:t>g</w:t>
      </w:r>
      <w:r w:rsidR="00AF7425" w:rsidRPr="00C73908">
        <w:rPr>
          <w:rFonts w:ascii="Times New Roman" w:hAnsi="Times New Roman" w:cs="Times New Roman"/>
          <w:lang w:val="en-IE"/>
        </w:rPr>
        <w:t>ne</w:t>
      </w:r>
      <w:r w:rsidR="007B5600" w:rsidRPr="00C73908">
        <w:rPr>
          <w:rFonts w:ascii="Times New Roman" w:hAnsi="Times New Roman" w:cs="Times New Roman"/>
          <w:lang w:val="en-IE"/>
        </w:rPr>
        <w:t>d</w:t>
      </w:r>
      <w:r w:rsidR="00AF7425" w:rsidRPr="00C73908">
        <w:rPr>
          <w:rFonts w:ascii="Times New Roman" w:hAnsi="Times New Roman" w:cs="Times New Roman"/>
          <w:lang w:val="en-IE"/>
        </w:rPr>
        <w:t xml:space="preserve"> with CSO statistics on the average </w:t>
      </w:r>
      <w:r w:rsidR="0073441B" w:rsidRPr="00C73908">
        <w:rPr>
          <w:rFonts w:ascii="Times New Roman" w:hAnsi="Times New Roman" w:cs="Times New Roman"/>
          <w:lang w:val="en-IE"/>
        </w:rPr>
        <w:t>annual earnings</w:t>
      </w:r>
      <w:r w:rsidR="00835366" w:rsidRPr="00C73908">
        <w:rPr>
          <w:rFonts w:ascii="Times New Roman" w:hAnsi="Times New Roman" w:cs="Times New Roman"/>
          <w:lang w:val="en-IE"/>
        </w:rPr>
        <w:t xml:space="preserve"> </w:t>
      </w:r>
      <w:r w:rsidR="007B5600" w:rsidRPr="00C73908">
        <w:rPr>
          <w:rFonts w:ascii="Times New Roman" w:hAnsi="Times New Roman" w:cs="Times New Roman"/>
          <w:lang w:val="en-IE"/>
        </w:rPr>
        <w:t xml:space="preserve">for </w:t>
      </w:r>
      <w:r w:rsidR="00133E1E" w:rsidRPr="00C73908">
        <w:rPr>
          <w:rFonts w:ascii="Times New Roman" w:hAnsi="Times New Roman" w:cs="Times New Roman"/>
          <w:lang w:val="en-IE"/>
        </w:rPr>
        <w:t xml:space="preserve">all </w:t>
      </w:r>
      <w:r w:rsidR="00554CFB" w:rsidRPr="00C73908">
        <w:rPr>
          <w:rFonts w:ascii="Times New Roman" w:hAnsi="Times New Roman" w:cs="Times New Roman"/>
          <w:lang w:val="en-IE"/>
        </w:rPr>
        <w:t>full-time</w:t>
      </w:r>
      <w:r w:rsidR="007B5600" w:rsidRPr="00C73908">
        <w:rPr>
          <w:rFonts w:ascii="Times New Roman" w:hAnsi="Times New Roman" w:cs="Times New Roman"/>
          <w:lang w:val="en-IE"/>
        </w:rPr>
        <w:t xml:space="preserve"> employees in the </w:t>
      </w:r>
      <w:r w:rsidR="00133E1E" w:rsidRPr="00C73908">
        <w:rPr>
          <w:rFonts w:ascii="Times New Roman" w:hAnsi="Times New Roman" w:cs="Times New Roman"/>
          <w:lang w:val="en-IE"/>
        </w:rPr>
        <w:t xml:space="preserve">wider </w:t>
      </w:r>
      <w:r w:rsidR="007B5600" w:rsidRPr="00C73908">
        <w:rPr>
          <w:rFonts w:ascii="Times New Roman" w:hAnsi="Times New Roman" w:cs="Times New Roman"/>
          <w:lang w:val="en-IE"/>
        </w:rPr>
        <w:t xml:space="preserve">economy which stood </w:t>
      </w:r>
      <w:r w:rsidR="00133E1E" w:rsidRPr="00C73908">
        <w:rPr>
          <w:rFonts w:ascii="Times New Roman" w:hAnsi="Times New Roman" w:cs="Times New Roman"/>
          <w:lang w:val="en-IE"/>
        </w:rPr>
        <w:t xml:space="preserve">at </w:t>
      </w:r>
      <w:r w:rsidR="00554CFB" w:rsidRPr="00C73908">
        <w:rPr>
          <w:rFonts w:ascii="Times New Roman" w:hAnsi="Times New Roman" w:cs="Times New Roman"/>
          <w:lang w:val="en-IE"/>
        </w:rPr>
        <w:t xml:space="preserve">€46,000 in 2019. </w:t>
      </w:r>
      <w:r w:rsidR="00404148" w:rsidRPr="00C73908">
        <w:rPr>
          <w:rFonts w:ascii="Times New Roman" w:hAnsi="Times New Roman" w:cs="Times New Roman"/>
          <w:lang w:val="en-IE"/>
        </w:rPr>
        <w:t>Employees in the s</w:t>
      </w:r>
      <w:r w:rsidR="00E3681C" w:rsidRPr="00C73908">
        <w:rPr>
          <w:rFonts w:ascii="Times New Roman" w:hAnsi="Times New Roman" w:cs="Times New Roman"/>
          <w:lang w:val="en-IE"/>
        </w:rPr>
        <w:t xml:space="preserve">ervices </w:t>
      </w:r>
      <w:r w:rsidR="00404148" w:rsidRPr="00C73908">
        <w:rPr>
          <w:rFonts w:ascii="Times New Roman" w:hAnsi="Times New Roman" w:cs="Times New Roman"/>
          <w:lang w:val="en-IE"/>
        </w:rPr>
        <w:t>sector</w:t>
      </w:r>
      <w:r w:rsidR="003A21AD" w:rsidRPr="00C73908">
        <w:rPr>
          <w:rFonts w:ascii="Times New Roman" w:hAnsi="Times New Roman" w:cs="Times New Roman"/>
          <w:lang w:val="en-IE"/>
        </w:rPr>
        <w:t xml:space="preserve"> </w:t>
      </w:r>
      <w:r w:rsidR="00DC0B47">
        <w:rPr>
          <w:rFonts w:ascii="Times New Roman" w:hAnsi="Times New Roman" w:cs="Times New Roman"/>
          <w:lang w:val="en-IE"/>
        </w:rPr>
        <w:t>tend to</w:t>
      </w:r>
      <w:r w:rsidR="00FD77E9" w:rsidRPr="00C73908">
        <w:rPr>
          <w:rFonts w:ascii="Times New Roman" w:hAnsi="Times New Roman" w:cs="Times New Roman"/>
          <w:lang w:val="en-IE"/>
        </w:rPr>
        <w:t xml:space="preserve"> </w:t>
      </w:r>
      <w:r w:rsidR="00404148" w:rsidRPr="00C73908">
        <w:rPr>
          <w:rFonts w:ascii="Times New Roman" w:hAnsi="Times New Roman" w:cs="Times New Roman"/>
          <w:lang w:val="en-IE"/>
        </w:rPr>
        <w:t>earn more</w:t>
      </w:r>
      <w:r w:rsidR="00E3681C" w:rsidRPr="00C73908">
        <w:rPr>
          <w:rFonts w:ascii="Times New Roman" w:hAnsi="Times New Roman" w:cs="Times New Roman"/>
          <w:lang w:val="en-IE"/>
        </w:rPr>
        <w:t xml:space="preserve"> </w:t>
      </w:r>
      <w:r w:rsidR="00C31117" w:rsidRPr="00C73908">
        <w:rPr>
          <w:rFonts w:ascii="Times New Roman" w:hAnsi="Times New Roman" w:cs="Times New Roman"/>
          <w:lang w:val="en-IE"/>
        </w:rPr>
        <w:t>with average wages of €56,867 versus</w:t>
      </w:r>
      <w:r w:rsidR="00404148" w:rsidRPr="00C73908">
        <w:rPr>
          <w:rFonts w:ascii="Times New Roman" w:hAnsi="Times New Roman" w:cs="Times New Roman"/>
          <w:lang w:val="en-IE"/>
        </w:rPr>
        <w:t xml:space="preserve"> €41,552 for manufacturing. This</w:t>
      </w:r>
      <w:r w:rsidR="003A21AD" w:rsidRPr="00C73908">
        <w:rPr>
          <w:rFonts w:ascii="Times New Roman" w:hAnsi="Times New Roman" w:cs="Times New Roman"/>
          <w:lang w:val="en-IE"/>
        </w:rPr>
        <w:t xml:space="preserve"> reflects the</w:t>
      </w:r>
      <w:r w:rsidR="006D13CD" w:rsidRPr="00C73908">
        <w:rPr>
          <w:rFonts w:ascii="Times New Roman" w:hAnsi="Times New Roman" w:cs="Times New Roman"/>
          <w:lang w:val="en-IE"/>
        </w:rPr>
        <w:t xml:space="preserve"> relative scarcity of employees in </w:t>
      </w:r>
      <w:r w:rsidR="002A4E7E" w:rsidRPr="00C73908">
        <w:rPr>
          <w:rFonts w:ascii="Times New Roman" w:hAnsi="Times New Roman" w:cs="Times New Roman"/>
          <w:lang w:val="en-IE"/>
        </w:rPr>
        <w:t xml:space="preserve">sectors </w:t>
      </w:r>
      <w:r w:rsidR="006D13CD" w:rsidRPr="00C73908">
        <w:rPr>
          <w:rFonts w:ascii="Times New Roman" w:hAnsi="Times New Roman" w:cs="Times New Roman"/>
          <w:lang w:val="en-IE"/>
        </w:rPr>
        <w:t>such ICT</w:t>
      </w:r>
      <w:r w:rsidR="00B00C0F" w:rsidRPr="00C73908">
        <w:rPr>
          <w:rFonts w:ascii="Times New Roman" w:hAnsi="Times New Roman" w:cs="Times New Roman"/>
          <w:lang w:val="en-IE"/>
        </w:rPr>
        <w:t xml:space="preserve"> </w:t>
      </w:r>
      <w:r w:rsidR="004A527E" w:rsidRPr="00C73908">
        <w:rPr>
          <w:rFonts w:ascii="Times New Roman" w:hAnsi="Times New Roman" w:cs="Times New Roman"/>
          <w:lang w:val="en-IE"/>
        </w:rPr>
        <w:t>services</w:t>
      </w:r>
      <w:r w:rsidR="009E0FA1" w:rsidRPr="00C73908">
        <w:rPr>
          <w:rFonts w:ascii="Times New Roman" w:hAnsi="Times New Roman" w:cs="Times New Roman"/>
          <w:lang w:val="en-IE"/>
        </w:rPr>
        <w:t xml:space="preserve"> which has the highest </w:t>
      </w:r>
      <w:r w:rsidR="008D1E2C" w:rsidRPr="00C73908">
        <w:rPr>
          <w:rFonts w:ascii="Times New Roman" w:hAnsi="Times New Roman" w:cs="Times New Roman"/>
          <w:lang w:val="en-IE"/>
        </w:rPr>
        <w:t>average wage levels</w:t>
      </w:r>
      <w:r w:rsidR="00B00C0F" w:rsidRPr="00C73908">
        <w:rPr>
          <w:rFonts w:ascii="Times New Roman" w:hAnsi="Times New Roman" w:cs="Times New Roman"/>
          <w:lang w:val="en-IE"/>
        </w:rPr>
        <w:t>.</w:t>
      </w:r>
      <w:r w:rsidR="007238C5" w:rsidRPr="00C73908">
        <w:rPr>
          <w:rFonts w:ascii="Times New Roman" w:hAnsi="Times New Roman" w:cs="Times New Roman"/>
          <w:lang w:val="en-IE"/>
        </w:rPr>
        <w:t xml:space="preserve"> </w:t>
      </w:r>
      <w:r w:rsidR="00E20FD0" w:rsidRPr="00C73908">
        <w:rPr>
          <w:rFonts w:ascii="Times New Roman" w:hAnsi="Times New Roman" w:cs="Times New Roman"/>
          <w:lang w:val="en-IE"/>
        </w:rPr>
        <w:t xml:space="preserve">As with most other </w:t>
      </w:r>
      <w:r w:rsidR="000666A8" w:rsidRPr="00C73908">
        <w:rPr>
          <w:rFonts w:ascii="Times New Roman" w:hAnsi="Times New Roman" w:cs="Times New Roman"/>
          <w:lang w:val="en-IE"/>
        </w:rPr>
        <w:t>indicators, e</w:t>
      </w:r>
      <w:r w:rsidR="00E20FD0" w:rsidRPr="00C73908">
        <w:rPr>
          <w:rFonts w:ascii="Times New Roman" w:hAnsi="Times New Roman" w:cs="Times New Roman"/>
          <w:lang w:val="en-IE"/>
        </w:rPr>
        <w:t xml:space="preserve">arnings have </w:t>
      </w:r>
      <w:r w:rsidR="00B37C98" w:rsidRPr="00C73908">
        <w:rPr>
          <w:rFonts w:ascii="Times New Roman" w:hAnsi="Times New Roman" w:cs="Times New Roman"/>
          <w:lang w:val="en-IE"/>
        </w:rPr>
        <w:t>increased</w:t>
      </w:r>
      <w:r w:rsidR="000666A8" w:rsidRPr="00C73908">
        <w:rPr>
          <w:rFonts w:ascii="Times New Roman" w:hAnsi="Times New Roman" w:cs="Times New Roman"/>
          <w:lang w:val="en-IE"/>
        </w:rPr>
        <w:t xml:space="preserve"> over the last decade </w:t>
      </w:r>
      <w:r w:rsidR="0016024A" w:rsidRPr="00C73908">
        <w:rPr>
          <w:rFonts w:ascii="Times New Roman" w:hAnsi="Times New Roman" w:cs="Times New Roman"/>
          <w:lang w:val="en-IE"/>
        </w:rPr>
        <w:t>with</w:t>
      </w:r>
      <w:r w:rsidR="00B37C98" w:rsidRPr="00C73908">
        <w:rPr>
          <w:rFonts w:ascii="Times New Roman" w:hAnsi="Times New Roman" w:cs="Times New Roman"/>
          <w:lang w:val="en-IE"/>
        </w:rPr>
        <w:t xml:space="preserve"> 11% overall growth since 2010</w:t>
      </w:r>
      <w:r w:rsidR="00ED0478" w:rsidRPr="00C73908">
        <w:rPr>
          <w:rFonts w:ascii="Times New Roman" w:hAnsi="Times New Roman" w:cs="Times New Roman"/>
          <w:lang w:val="en-IE"/>
        </w:rPr>
        <w:t xml:space="preserve">. This </w:t>
      </w:r>
      <w:r w:rsidR="00B168FC" w:rsidRPr="00C73908">
        <w:rPr>
          <w:rFonts w:ascii="Times New Roman" w:hAnsi="Times New Roman" w:cs="Times New Roman"/>
          <w:lang w:val="en-IE"/>
        </w:rPr>
        <w:t>is slightly ahead of</w:t>
      </w:r>
      <w:r w:rsidR="00ED0478" w:rsidRPr="00C73908">
        <w:rPr>
          <w:rFonts w:ascii="Times New Roman" w:hAnsi="Times New Roman" w:cs="Times New Roman"/>
          <w:lang w:val="en-IE"/>
        </w:rPr>
        <w:t xml:space="preserve"> the rate of growth in the </w:t>
      </w:r>
      <w:r w:rsidR="00AA6A7E" w:rsidRPr="00C73908">
        <w:rPr>
          <w:rFonts w:ascii="Times New Roman" w:hAnsi="Times New Roman" w:cs="Times New Roman"/>
          <w:lang w:val="en-IE"/>
        </w:rPr>
        <w:t xml:space="preserve">CSO figures </w:t>
      </w:r>
      <w:r w:rsidR="00D76F6B" w:rsidRPr="00C73908">
        <w:rPr>
          <w:rFonts w:ascii="Times New Roman" w:hAnsi="Times New Roman" w:cs="Times New Roman"/>
          <w:lang w:val="en-IE"/>
        </w:rPr>
        <w:t xml:space="preserve">for the </w:t>
      </w:r>
      <w:r w:rsidR="00ED0478" w:rsidRPr="00C73908">
        <w:rPr>
          <w:rFonts w:ascii="Times New Roman" w:hAnsi="Times New Roman" w:cs="Times New Roman"/>
          <w:lang w:val="en-IE"/>
        </w:rPr>
        <w:t xml:space="preserve">wider economy where average </w:t>
      </w:r>
      <w:r w:rsidR="000C3CD4" w:rsidRPr="00C73908">
        <w:rPr>
          <w:rFonts w:ascii="Times New Roman" w:hAnsi="Times New Roman" w:cs="Times New Roman"/>
          <w:lang w:val="en-IE"/>
        </w:rPr>
        <w:t>full-time</w:t>
      </w:r>
      <w:r w:rsidR="00ED0478" w:rsidRPr="00C73908">
        <w:rPr>
          <w:rFonts w:ascii="Times New Roman" w:hAnsi="Times New Roman" w:cs="Times New Roman"/>
          <w:lang w:val="en-IE"/>
        </w:rPr>
        <w:t xml:space="preserve"> wages have increased </w:t>
      </w:r>
      <w:r w:rsidR="00B168FC" w:rsidRPr="00C73908">
        <w:rPr>
          <w:rFonts w:ascii="Times New Roman" w:hAnsi="Times New Roman" w:cs="Times New Roman"/>
          <w:lang w:val="en-IE"/>
        </w:rPr>
        <w:t xml:space="preserve">by </w:t>
      </w:r>
      <w:r w:rsidR="002004B4" w:rsidRPr="00C73908">
        <w:rPr>
          <w:rFonts w:ascii="Times New Roman" w:hAnsi="Times New Roman" w:cs="Times New Roman"/>
          <w:lang w:val="en-IE"/>
        </w:rPr>
        <w:t>9% over the same period.</w:t>
      </w:r>
      <w:r w:rsidR="00A01371" w:rsidRPr="00C73908">
        <w:rPr>
          <w:rFonts w:ascii="Times New Roman" w:hAnsi="Times New Roman" w:cs="Times New Roman"/>
          <w:lang w:val="en-IE"/>
        </w:rPr>
        <w:t xml:space="preserve"> </w:t>
      </w:r>
      <w:r w:rsidR="00EE2ABF" w:rsidRPr="00C73908">
        <w:rPr>
          <w:rFonts w:ascii="Times New Roman" w:hAnsi="Times New Roman" w:cs="Times New Roman"/>
          <w:lang w:val="en-IE"/>
        </w:rPr>
        <w:t>In terms of training</w:t>
      </w:r>
      <w:r w:rsidR="00E75CD7" w:rsidRPr="00C73908">
        <w:rPr>
          <w:rFonts w:ascii="Times New Roman" w:hAnsi="Times New Roman" w:cs="Times New Roman"/>
          <w:lang w:val="en-IE"/>
        </w:rPr>
        <w:t xml:space="preserve"> expenditure</w:t>
      </w:r>
      <w:r w:rsidR="00090964" w:rsidRPr="00C73908">
        <w:rPr>
          <w:rFonts w:ascii="Times New Roman" w:hAnsi="Times New Roman" w:cs="Times New Roman"/>
          <w:lang w:val="en-IE"/>
        </w:rPr>
        <w:t>, manufactur</w:t>
      </w:r>
      <w:r w:rsidR="000F3299" w:rsidRPr="00C73908">
        <w:rPr>
          <w:rFonts w:ascii="Times New Roman" w:hAnsi="Times New Roman" w:cs="Times New Roman"/>
          <w:lang w:val="en-IE"/>
        </w:rPr>
        <w:t>ers</w:t>
      </w:r>
      <w:r w:rsidR="00090964" w:rsidRPr="00C73908">
        <w:rPr>
          <w:rFonts w:ascii="Times New Roman" w:hAnsi="Times New Roman" w:cs="Times New Roman"/>
          <w:lang w:val="en-IE"/>
        </w:rPr>
        <w:t xml:space="preserve"> </w:t>
      </w:r>
      <w:r w:rsidR="00807D46" w:rsidRPr="00C73908">
        <w:rPr>
          <w:rFonts w:ascii="Times New Roman" w:hAnsi="Times New Roman" w:cs="Times New Roman"/>
          <w:lang w:val="en-IE"/>
        </w:rPr>
        <w:t>tend to</w:t>
      </w:r>
      <w:r w:rsidR="00090964" w:rsidRPr="00C73908">
        <w:rPr>
          <w:rFonts w:ascii="Times New Roman" w:hAnsi="Times New Roman" w:cs="Times New Roman"/>
          <w:lang w:val="en-IE"/>
        </w:rPr>
        <w:t xml:space="preserve"> </w:t>
      </w:r>
      <w:r w:rsidR="00552904" w:rsidRPr="00C73908">
        <w:rPr>
          <w:rFonts w:ascii="Times New Roman" w:hAnsi="Times New Roman" w:cs="Times New Roman"/>
          <w:lang w:val="en-IE"/>
        </w:rPr>
        <w:t>invest</w:t>
      </w:r>
      <w:r w:rsidR="00090964" w:rsidRPr="00C73908">
        <w:rPr>
          <w:rFonts w:ascii="Times New Roman" w:hAnsi="Times New Roman" w:cs="Times New Roman"/>
          <w:lang w:val="en-IE"/>
        </w:rPr>
        <w:t xml:space="preserve"> </w:t>
      </w:r>
      <w:r w:rsidR="00807D46" w:rsidRPr="00C73908">
        <w:rPr>
          <w:rFonts w:ascii="Times New Roman" w:hAnsi="Times New Roman" w:cs="Times New Roman"/>
          <w:lang w:val="en-IE"/>
        </w:rPr>
        <w:t xml:space="preserve">more </w:t>
      </w:r>
      <w:r w:rsidR="00552904" w:rsidRPr="00C73908">
        <w:rPr>
          <w:rFonts w:ascii="Times New Roman" w:hAnsi="Times New Roman" w:cs="Times New Roman"/>
          <w:lang w:val="en-IE"/>
        </w:rPr>
        <w:t>i</w:t>
      </w:r>
      <w:r w:rsidR="00C83CE5" w:rsidRPr="00C73908">
        <w:rPr>
          <w:rFonts w:ascii="Times New Roman" w:hAnsi="Times New Roman" w:cs="Times New Roman"/>
          <w:lang w:val="en-IE"/>
        </w:rPr>
        <w:t xml:space="preserve">n staff training </w:t>
      </w:r>
      <w:r w:rsidR="000F3299" w:rsidRPr="00C73908">
        <w:rPr>
          <w:rFonts w:ascii="Times New Roman" w:hAnsi="Times New Roman" w:cs="Times New Roman"/>
          <w:lang w:val="en-IE"/>
        </w:rPr>
        <w:t xml:space="preserve">relative to the services </w:t>
      </w:r>
      <w:r w:rsidR="00045770" w:rsidRPr="00C73908">
        <w:rPr>
          <w:rFonts w:ascii="Times New Roman" w:hAnsi="Times New Roman" w:cs="Times New Roman"/>
          <w:lang w:val="en-IE"/>
        </w:rPr>
        <w:t xml:space="preserve">sector </w:t>
      </w:r>
      <w:r w:rsidR="00C83CE5" w:rsidRPr="00C73908">
        <w:rPr>
          <w:rFonts w:ascii="Times New Roman" w:hAnsi="Times New Roman" w:cs="Times New Roman"/>
          <w:lang w:val="en-IE"/>
        </w:rPr>
        <w:t>with average annual expenditure</w:t>
      </w:r>
      <w:r w:rsidR="00045770" w:rsidRPr="00C73908">
        <w:rPr>
          <w:rFonts w:ascii="Times New Roman" w:hAnsi="Times New Roman" w:cs="Times New Roman"/>
          <w:lang w:val="en-IE"/>
        </w:rPr>
        <w:t>s</w:t>
      </w:r>
      <w:r w:rsidR="00C83CE5" w:rsidRPr="00C73908">
        <w:rPr>
          <w:rFonts w:ascii="Times New Roman" w:hAnsi="Times New Roman" w:cs="Times New Roman"/>
          <w:lang w:val="en-IE"/>
        </w:rPr>
        <w:t xml:space="preserve"> of </w:t>
      </w:r>
      <w:r w:rsidR="00BA1F12" w:rsidRPr="00C73908">
        <w:rPr>
          <w:rFonts w:ascii="Times New Roman" w:hAnsi="Times New Roman" w:cs="Times New Roman"/>
          <w:lang w:val="en-IE"/>
        </w:rPr>
        <w:t xml:space="preserve">€27,371 </w:t>
      </w:r>
      <w:r w:rsidR="00045770" w:rsidRPr="00C73908">
        <w:rPr>
          <w:rFonts w:ascii="Times New Roman" w:hAnsi="Times New Roman" w:cs="Times New Roman"/>
          <w:lang w:val="en-IE"/>
        </w:rPr>
        <w:t>and</w:t>
      </w:r>
      <w:r w:rsidR="00BA1F12" w:rsidRPr="00C73908">
        <w:rPr>
          <w:rFonts w:ascii="Times New Roman" w:hAnsi="Times New Roman" w:cs="Times New Roman"/>
          <w:lang w:val="en-IE"/>
        </w:rPr>
        <w:t xml:space="preserve"> €21,518 </w:t>
      </w:r>
      <w:r w:rsidR="00045770" w:rsidRPr="00C73908">
        <w:rPr>
          <w:rFonts w:ascii="Times New Roman" w:hAnsi="Times New Roman" w:cs="Times New Roman"/>
          <w:lang w:val="en-IE"/>
        </w:rPr>
        <w:t>respectively</w:t>
      </w:r>
      <w:r w:rsidR="00C86711" w:rsidRPr="00C73908">
        <w:rPr>
          <w:rFonts w:ascii="Times New Roman" w:hAnsi="Times New Roman" w:cs="Times New Roman"/>
          <w:lang w:val="en-IE"/>
        </w:rPr>
        <w:t>.</w:t>
      </w:r>
      <w:r w:rsidR="00045770" w:rsidRPr="00C73908">
        <w:rPr>
          <w:rFonts w:ascii="Times New Roman" w:hAnsi="Times New Roman" w:cs="Times New Roman"/>
          <w:lang w:val="en-IE"/>
        </w:rPr>
        <w:t xml:space="preserve"> </w:t>
      </w:r>
      <w:r w:rsidR="007C308C" w:rsidRPr="00C73908">
        <w:rPr>
          <w:rFonts w:ascii="Times New Roman" w:hAnsi="Times New Roman" w:cs="Times New Roman"/>
          <w:lang w:val="en-IE"/>
        </w:rPr>
        <w:t>T</w:t>
      </w:r>
      <w:r w:rsidR="00045770" w:rsidRPr="00C73908">
        <w:rPr>
          <w:rFonts w:ascii="Times New Roman" w:hAnsi="Times New Roman" w:cs="Times New Roman"/>
          <w:lang w:val="en-IE"/>
        </w:rPr>
        <w:t xml:space="preserve">he level of </w:t>
      </w:r>
      <w:r w:rsidR="00F02A61" w:rsidRPr="00C73908">
        <w:rPr>
          <w:rFonts w:ascii="Times New Roman" w:hAnsi="Times New Roman" w:cs="Times New Roman"/>
          <w:lang w:val="en-IE"/>
        </w:rPr>
        <w:t xml:space="preserve">spending has </w:t>
      </w:r>
      <w:r w:rsidR="00C964A1" w:rsidRPr="00C73908">
        <w:rPr>
          <w:rFonts w:ascii="Times New Roman" w:hAnsi="Times New Roman" w:cs="Times New Roman"/>
          <w:lang w:val="en-IE"/>
        </w:rPr>
        <w:t>grown</w:t>
      </w:r>
      <w:r w:rsidR="00F02A61" w:rsidRPr="00C73908">
        <w:rPr>
          <w:rFonts w:ascii="Times New Roman" w:hAnsi="Times New Roman" w:cs="Times New Roman"/>
          <w:lang w:val="en-IE"/>
        </w:rPr>
        <w:t xml:space="preserve"> substantially </w:t>
      </w:r>
      <w:r w:rsidR="007C308C" w:rsidRPr="00C73908">
        <w:rPr>
          <w:rFonts w:ascii="Times New Roman" w:hAnsi="Times New Roman" w:cs="Times New Roman"/>
          <w:lang w:val="en-IE"/>
        </w:rPr>
        <w:t>in both sectors</w:t>
      </w:r>
      <w:r w:rsidR="00F02A61" w:rsidRPr="00C73908">
        <w:rPr>
          <w:rFonts w:ascii="Times New Roman" w:hAnsi="Times New Roman" w:cs="Times New Roman"/>
          <w:lang w:val="en-IE"/>
        </w:rPr>
        <w:t xml:space="preserve"> </w:t>
      </w:r>
      <w:r w:rsidR="00037AAF" w:rsidRPr="00C73908">
        <w:rPr>
          <w:rFonts w:ascii="Times New Roman" w:hAnsi="Times New Roman" w:cs="Times New Roman"/>
          <w:lang w:val="en-IE"/>
        </w:rPr>
        <w:t xml:space="preserve">since 2010 </w:t>
      </w:r>
      <w:r w:rsidR="00C964A1" w:rsidRPr="00C73908">
        <w:rPr>
          <w:rFonts w:ascii="Times New Roman" w:hAnsi="Times New Roman" w:cs="Times New Roman"/>
          <w:lang w:val="en-IE"/>
        </w:rPr>
        <w:t xml:space="preserve">with an increase of </w:t>
      </w:r>
      <w:r w:rsidR="008B4CA9" w:rsidRPr="00C73908">
        <w:rPr>
          <w:rFonts w:ascii="Times New Roman" w:hAnsi="Times New Roman" w:cs="Times New Roman"/>
          <w:lang w:val="en-IE"/>
        </w:rPr>
        <w:t xml:space="preserve">68% in average annual training costs </w:t>
      </w:r>
      <w:r w:rsidR="00037AAF" w:rsidRPr="00C73908">
        <w:rPr>
          <w:rFonts w:ascii="Times New Roman" w:hAnsi="Times New Roman" w:cs="Times New Roman"/>
          <w:lang w:val="en-IE"/>
        </w:rPr>
        <w:t>for services companies</w:t>
      </w:r>
      <w:r w:rsidR="008B4CA9" w:rsidRPr="00C73908">
        <w:rPr>
          <w:rFonts w:ascii="Times New Roman" w:hAnsi="Times New Roman" w:cs="Times New Roman"/>
          <w:lang w:val="en-IE"/>
        </w:rPr>
        <w:t xml:space="preserve">, while manufacturing companies have </w:t>
      </w:r>
      <w:r w:rsidR="007C308C" w:rsidRPr="00C73908">
        <w:rPr>
          <w:rFonts w:ascii="Times New Roman" w:hAnsi="Times New Roman" w:cs="Times New Roman"/>
          <w:lang w:val="en-IE"/>
        </w:rPr>
        <w:t xml:space="preserve">increased their expenditure </w:t>
      </w:r>
      <w:r w:rsidR="00A55E02" w:rsidRPr="00C73908">
        <w:rPr>
          <w:rFonts w:ascii="Times New Roman" w:hAnsi="Times New Roman" w:cs="Times New Roman"/>
          <w:lang w:val="en-IE"/>
        </w:rPr>
        <w:t>by 40%.</w:t>
      </w:r>
    </w:p>
    <w:p w14:paraId="5EE3564A" w14:textId="2D7545BD" w:rsidR="00600D70" w:rsidRPr="00C73908" w:rsidRDefault="00600D70" w:rsidP="008A6DF2">
      <w:pPr>
        <w:spacing w:line="360" w:lineRule="auto"/>
        <w:rPr>
          <w:rFonts w:ascii="Times New Roman" w:hAnsi="Times New Roman" w:cs="Times New Roman"/>
          <w:lang w:val="en-IE"/>
        </w:rPr>
      </w:pPr>
    </w:p>
    <w:p w14:paraId="75CA2A13" w14:textId="77777777" w:rsidR="003E4601" w:rsidRPr="00C73908" w:rsidRDefault="003E4601" w:rsidP="008A6DF2">
      <w:pPr>
        <w:pStyle w:val="Heading1"/>
        <w:numPr>
          <w:ilvl w:val="0"/>
          <w:numId w:val="4"/>
        </w:numPr>
        <w:spacing w:after="240" w:line="360" w:lineRule="auto"/>
        <w:jc w:val="both"/>
        <w:rPr>
          <w:rFonts w:ascii="Times New Roman" w:hAnsi="Times New Roman" w:cs="Times New Roman"/>
          <w:b/>
          <w:bCs/>
          <w:color w:val="0070C0"/>
          <w:lang w:val="en-IE"/>
        </w:rPr>
      </w:pPr>
      <w:bookmarkStart w:id="27" w:name="_Toc67143564"/>
      <w:bookmarkStart w:id="28" w:name="_Toc69198805"/>
      <w:r w:rsidRPr="00C73908">
        <w:rPr>
          <w:rFonts w:ascii="Times New Roman" w:hAnsi="Times New Roman" w:cs="Times New Roman"/>
          <w:b/>
          <w:bCs/>
          <w:color w:val="0070C0"/>
          <w:lang w:val="en-IE"/>
        </w:rPr>
        <w:lastRenderedPageBreak/>
        <w:t>Methodology</w:t>
      </w:r>
      <w:bookmarkEnd w:id="27"/>
      <w:bookmarkEnd w:id="28"/>
    </w:p>
    <w:p w14:paraId="33C72A53" w14:textId="5C08FCCF" w:rsidR="0073089F" w:rsidRPr="00C73908" w:rsidRDefault="00B84086" w:rsidP="008A6DF2">
      <w:pPr>
        <w:spacing w:after="240" w:line="360" w:lineRule="auto"/>
        <w:jc w:val="both"/>
        <w:rPr>
          <w:rFonts w:ascii="Times New Roman" w:hAnsi="Times New Roman" w:cs="Times New Roman"/>
          <w:lang w:val="en-IE"/>
        </w:rPr>
      </w:pPr>
      <w:r>
        <w:rPr>
          <w:rFonts w:ascii="Times New Roman" w:hAnsi="Times New Roman" w:cs="Times New Roman"/>
          <w:lang w:val="en-IE"/>
        </w:rPr>
        <w:t>This</w:t>
      </w:r>
      <w:r w:rsidR="00241E0F">
        <w:rPr>
          <w:rFonts w:ascii="Times New Roman" w:hAnsi="Times New Roman" w:cs="Times New Roman"/>
          <w:lang w:val="en-IE"/>
        </w:rPr>
        <w:t xml:space="preserve"> section provides an overview of </w:t>
      </w:r>
      <w:r w:rsidR="005E443E">
        <w:rPr>
          <w:rFonts w:ascii="Times New Roman" w:hAnsi="Times New Roman" w:cs="Times New Roman"/>
          <w:lang w:val="en-IE"/>
        </w:rPr>
        <w:t>several</w:t>
      </w:r>
      <w:r w:rsidR="009560A6">
        <w:rPr>
          <w:rFonts w:ascii="Times New Roman" w:hAnsi="Times New Roman" w:cs="Times New Roman"/>
          <w:lang w:val="en-IE"/>
        </w:rPr>
        <w:t xml:space="preserve"> models which </w:t>
      </w:r>
      <w:r w:rsidR="006F4465">
        <w:rPr>
          <w:rFonts w:ascii="Times New Roman" w:hAnsi="Times New Roman" w:cs="Times New Roman"/>
          <w:lang w:val="en-IE"/>
        </w:rPr>
        <w:t>are commonly</w:t>
      </w:r>
      <w:r w:rsidR="009560A6">
        <w:rPr>
          <w:rFonts w:ascii="Times New Roman" w:hAnsi="Times New Roman" w:cs="Times New Roman"/>
          <w:lang w:val="en-IE"/>
        </w:rPr>
        <w:t xml:space="preserve"> used to analyse </w:t>
      </w:r>
      <w:r w:rsidR="00C42CC7">
        <w:rPr>
          <w:rFonts w:ascii="Times New Roman" w:hAnsi="Times New Roman" w:cs="Times New Roman"/>
          <w:lang w:val="en-IE"/>
        </w:rPr>
        <w:t>panel data</w:t>
      </w:r>
      <w:r w:rsidR="006F4465">
        <w:rPr>
          <w:rFonts w:ascii="Times New Roman" w:hAnsi="Times New Roman" w:cs="Times New Roman"/>
          <w:lang w:val="en-IE"/>
        </w:rPr>
        <w:t xml:space="preserve">. It also outlines </w:t>
      </w:r>
      <w:r w:rsidR="00C42CC7">
        <w:rPr>
          <w:rFonts w:ascii="Times New Roman" w:hAnsi="Times New Roman" w:cs="Times New Roman"/>
          <w:lang w:val="en-IE"/>
        </w:rPr>
        <w:t xml:space="preserve">the steps taken to identify the appropriate model for this analysis based on the characteristics of </w:t>
      </w:r>
      <w:r w:rsidR="00364C19">
        <w:rPr>
          <w:rFonts w:ascii="Times New Roman" w:hAnsi="Times New Roman" w:cs="Times New Roman"/>
          <w:lang w:val="en-IE"/>
        </w:rPr>
        <w:t>the dataset</w:t>
      </w:r>
      <w:r w:rsidR="00945388">
        <w:rPr>
          <w:rFonts w:ascii="Times New Roman" w:hAnsi="Times New Roman" w:cs="Times New Roman"/>
          <w:lang w:val="en-IE"/>
        </w:rPr>
        <w:t xml:space="preserve"> and potential issues which can arise when analysing panel data</w:t>
      </w:r>
      <w:r w:rsidR="00364C19">
        <w:rPr>
          <w:rFonts w:ascii="Times New Roman" w:hAnsi="Times New Roman" w:cs="Times New Roman"/>
          <w:lang w:val="en-IE"/>
        </w:rPr>
        <w:t>.</w:t>
      </w:r>
      <w:r w:rsidR="00C42CC7">
        <w:rPr>
          <w:rFonts w:ascii="Times New Roman" w:hAnsi="Times New Roman" w:cs="Times New Roman"/>
          <w:lang w:val="en-IE"/>
        </w:rPr>
        <w:t xml:space="preserve"> </w:t>
      </w:r>
      <w:r w:rsidR="005048BC" w:rsidRPr="00C73908">
        <w:rPr>
          <w:rFonts w:ascii="Times New Roman" w:hAnsi="Times New Roman" w:cs="Times New Roman"/>
          <w:lang w:val="en-IE"/>
        </w:rPr>
        <w:t xml:space="preserve">Panel data (also known as longitudinal cross-section data) refers to datasets containing repeated observations of </w:t>
      </w:r>
      <w:r w:rsidR="0073089F" w:rsidRPr="00C73908">
        <w:rPr>
          <w:rFonts w:ascii="Times New Roman" w:hAnsi="Times New Roman" w:cs="Times New Roman"/>
          <w:lang w:val="en-IE"/>
        </w:rPr>
        <w:t xml:space="preserve">the same </w:t>
      </w:r>
      <w:r w:rsidR="005048BC" w:rsidRPr="00C73908">
        <w:rPr>
          <w:rFonts w:ascii="Times New Roman" w:hAnsi="Times New Roman" w:cs="Times New Roman"/>
          <w:lang w:val="en-IE"/>
        </w:rPr>
        <w:t>units</w:t>
      </w:r>
      <w:r w:rsidR="0073089F" w:rsidRPr="00C73908">
        <w:rPr>
          <w:rFonts w:ascii="Times New Roman" w:hAnsi="Times New Roman" w:cs="Times New Roman"/>
          <w:lang w:val="en-IE"/>
        </w:rPr>
        <w:t xml:space="preserve"> (individuals, companies, countries etc.)</w:t>
      </w:r>
      <w:r w:rsidR="005048BC" w:rsidRPr="00C73908">
        <w:rPr>
          <w:rFonts w:ascii="Times New Roman" w:hAnsi="Times New Roman" w:cs="Times New Roman"/>
          <w:lang w:val="en-IE"/>
        </w:rPr>
        <w:t xml:space="preserve"> over a period of time. It involves at least two dimensions; a cross-sectional dimension of individual units and </w:t>
      </w:r>
      <w:r w:rsidR="00132E5A" w:rsidRPr="00C73908">
        <w:rPr>
          <w:rFonts w:ascii="Times New Roman" w:hAnsi="Times New Roman" w:cs="Times New Roman"/>
          <w:lang w:val="en-IE"/>
        </w:rPr>
        <w:t>the</w:t>
      </w:r>
      <w:r w:rsidR="005048BC" w:rsidRPr="00C73908">
        <w:rPr>
          <w:rFonts w:ascii="Times New Roman" w:hAnsi="Times New Roman" w:cs="Times New Roman"/>
          <w:lang w:val="en-IE"/>
        </w:rPr>
        <w:t xml:space="preserve"> time series dimension.</w:t>
      </w:r>
      <w:r w:rsidR="0073089F" w:rsidRPr="00C73908">
        <w:rPr>
          <w:rFonts w:ascii="Times New Roman" w:hAnsi="Times New Roman" w:cs="Times New Roman"/>
          <w:lang w:val="en-IE"/>
        </w:rPr>
        <w:t xml:space="preserve"> </w:t>
      </w:r>
      <w:r w:rsidR="00C20465" w:rsidRPr="00C73908">
        <w:rPr>
          <w:rFonts w:ascii="Times New Roman" w:hAnsi="Times New Roman" w:cs="Times New Roman"/>
          <w:lang w:val="en-IE"/>
        </w:rPr>
        <w:t>Analysis of panel data has become increasingly prevalent in recent decades, particularly in econometrics. This is due, in large part, to</w:t>
      </w:r>
      <w:r w:rsidR="00132E5A" w:rsidRPr="00C73908">
        <w:rPr>
          <w:rFonts w:ascii="Times New Roman" w:hAnsi="Times New Roman" w:cs="Times New Roman"/>
          <w:lang w:val="en-IE"/>
        </w:rPr>
        <w:t xml:space="preserve"> the</w:t>
      </w:r>
      <w:r w:rsidR="00C20465" w:rsidRPr="00C73908">
        <w:rPr>
          <w:rFonts w:ascii="Times New Roman" w:hAnsi="Times New Roman" w:cs="Times New Roman"/>
          <w:lang w:val="en-IE"/>
        </w:rPr>
        <w:t xml:space="preserve"> wider availability of such data with international organisations such as the OECD </w:t>
      </w:r>
      <w:r w:rsidR="00980BB8" w:rsidRPr="00C73908">
        <w:rPr>
          <w:rFonts w:ascii="Times New Roman" w:hAnsi="Times New Roman" w:cs="Times New Roman"/>
          <w:lang w:val="en-IE"/>
        </w:rPr>
        <w:t>publishing</w:t>
      </w:r>
      <w:r w:rsidR="00C20465" w:rsidRPr="00C73908">
        <w:rPr>
          <w:rFonts w:ascii="Times New Roman" w:hAnsi="Times New Roman" w:cs="Times New Roman"/>
          <w:lang w:val="en-IE"/>
        </w:rPr>
        <w:t xml:space="preserve"> time series data on a wide range of country level economic and social indicators which can be used to construct a panel dataset. </w:t>
      </w:r>
      <w:r w:rsidR="001F29D8" w:rsidRPr="00C73908">
        <w:rPr>
          <w:rFonts w:ascii="Times New Roman" w:hAnsi="Times New Roman" w:cs="Times New Roman"/>
          <w:lang w:val="en-IE"/>
        </w:rPr>
        <w:t>In Ireland, the CSO</w:t>
      </w:r>
      <w:r w:rsidR="00724452" w:rsidRPr="00C73908">
        <w:rPr>
          <w:rFonts w:ascii="Times New Roman" w:hAnsi="Times New Roman" w:cs="Times New Roman"/>
          <w:lang w:val="en-IE"/>
        </w:rPr>
        <w:t>’s Annual Services Inquiry and Census of Industrial Production</w:t>
      </w:r>
      <w:r w:rsidR="001F29D8" w:rsidRPr="00C73908">
        <w:rPr>
          <w:rFonts w:ascii="Times New Roman" w:hAnsi="Times New Roman" w:cs="Times New Roman"/>
          <w:lang w:val="en-IE"/>
        </w:rPr>
        <w:t xml:space="preserve"> </w:t>
      </w:r>
      <w:r w:rsidR="00B70ADA">
        <w:rPr>
          <w:rFonts w:ascii="Times New Roman" w:hAnsi="Times New Roman" w:cs="Times New Roman"/>
          <w:lang w:val="en-IE"/>
        </w:rPr>
        <w:t>can be used to construct a</w:t>
      </w:r>
      <w:r w:rsidR="00F7506A" w:rsidRPr="00C73908">
        <w:rPr>
          <w:rFonts w:ascii="Times New Roman" w:hAnsi="Times New Roman" w:cs="Times New Roman"/>
          <w:lang w:val="en-IE"/>
        </w:rPr>
        <w:t xml:space="preserve"> panel data</w:t>
      </w:r>
      <w:r w:rsidR="00B70ADA">
        <w:rPr>
          <w:rFonts w:ascii="Times New Roman" w:hAnsi="Times New Roman" w:cs="Times New Roman"/>
          <w:lang w:val="en-IE"/>
        </w:rPr>
        <w:t>set</w:t>
      </w:r>
      <w:r w:rsidR="00F7506A" w:rsidRPr="00C73908">
        <w:rPr>
          <w:rFonts w:ascii="Times New Roman" w:hAnsi="Times New Roman" w:cs="Times New Roman"/>
          <w:lang w:val="en-IE"/>
        </w:rPr>
        <w:t xml:space="preserve"> with</w:t>
      </w:r>
      <w:r w:rsidR="00836645" w:rsidRPr="00C73908">
        <w:rPr>
          <w:rFonts w:ascii="Times New Roman" w:hAnsi="Times New Roman" w:cs="Times New Roman"/>
          <w:lang w:val="en-IE"/>
        </w:rPr>
        <w:t xml:space="preserve"> a variety of performance indicators </w:t>
      </w:r>
      <w:r w:rsidR="00D05163" w:rsidRPr="00C73908">
        <w:rPr>
          <w:rFonts w:ascii="Times New Roman" w:hAnsi="Times New Roman" w:cs="Times New Roman"/>
          <w:lang w:val="en-IE"/>
        </w:rPr>
        <w:t>for companies in Ireland</w:t>
      </w:r>
      <w:r w:rsidR="005D07F6" w:rsidRPr="00C73908">
        <w:rPr>
          <w:rFonts w:ascii="Times New Roman" w:hAnsi="Times New Roman" w:cs="Times New Roman"/>
          <w:lang w:val="en-IE"/>
        </w:rPr>
        <w:t>.</w:t>
      </w:r>
    </w:p>
    <w:p w14:paraId="72A8CF91" w14:textId="6C8827DE" w:rsidR="00C20465" w:rsidRPr="00C73908" w:rsidRDefault="00C20465"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 xml:space="preserve">This type of data provides several advantages over cross-sectional datasets which consist of observations on multiple entities at a single point in time (i.e. t=1) as outlined by Hsiao (2005). An obvious advantage is that </w:t>
      </w:r>
      <w:r w:rsidR="00FA5ABE" w:rsidRPr="00C73908">
        <w:rPr>
          <w:rFonts w:ascii="Times New Roman" w:hAnsi="Times New Roman" w:cs="Times New Roman"/>
          <w:lang w:val="en-IE"/>
        </w:rPr>
        <w:t>it</w:t>
      </w:r>
      <w:r w:rsidRPr="00C73908">
        <w:rPr>
          <w:rFonts w:ascii="Times New Roman" w:hAnsi="Times New Roman" w:cs="Times New Roman"/>
          <w:lang w:val="en-IE"/>
        </w:rPr>
        <w:t xml:space="preserve"> provides a larger number of observations. This increases the degrees of freedom and reduces collinearity among variables and, therefore, improves the efficiency of econometric estimates. In addition, panel data allows researchers to analyse the dynamics of change and examine the effects of certain interventions or events on the individual units over time. One of the most common challenges faced in </w:t>
      </w:r>
      <w:r w:rsidR="00E57F1F">
        <w:rPr>
          <w:rFonts w:ascii="Times New Roman" w:hAnsi="Times New Roman" w:cs="Times New Roman"/>
          <w:lang w:val="en-IE"/>
        </w:rPr>
        <w:t>any</w:t>
      </w:r>
      <w:r w:rsidRPr="00C73908">
        <w:rPr>
          <w:rFonts w:ascii="Times New Roman" w:hAnsi="Times New Roman" w:cs="Times New Roman"/>
          <w:lang w:val="en-IE"/>
        </w:rPr>
        <w:t xml:space="preserve"> regression analysis is omitted variable bias. This occurs when one or more relevant variables are not included in the model. This may </w:t>
      </w:r>
      <w:r w:rsidR="007C1B08">
        <w:rPr>
          <w:rFonts w:ascii="Times New Roman" w:hAnsi="Times New Roman" w:cs="Times New Roman"/>
          <w:lang w:val="en-IE"/>
        </w:rPr>
        <w:t xml:space="preserve">occur </w:t>
      </w:r>
      <w:r w:rsidR="008E4025">
        <w:rPr>
          <w:rFonts w:ascii="Times New Roman" w:hAnsi="Times New Roman" w:cs="Times New Roman"/>
          <w:lang w:val="en-IE"/>
        </w:rPr>
        <w:t>where there is</w:t>
      </w:r>
      <w:r w:rsidRPr="00C73908">
        <w:rPr>
          <w:rFonts w:ascii="Times New Roman" w:hAnsi="Times New Roman" w:cs="Times New Roman"/>
          <w:lang w:val="en-IE"/>
        </w:rPr>
        <w:t xml:space="preserve"> limited data availab</w:t>
      </w:r>
      <w:r w:rsidR="00993ECA">
        <w:rPr>
          <w:rFonts w:ascii="Times New Roman" w:hAnsi="Times New Roman" w:cs="Times New Roman"/>
          <w:lang w:val="en-IE"/>
        </w:rPr>
        <w:t>le</w:t>
      </w:r>
      <w:r w:rsidRPr="00C73908">
        <w:rPr>
          <w:rFonts w:ascii="Times New Roman" w:hAnsi="Times New Roman" w:cs="Times New Roman"/>
          <w:lang w:val="en-IE"/>
        </w:rPr>
        <w:t xml:space="preserve"> or </w:t>
      </w:r>
      <w:r w:rsidR="00993ECA">
        <w:rPr>
          <w:rFonts w:ascii="Times New Roman" w:hAnsi="Times New Roman" w:cs="Times New Roman"/>
          <w:lang w:val="en-IE"/>
        </w:rPr>
        <w:t xml:space="preserve">where </w:t>
      </w:r>
      <w:r w:rsidR="00875939">
        <w:rPr>
          <w:rFonts w:ascii="Times New Roman" w:hAnsi="Times New Roman" w:cs="Times New Roman"/>
          <w:lang w:val="en-IE"/>
        </w:rPr>
        <w:t xml:space="preserve">there is </w:t>
      </w:r>
      <w:r w:rsidR="008E4025">
        <w:rPr>
          <w:rFonts w:ascii="Times New Roman" w:hAnsi="Times New Roman" w:cs="Times New Roman"/>
          <w:lang w:val="en-IE"/>
        </w:rPr>
        <w:t>difficulty</w:t>
      </w:r>
      <w:r w:rsidRPr="00C73908">
        <w:rPr>
          <w:rFonts w:ascii="Times New Roman" w:hAnsi="Times New Roman" w:cs="Times New Roman"/>
          <w:lang w:val="en-IE"/>
        </w:rPr>
        <w:t xml:space="preserve"> quantify</w:t>
      </w:r>
      <w:r w:rsidR="008E4025">
        <w:rPr>
          <w:rFonts w:ascii="Times New Roman" w:hAnsi="Times New Roman" w:cs="Times New Roman"/>
          <w:lang w:val="en-IE"/>
        </w:rPr>
        <w:t>ing</w:t>
      </w:r>
      <w:r w:rsidRPr="00C73908">
        <w:rPr>
          <w:rFonts w:ascii="Times New Roman" w:hAnsi="Times New Roman" w:cs="Times New Roman"/>
          <w:lang w:val="en-IE"/>
        </w:rPr>
        <w:t xml:space="preserve"> variables and</w:t>
      </w:r>
      <w:r w:rsidR="00875939">
        <w:rPr>
          <w:rFonts w:ascii="Times New Roman" w:hAnsi="Times New Roman" w:cs="Times New Roman"/>
          <w:lang w:val="en-IE"/>
        </w:rPr>
        <w:t xml:space="preserve"> it is</w:t>
      </w:r>
      <w:r w:rsidRPr="00C73908">
        <w:rPr>
          <w:rFonts w:ascii="Times New Roman" w:hAnsi="Times New Roman" w:cs="Times New Roman"/>
          <w:lang w:val="en-IE"/>
        </w:rPr>
        <w:t>, therefore, not be feasible to include them in a regression analysis. With panel data, however, it is possible to reduce omitted variable bias by controlling for time-invariant unobserved factors which affect the dependent variable but do not change over time.</w:t>
      </w:r>
      <w:r w:rsidR="00E94CDE">
        <w:rPr>
          <w:rFonts w:ascii="Times New Roman" w:hAnsi="Times New Roman" w:cs="Times New Roman"/>
          <w:lang w:val="en-IE"/>
        </w:rPr>
        <w:t xml:space="preserve"> For example: proximity to a port or airport may </w:t>
      </w:r>
      <w:r w:rsidR="0009441A">
        <w:rPr>
          <w:rFonts w:ascii="Times New Roman" w:hAnsi="Times New Roman" w:cs="Times New Roman"/>
          <w:lang w:val="en-IE"/>
        </w:rPr>
        <w:t>provide</w:t>
      </w:r>
      <w:r w:rsidR="00E94CDE">
        <w:rPr>
          <w:rFonts w:ascii="Times New Roman" w:hAnsi="Times New Roman" w:cs="Times New Roman"/>
          <w:lang w:val="en-IE"/>
        </w:rPr>
        <w:t xml:space="preserve"> companies </w:t>
      </w:r>
      <w:r w:rsidR="0009441A">
        <w:rPr>
          <w:rFonts w:ascii="Times New Roman" w:hAnsi="Times New Roman" w:cs="Times New Roman"/>
          <w:lang w:val="en-IE"/>
        </w:rPr>
        <w:t xml:space="preserve">with </w:t>
      </w:r>
      <w:r w:rsidR="00E94CDE">
        <w:rPr>
          <w:rFonts w:ascii="Times New Roman" w:hAnsi="Times New Roman" w:cs="Times New Roman"/>
          <w:lang w:val="en-IE"/>
        </w:rPr>
        <w:t xml:space="preserve">an advantage </w:t>
      </w:r>
      <w:r w:rsidR="0009441A">
        <w:rPr>
          <w:rFonts w:ascii="Times New Roman" w:hAnsi="Times New Roman" w:cs="Times New Roman"/>
          <w:lang w:val="en-IE"/>
        </w:rPr>
        <w:t>by giving them easier access to</w:t>
      </w:r>
      <w:r w:rsidR="00DC1D01">
        <w:rPr>
          <w:rFonts w:ascii="Times New Roman" w:hAnsi="Times New Roman" w:cs="Times New Roman"/>
          <w:lang w:val="en-IE"/>
        </w:rPr>
        <w:t xml:space="preserve"> export </w:t>
      </w:r>
      <w:r w:rsidR="0009441A">
        <w:rPr>
          <w:rFonts w:ascii="Times New Roman" w:hAnsi="Times New Roman" w:cs="Times New Roman"/>
          <w:lang w:val="en-IE"/>
        </w:rPr>
        <w:t>markets</w:t>
      </w:r>
      <w:r w:rsidR="00DC1D01">
        <w:rPr>
          <w:rFonts w:ascii="Times New Roman" w:hAnsi="Times New Roman" w:cs="Times New Roman"/>
          <w:lang w:val="en-IE"/>
        </w:rPr>
        <w:t>.</w:t>
      </w:r>
    </w:p>
    <w:p w14:paraId="1BBAC28C" w14:textId="34502456" w:rsidR="00FA4D47" w:rsidRPr="00C73908" w:rsidRDefault="00FA4D47"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Multiple linear regression of panel data</w:t>
      </w:r>
      <w:r w:rsidR="003B21F1" w:rsidRPr="00C73908">
        <w:rPr>
          <w:rFonts w:ascii="Times New Roman" w:hAnsi="Times New Roman" w:cs="Times New Roman"/>
          <w:lang w:val="en-IE"/>
        </w:rPr>
        <w:t xml:space="preserve"> </w:t>
      </w:r>
      <w:r w:rsidR="008D4C07" w:rsidRPr="00C73908">
        <w:rPr>
          <w:rFonts w:ascii="Times New Roman" w:hAnsi="Times New Roman" w:cs="Times New Roman"/>
          <w:lang w:val="en-IE"/>
        </w:rPr>
        <w:t>is</w:t>
      </w:r>
      <w:r w:rsidRPr="00C73908">
        <w:rPr>
          <w:rFonts w:ascii="Times New Roman" w:hAnsi="Times New Roman" w:cs="Times New Roman"/>
          <w:lang w:val="en-IE"/>
        </w:rPr>
        <w:t xml:space="preserve"> represented by the following formula:</w:t>
      </w:r>
    </w:p>
    <w:p w14:paraId="1656F8B0" w14:textId="623D80B2" w:rsidR="004B70F8" w:rsidRPr="00C73908" w:rsidRDefault="009A01FC" w:rsidP="00B25EF8">
      <w:pPr>
        <w:spacing w:after="240" w:line="276" w:lineRule="auto"/>
        <w:jc w:val="center"/>
        <w:rPr>
          <w:rFonts w:ascii="Times New Roman" w:hAnsi="Times New Roman" w:cs="Times New Roman"/>
          <w:lang w:val="en-IE"/>
        </w:rPr>
      </w:pPr>
      <w:r w:rsidRPr="00C73908">
        <w:rPr>
          <w:rFonts w:ascii="Times New Roman" w:hAnsi="Times New Roman" w:cs="Times New Roman"/>
          <w:sz w:val="24"/>
          <w:szCs w:val="24"/>
          <w:lang w:val="en-IE"/>
        </w:rPr>
        <w:t>y</w:t>
      </w:r>
      <w:r w:rsidRPr="00C73908">
        <w:rPr>
          <w:rFonts w:ascii="Times New Roman" w:hAnsi="Times New Roman" w:cs="Times New Roman"/>
          <w:sz w:val="24"/>
          <w:szCs w:val="24"/>
          <w:vertAlign w:val="subscript"/>
          <w:lang w:val="en-IE"/>
        </w:rPr>
        <w:t>it</w:t>
      </w:r>
      <w:r w:rsidRPr="00C73908">
        <w:rPr>
          <w:rFonts w:ascii="Times New Roman" w:hAnsi="Times New Roman" w:cs="Times New Roman"/>
          <w:sz w:val="24"/>
          <w:szCs w:val="24"/>
          <w:lang w:val="en-IE"/>
        </w:rPr>
        <w:t xml:space="preserve"> = α + </w:t>
      </w:r>
      <w:r w:rsidR="00601276" w:rsidRPr="00C73908">
        <w:rPr>
          <w:rFonts w:ascii="Times New Roman" w:hAnsi="Times New Roman" w:cs="Times New Roman"/>
          <w:sz w:val="24"/>
          <w:szCs w:val="24"/>
          <w:lang w:val="en-IE"/>
        </w:rPr>
        <w:t>β</w:t>
      </w:r>
      <w:r w:rsidR="00D836D8" w:rsidRPr="00C73908">
        <w:rPr>
          <w:rFonts w:ascii="Times New Roman" w:hAnsi="Times New Roman" w:cs="Times New Roman"/>
          <w:sz w:val="24"/>
          <w:szCs w:val="24"/>
          <w:vertAlign w:val="superscript"/>
          <w:lang w:val="en-IE"/>
        </w:rPr>
        <w:t>1</w:t>
      </w:r>
      <w:r w:rsidR="002E57D6" w:rsidRPr="00C73908">
        <w:rPr>
          <w:rFonts w:ascii="Times New Roman" w:hAnsi="Times New Roman" w:cs="Times New Roman"/>
          <w:sz w:val="24"/>
          <w:szCs w:val="24"/>
          <w:lang w:val="en-IE"/>
        </w:rPr>
        <w:t>X</w:t>
      </w:r>
      <w:r w:rsidR="00D836D8" w:rsidRPr="00C73908">
        <w:rPr>
          <w:rFonts w:ascii="Times New Roman" w:hAnsi="Times New Roman" w:cs="Times New Roman"/>
          <w:sz w:val="24"/>
          <w:szCs w:val="24"/>
          <w:vertAlign w:val="superscript"/>
          <w:lang w:val="en-IE"/>
        </w:rPr>
        <w:t>1</w:t>
      </w:r>
      <w:r w:rsidRPr="00C73908">
        <w:rPr>
          <w:rFonts w:ascii="Times New Roman" w:hAnsi="Times New Roman" w:cs="Times New Roman"/>
          <w:sz w:val="24"/>
          <w:szCs w:val="24"/>
          <w:vertAlign w:val="subscript"/>
          <w:lang w:val="en-IE"/>
        </w:rPr>
        <w:t>it</w:t>
      </w:r>
      <w:r w:rsidRPr="00C73908">
        <w:rPr>
          <w:rFonts w:ascii="Times New Roman" w:hAnsi="Times New Roman" w:cs="Times New Roman"/>
          <w:sz w:val="24"/>
          <w:szCs w:val="24"/>
          <w:lang w:val="en-IE"/>
        </w:rPr>
        <w:t xml:space="preserve"> + </w:t>
      </w:r>
      <w:r w:rsidR="00A97076" w:rsidRPr="00C73908">
        <w:rPr>
          <w:rFonts w:ascii="Times New Roman" w:hAnsi="Times New Roman" w:cs="Times New Roman"/>
          <w:sz w:val="24"/>
          <w:szCs w:val="24"/>
          <w:lang w:val="en-IE"/>
        </w:rPr>
        <w:t>… + β</w:t>
      </w:r>
      <w:r w:rsidR="00A97076" w:rsidRPr="00C73908">
        <w:rPr>
          <w:rFonts w:ascii="Times New Roman" w:hAnsi="Times New Roman" w:cs="Times New Roman"/>
          <w:sz w:val="24"/>
          <w:szCs w:val="24"/>
          <w:vertAlign w:val="superscript"/>
          <w:lang w:val="en-IE"/>
        </w:rPr>
        <w:t>k</w:t>
      </w:r>
      <w:r w:rsidR="00A97076" w:rsidRPr="00C73908">
        <w:rPr>
          <w:rFonts w:ascii="Times New Roman" w:hAnsi="Times New Roman" w:cs="Times New Roman"/>
          <w:sz w:val="24"/>
          <w:szCs w:val="24"/>
          <w:lang w:val="en-IE"/>
        </w:rPr>
        <w:t>X</w:t>
      </w:r>
      <w:r w:rsidR="00A97076" w:rsidRPr="00C73908">
        <w:rPr>
          <w:rFonts w:ascii="Times New Roman" w:hAnsi="Times New Roman" w:cs="Times New Roman"/>
          <w:sz w:val="24"/>
          <w:szCs w:val="24"/>
          <w:vertAlign w:val="superscript"/>
          <w:lang w:val="en-IE"/>
        </w:rPr>
        <w:t>k</w:t>
      </w:r>
      <w:r w:rsidR="00A97076" w:rsidRPr="00C73908">
        <w:rPr>
          <w:rFonts w:ascii="Times New Roman" w:hAnsi="Times New Roman" w:cs="Times New Roman"/>
          <w:sz w:val="24"/>
          <w:szCs w:val="24"/>
          <w:vertAlign w:val="subscript"/>
          <w:lang w:val="en-IE"/>
        </w:rPr>
        <w:t>it</w:t>
      </w:r>
      <w:r w:rsidR="00A97076" w:rsidRPr="00C73908">
        <w:rPr>
          <w:rFonts w:ascii="Times New Roman" w:hAnsi="Times New Roman" w:cs="Times New Roman"/>
          <w:sz w:val="24"/>
          <w:szCs w:val="24"/>
          <w:lang w:val="en-IE"/>
        </w:rPr>
        <w:t xml:space="preserve"> </w:t>
      </w:r>
      <w:r w:rsidRPr="00C73908">
        <w:rPr>
          <w:rFonts w:ascii="Times New Roman" w:hAnsi="Times New Roman" w:cs="Times New Roman"/>
          <w:sz w:val="24"/>
          <w:szCs w:val="24"/>
          <w:lang w:val="en-IE"/>
        </w:rPr>
        <w:t>+ u</w:t>
      </w:r>
      <w:r w:rsidRPr="00C73908">
        <w:rPr>
          <w:rFonts w:ascii="Times New Roman" w:hAnsi="Times New Roman" w:cs="Times New Roman"/>
          <w:sz w:val="24"/>
          <w:szCs w:val="24"/>
          <w:vertAlign w:val="subscript"/>
          <w:lang w:val="en-IE"/>
        </w:rPr>
        <w:t>i</w:t>
      </w:r>
      <w:r w:rsidR="000B28AC" w:rsidRPr="00C73908">
        <w:rPr>
          <w:rFonts w:ascii="Times New Roman" w:hAnsi="Times New Roman" w:cs="Times New Roman"/>
          <w:sz w:val="24"/>
          <w:szCs w:val="24"/>
          <w:lang w:val="en-IE"/>
        </w:rPr>
        <w:t xml:space="preserve"> + </w:t>
      </w:r>
      <w:r w:rsidR="000B28AC" w:rsidRPr="00C73908">
        <w:rPr>
          <w:rFonts w:ascii="Times New Roman" w:hAnsi="Times New Roman" w:cs="Times New Roman"/>
          <w:sz w:val="24"/>
          <w:szCs w:val="24"/>
          <w:lang w:val="en-IE"/>
        </w:rPr>
        <w:sym w:font="Symbol" w:char="F065"/>
      </w:r>
      <w:r w:rsidR="000B28AC" w:rsidRPr="00C73908">
        <w:rPr>
          <w:rFonts w:ascii="Times New Roman" w:hAnsi="Times New Roman" w:cs="Times New Roman"/>
          <w:sz w:val="24"/>
          <w:szCs w:val="24"/>
          <w:vertAlign w:val="subscript"/>
          <w:lang w:val="en-IE"/>
        </w:rPr>
        <w:t>it</w:t>
      </w:r>
    </w:p>
    <w:p w14:paraId="33004F1C" w14:textId="290FC990" w:rsidR="00975738" w:rsidRPr="00C73908" w:rsidRDefault="002F4EA5" w:rsidP="00B25EF8">
      <w:pPr>
        <w:spacing w:after="240" w:line="276" w:lineRule="auto"/>
        <w:jc w:val="both"/>
        <w:rPr>
          <w:rFonts w:ascii="Times New Roman" w:hAnsi="Times New Roman" w:cs="Times New Roman"/>
          <w:lang w:val="en-IE"/>
        </w:rPr>
      </w:pPr>
      <w:r w:rsidRPr="00C73908">
        <w:rPr>
          <w:rFonts w:ascii="Times New Roman" w:hAnsi="Times New Roman" w:cs="Times New Roman"/>
          <w:lang w:val="en-IE"/>
        </w:rPr>
        <w:t>Where</w:t>
      </w:r>
      <w:r w:rsidR="008A026C" w:rsidRPr="00C73908">
        <w:rPr>
          <w:rFonts w:ascii="Times New Roman" w:hAnsi="Times New Roman" w:cs="Times New Roman"/>
          <w:lang w:val="en-IE"/>
        </w:rPr>
        <w:t>:</w:t>
      </w:r>
    </w:p>
    <w:p w14:paraId="1CFDE753" w14:textId="2BFEC97D" w:rsidR="00D36B0F" w:rsidRPr="00C73908" w:rsidRDefault="00FD02F3" w:rsidP="00B25EF8">
      <w:pPr>
        <w:pStyle w:val="ListParagraph"/>
        <w:numPr>
          <w:ilvl w:val="0"/>
          <w:numId w:val="12"/>
        </w:numPr>
        <w:spacing w:after="240" w:line="276" w:lineRule="auto"/>
        <w:jc w:val="both"/>
        <w:rPr>
          <w:rFonts w:ascii="Times New Roman" w:hAnsi="Times New Roman" w:cs="Times New Roman"/>
          <w:lang w:val="en-IE"/>
        </w:rPr>
      </w:pPr>
      <w:r w:rsidRPr="00C73908">
        <w:rPr>
          <w:rFonts w:ascii="Times New Roman" w:hAnsi="Times New Roman" w:cs="Times New Roman"/>
          <w:lang w:val="en-IE"/>
        </w:rPr>
        <w:t xml:space="preserve">i = </w:t>
      </w:r>
      <w:proofErr w:type="gramStart"/>
      <w:r w:rsidRPr="00C73908">
        <w:rPr>
          <w:rFonts w:ascii="Times New Roman" w:hAnsi="Times New Roman" w:cs="Times New Roman"/>
          <w:lang w:val="en-IE"/>
        </w:rPr>
        <w:t>1,2,…</w:t>
      </w:r>
      <w:proofErr w:type="gramEnd"/>
      <w:r w:rsidRPr="00C73908">
        <w:rPr>
          <w:rFonts w:ascii="Times New Roman" w:hAnsi="Times New Roman" w:cs="Times New Roman"/>
          <w:lang w:val="en-IE"/>
        </w:rPr>
        <w:t>..</w:t>
      </w:r>
      <w:r w:rsidR="00E508E4" w:rsidRPr="00C73908">
        <w:rPr>
          <w:rFonts w:ascii="Times New Roman" w:hAnsi="Times New Roman" w:cs="Times New Roman"/>
          <w:lang w:val="en-IE"/>
        </w:rPr>
        <w:t xml:space="preserve">; N; </w:t>
      </w:r>
      <w:r w:rsidR="00C920AF" w:rsidRPr="00C73908">
        <w:rPr>
          <w:rFonts w:ascii="Times New Roman" w:hAnsi="Times New Roman" w:cs="Times New Roman"/>
          <w:lang w:val="en-IE"/>
        </w:rPr>
        <w:t>are</w:t>
      </w:r>
      <w:r w:rsidR="002526A2" w:rsidRPr="00C73908">
        <w:rPr>
          <w:rFonts w:ascii="Times New Roman" w:hAnsi="Times New Roman" w:cs="Times New Roman"/>
          <w:lang w:val="en-IE"/>
        </w:rPr>
        <w:t xml:space="preserve"> the individual companies</w:t>
      </w:r>
      <w:r w:rsidR="0014458A" w:rsidRPr="00C73908">
        <w:rPr>
          <w:rFonts w:ascii="Times New Roman" w:hAnsi="Times New Roman" w:cs="Times New Roman"/>
          <w:lang w:val="en-IE"/>
        </w:rPr>
        <w:t xml:space="preserve"> (the cross-sectional dimension)</w:t>
      </w:r>
      <w:r w:rsidR="00A67DE6" w:rsidRPr="00C73908">
        <w:rPr>
          <w:rFonts w:ascii="Times New Roman" w:hAnsi="Times New Roman" w:cs="Times New Roman"/>
          <w:lang w:val="en-IE"/>
        </w:rPr>
        <w:t>;</w:t>
      </w:r>
    </w:p>
    <w:p w14:paraId="753C100C" w14:textId="67EF2821" w:rsidR="00D36B0F" w:rsidRPr="00C73908" w:rsidRDefault="0091515B" w:rsidP="00B25EF8">
      <w:pPr>
        <w:pStyle w:val="ListParagraph"/>
        <w:numPr>
          <w:ilvl w:val="0"/>
          <w:numId w:val="12"/>
        </w:numPr>
        <w:spacing w:after="240" w:line="276" w:lineRule="auto"/>
        <w:jc w:val="both"/>
        <w:rPr>
          <w:rFonts w:ascii="Times New Roman" w:hAnsi="Times New Roman" w:cs="Times New Roman"/>
          <w:lang w:val="en-IE"/>
        </w:rPr>
      </w:pPr>
      <w:r w:rsidRPr="00C73908">
        <w:rPr>
          <w:rFonts w:ascii="Times New Roman" w:hAnsi="Times New Roman" w:cs="Times New Roman"/>
          <w:lang w:val="en-IE"/>
        </w:rPr>
        <w:t xml:space="preserve">t = </w:t>
      </w:r>
      <w:proofErr w:type="gramStart"/>
      <w:r w:rsidRPr="00C73908">
        <w:rPr>
          <w:rFonts w:ascii="Times New Roman" w:hAnsi="Times New Roman" w:cs="Times New Roman"/>
          <w:lang w:val="en-IE"/>
        </w:rPr>
        <w:t>1,2,…</w:t>
      </w:r>
      <w:proofErr w:type="gramEnd"/>
      <w:r w:rsidRPr="00C73908">
        <w:rPr>
          <w:rFonts w:ascii="Times New Roman" w:hAnsi="Times New Roman" w:cs="Times New Roman"/>
          <w:lang w:val="en-IE"/>
        </w:rPr>
        <w:t xml:space="preserve">..; </w:t>
      </w:r>
      <w:r w:rsidR="0070381B" w:rsidRPr="00C73908">
        <w:rPr>
          <w:rFonts w:ascii="Times New Roman" w:hAnsi="Times New Roman" w:cs="Times New Roman"/>
          <w:lang w:val="en-IE"/>
        </w:rPr>
        <w:t>T</w:t>
      </w:r>
      <w:r w:rsidRPr="00C73908">
        <w:rPr>
          <w:rFonts w:ascii="Times New Roman" w:hAnsi="Times New Roman" w:cs="Times New Roman"/>
          <w:lang w:val="en-IE"/>
        </w:rPr>
        <w:t xml:space="preserve">; </w:t>
      </w:r>
      <w:r w:rsidR="001D3755" w:rsidRPr="00C73908">
        <w:rPr>
          <w:rFonts w:ascii="Times New Roman" w:hAnsi="Times New Roman" w:cs="Times New Roman"/>
          <w:lang w:val="en-IE"/>
        </w:rPr>
        <w:t>denotes</w:t>
      </w:r>
      <w:r w:rsidRPr="00C73908">
        <w:rPr>
          <w:rFonts w:ascii="Times New Roman" w:hAnsi="Times New Roman" w:cs="Times New Roman"/>
          <w:lang w:val="en-IE"/>
        </w:rPr>
        <w:t xml:space="preserve"> the time periods</w:t>
      </w:r>
      <w:r w:rsidR="004F07BF" w:rsidRPr="00C73908">
        <w:rPr>
          <w:rFonts w:ascii="Times New Roman" w:hAnsi="Times New Roman" w:cs="Times New Roman"/>
          <w:lang w:val="en-IE"/>
        </w:rPr>
        <w:t xml:space="preserve"> (the time series dimension</w:t>
      </w:r>
      <w:r w:rsidR="00D36B0F" w:rsidRPr="00C73908">
        <w:rPr>
          <w:rFonts w:ascii="Times New Roman" w:hAnsi="Times New Roman" w:cs="Times New Roman"/>
          <w:lang w:val="en-IE"/>
        </w:rPr>
        <w:t>)</w:t>
      </w:r>
      <w:r w:rsidR="00A67DE6" w:rsidRPr="00C73908">
        <w:rPr>
          <w:rFonts w:ascii="Times New Roman" w:hAnsi="Times New Roman" w:cs="Times New Roman"/>
          <w:lang w:val="en-IE"/>
        </w:rPr>
        <w:t>;</w:t>
      </w:r>
    </w:p>
    <w:p w14:paraId="76F81785" w14:textId="3EA34303" w:rsidR="00D36B0F" w:rsidRPr="00C73908" w:rsidRDefault="00A46900" w:rsidP="00B25EF8">
      <w:pPr>
        <w:pStyle w:val="ListParagraph"/>
        <w:numPr>
          <w:ilvl w:val="0"/>
          <w:numId w:val="12"/>
        </w:numPr>
        <w:spacing w:after="240" w:line="276" w:lineRule="auto"/>
        <w:jc w:val="both"/>
        <w:rPr>
          <w:rFonts w:ascii="Times New Roman" w:hAnsi="Times New Roman" w:cs="Times New Roman"/>
          <w:lang w:val="en-IE"/>
        </w:rPr>
      </w:pPr>
      <w:r w:rsidRPr="00C73908">
        <w:rPr>
          <w:rFonts w:ascii="Times New Roman" w:hAnsi="Times New Roman" w:cs="Times New Roman"/>
          <w:lang w:val="en-IE"/>
        </w:rPr>
        <w:t>y</w:t>
      </w:r>
      <w:r w:rsidR="000531BF" w:rsidRPr="00C73908">
        <w:rPr>
          <w:rFonts w:ascii="Times New Roman" w:hAnsi="Times New Roman" w:cs="Times New Roman"/>
          <w:vertAlign w:val="subscript"/>
          <w:lang w:val="en-IE"/>
        </w:rPr>
        <w:t>it</w:t>
      </w:r>
      <w:r w:rsidRPr="00C73908">
        <w:rPr>
          <w:rFonts w:ascii="Times New Roman" w:hAnsi="Times New Roman" w:cs="Times New Roman"/>
          <w:lang w:val="en-IE"/>
        </w:rPr>
        <w:t xml:space="preserve"> is the dependent variable</w:t>
      </w:r>
      <w:r w:rsidR="006017E4" w:rsidRPr="00C73908">
        <w:rPr>
          <w:rFonts w:ascii="Times New Roman" w:hAnsi="Times New Roman" w:cs="Times New Roman"/>
          <w:lang w:val="en-IE"/>
        </w:rPr>
        <w:t xml:space="preserve"> observed for individual i at time t</w:t>
      </w:r>
      <w:r w:rsidR="00A67DE6" w:rsidRPr="00C73908">
        <w:rPr>
          <w:rFonts w:ascii="Times New Roman" w:hAnsi="Times New Roman" w:cs="Times New Roman"/>
          <w:lang w:val="en-IE"/>
        </w:rPr>
        <w:t>;</w:t>
      </w:r>
    </w:p>
    <w:p w14:paraId="1A731D0F" w14:textId="184EAF05" w:rsidR="004D6CF4" w:rsidRPr="00C73908" w:rsidRDefault="008000F6" w:rsidP="00B25EF8">
      <w:pPr>
        <w:pStyle w:val="ListParagraph"/>
        <w:numPr>
          <w:ilvl w:val="0"/>
          <w:numId w:val="12"/>
        </w:numPr>
        <w:spacing w:after="240" w:line="276" w:lineRule="auto"/>
        <w:jc w:val="both"/>
        <w:rPr>
          <w:rFonts w:ascii="Times New Roman" w:hAnsi="Times New Roman" w:cs="Times New Roman"/>
          <w:lang w:val="en-IE"/>
        </w:rPr>
      </w:pPr>
      <w:r w:rsidRPr="00C73908">
        <w:rPr>
          <w:rFonts w:ascii="Times New Roman" w:hAnsi="Times New Roman" w:cs="Times New Roman"/>
          <w:lang w:val="en-IE"/>
        </w:rPr>
        <w:t>X</w:t>
      </w:r>
      <w:r w:rsidR="008674DD" w:rsidRPr="00C73908">
        <w:rPr>
          <w:rFonts w:ascii="Times New Roman" w:hAnsi="Times New Roman" w:cs="Times New Roman"/>
          <w:vertAlign w:val="superscript"/>
          <w:lang w:val="en-IE"/>
        </w:rPr>
        <w:t>1…K</w:t>
      </w:r>
      <w:r w:rsidRPr="00C73908">
        <w:rPr>
          <w:rFonts w:ascii="Times New Roman" w:hAnsi="Times New Roman" w:cs="Times New Roman"/>
          <w:vertAlign w:val="subscript"/>
          <w:lang w:val="en-IE"/>
        </w:rPr>
        <w:t>it</w:t>
      </w:r>
      <w:r w:rsidRPr="00C73908">
        <w:rPr>
          <w:rFonts w:ascii="Times New Roman" w:hAnsi="Times New Roman" w:cs="Times New Roman"/>
          <w:lang w:val="en-IE"/>
        </w:rPr>
        <w:t xml:space="preserve"> </w:t>
      </w:r>
      <w:r w:rsidR="004D6CF4" w:rsidRPr="00C73908">
        <w:rPr>
          <w:rFonts w:ascii="Times New Roman" w:hAnsi="Times New Roman" w:cs="Times New Roman"/>
          <w:lang w:val="en-IE"/>
        </w:rPr>
        <w:t>represents one</w:t>
      </w:r>
      <w:r w:rsidR="00A97076" w:rsidRPr="00C73908">
        <w:rPr>
          <w:rFonts w:ascii="Times New Roman" w:hAnsi="Times New Roman" w:cs="Times New Roman"/>
          <w:lang w:val="en-IE"/>
        </w:rPr>
        <w:t xml:space="preserve"> of </w:t>
      </w:r>
      <w:r w:rsidR="00AF0FDF" w:rsidRPr="00C73908">
        <w:rPr>
          <w:rFonts w:ascii="Times New Roman" w:hAnsi="Times New Roman" w:cs="Times New Roman"/>
          <w:lang w:val="en-IE"/>
        </w:rPr>
        <w:t>k</w:t>
      </w:r>
      <w:r w:rsidR="004D6CF4" w:rsidRPr="00C73908">
        <w:rPr>
          <w:rFonts w:ascii="Times New Roman" w:hAnsi="Times New Roman" w:cs="Times New Roman"/>
          <w:lang w:val="en-IE"/>
        </w:rPr>
        <w:t xml:space="preserve"> independent variable</w:t>
      </w:r>
      <w:r w:rsidR="00A67DE6" w:rsidRPr="00C73908">
        <w:rPr>
          <w:rFonts w:ascii="Times New Roman" w:hAnsi="Times New Roman" w:cs="Times New Roman"/>
          <w:lang w:val="en-IE"/>
        </w:rPr>
        <w:t>;</w:t>
      </w:r>
    </w:p>
    <w:p w14:paraId="0B11E620" w14:textId="282EA705" w:rsidR="00A67DE6" w:rsidRPr="00C73908" w:rsidRDefault="008674DD" w:rsidP="00B25EF8">
      <w:pPr>
        <w:pStyle w:val="ListParagraph"/>
        <w:numPr>
          <w:ilvl w:val="0"/>
          <w:numId w:val="12"/>
        </w:numPr>
        <w:spacing w:after="240" w:line="276" w:lineRule="auto"/>
        <w:jc w:val="both"/>
        <w:rPr>
          <w:rFonts w:ascii="Times New Roman" w:hAnsi="Times New Roman" w:cs="Times New Roman"/>
          <w:lang w:val="en-IE"/>
        </w:rPr>
      </w:pPr>
      <w:r w:rsidRPr="00C73908">
        <w:rPr>
          <w:rFonts w:ascii="Times New Roman" w:hAnsi="Times New Roman" w:cs="Times New Roman"/>
          <w:lang w:val="en-IE"/>
        </w:rPr>
        <w:lastRenderedPageBreak/>
        <w:t>Β</w:t>
      </w:r>
      <w:r w:rsidRPr="00C73908">
        <w:rPr>
          <w:rFonts w:ascii="Times New Roman" w:hAnsi="Times New Roman" w:cs="Times New Roman"/>
          <w:vertAlign w:val="superscript"/>
          <w:lang w:val="en-IE"/>
        </w:rPr>
        <w:t>1…k</w:t>
      </w:r>
      <w:r w:rsidR="00AD725B" w:rsidRPr="00C73908">
        <w:rPr>
          <w:rFonts w:ascii="Times New Roman" w:hAnsi="Times New Roman" w:cs="Times New Roman"/>
          <w:lang w:val="en-IE"/>
        </w:rPr>
        <w:t xml:space="preserve"> is </w:t>
      </w:r>
      <w:r w:rsidRPr="00C73908">
        <w:rPr>
          <w:rFonts w:ascii="Times New Roman" w:hAnsi="Times New Roman" w:cs="Times New Roman"/>
          <w:lang w:val="en-IE"/>
        </w:rPr>
        <w:t xml:space="preserve">the coefficient </w:t>
      </w:r>
      <w:r w:rsidR="008F58A3" w:rsidRPr="00C73908">
        <w:rPr>
          <w:rFonts w:ascii="Times New Roman" w:hAnsi="Times New Roman" w:cs="Times New Roman"/>
          <w:lang w:val="en-IE"/>
        </w:rPr>
        <w:t>of</w:t>
      </w:r>
      <w:r w:rsidRPr="00C73908">
        <w:rPr>
          <w:rFonts w:ascii="Times New Roman" w:hAnsi="Times New Roman" w:cs="Times New Roman"/>
          <w:lang w:val="en-IE"/>
        </w:rPr>
        <w:t xml:space="preserve"> the independent variable</w:t>
      </w:r>
      <w:r w:rsidR="008F58A3" w:rsidRPr="00C73908">
        <w:rPr>
          <w:rFonts w:ascii="Times New Roman" w:hAnsi="Times New Roman" w:cs="Times New Roman"/>
          <w:lang w:val="en-IE"/>
        </w:rPr>
        <w:t>s</w:t>
      </w:r>
      <w:r w:rsidR="00A67DE6" w:rsidRPr="00C73908">
        <w:rPr>
          <w:rFonts w:ascii="Times New Roman" w:hAnsi="Times New Roman" w:cs="Times New Roman"/>
          <w:lang w:val="en-IE"/>
        </w:rPr>
        <w:t>;</w:t>
      </w:r>
    </w:p>
    <w:p w14:paraId="2F77D902" w14:textId="6A647C3B" w:rsidR="00A67DE6" w:rsidRPr="00C73908" w:rsidRDefault="009E53A1" w:rsidP="00B25EF8">
      <w:pPr>
        <w:pStyle w:val="ListParagraph"/>
        <w:numPr>
          <w:ilvl w:val="0"/>
          <w:numId w:val="12"/>
        </w:numPr>
        <w:spacing w:after="240" w:line="276" w:lineRule="auto"/>
        <w:jc w:val="both"/>
        <w:rPr>
          <w:rFonts w:ascii="Times New Roman" w:hAnsi="Times New Roman" w:cs="Times New Roman"/>
          <w:lang w:val="en-IE"/>
        </w:rPr>
      </w:pPr>
      <w:r w:rsidRPr="00C73908">
        <w:rPr>
          <w:rFonts w:ascii="Times New Roman" w:hAnsi="Times New Roman" w:cs="Times New Roman"/>
          <w:lang w:val="en-IE"/>
        </w:rPr>
        <w:t>α is the intercept</w:t>
      </w:r>
      <w:r w:rsidR="00A67DE6" w:rsidRPr="00C73908">
        <w:rPr>
          <w:rFonts w:ascii="Times New Roman" w:hAnsi="Times New Roman" w:cs="Times New Roman"/>
          <w:lang w:val="en-IE"/>
        </w:rPr>
        <w:t xml:space="preserve"> term;</w:t>
      </w:r>
    </w:p>
    <w:p w14:paraId="376C6517" w14:textId="78A5818A" w:rsidR="00A67DE6" w:rsidRPr="00C73908" w:rsidRDefault="007F09A4" w:rsidP="00B25EF8">
      <w:pPr>
        <w:pStyle w:val="ListParagraph"/>
        <w:numPr>
          <w:ilvl w:val="0"/>
          <w:numId w:val="12"/>
        </w:numPr>
        <w:spacing w:after="240" w:line="276" w:lineRule="auto"/>
        <w:jc w:val="both"/>
        <w:rPr>
          <w:rFonts w:ascii="Times New Roman" w:hAnsi="Times New Roman" w:cs="Times New Roman"/>
          <w:lang w:val="en-IE"/>
        </w:rPr>
      </w:pPr>
      <w:r w:rsidRPr="00C73908">
        <w:rPr>
          <w:rFonts w:ascii="Times New Roman" w:hAnsi="Times New Roman" w:cs="Times New Roman"/>
          <w:lang w:val="en-IE"/>
        </w:rPr>
        <w:t>u</w:t>
      </w:r>
      <w:r w:rsidRPr="00C73908">
        <w:rPr>
          <w:rFonts w:ascii="Times New Roman" w:hAnsi="Times New Roman" w:cs="Times New Roman"/>
          <w:vertAlign w:val="subscript"/>
          <w:lang w:val="en-IE"/>
        </w:rPr>
        <w:t>i</w:t>
      </w:r>
      <w:r w:rsidR="00AD725B" w:rsidRPr="00C73908">
        <w:rPr>
          <w:rFonts w:ascii="Times New Roman" w:hAnsi="Times New Roman" w:cs="Times New Roman"/>
          <w:lang w:val="en-IE"/>
        </w:rPr>
        <w:t xml:space="preserve"> is </w:t>
      </w:r>
      <w:r w:rsidR="002967C7" w:rsidRPr="00C73908">
        <w:rPr>
          <w:rFonts w:ascii="Times New Roman" w:hAnsi="Times New Roman" w:cs="Times New Roman"/>
          <w:lang w:val="en-IE"/>
        </w:rPr>
        <w:t>the</w:t>
      </w:r>
      <w:r w:rsidR="00082EE8" w:rsidRPr="00C73908">
        <w:rPr>
          <w:rFonts w:ascii="Times New Roman" w:hAnsi="Times New Roman" w:cs="Times New Roman"/>
          <w:lang w:val="en-IE"/>
        </w:rPr>
        <w:t xml:space="preserve"> unobserved</w:t>
      </w:r>
      <w:r w:rsidR="00AD725B" w:rsidRPr="00C73908">
        <w:rPr>
          <w:rFonts w:ascii="Times New Roman" w:hAnsi="Times New Roman" w:cs="Times New Roman"/>
          <w:lang w:val="en-IE"/>
        </w:rPr>
        <w:t xml:space="preserve"> individual-specific effect</w:t>
      </w:r>
      <w:r w:rsidR="002967C7" w:rsidRPr="00C73908">
        <w:rPr>
          <w:rFonts w:ascii="Times New Roman" w:hAnsi="Times New Roman" w:cs="Times New Roman"/>
          <w:lang w:val="en-IE"/>
        </w:rPr>
        <w:t>s</w:t>
      </w:r>
      <w:r w:rsidR="00A67DE6" w:rsidRPr="00C73908">
        <w:rPr>
          <w:rFonts w:ascii="Times New Roman" w:hAnsi="Times New Roman" w:cs="Times New Roman"/>
          <w:lang w:val="en-IE"/>
        </w:rPr>
        <w:t>; and</w:t>
      </w:r>
    </w:p>
    <w:p w14:paraId="2C85C5F5" w14:textId="0248A19B" w:rsidR="008000F6" w:rsidRPr="00C73908" w:rsidRDefault="00A67DE6" w:rsidP="00B25EF8">
      <w:pPr>
        <w:pStyle w:val="ListParagraph"/>
        <w:numPr>
          <w:ilvl w:val="0"/>
          <w:numId w:val="12"/>
        </w:numPr>
        <w:spacing w:after="240" w:line="276" w:lineRule="auto"/>
        <w:jc w:val="both"/>
        <w:rPr>
          <w:rFonts w:ascii="Times New Roman" w:hAnsi="Times New Roman" w:cs="Times New Roman"/>
          <w:lang w:val="en-IE"/>
        </w:rPr>
      </w:pPr>
      <w:r w:rsidRPr="00C73908">
        <w:rPr>
          <w:rFonts w:ascii="Times New Roman" w:hAnsi="Times New Roman" w:cs="Times New Roman"/>
          <w:sz w:val="24"/>
          <w:szCs w:val="24"/>
          <w:lang w:val="en-IE"/>
        </w:rPr>
        <w:sym w:font="Symbol" w:char="F065"/>
      </w:r>
      <w:r w:rsidR="00AD725B" w:rsidRPr="00C73908">
        <w:rPr>
          <w:rFonts w:ascii="Times New Roman" w:hAnsi="Times New Roman" w:cs="Times New Roman"/>
          <w:vertAlign w:val="subscript"/>
          <w:lang w:val="en-IE"/>
        </w:rPr>
        <w:t>it</w:t>
      </w:r>
      <w:r w:rsidR="00AD725B" w:rsidRPr="00C73908">
        <w:rPr>
          <w:rFonts w:ascii="Times New Roman" w:hAnsi="Times New Roman" w:cs="Times New Roman"/>
          <w:lang w:val="en-IE"/>
        </w:rPr>
        <w:t xml:space="preserve"> is </w:t>
      </w:r>
      <w:r w:rsidRPr="00C73908">
        <w:rPr>
          <w:rFonts w:ascii="Times New Roman" w:hAnsi="Times New Roman" w:cs="Times New Roman"/>
          <w:lang w:val="en-IE"/>
        </w:rPr>
        <w:t>the</w:t>
      </w:r>
      <w:r w:rsidR="00AD725B" w:rsidRPr="00C73908">
        <w:rPr>
          <w:rFonts w:ascii="Times New Roman" w:hAnsi="Times New Roman" w:cs="Times New Roman"/>
          <w:lang w:val="en-IE"/>
        </w:rPr>
        <w:t xml:space="preserve"> idiosyncratic error term.</w:t>
      </w:r>
    </w:p>
    <w:p w14:paraId="5D8B673D" w14:textId="096F1DCB" w:rsidR="00980BB8" w:rsidRPr="00C73908" w:rsidRDefault="007C26B3"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 xml:space="preserve">In a balanced dataset, all companies </w:t>
      </w:r>
      <w:r w:rsidR="0070381B" w:rsidRPr="00C73908">
        <w:rPr>
          <w:rFonts w:ascii="Times New Roman" w:hAnsi="Times New Roman" w:cs="Times New Roman"/>
          <w:lang w:val="en-IE"/>
        </w:rPr>
        <w:t>are measured</w:t>
      </w:r>
      <w:r w:rsidR="00B376F6" w:rsidRPr="00C73908">
        <w:rPr>
          <w:rFonts w:ascii="Times New Roman" w:hAnsi="Times New Roman" w:cs="Times New Roman"/>
          <w:lang w:val="en-IE"/>
        </w:rPr>
        <w:t xml:space="preserve"> in each time period such that the </w:t>
      </w:r>
      <w:r w:rsidR="00E6335A" w:rsidRPr="00C73908">
        <w:rPr>
          <w:rFonts w:ascii="Times New Roman" w:hAnsi="Times New Roman" w:cs="Times New Roman"/>
          <w:lang w:val="en-IE"/>
        </w:rPr>
        <w:t xml:space="preserve">total number of observations is equal to </w:t>
      </w:r>
      <w:r w:rsidR="00B91D84" w:rsidRPr="00C73908">
        <w:rPr>
          <w:rFonts w:ascii="Times New Roman" w:hAnsi="Times New Roman" w:cs="Times New Roman"/>
          <w:lang w:val="en-IE"/>
        </w:rPr>
        <w:t>N*</w:t>
      </w:r>
      <w:r w:rsidR="00D75219" w:rsidRPr="00C73908">
        <w:rPr>
          <w:rFonts w:ascii="Times New Roman" w:hAnsi="Times New Roman" w:cs="Times New Roman"/>
          <w:lang w:val="en-IE"/>
        </w:rPr>
        <w:t>T</w:t>
      </w:r>
      <w:r w:rsidR="00B91D84" w:rsidRPr="00C73908">
        <w:rPr>
          <w:rFonts w:ascii="Times New Roman" w:hAnsi="Times New Roman" w:cs="Times New Roman"/>
          <w:lang w:val="en-IE"/>
        </w:rPr>
        <w:t xml:space="preserve">. </w:t>
      </w:r>
      <w:r w:rsidR="00D75219" w:rsidRPr="00C73908">
        <w:rPr>
          <w:rFonts w:ascii="Times New Roman" w:hAnsi="Times New Roman" w:cs="Times New Roman"/>
          <w:lang w:val="en-IE"/>
        </w:rPr>
        <w:t>In this case, however, the</w:t>
      </w:r>
      <w:r w:rsidR="00FD53C8" w:rsidRPr="00C73908">
        <w:rPr>
          <w:rFonts w:ascii="Times New Roman" w:hAnsi="Times New Roman" w:cs="Times New Roman"/>
          <w:lang w:val="en-IE"/>
        </w:rPr>
        <w:t xml:space="preserve"> dataset contains missing values</w:t>
      </w:r>
      <w:r w:rsidR="0070381B" w:rsidRPr="00C73908">
        <w:rPr>
          <w:rFonts w:ascii="Times New Roman" w:hAnsi="Times New Roman" w:cs="Times New Roman"/>
          <w:lang w:val="en-IE"/>
        </w:rPr>
        <w:t xml:space="preserve"> and the number of observations</w:t>
      </w:r>
      <w:r w:rsidR="00B54F7F" w:rsidRPr="00C73908">
        <w:rPr>
          <w:rFonts w:ascii="Times New Roman" w:hAnsi="Times New Roman" w:cs="Times New Roman"/>
          <w:lang w:val="en-IE"/>
        </w:rPr>
        <w:t xml:space="preserve"> is, therefore, less than N*T.</w:t>
      </w:r>
      <w:r w:rsidR="00D63CF0" w:rsidRPr="00C73908">
        <w:rPr>
          <w:rFonts w:ascii="Times New Roman" w:hAnsi="Times New Roman" w:cs="Times New Roman"/>
          <w:lang w:val="en-IE"/>
        </w:rPr>
        <w:t xml:space="preserve"> </w:t>
      </w:r>
      <w:r w:rsidR="0083545A" w:rsidRPr="00C73908">
        <w:rPr>
          <w:rFonts w:ascii="Times New Roman" w:hAnsi="Times New Roman" w:cs="Times New Roman"/>
          <w:lang w:val="en-IE"/>
        </w:rPr>
        <w:t>Stata,</w:t>
      </w:r>
      <w:r w:rsidR="00D63CF0" w:rsidRPr="00C73908">
        <w:rPr>
          <w:rFonts w:ascii="Times New Roman" w:hAnsi="Times New Roman" w:cs="Times New Roman"/>
          <w:lang w:val="en-IE"/>
        </w:rPr>
        <w:t xml:space="preserve"> the statistical software used </w:t>
      </w:r>
      <w:r w:rsidR="004237D7" w:rsidRPr="00C73908">
        <w:rPr>
          <w:rFonts w:ascii="Times New Roman" w:hAnsi="Times New Roman" w:cs="Times New Roman"/>
          <w:lang w:val="en-IE"/>
        </w:rPr>
        <w:t xml:space="preserve">for this analysis </w:t>
      </w:r>
      <w:r w:rsidR="00D63CF0" w:rsidRPr="00C73908">
        <w:rPr>
          <w:rFonts w:ascii="Times New Roman" w:hAnsi="Times New Roman" w:cs="Times New Roman"/>
          <w:lang w:val="en-IE"/>
        </w:rPr>
        <w:t xml:space="preserve">is </w:t>
      </w:r>
      <w:r w:rsidR="007A20A4" w:rsidRPr="00C73908">
        <w:rPr>
          <w:rFonts w:ascii="Times New Roman" w:hAnsi="Times New Roman" w:cs="Times New Roman"/>
          <w:lang w:val="en-IE"/>
        </w:rPr>
        <w:t>equipped to handle missing values</w:t>
      </w:r>
      <w:r w:rsidR="00A87A36" w:rsidRPr="00C73908">
        <w:rPr>
          <w:rFonts w:ascii="Times New Roman" w:hAnsi="Times New Roman" w:cs="Times New Roman"/>
          <w:lang w:val="en-IE"/>
        </w:rPr>
        <w:t xml:space="preserve"> and, therefore,</w:t>
      </w:r>
      <w:r w:rsidR="007A20A4" w:rsidRPr="00C73908">
        <w:rPr>
          <w:rFonts w:ascii="Times New Roman" w:hAnsi="Times New Roman" w:cs="Times New Roman"/>
          <w:lang w:val="en-IE"/>
        </w:rPr>
        <w:t xml:space="preserve"> the unbalanced nature of the dataset does</w:t>
      </w:r>
      <w:r w:rsidR="00D63CF0" w:rsidRPr="00C73908">
        <w:rPr>
          <w:rFonts w:ascii="Times New Roman" w:hAnsi="Times New Roman" w:cs="Times New Roman"/>
          <w:lang w:val="en-IE"/>
        </w:rPr>
        <w:t xml:space="preserve"> not present a</w:t>
      </w:r>
      <w:r w:rsidR="007A20A4" w:rsidRPr="00C73908">
        <w:rPr>
          <w:rFonts w:ascii="Times New Roman" w:hAnsi="Times New Roman" w:cs="Times New Roman"/>
          <w:lang w:val="en-IE"/>
        </w:rPr>
        <w:t>n</w:t>
      </w:r>
      <w:r w:rsidR="00D63CF0" w:rsidRPr="00C73908">
        <w:rPr>
          <w:rFonts w:ascii="Times New Roman" w:hAnsi="Times New Roman" w:cs="Times New Roman"/>
          <w:lang w:val="en-IE"/>
        </w:rPr>
        <w:t xml:space="preserve"> issue</w:t>
      </w:r>
      <w:r w:rsidR="00FE237A" w:rsidRPr="00C73908">
        <w:rPr>
          <w:rFonts w:ascii="Times New Roman" w:hAnsi="Times New Roman" w:cs="Times New Roman"/>
          <w:lang w:val="en-IE"/>
        </w:rPr>
        <w:t>.</w:t>
      </w:r>
    </w:p>
    <w:p w14:paraId="732B9C60" w14:textId="04547502" w:rsidR="003D69B4" w:rsidRPr="00C73908" w:rsidRDefault="00F10653"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 xml:space="preserve">When analysing panel data there are several </w:t>
      </w:r>
      <w:r w:rsidR="005A1AEF" w:rsidRPr="00C73908">
        <w:rPr>
          <w:rFonts w:ascii="Times New Roman" w:hAnsi="Times New Roman" w:cs="Times New Roman"/>
          <w:lang w:val="en-IE"/>
        </w:rPr>
        <w:t>models</w:t>
      </w:r>
      <w:r w:rsidR="00D57D12" w:rsidRPr="00C73908">
        <w:rPr>
          <w:rFonts w:ascii="Times New Roman" w:hAnsi="Times New Roman" w:cs="Times New Roman"/>
          <w:lang w:val="en-IE"/>
        </w:rPr>
        <w:t xml:space="preserve"> which </w:t>
      </w:r>
      <w:r w:rsidR="000E37D7" w:rsidRPr="00C73908">
        <w:rPr>
          <w:rFonts w:ascii="Times New Roman" w:hAnsi="Times New Roman" w:cs="Times New Roman"/>
          <w:lang w:val="en-IE"/>
        </w:rPr>
        <w:t>may</w:t>
      </w:r>
      <w:r w:rsidR="00D57D12" w:rsidRPr="00C73908">
        <w:rPr>
          <w:rFonts w:ascii="Times New Roman" w:hAnsi="Times New Roman" w:cs="Times New Roman"/>
          <w:lang w:val="en-IE"/>
        </w:rPr>
        <w:t xml:space="preserve"> be </w:t>
      </w:r>
      <w:r w:rsidR="00A94AC0" w:rsidRPr="00C73908">
        <w:rPr>
          <w:rFonts w:ascii="Times New Roman" w:hAnsi="Times New Roman" w:cs="Times New Roman"/>
          <w:lang w:val="en-IE"/>
        </w:rPr>
        <w:t>used</w:t>
      </w:r>
      <w:r w:rsidR="007C0404" w:rsidRPr="00C73908">
        <w:rPr>
          <w:rFonts w:ascii="Times New Roman" w:hAnsi="Times New Roman" w:cs="Times New Roman"/>
          <w:lang w:val="en-IE"/>
        </w:rPr>
        <w:t>, t</w:t>
      </w:r>
      <w:r w:rsidR="00D57D12" w:rsidRPr="00C73908">
        <w:rPr>
          <w:rFonts w:ascii="Times New Roman" w:hAnsi="Times New Roman" w:cs="Times New Roman"/>
          <w:lang w:val="en-IE"/>
        </w:rPr>
        <w:t>he most basi</w:t>
      </w:r>
      <w:r w:rsidR="007C0404" w:rsidRPr="00C73908">
        <w:rPr>
          <w:rFonts w:ascii="Times New Roman" w:hAnsi="Times New Roman" w:cs="Times New Roman"/>
          <w:lang w:val="en-IE"/>
        </w:rPr>
        <w:t>c</w:t>
      </w:r>
      <w:r w:rsidR="00EF6EFF" w:rsidRPr="00C73908">
        <w:rPr>
          <w:rFonts w:ascii="Times New Roman" w:hAnsi="Times New Roman" w:cs="Times New Roman"/>
          <w:lang w:val="en-IE"/>
        </w:rPr>
        <w:t xml:space="preserve"> </w:t>
      </w:r>
      <w:r w:rsidR="007C0404" w:rsidRPr="00C73908">
        <w:rPr>
          <w:rFonts w:ascii="Times New Roman" w:hAnsi="Times New Roman" w:cs="Times New Roman"/>
          <w:lang w:val="en-IE"/>
        </w:rPr>
        <w:t xml:space="preserve">of which </w:t>
      </w:r>
      <w:r w:rsidR="00D57D12" w:rsidRPr="00C73908">
        <w:rPr>
          <w:rFonts w:ascii="Times New Roman" w:hAnsi="Times New Roman" w:cs="Times New Roman"/>
          <w:lang w:val="en-IE"/>
        </w:rPr>
        <w:t>is</w:t>
      </w:r>
      <w:r w:rsidR="007C0404" w:rsidRPr="00C73908">
        <w:rPr>
          <w:rFonts w:ascii="Times New Roman" w:hAnsi="Times New Roman" w:cs="Times New Roman"/>
          <w:lang w:val="en-IE"/>
        </w:rPr>
        <w:t xml:space="preserve"> the</w:t>
      </w:r>
      <w:r w:rsidR="00D57D12" w:rsidRPr="00C73908">
        <w:rPr>
          <w:rFonts w:ascii="Times New Roman" w:hAnsi="Times New Roman" w:cs="Times New Roman"/>
          <w:lang w:val="en-IE"/>
        </w:rPr>
        <w:t xml:space="preserve"> Pooled Ordinary Least Squares (OLS)</w:t>
      </w:r>
      <w:r w:rsidR="0090356C" w:rsidRPr="00C73908">
        <w:rPr>
          <w:rFonts w:ascii="Times New Roman" w:hAnsi="Times New Roman" w:cs="Times New Roman"/>
          <w:lang w:val="en-IE"/>
        </w:rPr>
        <w:t xml:space="preserve"> model</w:t>
      </w:r>
      <w:r w:rsidR="00114B36" w:rsidRPr="00C73908">
        <w:rPr>
          <w:rFonts w:ascii="Times New Roman" w:hAnsi="Times New Roman" w:cs="Times New Roman"/>
          <w:lang w:val="en-IE"/>
        </w:rPr>
        <w:t xml:space="preserve"> in which all observations are pooled together </w:t>
      </w:r>
      <w:r w:rsidR="0082040D" w:rsidRPr="00C73908">
        <w:rPr>
          <w:rFonts w:ascii="Times New Roman" w:hAnsi="Times New Roman" w:cs="Times New Roman"/>
          <w:lang w:val="en-IE"/>
        </w:rPr>
        <w:t xml:space="preserve">and effectively treated as one time period in the </w:t>
      </w:r>
      <w:r w:rsidR="00EF6EFF" w:rsidRPr="00C73908">
        <w:rPr>
          <w:rFonts w:ascii="Times New Roman" w:hAnsi="Times New Roman" w:cs="Times New Roman"/>
          <w:lang w:val="en-IE"/>
        </w:rPr>
        <w:t>regression</w:t>
      </w:r>
      <w:r w:rsidR="00BF1535" w:rsidRPr="00C73908">
        <w:rPr>
          <w:rFonts w:ascii="Times New Roman" w:hAnsi="Times New Roman" w:cs="Times New Roman"/>
          <w:lang w:val="en-IE"/>
        </w:rPr>
        <w:t>, ignoring the panel structure of the data</w:t>
      </w:r>
      <w:r w:rsidR="00840B92" w:rsidRPr="00C73908">
        <w:rPr>
          <w:rFonts w:ascii="Times New Roman" w:hAnsi="Times New Roman" w:cs="Times New Roman"/>
          <w:lang w:val="en-IE"/>
        </w:rPr>
        <w:t>.</w:t>
      </w:r>
      <w:r w:rsidR="00802D7F" w:rsidRPr="00C73908">
        <w:rPr>
          <w:rFonts w:ascii="Times New Roman" w:hAnsi="Times New Roman" w:cs="Times New Roman"/>
          <w:lang w:val="en-IE"/>
        </w:rPr>
        <w:t xml:space="preserve"> </w:t>
      </w:r>
      <w:r w:rsidR="00637FBC" w:rsidRPr="00C73908">
        <w:rPr>
          <w:rFonts w:ascii="Times New Roman" w:hAnsi="Times New Roman" w:cs="Times New Roman"/>
          <w:lang w:val="en-IE"/>
        </w:rPr>
        <w:t xml:space="preserve">Although computationally straight forward, </w:t>
      </w:r>
      <w:r w:rsidR="000E37D7" w:rsidRPr="00C73908">
        <w:rPr>
          <w:rFonts w:ascii="Times New Roman" w:hAnsi="Times New Roman" w:cs="Times New Roman"/>
          <w:lang w:val="en-IE"/>
        </w:rPr>
        <w:t xml:space="preserve">pooled OLS </w:t>
      </w:r>
      <w:r w:rsidR="002867B4" w:rsidRPr="00C73908">
        <w:rPr>
          <w:rFonts w:ascii="Times New Roman" w:hAnsi="Times New Roman" w:cs="Times New Roman"/>
          <w:lang w:val="en-IE"/>
        </w:rPr>
        <w:t xml:space="preserve">relies on several strict assumptions and </w:t>
      </w:r>
      <w:r w:rsidR="0082040D" w:rsidRPr="00C73908">
        <w:rPr>
          <w:rFonts w:ascii="Times New Roman" w:hAnsi="Times New Roman" w:cs="Times New Roman"/>
          <w:lang w:val="en-IE"/>
        </w:rPr>
        <w:t xml:space="preserve">is rarely used </w:t>
      </w:r>
      <w:r w:rsidR="007B2F45" w:rsidRPr="00C73908">
        <w:rPr>
          <w:rFonts w:ascii="Times New Roman" w:hAnsi="Times New Roman" w:cs="Times New Roman"/>
          <w:lang w:val="en-IE"/>
        </w:rPr>
        <w:t>in practice</w:t>
      </w:r>
      <w:r w:rsidR="0004082B" w:rsidRPr="00C73908">
        <w:rPr>
          <w:rFonts w:ascii="Times New Roman" w:hAnsi="Times New Roman" w:cs="Times New Roman"/>
          <w:lang w:val="en-IE"/>
        </w:rPr>
        <w:t>. The model</w:t>
      </w:r>
      <w:r w:rsidR="0082040D" w:rsidRPr="00C73908">
        <w:rPr>
          <w:rFonts w:ascii="Times New Roman" w:hAnsi="Times New Roman" w:cs="Times New Roman"/>
          <w:lang w:val="en-IE"/>
        </w:rPr>
        <w:t xml:space="preserve"> </w:t>
      </w:r>
      <w:r w:rsidR="000A2C8E" w:rsidRPr="00C73908">
        <w:rPr>
          <w:rFonts w:ascii="Times New Roman" w:hAnsi="Times New Roman" w:cs="Times New Roman"/>
          <w:lang w:val="en-IE"/>
        </w:rPr>
        <w:t>is generally only</w:t>
      </w:r>
      <w:r w:rsidR="007B2F45" w:rsidRPr="00C73908">
        <w:rPr>
          <w:rFonts w:ascii="Times New Roman" w:hAnsi="Times New Roman" w:cs="Times New Roman"/>
          <w:lang w:val="en-IE"/>
        </w:rPr>
        <w:t xml:space="preserve"> </w:t>
      </w:r>
      <w:r w:rsidR="007D68C8" w:rsidRPr="00C73908">
        <w:rPr>
          <w:rFonts w:ascii="Times New Roman" w:hAnsi="Times New Roman" w:cs="Times New Roman"/>
          <w:lang w:val="en-IE"/>
        </w:rPr>
        <w:t>suitable in cases where</w:t>
      </w:r>
      <w:r w:rsidR="005F1FA3" w:rsidRPr="00C73908">
        <w:rPr>
          <w:rFonts w:ascii="Times New Roman" w:hAnsi="Times New Roman" w:cs="Times New Roman"/>
          <w:lang w:val="en-IE"/>
        </w:rPr>
        <w:t xml:space="preserve"> </w:t>
      </w:r>
      <w:r w:rsidR="00CE413F" w:rsidRPr="00C73908">
        <w:rPr>
          <w:rFonts w:ascii="Times New Roman" w:hAnsi="Times New Roman" w:cs="Times New Roman"/>
          <w:lang w:val="en-IE"/>
        </w:rPr>
        <w:t xml:space="preserve">different samples are used in </w:t>
      </w:r>
      <w:r w:rsidR="005F1FA3" w:rsidRPr="00C73908">
        <w:rPr>
          <w:rFonts w:ascii="Times New Roman" w:hAnsi="Times New Roman" w:cs="Times New Roman"/>
          <w:lang w:val="en-IE"/>
        </w:rPr>
        <w:t xml:space="preserve">each </w:t>
      </w:r>
      <w:r w:rsidR="000572BB" w:rsidRPr="00C73908">
        <w:rPr>
          <w:rFonts w:ascii="Times New Roman" w:hAnsi="Times New Roman" w:cs="Times New Roman"/>
          <w:lang w:val="en-IE"/>
        </w:rPr>
        <w:t>of</w:t>
      </w:r>
      <w:r w:rsidR="004B3583" w:rsidRPr="00C73908">
        <w:rPr>
          <w:rFonts w:ascii="Times New Roman" w:hAnsi="Times New Roman" w:cs="Times New Roman"/>
          <w:lang w:val="en-IE"/>
        </w:rPr>
        <w:t xml:space="preserve"> the</w:t>
      </w:r>
      <w:r w:rsidR="000572BB" w:rsidRPr="00C73908">
        <w:rPr>
          <w:rFonts w:ascii="Times New Roman" w:hAnsi="Times New Roman" w:cs="Times New Roman"/>
          <w:lang w:val="en-IE"/>
        </w:rPr>
        <w:t xml:space="preserve"> </w:t>
      </w:r>
      <w:r w:rsidR="005F1FA3" w:rsidRPr="00C73908">
        <w:rPr>
          <w:rFonts w:ascii="Times New Roman" w:hAnsi="Times New Roman" w:cs="Times New Roman"/>
          <w:lang w:val="en-IE"/>
        </w:rPr>
        <w:t>time period</w:t>
      </w:r>
      <w:r w:rsidR="000572BB" w:rsidRPr="00C73908">
        <w:rPr>
          <w:rFonts w:ascii="Times New Roman" w:hAnsi="Times New Roman" w:cs="Times New Roman"/>
          <w:lang w:val="en-IE"/>
        </w:rPr>
        <w:t>s</w:t>
      </w:r>
      <w:r w:rsidR="001175E9" w:rsidRPr="00C73908">
        <w:rPr>
          <w:rFonts w:ascii="Times New Roman" w:hAnsi="Times New Roman" w:cs="Times New Roman"/>
          <w:lang w:val="en-IE"/>
        </w:rPr>
        <w:t xml:space="preserve"> </w:t>
      </w:r>
      <w:r w:rsidR="00A06B7A" w:rsidRPr="00C73908">
        <w:rPr>
          <w:rFonts w:ascii="Times New Roman" w:hAnsi="Times New Roman" w:cs="Times New Roman"/>
          <w:lang w:val="en-IE"/>
        </w:rPr>
        <w:t xml:space="preserve">and it is, therefore, not possible to examine </w:t>
      </w:r>
      <w:r w:rsidR="00205939" w:rsidRPr="00C73908">
        <w:rPr>
          <w:rFonts w:ascii="Times New Roman" w:hAnsi="Times New Roman" w:cs="Times New Roman"/>
          <w:lang w:val="en-IE"/>
        </w:rPr>
        <w:t xml:space="preserve">individual </w:t>
      </w:r>
      <w:r w:rsidR="00A06B7A" w:rsidRPr="00C73908">
        <w:rPr>
          <w:rFonts w:ascii="Times New Roman" w:hAnsi="Times New Roman" w:cs="Times New Roman"/>
          <w:lang w:val="en-IE"/>
        </w:rPr>
        <w:t>effects</w:t>
      </w:r>
      <w:r w:rsidR="00205939" w:rsidRPr="00C73908">
        <w:rPr>
          <w:rFonts w:ascii="Times New Roman" w:hAnsi="Times New Roman" w:cs="Times New Roman"/>
          <w:lang w:val="en-IE"/>
        </w:rPr>
        <w:t xml:space="preserve"> across time</w:t>
      </w:r>
      <w:r w:rsidR="000572BB" w:rsidRPr="00C73908">
        <w:rPr>
          <w:rFonts w:ascii="Times New Roman" w:hAnsi="Times New Roman" w:cs="Times New Roman"/>
          <w:lang w:val="en-IE"/>
        </w:rPr>
        <w:t>.</w:t>
      </w:r>
      <w:r w:rsidR="00495D5E" w:rsidRPr="00C73908">
        <w:rPr>
          <w:rFonts w:ascii="Times New Roman" w:hAnsi="Times New Roman" w:cs="Times New Roman"/>
          <w:lang w:val="en-IE"/>
        </w:rPr>
        <w:t xml:space="preserve"> </w:t>
      </w:r>
      <w:r w:rsidR="008E18B6" w:rsidRPr="00C73908">
        <w:rPr>
          <w:rFonts w:ascii="Times New Roman" w:hAnsi="Times New Roman" w:cs="Times New Roman"/>
          <w:lang w:val="en-IE"/>
        </w:rPr>
        <w:t>Given that</w:t>
      </w:r>
      <w:r w:rsidR="000572BB" w:rsidRPr="00C73908">
        <w:rPr>
          <w:rFonts w:ascii="Times New Roman" w:hAnsi="Times New Roman" w:cs="Times New Roman"/>
          <w:lang w:val="en-IE"/>
        </w:rPr>
        <w:t xml:space="preserve"> the </w:t>
      </w:r>
      <w:r w:rsidR="00505832" w:rsidRPr="00C73908">
        <w:rPr>
          <w:rFonts w:ascii="Times New Roman" w:hAnsi="Times New Roman" w:cs="Times New Roman"/>
          <w:lang w:val="en-IE"/>
        </w:rPr>
        <w:t xml:space="preserve">dataset </w:t>
      </w:r>
      <w:r w:rsidR="003652FD" w:rsidRPr="00C73908">
        <w:rPr>
          <w:rFonts w:ascii="Times New Roman" w:hAnsi="Times New Roman" w:cs="Times New Roman"/>
          <w:lang w:val="en-IE"/>
        </w:rPr>
        <w:t xml:space="preserve">in this analysis </w:t>
      </w:r>
      <w:r w:rsidR="00505832" w:rsidRPr="00C73908">
        <w:rPr>
          <w:rFonts w:ascii="Times New Roman" w:hAnsi="Times New Roman" w:cs="Times New Roman"/>
          <w:lang w:val="en-IE"/>
        </w:rPr>
        <w:t xml:space="preserve">consists of repeated observations on the same companies and the </w:t>
      </w:r>
      <w:r w:rsidR="000572BB" w:rsidRPr="00C73908">
        <w:rPr>
          <w:rFonts w:ascii="Times New Roman" w:hAnsi="Times New Roman" w:cs="Times New Roman"/>
          <w:lang w:val="en-IE"/>
        </w:rPr>
        <w:t xml:space="preserve">ABR survey is conducted on largely the same </w:t>
      </w:r>
      <w:r w:rsidR="00876CB8" w:rsidRPr="00C73908">
        <w:rPr>
          <w:rFonts w:ascii="Times New Roman" w:hAnsi="Times New Roman" w:cs="Times New Roman"/>
          <w:lang w:val="en-IE"/>
        </w:rPr>
        <w:t>population from year to year, pooled OLS is not appropriate.</w:t>
      </w:r>
    </w:p>
    <w:p w14:paraId="5A4BF509" w14:textId="42983B49" w:rsidR="00776A74" w:rsidRPr="00C73908" w:rsidRDefault="002A70A5"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T</w:t>
      </w:r>
      <w:r w:rsidR="00432D3B" w:rsidRPr="00C73908">
        <w:rPr>
          <w:rFonts w:ascii="Times New Roman" w:hAnsi="Times New Roman" w:cs="Times New Roman"/>
          <w:lang w:val="en-IE"/>
        </w:rPr>
        <w:t xml:space="preserve">wo </w:t>
      </w:r>
      <w:r w:rsidR="005C472B" w:rsidRPr="00C73908">
        <w:rPr>
          <w:rFonts w:ascii="Times New Roman" w:hAnsi="Times New Roman" w:cs="Times New Roman"/>
          <w:lang w:val="en-IE"/>
        </w:rPr>
        <w:t xml:space="preserve">of the </w:t>
      </w:r>
      <w:r w:rsidR="00432D3B" w:rsidRPr="00C73908">
        <w:rPr>
          <w:rFonts w:ascii="Times New Roman" w:hAnsi="Times New Roman" w:cs="Times New Roman"/>
          <w:lang w:val="en-IE"/>
        </w:rPr>
        <w:t>most common</w:t>
      </w:r>
      <w:r w:rsidR="00FA06CC" w:rsidRPr="00C73908">
        <w:rPr>
          <w:rFonts w:ascii="Times New Roman" w:hAnsi="Times New Roman" w:cs="Times New Roman"/>
          <w:lang w:val="en-IE"/>
        </w:rPr>
        <w:t>ly estimated</w:t>
      </w:r>
      <w:r w:rsidR="00432D3B" w:rsidRPr="00C73908">
        <w:rPr>
          <w:rFonts w:ascii="Times New Roman" w:hAnsi="Times New Roman" w:cs="Times New Roman"/>
          <w:lang w:val="en-IE"/>
        </w:rPr>
        <w:t xml:space="preserve"> models </w:t>
      </w:r>
      <w:r w:rsidR="00C8574D" w:rsidRPr="00C73908">
        <w:rPr>
          <w:rFonts w:ascii="Times New Roman" w:hAnsi="Times New Roman" w:cs="Times New Roman"/>
          <w:lang w:val="en-IE"/>
        </w:rPr>
        <w:t xml:space="preserve">are </w:t>
      </w:r>
      <w:r w:rsidR="00FA06CC" w:rsidRPr="00C73908">
        <w:rPr>
          <w:rFonts w:ascii="Times New Roman" w:hAnsi="Times New Roman" w:cs="Times New Roman"/>
          <w:lang w:val="en-IE"/>
        </w:rPr>
        <w:t xml:space="preserve">the </w:t>
      </w:r>
      <w:r w:rsidR="00C8574D" w:rsidRPr="00C73908">
        <w:rPr>
          <w:rFonts w:ascii="Times New Roman" w:hAnsi="Times New Roman" w:cs="Times New Roman"/>
          <w:lang w:val="en-IE"/>
        </w:rPr>
        <w:t>fixe</w:t>
      </w:r>
      <w:r w:rsidRPr="00C73908">
        <w:rPr>
          <w:rFonts w:ascii="Times New Roman" w:hAnsi="Times New Roman" w:cs="Times New Roman"/>
          <w:lang w:val="en-IE"/>
        </w:rPr>
        <w:t>d</w:t>
      </w:r>
      <w:r w:rsidR="00FA06CC" w:rsidRPr="00C73908">
        <w:rPr>
          <w:rFonts w:ascii="Times New Roman" w:hAnsi="Times New Roman" w:cs="Times New Roman"/>
          <w:lang w:val="en-IE"/>
        </w:rPr>
        <w:t xml:space="preserve"> </w:t>
      </w:r>
      <w:r w:rsidR="00C8574D" w:rsidRPr="00C73908">
        <w:rPr>
          <w:rFonts w:ascii="Times New Roman" w:hAnsi="Times New Roman" w:cs="Times New Roman"/>
          <w:lang w:val="en-IE"/>
        </w:rPr>
        <w:t>and random effects</w:t>
      </w:r>
      <w:r w:rsidR="00FA06CC" w:rsidRPr="00C73908">
        <w:rPr>
          <w:rFonts w:ascii="Times New Roman" w:hAnsi="Times New Roman" w:cs="Times New Roman"/>
          <w:lang w:val="en-IE"/>
        </w:rPr>
        <w:t xml:space="preserve"> models</w:t>
      </w:r>
      <w:r w:rsidR="00BB75B5" w:rsidRPr="00C73908">
        <w:rPr>
          <w:rFonts w:ascii="Times New Roman" w:hAnsi="Times New Roman" w:cs="Times New Roman"/>
          <w:lang w:val="en-IE"/>
        </w:rPr>
        <w:t>.</w:t>
      </w:r>
      <w:r w:rsidR="00742D58" w:rsidRPr="00C73908">
        <w:rPr>
          <w:rFonts w:ascii="Times New Roman" w:hAnsi="Times New Roman" w:cs="Times New Roman"/>
          <w:lang w:val="en-IE"/>
        </w:rPr>
        <w:t xml:space="preserve"> The </w:t>
      </w:r>
      <w:r w:rsidR="004A123A" w:rsidRPr="00C73908">
        <w:rPr>
          <w:rFonts w:ascii="Times New Roman" w:hAnsi="Times New Roman" w:cs="Times New Roman"/>
          <w:lang w:val="en-IE"/>
        </w:rPr>
        <w:t>main difference</w:t>
      </w:r>
      <w:r w:rsidR="00742D58" w:rsidRPr="00C73908">
        <w:rPr>
          <w:rFonts w:ascii="Times New Roman" w:hAnsi="Times New Roman" w:cs="Times New Roman"/>
          <w:lang w:val="en-IE"/>
        </w:rPr>
        <w:t xml:space="preserve"> between the two is in how they treat </w:t>
      </w:r>
      <w:r w:rsidR="00424461" w:rsidRPr="00C73908">
        <w:rPr>
          <w:rFonts w:ascii="Times New Roman" w:hAnsi="Times New Roman" w:cs="Times New Roman"/>
          <w:lang w:val="en-IE"/>
        </w:rPr>
        <w:t xml:space="preserve">unobserved variables which </w:t>
      </w:r>
      <w:r w:rsidR="00DD6BCD" w:rsidRPr="00C73908">
        <w:rPr>
          <w:rFonts w:ascii="Times New Roman" w:hAnsi="Times New Roman" w:cs="Times New Roman"/>
          <w:lang w:val="en-IE"/>
        </w:rPr>
        <w:t>make up</w:t>
      </w:r>
      <w:r w:rsidR="00424461" w:rsidRPr="00C73908">
        <w:rPr>
          <w:rFonts w:ascii="Times New Roman" w:hAnsi="Times New Roman" w:cs="Times New Roman"/>
          <w:lang w:val="en-IE"/>
        </w:rPr>
        <w:t xml:space="preserve"> the individual effects</w:t>
      </w:r>
      <w:r w:rsidR="00DD6BCD" w:rsidRPr="00C73908">
        <w:rPr>
          <w:rFonts w:ascii="Times New Roman" w:hAnsi="Times New Roman" w:cs="Times New Roman"/>
          <w:lang w:val="en-IE"/>
        </w:rPr>
        <w:t xml:space="preserve">, </w:t>
      </w:r>
      <w:r w:rsidR="00DD6BCD" w:rsidRPr="00C73908">
        <w:rPr>
          <w:rFonts w:ascii="Times New Roman" w:hAnsi="Times New Roman" w:cs="Times New Roman"/>
          <w:lang w:val="en-IE"/>
        </w:rPr>
        <w:sym w:font="Symbol" w:char="F06D"/>
      </w:r>
      <w:r w:rsidR="00DD6BCD" w:rsidRPr="00C73908">
        <w:rPr>
          <w:rFonts w:ascii="Times New Roman" w:hAnsi="Times New Roman" w:cs="Times New Roman"/>
          <w:vertAlign w:val="subscript"/>
          <w:lang w:val="en-IE"/>
        </w:rPr>
        <w:t>i</w:t>
      </w:r>
      <w:r w:rsidR="00F5750B">
        <w:rPr>
          <w:rFonts w:ascii="Times New Roman" w:hAnsi="Times New Roman" w:cs="Times New Roman"/>
          <w:lang w:val="en-IE"/>
        </w:rPr>
        <w:t xml:space="preserve">. </w:t>
      </w:r>
      <w:r w:rsidR="00292291" w:rsidRPr="00C73908">
        <w:rPr>
          <w:rFonts w:ascii="Times New Roman" w:hAnsi="Times New Roman" w:cs="Times New Roman"/>
          <w:lang w:val="en-IE"/>
        </w:rPr>
        <w:t xml:space="preserve">In </w:t>
      </w:r>
      <w:r w:rsidR="009D300A" w:rsidRPr="00C73908">
        <w:rPr>
          <w:rFonts w:ascii="Times New Roman" w:hAnsi="Times New Roman" w:cs="Times New Roman"/>
          <w:lang w:val="en-IE"/>
        </w:rPr>
        <w:t>a</w:t>
      </w:r>
      <w:r w:rsidR="00292291" w:rsidRPr="00C73908">
        <w:rPr>
          <w:rFonts w:ascii="Times New Roman" w:hAnsi="Times New Roman" w:cs="Times New Roman"/>
          <w:lang w:val="en-IE"/>
        </w:rPr>
        <w:t xml:space="preserve"> random effects model, </w:t>
      </w:r>
      <w:r w:rsidR="009D300A" w:rsidRPr="00C73908">
        <w:rPr>
          <w:rFonts w:ascii="Times New Roman" w:hAnsi="Times New Roman" w:cs="Times New Roman"/>
          <w:lang w:val="en-IE"/>
        </w:rPr>
        <w:t>the unobserved variables</w:t>
      </w:r>
      <w:r w:rsidR="00292291" w:rsidRPr="00C73908">
        <w:rPr>
          <w:rFonts w:ascii="Times New Roman" w:hAnsi="Times New Roman" w:cs="Times New Roman"/>
          <w:lang w:val="en-IE"/>
        </w:rPr>
        <w:t xml:space="preserve"> </w:t>
      </w:r>
      <w:r w:rsidR="006B3E24" w:rsidRPr="00C73908">
        <w:rPr>
          <w:rFonts w:ascii="Times New Roman" w:hAnsi="Times New Roman" w:cs="Times New Roman"/>
          <w:lang w:val="en-IE"/>
        </w:rPr>
        <w:t>are assumed to be</w:t>
      </w:r>
      <w:r w:rsidR="00292291" w:rsidRPr="00C73908">
        <w:rPr>
          <w:rFonts w:ascii="Times New Roman" w:hAnsi="Times New Roman" w:cs="Times New Roman"/>
          <w:lang w:val="en-IE"/>
        </w:rPr>
        <w:t xml:space="preserve"> uncorrelated</w:t>
      </w:r>
      <w:r w:rsidR="009D300A" w:rsidRPr="00C73908">
        <w:rPr>
          <w:rFonts w:ascii="Times New Roman" w:hAnsi="Times New Roman" w:cs="Times New Roman"/>
          <w:lang w:val="en-IE"/>
        </w:rPr>
        <w:t xml:space="preserve"> </w:t>
      </w:r>
      <w:r w:rsidR="001F2B1A" w:rsidRPr="00C73908">
        <w:rPr>
          <w:rFonts w:ascii="Times New Roman" w:hAnsi="Times New Roman" w:cs="Times New Roman"/>
          <w:lang w:val="en-IE"/>
        </w:rPr>
        <w:t xml:space="preserve">with </w:t>
      </w:r>
      <w:r w:rsidR="009D300A" w:rsidRPr="00C73908">
        <w:rPr>
          <w:rFonts w:ascii="Times New Roman" w:hAnsi="Times New Roman" w:cs="Times New Roman"/>
          <w:lang w:val="en-IE"/>
        </w:rPr>
        <w:t>(or, more str</w:t>
      </w:r>
      <w:r w:rsidR="00BF06BC" w:rsidRPr="00C73908">
        <w:rPr>
          <w:rFonts w:ascii="Times New Roman" w:hAnsi="Times New Roman" w:cs="Times New Roman"/>
          <w:lang w:val="en-IE"/>
        </w:rPr>
        <w:t>ict</w:t>
      </w:r>
      <w:r w:rsidR="009D300A" w:rsidRPr="00C73908">
        <w:rPr>
          <w:rFonts w:ascii="Times New Roman" w:hAnsi="Times New Roman" w:cs="Times New Roman"/>
          <w:lang w:val="en-IE"/>
        </w:rPr>
        <w:t>ly, statistically independent of)</w:t>
      </w:r>
      <w:r w:rsidR="00292291" w:rsidRPr="00C73908">
        <w:rPr>
          <w:rFonts w:ascii="Times New Roman" w:hAnsi="Times New Roman" w:cs="Times New Roman"/>
          <w:lang w:val="en-IE"/>
        </w:rPr>
        <w:t xml:space="preserve"> the explanatory variables</w:t>
      </w:r>
      <w:r w:rsidR="00B42D5D" w:rsidRPr="00C73908">
        <w:rPr>
          <w:rFonts w:ascii="Times New Roman" w:hAnsi="Times New Roman" w:cs="Times New Roman"/>
          <w:lang w:val="en-IE"/>
        </w:rPr>
        <w:t xml:space="preserve"> </w:t>
      </w:r>
      <w:r w:rsidR="000B28AC" w:rsidRPr="00C73908">
        <w:rPr>
          <w:rFonts w:ascii="Times New Roman" w:hAnsi="Times New Roman" w:cs="Times New Roman"/>
          <w:lang w:val="en-IE"/>
        </w:rPr>
        <w:t xml:space="preserve">such that </w:t>
      </w:r>
      <w:proofErr w:type="gramStart"/>
      <w:r w:rsidR="000B28AC" w:rsidRPr="00C73908">
        <w:rPr>
          <w:rFonts w:ascii="Times New Roman" w:hAnsi="Times New Roman" w:cs="Times New Roman"/>
          <w:lang w:val="en-IE"/>
        </w:rPr>
        <w:t>Co</w:t>
      </w:r>
      <w:r w:rsidR="003C1612" w:rsidRPr="00C73908">
        <w:rPr>
          <w:rFonts w:ascii="Times New Roman" w:hAnsi="Times New Roman" w:cs="Times New Roman"/>
          <w:lang w:val="en-IE"/>
        </w:rPr>
        <w:t>rr</w:t>
      </w:r>
      <w:r w:rsidR="000B28AC" w:rsidRPr="00C73908">
        <w:rPr>
          <w:rFonts w:ascii="Times New Roman" w:hAnsi="Times New Roman" w:cs="Times New Roman"/>
          <w:lang w:val="en-IE"/>
        </w:rPr>
        <w:t>(</w:t>
      </w:r>
      <w:proofErr w:type="gramEnd"/>
      <w:r w:rsidR="00FD3490" w:rsidRPr="00C73908">
        <w:rPr>
          <w:rFonts w:ascii="Times New Roman" w:hAnsi="Times New Roman" w:cs="Times New Roman"/>
          <w:sz w:val="24"/>
          <w:szCs w:val="24"/>
          <w:lang w:val="en-IE"/>
        </w:rPr>
        <w:t>u</w:t>
      </w:r>
      <w:r w:rsidR="00FD3490" w:rsidRPr="00C73908">
        <w:rPr>
          <w:rFonts w:ascii="Times New Roman" w:hAnsi="Times New Roman" w:cs="Times New Roman"/>
          <w:sz w:val="24"/>
          <w:szCs w:val="24"/>
          <w:vertAlign w:val="subscript"/>
          <w:lang w:val="en-IE"/>
        </w:rPr>
        <w:t xml:space="preserve">i, </w:t>
      </w:r>
      <w:r w:rsidR="00FD3490" w:rsidRPr="00C73908">
        <w:rPr>
          <w:rFonts w:ascii="Times New Roman" w:hAnsi="Times New Roman" w:cs="Times New Roman"/>
          <w:sz w:val="24"/>
          <w:szCs w:val="24"/>
          <w:lang w:val="en-IE"/>
        </w:rPr>
        <w:t>X</w:t>
      </w:r>
      <w:r w:rsidR="00FD3490" w:rsidRPr="00C73908">
        <w:rPr>
          <w:rFonts w:ascii="Times New Roman" w:hAnsi="Times New Roman" w:cs="Times New Roman"/>
          <w:sz w:val="24"/>
          <w:szCs w:val="24"/>
          <w:vertAlign w:val="superscript"/>
          <w:lang w:val="en-IE"/>
        </w:rPr>
        <w:t>k</w:t>
      </w:r>
      <w:r w:rsidR="00FD3490" w:rsidRPr="00C73908">
        <w:rPr>
          <w:rFonts w:ascii="Times New Roman" w:hAnsi="Times New Roman" w:cs="Times New Roman"/>
          <w:sz w:val="24"/>
          <w:szCs w:val="24"/>
          <w:vertAlign w:val="subscript"/>
          <w:lang w:val="en-IE"/>
        </w:rPr>
        <w:t>it</w:t>
      </w:r>
      <w:r w:rsidR="00FD3490" w:rsidRPr="00C73908">
        <w:rPr>
          <w:rFonts w:ascii="Times New Roman" w:hAnsi="Times New Roman" w:cs="Times New Roman"/>
          <w:lang w:val="en-IE"/>
        </w:rPr>
        <w:t>)</w:t>
      </w:r>
      <w:r w:rsidR="00441BE8" w:rsidRPr="00C73908">
        <w:rPr>
          <w:rFonts w:ascii="Times New Roman" w:hAnsi="Times New Roman" w:cs="Times New Roman"/>
          <w:lang w:val="en-IE"/>
        </w:rPr>
        <w:t xml:space="preserve"> = 0. </w:t>
      </w:r>
      <w:r w:rsidR="009E4399" w:rsidRPr="00C73908">
        <w:rPr>
          <w:rFonts w:ascii="Times New Roman" w:hAnsi="Times New Roman" w:cs="Times New Roman"/>
          <w:lang w:val="en-IE"/>
        </w:rPr>
        <w:t>Unobserved</w:t>
      </w:r>
      <w:r w:rsidR="00441BE8" w:rsidRPr="00C73908">
        <w:rPr>
          <w:rFonts w:ascii="Times New Roman" w:hAnsi="Times New Roman" w:cs="Times New Roman"/>
          <w:lang w:val="en-IE"/>
        </w:rPr>
        <w:t xml:space="preserve"> effects </w:t>
      </w:r>
      <w:r w:rsidR="009E4399" w:rsidRPr="00C73908">
        <w:rPr>
          <w:rFonts w:ascii="Times New Roman" w:hAnsi="Times New Roman" w:cs="Times New Roman"/>
          <w:lang w:val="en-IE"/>
        </w:rPr>
        <w:t>are effectively</w:t>
      </w:r>
      <w:r w:rsidR="00B42D5D" w:rsidRPr="00C73908">
        <w:rPr>
          <w:rFonts w:ascii="Times New Roman" w:hAnsi="Times New Roman" w:cs="Times New Roman"/>
          <w:lang w:val="en-IE"/>
        </w:rPr>
        <w:t xml:space="preserve"> treated as part of the error term in the regression</w:t>
      </w:r>
      <w:r w:rsidR="0027579F" w:rsidRPr="00C73908">
        <w:rPr>
          <w:rFonts w:ascii="Times New Roman" w:hAnsi="Times New Roman" w:cs="Times New Roman"/>
          <w:lang w:val="en-IE"/>
        </w:rPr>
        <w:t>.</w:t>
      </w:r>
      <w:r w:rsidR="009C1C9A" w:rsidRPr="00C73908">
        <w:rPr>
          <w:rFonts w:ascii="Times New Roman" w:hAnsi="Times New Roman" w:cs="Times New Roman"/>
          <w:lang w:val="en-IE"/>
        </w:rPr>
        <w:t xml:space="preserve"> </w:t>
      </w:r>
      <w:r w:rsidR="00B42D5D" w:rsidRPr="00C73908">
        <w:rPr>
          <w:rFonts w:ascii="Times New Roman" w:hAnsi="Times New Roman" w:cs="Times New Roman"/>
          <w:lang w:val="en-IE"/>
        </w:rPr>
        <w:t xml:space="preserve">The rationale </w:t>
      </w:r>
      <w:r w:rsidR="00F970B3" w:rsidRPr="00C73908">
        <w:rPr>
          <w:rFonts w:ascii="Times New Roman" w:hAnsi="Times New Roman" w:cs="Times New Roman"/>
          <w:lang w:val="en-IE"/>
        </w:rPr>
        <w:t xml:space="preserve">behind </w:t>
      </w:r>
      <w:r w:rsidR="00BF06BC" w:rsidRPr="00C73908">
        <w:rPr>
          <w:rFonts w:ascii="Times New Roman" w:hAnsi="Times New Roman" w:cs="Times New Roman"/>
          <w:lang w:val="en-IE"/>
        </w:rPr>
        <w:t>random effects</w:t>
      </w:r>
      <w:r w:rsidR="00F970B3" w:rsidRPr="00C73908">
        <w:rPr>
          <w:rFonts w:ascii="Times New Roman" w:hAnsi="Times New Roman" w:cs="Times New Roman"/>
          <w:lang w:val="en-IE"/>
        </w:rPr>
        <w:t xml:space="preserve"> is that the variation across entities is assumed to be random and uncorrelated with the</w:t>
      </w:r>
      <w:r w:rsidR="00BF06BC" w:rsidRPr="00C73908">
        <w:rPr>
          <w:rFonts w:ascii="Times New Roman" w:hAnsi="Times New Roman" w:cs="Times New Roman"/>
          <w:lang w:val="en-IE"/>
        </w:rPr>
        <w:t xml:space="preserve"> </w:t>
      </w:r>
      <w:r w:rsidR="00F970B3" w:rsidRPr="00C73908">
        <w:rPr>
          <w:rFonts w:ascii="Times New Roman" w:hAnsi="Times New Roman" w:cs="Times New Roman"/>
          <w:lang w:val="en-IE"/>
        </w:rPr>
        <w:t>independent variables included in the model</w:t>
      </w:r>
      <w:r w:rsidR="00E47ED5" w:rsidRPr="00C73908">
        <w:rPr>
          <w:rFonts w:ascii="Times New Roman" w:hAnsi="Times New Roman" w:cs="Times New Roman"/>
          <w:lang w:val="en-IE"/>
        </w:rPr>
        <w:t xml:space="preserve">. </w:t>
      </w:r>
      <w:r w:rsidR="00161174" w:rsidRPr="00C73908">
        <w:rPr>
          <w:rFonts w:ascii="Times New Roman" w:hAnsi="Times New Roman" w:cs="Times New Roman"/>
          <w:lang w:val="en-IE"/>
        </w:rPr>
        <w:t xml:space="preserve">However, </w:t>
      </w:r>
      <w:r w:rsidR="00CB3683" w:rsidRPr="00C73908">
        <w:rPr>
          <w:rFonts w:ascii="Times New Roman" w:hAnsi="Times New Roman" w:cs="Times New Roman"/>
          <w:lang w:val="en-IE"/>
        </w:rPr>
        <w:t>this</w:t>
      </w:r>
      <w:r w:rsidR="004C68A3" w:rsidRPr="00C73908">
        <w:rPr>
          <w:rFonts w:ascii="Times New Roman" w:hAnsi="Times New Roman" w:cs="Times New Roman"/>
          <w:lang w:val="en-IE"/>
        </w:rPr>
        <w:t xml:space="preserve"> </w:t>
      </w:r>
      <w:r w:rsidR="00BF06BC" w:rsidRPr="00C73908">
        <w:rPr>
          <w:rFonts w:ascii="Times New Roman" w:hAnsi="Times New Roman" w:cs="Times New Roman"/>
          <w:lang w:val="en-IE"/>
        </w:rPr>
        <w:t>assumption</w:t>
      </w:r>
      <w:r w:rsidR="00EB510F" w:rsidRPr="00C73908">
        <w:rPr>
          <w:rFonts w:ascii="Times New Roman" w:hAnsi="Times New Roman" w:cs="Times New Roman"/>
          <w:lang w:val="en-IE"/>
        </w:rPr>
        <w:t xml:space="preserve"> </w:t>
      </w:r>
      <w:r w:rsidR="00621268" w:rsidRPr="00C73908">
        <w:rPr>
          <w:rFonts w:ascii="Times New Roman" w:hAnsi="Times New Roman" w:cs="Times New Roman"/>
          <w:lang w:val="en-IE"/>
        </w:rPr>
        <w:t xml:space="preserve">is a strong one </w:t>
      </w:r>
      <w:r w:rsidR="00EB510F" w:rsidRPr="00C73908">
        <w:rPr>
          <w:rFonts w:ascii="Times New Roman" w:hAnsi="Times New Roman" w:cs="Times New Roman"/>
          <w:lang w:val="en-IE"/>
        </w:rPr>
        <w:t xml:space="preserve">that </w:t>
      </w:r>
      <w:r w:rsidR="0057659A" w:rsidRPr="00C73908">
        <w:rPr>
          <w:rFonts w:ascii="Times New Roman" w:hAnsi="Times New Roman" w:cs="Times New Roman"/>
          <w:lang w:val="en-IE"/>
        </w:rPr>
        <w:t xml:space="preserve">is often </w:t>
      </w:r>
      <w:r w:rsidR="00ED2F8D" w:rsidRPr="00C73908">
        <w:rPr>
          <w:rFonts w:ascii="Times New Roman" w:hAnsi="Times New Roman" w:cs="Times New Roman"/>
          <w:lang w:val="en-IE"/>
        </w:rPr>
        <w:t>unrealistic with non-experimental data</w:t>
      </w:r>
      <w:r w:rsidR="00621268" w:rsidRPr="00C73908">
        <w:rPr>
          <w:rFonts w:ascii="Times New Roman" w:hAnsi="Times New Roman" w:cs="Times New Roman"/>
          <w:lang w:val="en-IE"/>
        </w:rPr>
        <w:t>. If the</w:t>
      </w:r>
      <w:r w:rsidR="00B14370" w:rsidRPr="00C73908">
        <w:rPr>
          <w:rFonts w:ascii="Times New Roman" w:hAnsi="Times New Roman" w:cs="Times New Roman"/>
          <w:lang w:val="en-IE"/>
        </w:rPr>
        <w:t>re is correlation between the</w:t>
      </w:r>
      <w:r w:rsidR="0037781A" w:rsidRPr="00C73908">
        <w:rPr>
          <w:rFonts w:ascii="Times New Roman" w:hAnsi="Times New Roman" w:cs="Times New Roman"/>
          <w:lang w:val="en-IE"/>
        </w:rPr>
        <w:t xml:space="preserve"> unobserved variables </w:t>
      </w:r>
      <w:r w:rsidR="00B14370" w:rsidRPr="00C73908">
        <w:rPr>
          <w:rFonts w:ascii="Times New Roman" w:hAnsi="Times New Roman" w:cs="Times New Roman"/>
          <w:lang w:val="en-IE"/>
        </w:rPr>
        <w:t>and</w:t>
      </w:r>
      <w:r w:rsidR="0037781A" w:rsidRPr="00C73908">
        <w:rPr>
          <w:rFonts w:ascii="Times New Roman" w:hAnsi="Times New Roman" w:cs="Times New Roman"/>
          <w:lang w:val="en-IE"/>
        </w:rPr>
        <w:t xml:space="preserve"> the regressors</w:t>
      </w:r>
      <w:r w:rsidR="00B14370" w:rsidRPr="00C73908">
        <w:rPr>
          <w:rFonts w:ascii="Times New Roman" w:hAnsi="Times New Roman" w:cs="Times New Roman"/>
          <w:lang w:val="en-IE"/>
        </w:rPr>
        <w:t xml:space="preserve"> in the model</w:t>
      </w:r>
      <w:r w:rsidR="00E84677" w:rsidRPr="00C73908">
        <w:rPr>
          <w:rFonts w:ascii="Times New Roman" w:hAnsi="Times New Roman" w:cs="Times New Roman"/>
          <w:lang w:val="en-IE"/>
        </w:rPr>
        <w:t>,</w:t>
      </w:r>
      <w:r w:rsidR="00D55DC0" w:rsidRPr="00C73908">
        <w:rPr>
          <w:rFonts w:ascii="Times New Roman" w:hAnsi="Times New Roman" w:cs="Times New Roman"/>
          <w:lang w:val="en-IE"/>
        </w:rPr>
        <w:t xml:space="preserve"> which is generally the case,</w:t>
      </w:r>
      <w:r w:rsidR="00E84677" w:rsidRPr="00C73908">
        <w:rPr>
          <w:rFonts w:ascii="Times New Roman" w:hAnsi="Times New Roman" w:cs="Times New Roman"/>
          <w:lang w:val="en-IE"/>
        </w:rPr>
        <w:t xml:space="preserve"> then the estimates will </w:t>
      </w:r>
      <w:r w:rsidR="00013A6C" w:rsidRPr="00C73908">
        <w:rPr>
          <w:rFonts w:ascii="Times New Roman" w:hAnsi="Times New Roman" w:cs="Times New Roman"/>
          <w:lang w:val="en-IE"/>
        </w:rPr>
        <w:t xml:space="preserve">be biased </w:t>
      </w:r>
      <w:r w:rsidR="00320154" w:rsidRPr="00C73908">
        <w:rPr>
          <w:rFonts w:ascii="Times New Roman" w:hAnsi="Times New Roman" w:cs="Times New Roman"/>
          <w:lang w:val="en-IE"/>
        </w:rPr>
        <w:t xml:space="preserve">and inconsistent </w:t>
      </w:r>
      <w:r w:rsidR="00013A6C" w:rsidRPr="00C73908">
        <w:rPr>
          <w:rFonts w:ascii="Times New Roman" w:hAnsi="Times New Roman" w:cs="Times New Roman"/>
          <w:lang w:val="en-IE"/>
        </w:rPr>
        <w:t>due to</w:t>
      </w:r>
      <w:r w:rsidR="00E84677" w:rsidRPr="00C73908">
        <w:rPr>
          <w:rFonts w:ascii="Times New Roman" w:hAnsi="Times New Roman" w:cs="Times New Roman"/>
          <w:lang w:val="en-IE"/>
        </w:rPr>
        <w:t xml:space="preserve"> </w:t>
      </w:r>
      <w:r w:rsidR="00013A6C" w:rsidRPr="00C73908">
        <w:rPr>
          <w:rFonts w:ascii="Times New Roman" w:hAnsi="Times New Roman" w:cs="Times New Roman"/>
          <w:lang w:val="en-IE"/>
        </w:rPr>
        <w:t xml:space="preserve">the presence of </w:t>
      </w:r>
      <w:r w:rsidR="00E84677" w:rsidRPr="00C73908">
        <w:rPr>
          <w:rFonts w:ascii="Times New Roman" w:hAnsi="Times New Roman" w:cs="Times New Roman"/>
          <w:lang w:val="en-IE"/>
        </w:rPr>
        <w:t>omitted variable bias.</w:t>
      </w:r>
    </w:p>
    <w:p w14:paraId="7FABF1AC" w14:textId="694D6C98" w:rsidR="0039639A" w:rsidRPr="00C73908" w:rsidRDefault="0039639A"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 xml:space="preserve">The fixed effects model differs from </w:t>
      </w:r>
      <w:r w:rsidR="00BF34BB" w:rsidRPr="00C73908">
        <w:rPr>
          <w:rFonts w:ascii="Times New Roman" w:hAnsi="Times New Roman" w:cs="Times New Roman"/>
          <w:lang w:val="en-IE"/>
        </w:rPr>
        <w:t xml:space="preserve">random effects in that </w:t>
      </w:r>
      <w:r w:rsidR="00D15A5E" w:rsidRPr="00C73908">
        <w:rPr>
          <w:rFonts w:ascii="Times New Roman" w:hAnsi="Times New Roman" w:cs="Times New Roman"/>
          <w:lang w:val="en-IE"/>
        </w:rPr>
        <w:t xml:space="preserve">the unobserved variables are allowed to have any association with the </w:t>
      </w:r>
      <w:r w:rsidR="005815F0" w:rsidRPr="00C73908">
        <w:rPr>
          <w:rFonts w:ascii="Times New Roman" w:hAnsi="Times New Roman" w:cs="Times New Roman"/>
          <w:lang w:val="en-IE"/>
        </w:rPr>
        <w:t>explanatory variables</w:t>
      </w:r>
      <w:r w:rsidR="00327A80" w:rsidRPr="00C73908">
        <w:rPr>
          <w:rFonts w:ascii="Times New Roman" w:hAnsi="Times New Roman" w:cs="Times New Roman"/>
          <w:lang w:val="en-IE"/>
        </w:rPr>
        <w:t>.</w:t>
      </w:r>
      <w:r w:rsidR="00572F2E" w:rsidRPr="00C73908">
        <w:rPr>
          <w:rFonts w:ascii="Times New Roman" w:hAnsi="Times New Roman" w:cs="Times New Roman"/>
          <w:lang w:val="en-IE"/>
        </w:rPr>
        <w:t xml:space="preserve"> </w:t>
      </w:r>
      <w:r w:rsidR="004D1AD7" w:rsidRPr="00C73908">
        <w:rPr>
          <w:rFonts w:ascii="Times New Roman" w:hAnsi="Times New Roman" w:cs="Times New Roman"/>
          <w:lang w:val="en-IE"/>
        </w:rPr>
        <w:t>The model</w:t>
      </w:r>
      <w:r w:rsidR="002A5B46" w:rsidRPr="00C73908">
        <w:rPr>
          <w:rFonts w:ascii="Times New Roman" w:hAnsi="Times New Roman" w:cs="Times New Roman"/>
          <w:lang w:val="en-IE"/>
        </w:rPr>
        <w:t xml:space="preserve"> </w:t>
      </w:r>
      <w:r w:rsidR="000D10E0" w:rsidRPr="00C73908">
        <w:rPr>
          <w:rFonts w:ascii="Times New Roman" w:hAnsi="Times New Roman" w:cs="Times New Roman"/>
          <w:lang w:val="en-IE"/>
        </w:rPr>
        <w:t xml:space="preserve">is used when there are </w:t>
      </w:r>
      <w:r w:rsidR="003770AB" w:rsidRPr="00C73908">
        <w:rPr>
          <w:rFonts w:ascii="Times New Roman" w:hAnsi="Times New Roman" w:cs="Times New Roman"/>
          <w:lang w:val="en-IE"/>
        </w:rPr>
        <w:t>unobserved factors</w:t>
      </w:r>
      <w:r w:rsidR="000D10E0" w:rsidRPr="00C73908">
        <w:rPr>
          <w:rFonts w:ascii="Times New Roman" w:hAnsi="Times New Roman" w:cs="Times New Roman"/>
          <w:lang w:val="en-IE"/>
        </w:rPr>
        <w:t xml:space="preserve"> specific to individual companies</w:t>
      </w:r>
      <w:r w:rsidR="000579A6" w:rsidRPr="00C73908">
        <w:rPr>
          <w:rFonts w:ascii="Times New Roman" w:hAnsi="Times New Roman" w:cs="Times New Roman"/>
          <w:lang w:val="en-IE"/>
        </w:rPr>
        <w:t xml:space="preserve"> that</w:t>
      </w:r>
      <w:r w:rsidR="002A5B46" w:rsidRPr="00C73908">
        <w:rPr>
          <w:rFonts w:ascii="Times New Roman" w:hAnsi="Times New Roman" w:cs="Times New Roman"/>
          <w:lang w:val="en-IE"/>
        </w:rPr>
        <w:t xml:space="preserve"> may impact or bias the</w:t>
      </w:r>
      <w:r w:rsidR="000579A6" w:rsidRPr="00C73908">
        <w:rPr>
          <w:rFonts w:ascii="Times New Roman" w:hAnsi="Times New Roman" w:cs="Times New Roman"/>
          <w:lang w:val="en-IE"/>
        </w:rPr>
        <w:t xml:space="preserve"> dependent</w:t>
      </w:r>
      <w:r w:rsidR="002A5B46" w:rsidRPr="00C73908">
        <w:rPr>
          <w:rFonts w:ascii="Times New Roman" w:hAnsi="Times New Roman" w:cs="Times New Roman"/>
          <w:lang w:val="en-IE"/>
        </w:rPr>
        <w:t xml:space="preserve"> or </w:t>
      </w:r>
      <w:r w:rsidR="003770AB" w:rsidRPr="00C73908">
        <w:rPr>
          <w:rFonts w:ascii="Times New Roman" w:hAnsi="Times New Roman" w:cs="Times New Roman"/>
          <w:lang w:val="en-IE"/>
        </w:rPr>
        <w:t>explanatory</w:t>
      </w:r>
      <w:r w:rsidR="002A5B46" w:rsidRPr="00C73908">
        <w:rPr>
          <w:rFonts w:ascii="Times New Roman" w:hAnsi="Times New Roman" w:cs="Times New Roman"/>
          <w:lang w:val="en-IE"/>
        </w:rPr>
        <w:t xml:space="preserve"> variables and we need to control for this. </w:t>
      </w:r>
      <w:r w:rsidR="00B27ECB" w:rsidRPr="00C73908">
        <w:rPr>
          <w:rFonts w:ascii="Times New Roman" w:hAnsi="Times New Roman" w:cs="Times New Roman"/>
          <w:lang w:val="en-IE"/>
        </w:rPr>
        <w:t>The purpose of fixed effects</w:t>
      </w:r>
      <w:r w:rsidR="00A567A1" w:rsidRPr="00C73908">
        <w:rPr>
          <w:rFonts w:ascii="Times New Roman" w:hAnsi="Times New Roman" w:cs="Times New Roman"/>
          <w:lang w:val="en-IE"/>
        </w:rPr>
        <w:t xml:space="preserve"> is to </w:t>
      </w:r>
      <w:r w:rsidR="002A5B46" w:rsidRPr="00C73908">
        <w:rPr>
          <w:rFonts w:ascii="Times New Roman" w:hAnsi="Times New Roman" w:cs="Times New Roman"/>
          <w:lang w:val="en-IE"/>
        </w:rPr>
        <w:t>remove the effect of those time-invariant characteristics so the net effect of</w:t>
      </w:r>
      <w:r w:rsidR="00A567A1" w:rsidRPr="00C73908">
        <w:rPr>
          <w:rFonts w:ascii="Times New Roman" w:hAnsi="Times New Roman" w:cs="Times New Roman"/>
          <w:lang w:val="en-IE"/>
        </w:rPr>
        <w:t xml:space="preserve"> </w:t>
      </w:r>
      <w:r w:rsidR="002A5B46" w:rsidRPr="00C73908">
        <w:rPr>
          <w:rFonts w:ascii="Times New Roman" w:hAnsi="Times New Roman" w:cs="Times New Roman"/>
          <w:lang w:val="en-IE"/>
        </w:rPr>
        <w:t xml:space="preserve">the </w:t>
      </w:r>
      <w:r w:rsidR="00A567A1" w:rsidRPr="00C73908">
        <w:rPr>
          <w:rFonts w:ascii="Times New Roman" w:hAnsi="Times New Roman" w:cs="Times New Roman"/>
          <w:lang w:val="en-IE"/>
        </w:rPr>
        <w:t>regressors</w:t>
      </w:r>
      <w:r w:rsidR="002A5B46" w:rsidRPr="00C73908">
        <w:rPr>
          <w:rFonts w:ascii="Times New Roman" w:hAnsi="Times New Roman" w:cs="Times New Roman"/>
          <w:lang w:val="en-IE"/>
        </w:rPr>
        <w:t xml:space="preserve"> on the </w:t>
      </w:r>
      <w:r w:rsidR="00A567A1" w:rsidRPr="00C73908">
        <w:rPr>
          <w:rFonts w:ascii="Times New Roman" w:hAnsi="Times New Roman" w:cs="Times New Roman"/>
          <w:lang w:val="en-IE"/>
        </w:rPr>
        <w:t>dependent</w:t>
      </w:r>
      <w:r w:rsidR="002A5B46" w:rsidRPr="00C73908">
        <w:rPr>
          <w:rFonts w:ascii="Times New Roman" w:hAnsi="Times New Roman" w:cs="Times New Roman"/>
          <w:lang w:val="en-IE"/>
        </w:rPr>
        <w:t xml:space="preserve"> variable</w:t>
      </w:r>
      <w:r w:rsidR="00A567A1" w:rsidRPr="00C73908">
        <w:rPr>
          <w:rFonts w:ascii="Times New Roman" w:hAnsi="Times New Roman" w:cs="Times New Roman"/>
          <w:lang w:val="en-IE"/>
        </w:rPr>
        <w:t xml:space="preserve"> may be assessed</w:t>
      </w:r>
      <w:r w:rsidR="002A5B46" w:rsidRPr="00C73908">
        <w:rPr>
          <w:rFonts w:ascii="Times New Roman" w:hAnsi="Times New Roman" w:cs="Times New Roman"/>
          <w:lang w:val="en-IE"/>
        </w:rPr>
        <w:t>.</w:t>
      </w:r>
      <w:r w:rsidR="005D0C8C" w:rsidRPr="00C73908">
        <w:rPr>
          <w:rFonts w:ascii="Times New Roman" w:hAnsi="Times New Roman" w:cs="Times New Roman"/>
          <w:lang w:val="en-IE"/>
        </w:rPr>
        <w:t xml:space="preserve"> I</w:t>
      </w:r>
      <w:r w:rsidR="00A845CA" w:rsidRPr="00C73908">
        <w:rPr>
          <w:rFonts w:ascii="Times New Roman" w:hAnsi="Times New Roman" w:cs="Times New Roman"/>
          <w:lang w:val="en-IE"/>
        </w:rPr>
        <w:t xml:space="preserve">n order to do so, the model produces an estimate of the </w:t>
      </w:r>
      <w:r w:rsidR="00DD00C0" w:rsidRPr="00C73908">
        <w:rPr>
          <w:rFonts w:ascii="Times New Roman" w:hAnsi="Times New Roman" w:cs="Times New Roman"/>
          <w:lang w:val="en-IE"/>
        </w:rPr>
        <w:t>effects</w:t>
      </w:r>
      <w:r w:rsidR="00534D14" w:rsidRPr="00C73908">
        <w:rPr>
          <w:rFonts w:ascii="Times New Roman" w:hAnsi="Times New Roman" w:cs="Times New Roman"/>
          <w:lang w:val="en-IE"/>
        </w:rPr>
        <w:t xml:space="preserve"> of unobserved, time-invariant variables</w:t>
      </w:r>
      <w:r w:rsidR="00DD00C0" w:rsidRPr="00C73908">
        <w:rPr>
          <w:rFonts w:ascii="Times New Roman" w:hAnsi="Times New Roman" w:cs="Times New Roman"/>
          <w:lang w:val="en-IE"/>
        </w:rPr>
        <w:t xml:space="preserve"> for each </w:t>
      </w:r>
      <w:r w:rsidR="001C5468" w:rsidRPr="00C73908">
        <w:rPr>
          <w:rFonts w:ascii="Times New Roman" w:hAnsi="Times New Roman" w:cs="Times New Roman"/>
          <w:lang w:val="en-IE"/>
        </w:rPr>
        <w:t>company</w:t>
      </w:r>
      <w:r w:rsidR="00EC76BA" w:rsidRPr="00C73908">
        <w:rPr>
          <w:rFonts w:ascii="Times New Roman" w:hAnsi="Times New Roman" w:cs="Times New Roman"/>
          <w:lang w:val="en-IE"/>
        </w:rPr>
        <w:t>.</w:t>
      </w:r>
      <w:r w:rsidR="00DD00C0" w:rsidRPr="00C73908">
        <w:rPr>
          <w:rFonts w:ascii="Times New Roman" w:hAnsi="Times New Roman" w:cs="Times New Roman"/>
          <w:lang w:val="en-IE"/>
        </w:rPr>
        <w:t xml:space="preserve"> </w:t>
      </w:r>
      <w:r w:rsidR="00DD00C0" w:rsidRPr="00C73908">
        <w:rPr>
          <w:rFonts w:ascii="Times New Roman" w:hAnsi="Times New Roman" w:cs="Times New Roman"/>
          <w:lang w:val="en-IE"/>
        </w:rPr>
        <w:lastRenderedPageBreak/>
        <w:t>These effects are</w:t>
      </w:r>
      <w:r w:rsidR="00534D14" w:rsidRPr="00C73908">
        <w:rPr>
          <w:rFonts w:ascii="Times New Roman" w:hAnsi="Times New Roman" w:cs="Times New Roman"/>
          <w:lang w:val="en-IE"/>
        </w:rPr>
        <w:t xml:space="preserve"> then included in the </w:t>
      </w:r>
      <w:r w:rsidR="008C7848" w:rsidRPr="00C73908">
        <w:rPr>
          <w:rFonts w:ascii="Times New Roman" w:hAnsi="Times New Roman" w:cs="Times New Roman"/>
          <w:lang w:val="en-IE"/>
        </w:rPr>
        <w:t>intercept</w:t>
      </w:r>
      <w:r w:rsidR="00FE7A69" w:rsidRPr="00C73908">
        <w:rPr>
          <w:rFonts w:ascii="Times New Roman" w:hAnsi="Times New Roman" w:cs="Times New Roman"/>
          <w:lang w:val="en-IE"/>
        </w:rPr>
        <w:t xml:space="preserve"> which is unique</w:t>
      </w:r>
      <w:r w:rsidR="00DD00C0" w:rsidRPr="00C73908">
        <w:rPr>
          <w:rFonts w:ascii="Times New Roman" w:hAnsi="Times New Roman" w:cs="Times New Roman"/>
          <w:lang w:val="en-IE"/>
        </w:rPr>
        <w:t xml:space="preserve"> for each </w:t>
      </w:r>
      <w:r w:rsidR="001C5468" w:rsidRPr="00C73908">
        <w:rPr>
          <w:rFonts w:ascii="Times New Roman" w:hAnsi="Times New Roman" w:cs="Times New Roman"/>
          <w:lang w:val="en-IE"/>
        </w:rPr>
        <w:t>company</w:t>
      </w:r>
      <w:r w:rsidR="00A71464" w:rsidRPr="00C73908">
        <w:rPr>
          <w:rFonts w:ascii="Times New Roman" w:hAnsi="Times New Roman" w:cs="Times New Roman"/>
          <w:lang w:val="en-IE"/>
        </w:rPr>
        <w:t>. The</w:t>
      </w:r>
      <w:r w:rsidR="00572E61" w:rsidRPr="00C73908">
        <w:rPr>
          <w:rFonts w:ascii="Times New Roman" w:hAnsi="Times New Roman" w:cs="Times New Roman"/>
          <w:lang w:val="en-IE"/>
        </w:rPr>
        <w:t>refore, the</w:t>
      </w:r>
      <w:r w:rsidR="00A71464" w:rsidRPr="00C73908">
        <w:rPr>
          <w:rFonts w:ascii="Times New Roman" w:hAnsi="Times New Roman" w:cs="Times New Roman"/>
          <w:lang w:val="en-IE"/>
        </w:rPr>
        <w:t xml:space="preserve"> form of the fixed effects model is as follows</w:t>
      </w:r>
      <w:r w:rsidR="008C7848" w:rsidRPr="00C73908">
        <w:rPr>
          <w:rFonts w:ascii="Times New Roman" w:hAnsi="Times New Roman" w:cs="Times New Roman"/>
          <w:lang w:val="en-IE"/>
        </w:rPr>
        <w:t>:</w:t>
      </w:r>
    </w:p>
    <w:p w14:paraId="519DE4D2" w14:textId="1C405032" w:rsidR="008C7848" w:rsidRPr="00C73908" w:rsidRDefault="008C7848" w:rsidP="008A6DF2">
      <w:pPr>
        <w:spacing w:after="240" w:line="360" w:lineRule="auto"/>
        <w:jc w:val="center"/>
        <w:rPr>
          <w:rFonts w:ascii="Times New Roman" w:hAnsi="Times New Roman" w:cs="Times New Roman"/>
          <w:lang w:val="en-IE"/>
        </w:rPr>
      </w:pPr>
      <w:r w:rsidRPr="00C73908">
        <w:rPr>
          <w:rFonts w:ascii="Times New Roman" w:hAnsi="Times New Roman" w:cs="Times New Roman"/>
          <w:sz w:val="24"/>
          <w:szCs w:val="24"/>
          <w:lang w:val="en-IE"/>
        </w:rPr>
        <w:t>y</w:t>
      </w:r>
      <w:r w:rsidRPr="00C73908">
        <w:rPr>
          <w:rFonts w:ascii="Times New Roman" w:hAnsi="Times New Roman" w:cs="Times New Roman"/>
          <w:sz w:val="24"/>
          <w:szCs w:val="24"/>
          <w:vertAlign w:val="subscript"/>
          <w:lang w:val="en-IE"/>
        </w:rPr>
        <w:t>it</w:t>
      </w:r>
      <w:r w:rsidRPr="00C73908">
        <w:rPr>
          <w:rFonts w:ascii="Times New Roman" w:hAnsi="Times New Roman" w:cs="Times New Roman"/>
          <w:sz w:val="24"/>
          <w:szCs w:val="24"/>
          <w:lang w:val="en-IE"/>
        </w:rPr>
        <w:t xml:space="preserve"> = (α + u</w:t>
      </w:r>
      <w:r w:rsidRPr="00C73908">
        <w:rPr>
          <w:rFonts w:ascii="Times New Roman" w:hAnsi="Times New Roman" w:cs="Times New Roman"/>
          <w:sz w:val="24"/>
          <w:szCs w:val="24"/>
          <w:vertAlign w:val="subscript"/>
          <w:lang w:val="en-IE"/>
        </w:rPr>
        <w:t>i</w:t>
      </w:r>
      <w:r w:rsidRPr="00C73908">
        <w:rPr>
          <w:rFonts w:ascii="Times New Roman" w:hAnsi="Times New Roman" w:cs="Times New Roman"/>
          <w:sz w:val="24"/>
          <w:szCs w:val="24"/>
          <w:lang w:val="en-IE"/>
        </w:rPr>
        <w:t>) + β</w:t>
      </w:r>
      <w:r w:rsidRPr="00C73908">
        <w:rPr>
          <w:rFonts w:ascii="Times New Roman" w:hAnsi="Times New Roman" w:cs="Times New Roman"/>
          <w:sz w:val="24"/>
          <w:szCs w:val="24"/>
          <w:vertAlign w:val="superscript"/>
          <w:lang w:val="en-IE"/>
        </w:rPr>
        <w:t>1</w:t>
      </w:r>
      <w:r w:rsidRPr="00C73908">
        <w:rPr>
          <w:rFonts w:ascii="Times New Roman" w:hAnsi="Times New Roman" w:cs="Times New Roman"/>
          <w:sz w:val="24"/>
          <w:szCs w:val="24"/>
          <w:lang w:val="en-IE"/>
        </w:rPr>
        <w:t>X</w:t>
      </w:r>
      <w:r w:rsidRPr="00C73908">
        <w:rPr>
          <w:rFonts w:ascii="Times New Roman" w:hAnsi="Times New Roman" w:cs="Times New Roman"/>
          <w:sz w:val="24"/>
          <w:szCs w:val="24"/>
          <w:vertAlign w:val="superscript"/>
          <w:lang w:val="en-IE"/>
        </w:rPr>
        <w:t>1</w:t>
      </w:r>
      <w:r w:rsidRPr="00C73908">
        <w:rPr>
          <w:rFonts w:ascii="Times New Roman" w:hAnsi="Times New Roman" w:cs="Times New Roman"/>
          <w:sz w:val="24"/>
          <w:szCs w:val="24"/>
          <w:vertAlign w:val="subscript"/>
          <w:lang w:val="en-IE"/>
        </w:rPr>
        <w:t>it</w:t>
      </w:r>
      <w:r w:rsidRPr="00C73908">
        <w:rPr>
          <w:rFonts w:ascii="Times New Roman" w:hAnsi="Times New Roman" w:cs="Times New Roman"/>
          <w:sz w:val="24"/>
          <w:szCs w:val="24"/>
          <w:lang w:val="en-IE"/>
        </w:rPr>
        <w:t xml:space="preserve"> + … + β</w:t>
      </w:r>
      <w:r w:rsidRPr="00C73908">
        <w:rPr>
          <w:rFonts w:ascii="Times New Roman" w:hAnsi="Times New Roman" w:cs="Times New Roman"/>
          <w:sz w:val="24"/>
          <w:szCs w:val="24"/>
          <w:vertAlign w:val="superscript"/>
          <w:lang w:val="en-IE"/>
        </w:rPr>
        <w:t>k</w:t>
      </w:r>
      <w:r w:rsidRPr="00C73908">
        <w:rPr>
          <w:rFonts w:ascii="Times New Roman" w:hAnsi="Times New Roman" w:cs="Times New Roman"/>
          <w:sz w:val="24"/>
          <w:szCs w:val="24"/>
          <w:lang w:val="en-IE"/>
        </w:rPr>
        <w:t>X</w:t>
      </w:r>
      <w:r w:rsidRPr="00C73908">
        <w:rPr>
          <w:rFonts w:ascii="Times New Roman" w:hAnsi="Times New Roman" w:cs="Times New Roman"/>
          <w:sz w:val="24"/>
          <w:szCs w:val="24"/>
          <w:vertAlign w:val="superscript"/>
          <w:lang w:val="en-IE"/>
        </w:rPr>
        <w:t>k</w:t>
      </w:r>
      <w:r w:rsidRPr="00C73908">
        <w:rPr>
          <w:rFonts w:ascii="Times New Roman" w:hAnsi="Times New Roman" w:cs="Times New Roman"/>
          <w:sz w:val="24"/>
          <w:szCs w:val="24"/>
          <w:vertAlign w:val="subscript"/>
          <w:lang w:val="en-IE"/>
        </w:rPr>
        <w:t>it</w:t>
      </w:r>
      <w:r w:rsidRPr="00C73908">
        <w:rPr>
          <w:rFonts w:ascii="Times New Roman" w:hAnsi="Times New Roman" w:cs="Times New Roman"/>
          <w:sz w:val="24"/>
          <w:szCs w:val="24"/>
          <w:lang w:val="en-IE"/>
        </w:rPr>
        <w:t xml:space="preserve"> + </w:t>
      </w:r>
      <w:r w:rsidRPr="00C73908">
        <w:rPr>
          <w:rFonts w:ascii="Times New Roman" w:hAnsi="Times New Roman" w:cs="Times New Roman"/>
          <w:sz w:val="24"/>
          <w:szCs w:val="24"/>
          <w:lang w:val="en-IE"/>
        </w:rPr>
        <w:sym w:font="Symbol" w:char="F065"/>
      </w:r>
      <w:r w:rsidRPr="00C73908">
        <w:rPr>
          <w:rFonts w:ascii="Times New Roman" w:hAnsi="Times New Roman" w:cs="Times New Roman"/>
          <w:sz w:val="24"/>
          <w:szCs w:val="24"/>
          <w:vertAlign w:val="subscript"/>
          <w:lang w:val="en-IE"/>
        </w:rPr>
        <w:t>it</w:t>
      </w:r>
    </w:p>
    <w:p w14:paraId="64510BFC" w14:textId="7399DEB9" w:rsidR="008C7848" w:rsidRPr="00C73908" w:rsidRDefault="00D73E8F"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Another key assumption of the fixed effects model is th</w:t>
      </w:r>
      <w:r w:rsidR="00767924" w:rsidRPr="00C73908">
        <w:rPr>
          <w:rFonts w:ascii="Times New Roman" w:hAnsi="Times New Roman" w:cs="Times New Roman"/>
          <w:lang w:val="en-IE"/>
        </w:rPr>
        <w:t>at th</w:t>
      </w:r>
      <w:r w:rsidR="001A3C90" w:rsidRPr="00C73908">
        <w:rPr>
          <w:rFonts w:ascii="Times New Roman" w:hAnsi="Times New Roman" w:cs="Times New Roman"/>
          <w:lang w:val="en-IE"/>
        </w:rPr>
        <w:t>ose</w:t>
      </w:r>
      <w:r w:rsidR="00767924" w:rsidRPr="00C73908">
        <w:rPr>
          <w:rFonts w:ascii="Times New Roman" w:hAnsi="Times New Roman" w:cs="Times New Roman"/>
          <w:lang w:val="en-IE"/>
        </w:rPr>
        <w:t xml:space="preserve"> time invariant characteristics are unique to </w:t>
      </w:r>
      <w:r w:rsidR="0073208E" w:rsidRPr="00C73908">
        <w:rPr>
          <w:rFonts w:ascii="Times New Roman" w:hAnsi="Times New Roman" w:cs="Times New Roman"/>
          <w:lang w:val="en-IE"/>
        </w:rPr>
        <w:t>each individual company</w:t>
      </w:r>
      <w:r w:rsidR="00767924" w:rsidRPr="00C73908">
        <w:rPr>
          <w:rFonts w:ascii="Times New Roman" w:hAnsi="Times New Roman" w:cs="Times New Roman"/>
          <w:lang w:val="en-IE"/>
        </w:rPr>
        <w:t xml:space="preserve"> and should not be correlated with</w:t>
      </w:r>
      <w:r w:rsidR="0073208E" w:rsidRPr="00C73908">
        <w:rPr>
          <w:rFonts w:ascii="Times New Roman" w:hAnsi="Times New Roman" w:cs="Times New Roman"/>
          <w:lang w:val="en-IE"/>
        </w:rPr>
        <w:t xml:space="preserve"> other</w:t>
      </w:r>
      <w:r w:rsidR="00432FFC" w:rsidRPr="00C73908">
        <w:rPr>
          <w:rFonts w:ascii="Times New Roman" w:hAnsi="Times New Roman" w:cs="Times New Roman"/>
          <w:lang w:val="en-IE"/>
        </w:rPr>
        <w:t>s</w:t>
      </w:r>
      <w:r w:rsidR="00927B5F" w:rsidRPr="00C73908">
        <w:rPr>
          <w:rFonts w:ascii="Times New Roman" w:hAnsi="Times New Roman" w:cs="Times New Roman"/>
          <w:lang w:val="en-IE"/>
        </w:rPr>
        <w:t>.</w:t>
      </w:r>
      <w:r w:rsidR="007A746E" w:rsidRPr="00C73908">
        <w:rPr>
          <w:rFonts w:ascii="Times New Roman" w:hAnsi="Times New Roman" w:cs="Times New Roman"/>
          <w:lang w:val="en-IE"/>
        </w:rPr>
        <w:t xml:space="preserve"> Each </w:t>
      </w:r>
      <w:r w:rsidR="00947FD4" w:rsidRPr="00C73908">
        <w:rPr>
          <w:rFonts w:ascii="Times New Roman" w:hAnsi="Times New Roman" w:cs="Times New Roman"/>
          <w:lang w:val="en-IE"/>
        </w:rPr>
        <w:t>company</w:t>
      </w:r>
      <w:r w:rsidR="007A746E" w:rsidRPr="00C73908">
        <w:rPr>
          <w:rFonts w:ascii="Times New Roman" w:hAnsi="Times New Roman" w:cs="Times New Roman"/>
          <w:lang w:val="en-IE"/>
        </w:rPr>
        <w:t xml:space="preserve"> is </w:t>
      </w:r>
      <w:r w:rsidR="00F81991" w:rsidRPr="00C73908">
        <w:rPr>
          <w:rFonts w:ascii="Times New Roman" w:hAnsi="Times New Roman" w:cs="Times New Roman"/>
          <w:lang w:val="en-IE"/>
        </w:rPr>
        <w:t>assumed to be heterogen</w:t>
      </w:r>
      <w:r w:rsidR="00176062" w:rsidRPr="00C73908">
        <w:rPr>
          <w:rFonts w:ascii="Times New Roman" w:hAnsi="Times New Roman" w:cs="Times New Roman"/>
          <w:lang w:val="en-IE"/>
        </w:rPr>
        <w:t>eous and,</w:t>
      </w:r>
      <w:r w:rsidR="007A746E" w:rsidRPr="00C73908">
        <w:rPr>
          <w:rFonts w:ascii="Times New Roman" w:hAnsi="Times New Roman" w:cs="Times New Roman"/>
          <w:lang w:val="en-IE"/>
        </w:rPr>
        <w:t xml:space="preserve"> therefore</w:t>
      </w:r>
      <w:r w:rsidR="00176062" w:rsidRPr="00C73908">
        <w:rPr>
          <w:rFonts w:ascii="Times New Roman" w:hAnsi="Times New Roman" w:cs="Times New Roman"/>
          <w:lang w:val="en-IE"/>
        </w:rPr>
        <w:t>,</w:t>
      </w:r>
      <w:r w:rsidR="007A746E" w:rsidRPr="00C73908">
        <w:rPr>
          <w:rFonts w:ascii="Times New Roman" w:hAnsi="Times New Roman" w:cs="Times New Roman"/>
          <w:lang w:val="en-IE"/>
        </w:rPr>
        <w:t xml:space="preserve"> </w:t>
      </w:r>
      <w:r w:rsidR="00176062" w:rsidRPr="00C73908">
        <w:rPr>
          <w:rFonts w:ascii="Times New Roman" w:hAnsi="Times New Roman" w:cs="Times New Roman"/>
          <w:lang w:val="en-IE"/>
        </w:rPr>
        <w:t>their</w:t>
      </w:r>
      <w:r w:rsidR="007A746E" w:rsidRPr="00C73908">
        <w:rPr>
          <w:rFonts w:ascii="Times New Roman" w:hAnsi="Times New Roman" w:cs="Times New Roman"/>
          <w:lang w:val="en-IE"/>
        </w:rPr>
        <w:t xml:space="preserve"> error term and constant (which captures individual characteristics) should not be correlated with other</w:t>
      </w:r>
      <w:r w:rsidR="00176062" w:rsidRPr="00C73908">
        <w:rPr>
          <w:rFonts w:ascii="Times New Roman" w:hAnsi="Times New Roman" w:cs="Times New Roman"/>
          <w:lang w:val="en-IE"/>
        </w:rPr>
        <w:t xml:space="preserve"> companies</w:t>
      </w:r>
      <w:r w:rsidR="00947FD4" w:rsidRPr="00C73908">
        <w:rPr>
          <w:rFonts w:ascii="Times New Roman" w:hAnsi="Times New Roman" w:cs="Times New Roman"/>
          <w:lang w:val="en-IE"/>
        </w:rPr>
        <w:t>.</w:t>
      </w:r>
      <w:r w:rsidR="00927B5F" w:rsidRPr="00C73908">
        <w:rPr>
          <w:rFonts w:ascii="Times New Roman" w:hAnsi="Times New Roman" w:cs="Times New Roman"/>
          <w:lang w:val="en-IE"/>
        </w:rPr>
        <w:t xml:space="preserve"> </w:t>
      </w:r>
      <w:r w:rsidR="003370C3" w:rsidRPr="00C73908">
        <w:rPr>
          <w:rFonts w:ascii="Times New Roman" w:hAnsi="Times New Roman" w:cs="Times New Roman"/>
          <w:lang w:val="en-IE"/>
        </w:rPr>
        <w:t>Substantively, fixed effects models are designed to study the causes of changes within a</w:t>
      </w:r>
      <w:r w:rsidR="00565E73" w:rsidRPr="00C73908">
        <w:rPr>
          <w:rFonts w:ascii="Times New Roman" w:hAnsi="Times New Roman" w:cs="Times New Roman"/>
          <w:lang w:val="en-IE"/>
        </w:rPr>
        <w:t>n</w:t>
      </w:r>
      <w:r w:rsidR="003370C3" w:rsidRPr="00C73908">
        <w:rPr>
          <w:rFonts w:ascii="Times New Roman" w:hAnsi="Times New Roman" w:cs="Times New Roman"/>
          <w:lang w:val="en-IE"/>
        </w:rPr>
        <w:t xml:space="preserve"> entity</w:t>
      </w:r>
      <w:r w:rsidR="00811B56" w:rsidRPr="00C73908">
        <w:rPr>
          <w:rFonts w:ascii="Times New Roman" w:hAnsi="Times New Roman" w:cs="Times New Roman"/>
          <w:lang w:val="en-IE"/>
        </w:rPr>
        <w:t xml:space="preserve"> over time</w:t>
      </w:r>
      <w:r w:rsidR="00D54483" w:rsidRPr="00C73908">
        <w:rPr>
          <w:rFonts w:ascii="Times New Roman" w:hAnsi="Times New Roman" w:cs="Times New Roman"/>
          <w:lang w:val="en-IE"/>
        </w:rPr>
        <w:t xml:space="preserve">, </w:t>
      </w:r>
      <w:r w:rsidR="009719F7" w:rsidRPr="00C73908">
        <w:rPr>
          <w:rFonts w:ascii="Times New Roman" w:hAnsi="Times New Roman" w:cs="Times New Roman"/>
          <w:lang w:val="en-IE"/>
        </w:rPr>
        <w:t>referred to</w:t>
      </w:r>
      <w:r w:rsidR="00D54483" w:rsidRPr="00C73908">
        <w:rPr>
          <w:rFonts w:ascii="Times New Roman" w:hAnsi="Times New Roman" w:cs="Times New Roman"/>
          <w:lang w:val="en-IE"/>
        </w:rPr>
        <w:t xml:space="preserve"> as ‘within’ variation</w:t>
      </w:r>
      <w:r w:rsidR="002A5C2B" w:rsidRPr="00C73908">
        <w:rPr>
          <w:rFonts w:ascii="Times New Roman" w:hAnsi="Times New Roman" w:cs="Times New Roman"/>
          <w:lang w:val="en-IE"/>
        </w:rPr>
        <w:t xml:space="preserve">. </w:t>
      </w:r>
      <w:r w:rsidR="00811B56" w:rsidRPr="00C73908">
        <w:rPr>
          <w:rFonts w:ascii="Times New Roman" w:hAnsi="Times New Roman" w:cs="Times New Roman"/>
          <w:lang w:val="en-IE"/>
        </w:rPr>
        <w:t>A time-invariant characteristic cannot cause such a change because it is constant for each person</w:t>
      </w:r>
      <w:r w:rsidR="00051660" w:rsidRPr="00C73908">
        <w:rPr>
          <w:rFonts w:ascii="Times New Roman" w:hAnsi="Times New Roman" w:cs="Times New Roman"/>
          <w:lang w:val="en-IE"/>
        </w:rPr>
        <w:t>.</w:t>
      </w:r>
      <w:r w:rsidR="00811B56" w:rsidRPr="00C73908">
        <w:rPr>
          <w:rFonts w:ascii="Times New Roman" w:hAnsi="Times New Roman" w:cs="Times New Roman"/>
          <w:lang w:val="en-IE"/>
        </w:rPr>
        <w:t xml:space="preserve"> </w:t>
      </w:r>
      <w:r w:rsidR="009C2B18" w:rsidRPr="00C73908">
        <w:rPr>
          <w:rFonts w:ascii="Times New Roman" w:hAnsi="Times New Roman" w:cs="Times New Roman"/>
          <w:lang w:val="en-IE"/>
        </w:rPr>
        <w:t xml:space="preserve">Stock and Watson (2003) provide a succinct summary of the </w:t>
      </w:r>
      <w:r w:rsidR="002B50D2" w:rsidRPr="00C73908">
        <w:rPr>
          <w:rFonts w:ascii="Times New Roman" w:hAnsi="Times New Roman" w:cs="Times New Roman"/>
          <w:lang w:val="en-IE"/>
        </w:rPr>
        <w:t xml:space="preserve">fixed effects model; </w:t>
      </w:r>
      <w:r w:rsidR="00516AD7" w:rsidRPr="00C73908">
        <w:rPr>
          <w:rFonts w:ascii="Times New Roman" w:hAnsi="Times New Roman" w:cs="Times New Roman"/>
          <w:lang w:val="en-IE"/>
        </w:rPr>
        <w:t>“The key insight is that if the unobserved variable does not change over time, then any changes in the dependent variable must be due to influences other than these fixed characteristics.”</w:t>
      </w:r>
    </w:p>
    <w:p w14:paraId="5606CEA2" w14:textId="4ED74889" w:rsidR="005D0AB7" w:rsidRPr="00C73908" w:rsidRDefault="00613ACA"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t>Model Specification:</w:t>
      </w:r>
      <w:r w:rsidRPr="00C73908">
        <w:rPr>
          <w:rFonts w:ascii="Times New Roman" w:hAnsi="Times New Roman" w:cs="Times New Roman"/>
          <w:lang w:val="en-IE"/>
        </w:rPr>
        <w:t xml:space="preserve"> </w:t>
      </w:r>
      <w:r w:rsidR="006F7ED8" w:rsidRPr="00C73908">
        <w:rPr>
          <w:rFonts w:ascii="Times New Roman" w:hAnsi="Times New Roman" w:cs="Times New Roman"/>
          <w:lang w:val="en-IE"/>
        </w:rPr>
        <w:t>In determining whether the</w:t>
      </w:r>
      <w:r w:rsidR="00090F8E" w:rsidRPr="00C73908">
        <w:rPr>
          <w:rFonts w:ascii="Times New Roman" w:hAnsi="Times New Roman" w:cs="Times New Roman"/>
          <w:lang w:val="en-IE"/>
        </w:rPr>
        <w:t xml:space="preserve"> fixed </w:t>
      </w:r>
      <w:r w:rsidR="00C572D5" w:rsidRPr="00C73908">
        <w:rPr>
          <w:rFonts w:ascii="Times New Roman" w:hAnsi="Times New Roman" w:cs="Times New Roman"/>
          <w:lang w:val="en-IE"/>
        </w:rPr>
        <w:t>or</w:t>
      </w:r>
      <w:r w:rsidR="00090F8E" w:rsidRPr="00C73908">
        <w:rPr>
          <w:rFonts w:ascii="Times New Roman" w:hAnsi="Times New Roman" w:cs="Times New Roman"/>
          <w:lang w:val="en-IE"/>
        </w:rPr>
        <w:t xml:space="preserve"> random effects model</w:t>
      </w:r>
      <w:r w:rsidR="00C572D5" w:rsidRPr="00C73908">
        <w:rPr>
          <w:rFonts w:ascii="Times New Roman" w:hAnsi="Times New Roman" w:cs="Times New Roman"/>
          <w:lang w:val="en-IE"/>
        </w:rPr>
        <w:t xml:space="preserve"> is appropriate</w:t>
      </w:r>
      <w:r w:rsidR="00090F8E" w:rsidRPr="00C73908">
        <w:rPr>
          <w:rFonts w:ascii="Times New Roman" w:hAnsi="Times New Roman" w:cs="Times New Roman"/>
          <w:lang w:val="en-IE"/>
        </w:rPr>
        <w:t xml:space="preserve"> there are several </w:t>
      </w:r>
      <w:r w:rsidR="004C7928" w:rsidRPr="00C73908">
        <w:rPr>
          <w:rFonts w:ascii="Times New Roman" w:hAnsi="Times New Roman" w:cs="Times New Roman"/>
          <w:lang w:val="en-IE"/>
        </w:rPr>
        <w:t>factor</w:t>
      </w:r>
      <w:r w:rsidR="001F26FE" w:rsidRPr="00C73908">
        <w:rPr>
          <w:rFonts w:ascii="Times New Roman" w:hAnsi="Times New Roman" w:cs="Times New Roman"/>
          <w:lang w:val="en-IE"/>
        </w:rPr>
        <w:t>s</w:t>
      </w:r>
      <w:r w:rsidR="00090F8E" w:rsidRPr="00C73908">
        <w:rPr>
          <w:rFonts w:ascii="Times New Roman" w:hAnsi="Times New Roman" w:cs="Times New Roman"/>
          <w:lang w:val="en-IE"/>
        </w:rPr>
        <w:t xml:space="preserve"> </w:t>
      </w:r>
      <w:r w:rsidR="00F3471D" w:rsidRPr="00C73908">
        <w:rPr>
          <w:rFonts w:ascii="Times New Roman" w:hAnsi="Times New Roman" w:cs="Times New Roman"/>
          <w:lang w:val="en-IE"/>
        </w:rPr>
        <w:t>to</w:t>
      </w:r>
      <w:r w:rsidR="00090F8E" w:rsidRPr="00C73908">
        <w:rPr>
          <w:rFonts w:ascii="Times New Roman" w:hAnsi="Times New Roman" w:cs="Times New Roman"/>
          <w:lang w:val="en-IE"/>
        </w:rPr>
        <w:t xml:space="preserve"> </w:t>
      </w:r>
      <w:r w:rsidR="001F26FE" w:rsidRPr="00C73908">
        <w:rPr>
          <w:rFonts w:ascii="Times New Roman" w:hAnsi="Times New Roman" w:cs="Times New Roman"/>
          <w:lang w:val="en-IE"/>
        </w:rPr>
        <w:t>take into account</w:t>
      </w:r>
      <w:r w:rsidR="004C7928" w:rsidRPr="00C73908">
        <w:rPr>
          <w:rFonts w:ascii="Times New Roman" w:hAnsi="Times New Roman" w:cs="Times New Roman"/>
          <w:lang w:val="en-IE"/>
        </w:rPr>
        <w:t xml:space="preserve"> such as t</w:t>
      </w:r>
      <w:r w:rsidR="00C85DD8" w:rsidRPr="00C73908">
        <w:rPr>
          <w:rFonts w:ascii="Times New Roman" w:hAnsi="Times New Roman" w:cs="Times New Roman"/>
          <w:lang w:val="en-IE"/>
        </w:rPr>
        <w:t xml:space="preserve">he nature </w:t>
      </w:r>
      <w:r w:rsidR="00BF69FE" w:rsidRPr="00C73908">
        <w:rPr>
          <w:rFonts w:ascii="Times New Roman" w:hAnsi="Times New Roman" w:cs="Times New Roman"/>
          <w:lang w:val="en-IE"/>
        </w:rPr>
        <w:t xml:space="preserve">of omitted variables. If </w:t>
      </w:r>
      <w:r w:rsidR="003C4B1E" w:rsidRPr="00C73908">
        <w:rPr>
          <w:rFonts w:ascii="Times New Roman" w:hAnsi="Times New Roman" w:cs="Times New Roman"/>
          <w:lang w:val="en-IE"/>
        </w:rPr>
        <w:t xml:space="preserve">it is expected </w:t>
      </w:r>
      <w:r w:rsidR="00270745" w:rsidRPr="00C73908">
        <w:rPr>
          <w:rFonts w:ascii="Times New Roman" w:hAnsi="Times New Roman" w:cs="Times New Roman"/>
          <w:lang w:val="en-IE"/>
        </w:rPr>
        <w:t xml:space="preserve">that </w:t>
      </w:r>
      <w:r w:rsidR="00BF69FE" w:rsidRPr="00C73908">
        <w:rPr>
          <w:rFonts w:ascii="Times New Roman" w:hAnsi="Times New Roman" w:cs="Times New Roman"/>
          <w:lang w:val="en-IE"/>
        </w:rPr>
        <w:t>the</w:t>
      </w:r>
      <w:r w:rsidR="00270745" w:rsidRPr="00C73908">
        <w:rPr>
          <w:rFonts w:ascii="Times New Roman" w:hAnsi="Times New Roman" w:cs="Times New Roman"/>
          <w:lang w:val="en-IE"/>
        </w:rPr>
        <w:t>re</w:t>
      </w:r>
      <w:r w:rsidR="00BF69FE" w:rsidRPr="00C73908">
        <w:rPr>
          <w:rFonts w:ascii="Times New Roman" w:hAnsi="Times New Roman" w:cs="Times New Roman"/>
          <w:lang w:val="en-IE"/>
        </w:rPr>
        <w:t xml:space="preserve"> </w:t>
      </w:r>
      <w:r w:rsidR="00270745" w:rsidRPr="00C73908">
        <w:rPr>
          <w:rFonts w:ascii="Times New Roman" w:hAnsi="Times New Roman" w:cs="Times New Roman"/>
          <w:lang w:val="en-IE"/>
        </w:rPr>
        <w:t xml:space="preserve">are no </w:t>
      </w:r>
      <w:r w:rsidR="00BF69FE" w:rsidRPr="00C73908">
        <w:rPr>
          <w:rFonts w:ascii="Times New Roman" w:hAnsi="Times New Roman" w:cs="Times New Roman"/>
          <w:lang w:val="en-IE"/>
        </w:rPr>
        <w:t>omitted variables</w:t>
      </w:r>
      <w:r w:rsidR="00270745" w:rsidRPr="00C73908">
        <w:rPr>
          <w:rFonts w:ascii="Times New Roman" w:hAnsi="Times New Roman" w:cs="Times New Roman"/>
          <w:lang w:val="en-IE"/>
        </w:rPr>
        <w:t xml:space="preserve">, or that </w:t>
      </w:r>
      <w:r w:rsidR="002D2F40" w:rsidRPr="00C73908">
        <w:rPr>
          <w:rFonts w:ascii="Times New Roman" w:hAnsi="Times New Roman" w:cs="Times New Roman"/>
          <w:lang w:val="en-IE"/>
        </w:rPr>
        <w:t xml:space="preserve">the omitted variables are uncorrelated with the </w:t>
      </w:r>
      <w:r w:rsidR="008507E7">
        <w:rPr>
          <w:rFonts w:ascii="Times New Roman" w:hAnsi="Times New Roman" w:cs="Times New Roman"/>
          <w:lang w:val="en-IE"/>
        </w:rPr>
        <w:t>variables</w:t>
      </w:r>
      <w:r w:rsidR="002D2F40" w:rsidRPr="00C73908">
        <w:rPr>
          <w:rFonts w:ascii="Times New Roman" w:hAnsi="Times New Roman" w:cs="Times New Roman"/>
          <w:lang w:val="en-IE"/>
        </w:rPr>
        <w:t xml:space="preserve"> included in the model, then </w:t>
      </w:r>
      <w:r w:rsidR="006608D6" w:rsidRPr="00C73908">
        <w:rPr>
          <w:rFonts w:ascii="Times New Roman" w:hAnsi="Times New Roman" w:cs="Times New Roman"/>
          <w:lang w:val="en-IE"/>
        </w:rPr>
        <w:t>a random effects model may be</w:t>
      </w:r>
      <w:r w:rsidR="002E68C7" w:rsidRPr="00C73908">
        <w:rPr>
          <w:rFonts w:ascii="Times New Roman" w:hAnsi="Times New Roman" w:cs="Times New Roman"/>
          <w:lang w:val="en-IE"/>
        </w:rPr>
        <w:t xml:space="preserve"> the</w:t>
      </w:r>
      <w:r w:rsidR="006608D6" w:rsidRPr="00C73908">
        <w:rPr>
          <w:rFonts w:ascii="Times New Roman" w:hAnsi="Times New Roman" w:cs="Times New Roman"/>
          <w:lang w:val="en-IE"/>
        </w:rPr>
        <w:t xml:space="preserve"> best </w:t>
      </w:r>
      <w:r w:rsidR="002E68C7" w:rsidRPr="00C73908">
        <w:rPr>
          <w:rFonts w:ascii="Times New Roman" w:hAnsi="Times New Roman" w:cs="Times New Roman"/>
          <w:lang w:val="en-IE"/>
        </w:rPr>
        <w:t xml:space="preserve">option </w:t>
      </w:r>
      <w:r w:rsidR="006608D6" w:rsidRPr="00C73908">
        <w:rPr>
          <w:rFonts w:ascii="Times New Roman" w:hAnsi="Times New Roman" w:cs="Times New Roman"/>
          <w:lang w:val="en-IE"/>
        </w:rPr>
        <w:t xml:space="preserve">as it will produce </w:t>
      </w:r>
      <w:r w:rsidR="00C16F5A" w:rsidRPr="00C73908">
        <w:rPr>
          <w:rFonts w:ascii="Times New Roman" w:hAnsi="Times New Roman" w:cs="Times New Roman"/>
          <w:lang w:val="en-IE"/>
        </w:rPr>
        <w:t xml:space="preserve">unbiased estimates and relatively </w:t>
      </w:r>
      <w:r w:rsidR="00F55FB6" w:rsidRPr="00C73908">
        <w:rPr>
          <w:rFonts w:ascii="Times New Roman" w:hAnsi="Times New Roman" w:cs="Times New Roman"/>
          <w:lang w:val="en-IE"/>
        </w:rPr>
        <w:t>small</w:t>
      </w:r>
      <w:r w:rsidR="00C16F5A" w:rsidRPr="00C73908">
        <w:rPr>
          <w:rFonts w:ascii="Times New Roman" w:hAnsi="Times New Roman" w:cs="Times New Roman"/>
          <w:lang w:val="en-IE"/>
        </w:rPr>
        <w:t xml:space="preserve"> standard errors.</w:t>
      </w:r>
      <w:r w:rsidR="0008069E" w:rsidRPr="00C73908">
        <w:rPr>
          <w:rFonts w:ascii="Times New Roman" w:hAnsi="Times New Roman" w:cs="Times New Roman"/>
          <w:lang w:val="en-IE"/>
        </w:rPr>
        <w:t xml:space="preserve"> </w:t>
      </w:r>
      <w:r w:rsidR="005E56BA" w:rsidRPr="00C73908">
        <w:rPr>
          <w:rFonts w:ascii="Times New Roman" w:hAnsi="Times New Roman" w:cs="Times New Roman"/>
          <w:lang w:val="en-IE"/>
        </w:rPr>
        <w:t>I</w:t>
      </w:r>
      <w:r w:rsidR="0008069E" w:rsidRPr="00C73908">
        <w:rPr>
          <w:rFonts w:ascii="Times New Roman" w:hAnsi="Times New Roman" w:cs="Times New Roman"/>
          <w:lang w:val="en-IE"/>
        </w:rPr>
        <w:t xml:space="preserve">f </w:t>
      </w:r>
      <w:r w:rsidR="00C554FD" w:rsidRPr="00C73908">
        <w:rPr>
          <w:rFonts w:ascii="Times New Roman" w:hAnsi="Times New Roman" w:cs="Times New Roman"/>
          <w:lang w:val="en-IE"/>
        </w:rPr>
        <w:t xml:space="preserve">there are omitted variables </w:t>
      </w:r>
      <w:r w:rsidR="005833C8" w:rsidRPr="00C73908">
        <w:rPr>
          <w:rFonts w:ascii="Times New Roman" w:hAnsi="Times New Roman" w:cs="Times New Roman"/>
          <w:lang w:val="en-IE"/>
        </w:rPr>
        <w:t>and they</w:t>
      </w:r>
      <w:r w:rsidR="00C554FD" w:rsidRPr="00C73908">
        <w:rPr>
          <w:rFonts w:ascii="Times New Roman" w:hAnsi="Times New Roman" w:cs="Times New Roman"/>
          <w:lang w:val="en-IE"/>
        </w:rPr>
        <w:t xml:space="preserve"> are correlated with </w:t>
      </w:r>
      <w:r w:rsidR="005833C8" w:rsidRPr="00C73908">
        <w:rPr>
          <w:rFonts w:ascii="Times New Roman" w:hAnsi="Times New Roman" w:cs="Times New Roman"/>
          <w:lang w:val="en-IE"/>
        </w:rPr>
        <w:t xml:space="preserve">the </w:t>
      </w:r>
      <w:r w:rsidR="00C554FD" w:rsidRPr="00C73908">
        <w:rPr>
          <w:rFonts w:ascii="Times New Roman" w:hAnsi="Times New Roman" w:cs="Times New Roman"/>
          <w:lang w:val="en-IE"/>
        </w:rPr>
        <w:t xml:space="preserve">explanatory </w:t>
      </w:r>
      <w:r w:rsidR="005833C8" w:rsidRPr="00C73908">
        <w:rPr>
          <w:rFonts w:ascii="Times New Roman" w:hAnsi="Times New Roman" w:cs="Times New Roman"/>
          <w:lang w:val="en-IE"/>
        </w:rPr>
        <w:t>variables</w:t>
      </w:r>
      <w:r w:rsidR="005E56BA" w:rsidRPr="00C73908">
        <w:rPr>
          <w:rFonts w:ascii="Times New Roman" w:hAnsi="Times New Roman" w:cs="Times New Roman"/>
          <w:lang w:val="en-IE"/>
        </w:rPr>
        <w:t>,</w:t>
      </w:r>
      <w:r w:rsidR="005833C8" w:rsidRPr="00C73908">
        <w:rPr>
          <w:rFonts w:ascii="Times New Roman" w:hAnsi="Times New Roman" w:cs="Times New Roman"/>
          <w:lang w:val="en-IE"/>
        </w:rPr>
        <w:t xml:space="preserve"> then fixed effects </w:t>
      </w:r>
      <w:r w:rsidR="008A2135" w:rsidRPr="00C73908">
        <w:rPr>
          <w:rFonts w:ascii="Times New Roman" w:hAnsi="Times New Roman" w:cs="Times New Roman"/>
          <w:lang w:val="en-IE"/>
        </w:rPr>
        <w:t>are appropriate as they can help to reduce omitted variable bias</w:t>
      </w:r>
      <w:r w:rsidR="001A59D7" w:rsidRPr="00C73908">
        <w:rPr>
          <w:rFonts w:ascii="Times New Roman" w:hAnsi="Times New Roman" w:cs="Times New Roman"/>
          <w:lang w:val="en-IE"/>
        </w:rPr>
        <w:t xml:space="preserve"> by controlling for time-invariant</w:t>
      </w:r>
      <w:r w:rsidR="00997EA3" w:rsidRPr="00C73908">
        <w:rPr>
          <w:rFonts w:ascii="Times New Roman" w:hAnsi="Times New Roman" w:cs="Times New Roman"/>
          <w:lang w:val="en-IE"/>
        </w:rPr>
        <w:t xml:space="preserve"> characteristics. </w:t>
      </w:r>
      <w:r w:rsidR="00A257F4" w:rsidRPr="00C73908">
        <w:rPr>
          <w:rFonts w:ascii="Times New Roman" w:hAnsi="Times New Roman" w:cs="Times New Roman"/>
          <w:lang w:val="en-IE"/>
        </w:rPr>
        <w:t xml:space="preserve">Another important factor </w:t>
      </w:r>
      <w:r w:rsidR="008B4A17" w:rsidRPr="00C73908">
        <w:rPr>
          <w:rFonts w:ascii="Times New Roman" w:hAnsi="Times New Roman" w:cs="Times New Roman"/>
          <w:lang w:val="en-IE"/>
        </w:rPr>
        <w:t xml:space="preserve">to consider </w:t>
      </w:r>
      <w:r w:rsidR="00A257F4" w:rsidRPr="00C73908">
        <w:rPr>
          <w:rFonts w:ascii="Times New Roman" w:hAnsi="Times New Roman" w:cs="Times New Roman"/>
          <w:lang w:val="en-IE"/>
        </w:rPr>
        <w:t>is the degree of variability within subjects over time</w:t>
      </w:r>
      <w:r w:rsidR="008B4A17" w:rsidRPr="00C73908">
        <w:rPr>
          <w:rFonts w:ascii="Times New Roman" w:hAnsi="Times New Roman" w:cs="Times New Roman"/>
          <w:lang w:val="en-IE"/>
        </w:rPr>
        <w:t xml:space="preserve">. </w:t>
      </w:r>
      <w:r w:rsidR="00E0142C" w:rsidRPr="00C73908">
        <w:rPr>
          <w:rFonts w:ascii="Times New Roman" w:hAnsi="Times New Roman" w:cs="Times New Roman"/>
          <w:lang w:val="en-IE"/>
        </w:rPr>
        <w:t xml:space="preserve">As mentioned above, fixed effects cannot estimate </w:t>
      </w:r>
      <w:r w:rsidR="00105541" w:rsidRPr="00C73908">
        <w:rPr>
          <w:rFonts w:ascii="Times New Roman" w:hAnsi="Times New Roman" w:cs="Times New Roman"/>
          <w:lang w:val="en-IE"/>
        </w:rPr>
        <w:t xml:space="preserve">the influence of variables that do not change over time. </w:t>
      </w:r>
      <w:r w:rsidR="00E3373C" w:rsidRPr="00C73908">
        <w:rPr>
          <w:rFonts w:ascii="Times New Roman" w:hAnsi="Times New Roman" w:cs="Times New Roman"/>
          <w:lang w:val="en-IE"/>
        </w:rPr>
        <w:t>I</w:t>
      </w:r>
      <w:r w:rsidR="00105541" w:rsidRPr="00C73908">
        <w:rPr>
          <w:rFonts w:ascii="Times New Roman" w:hAnsi="Times New Roman" w:cs="Times New Roman"/>
          <w:lang w:val="en-IE"/>
        </w:rPr>
        <w:t xml:space="preserve">f there is little or no change in </w:t>
      </w:r>
      <w:r w:rsidR="002B2E16" w:rsidRPr="00C73908">
        <w:rPr>
          <w:rFonts w:ascii="Times New Roman" w:hAnsi="Times New Roman" w:cs="Times New Roman"/>
          <w:lang w:val="en-IE"/>
        </w:rPr>
        <w:t>the explanatory variables for each company over time</w:t>
      </w:r>
      <w:r w:rsidR="00C1053D" w:rsidRPr="00C73908">
        <w:rPr>
          <w:rFonts w:ascii="Times New Roman" w:hAnsi="Times New Roman" w:cs="Times New Roman"/>
          <w:lang w:val="en-IE"/>
        </w:rPr>
        <w:t>, the fixed effects model will not work very well, if at all.</w:t>
      </w:r>
      <w:r w:rsidR="002E17F9" w:rsidRPr="00C73908">
        <w:rPr>
          <w:rFonts w:ascii="Times New Roman" w:hAnsi="Times New Roman" w:cs="Times New Roman"/>
          <w:lang w:val="en-IE"/>
        </w:rPr>
        <w:t xml:space="preserve"> </w:t>
      </w:r>
      <w:r w:rsidR="00454C00" w:rsidRPr="00C73908">
        <w:rPr>
          <w:rFonts w:ascii="Times New Roman" w:hAnsi="Times New Roman" w:cs="Times New Roman"/>
          <w:lang w:val="en-IE"/>
        </w:rPr>
        <w:t>This is unlikely to present an issue i</w:t>
      </w:r>
      <w:r w:rsidR="002E17F9" w:rsidRPr="00C73908">
        <w:rPr>
          <w:rFonts w:ascii="Times New Roman" w:hAnsi="Times New Roman" w:cs="Times New Roman"/>
          <w:lang w:val="en-IE"/>
        </w:rPr>
        <w:t>n this case</w:t>
      </w:r>
      <w:r w:rsidR="00454C00" w:rsidRPr="00C73908">
        <w:rPr>
          <w:rFonts w:ascii="Times New Roman" w:hAnsi="Times New Roman" w:cs="Times New Roman"/>
          <w:lang w:val="en-IE"/>
        </w:rPr>
        <w:t xml:space="preserve"> as </w:t>
      </w:r>
      <w:r w:rsidR="002E17F9" w:rsidRPr="00C73908">
        <w:rPr>
          <w:rFonts w:ascii="Times New Roman" w:hAnsi="Times New Roman" w:cs="Times New Roman"/>
          <w:lang w:val="en-IE"/>
        </w:rPr>
        <w:t>the variables of interest</w:t>
      </w:r>
      <w:r w:rsidR="00B17A22" w:rsidRPr="00C73908">
        <w:rPr>
          <w:rFonts w:ascii="Times New Roman" w:hAnsi="Times New Roman" w:cs="Times New Roman"/>
          <w:lang w:val="en-IE"/>
        </w:rPr>
        <w:t xml:space="preserve"> </w:t>
      </w:r>
      <w:r w:rsidR="002E17F9" w:rsidRPr="00C73908">
        <w:rPr>
          <w:rFonts w:ascii="Times New Roman" w:hAnsi="Times New Roman" w:cs="Times New Roman"/>
          <w:lang w:val="en-IE"/>
        </w:rPr>
        <w:t>vary</w:t>
      </w:r>
      <w:r w:rsidR="00875CB5">
        <w:rPr>
          <w:rFonts w:ascii="Times New Roman" w:hAnsi="Times New Roman" w:cs="Times New Roman"/>
          <w:lang w:val="en-IE"/>
        </w:rPr>
        <w:t xml:space="preserve"> significantly</w:t>
      </w:r>
      <w:r w:rsidR="002E17F9" w:rsidRPr="00C73908">
        <w:rPr>
          <w:rFonts w:ascii="Times New Roman" w:hAnsi="Times New Roman" w:cs="Times New Roman"/>
          <w:lang w:val="en-IE"/>
        </w:rPr>
        <w:t xml:space="preserve"> over time</w:t>
      </w:r>
      <w:r w:rsidR="00454C00" w:rsidRPr="00C73908">
        <w:rPr>
          <w:rFonts w:ascii="Times New Roman" w:hAnsi="Times New Roman" w:cs="Times New Roman"/>
          <w:lang w:val="en-IE"/>
        </w:rPr>
        <w:t>.</w:t>
      </w:r>
    </w:p>
    <w:p w14:paraId="03054625" w14:textId="5E19DF9A" w:rsidR="00843B51" w:rsidRPr="00C73908" w:rsidRDefault="001070B9"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 xml:space="preserve">The </w:t>
      </w:r>
      <w:r w:rsidR="0051416A" w:rsidRPr="00C73908">
        <w:rPr>
          <w:rFonts w:ascii="Times New Roman" w:hAnsi="Times New Roman" w:cs="Times New Roman"/>
          <w:lang w:val="en-IE"/>
        </w:rPr>
        <w:t xml:space="preserve">specification test </w:t>
      </w:r>
      <w:r w:rsidR="00551C49" w:rsidRPr="00C73908">
        <w:rPr>
          <w:rFonts w:ascii="Times New Roman" w:hAnsi="Times New Roman" w:cs="Times New Roman"/>
          <w:lang w:val="en-IE"/>
        </w:rPr>
        <w:t xml:space="preserve">devised by </w:t>
      </w:r>
      <w:r w:rsidR="00843B51" w:rsidRPr="00C73908">
        <w:rPr>
          <w:rFonts w:ascii="Times New Roman" w:hAnsi="Times New Roman" w:cs="Times New Roman"/>
          <w:lang w:val="en-IE"/>
        </w:rPr>
        <w:t xml:space="preserve">Hausman </w:t>
      </w:r>
      <w:r w:rsidR="00AE09CF" w:rsidRPr="00C73908">
        <w:rPr>
          <w:rFonts w:ascii="Times New Roman" w:hAnsi="Times New Roman" w:cs="Times New Roman"/>
          <w:lang w:val="en-IE"/>
        </w:rPr>
        <w:t xml:space="preserve">(1978) </w:t>
      </w:r>
      <w:r w:rsidR="00843B51" w:rsidRPr="00C73908">
        <w:rPr>
          <w:rFonts w:ascii="Times New Roman" w:hAnsi="Times New Roman" w:cs="Times New Roman"/>
          <w:lang w:val="en-IE"/>
        </w:rPr>
        <w:t xml:space="preserve">is used </w:t>
      </w:r>
      <w:r w:rsidR="00084FC7" w:rsidRPr="00C73908">
        <w:rPr>
          <w:rFonts w:ascii="Times New Roman" w:hAnsi="Times New Roman" w:cs="Times New Roman"/>
          <w:lang w:val="en-IE"/>
        </w:rPr>
        <w:t xml:space="preserve">to </w:t>
      </w:r>
      <w:r w:rsidR="005E3B96" w:rsidRPr="00C73908">
        <w:rPr>
          <w:rFonts w:ascii="Times New Roman" w:hAnsi="Times New Roman" w:cs="Times New Roman"/>
          <w:lang w:val="en-IE"/>
        </w:rPr>
        <w:t>test</w:t>
      </w:r>
      <w:r w:rsidR="00356809" w:rsidRPr="00C73908">
        <w:rPr>
          <w:rFonts w:ascii="Times New Roman" w:hAnsi="Times New Roman" w:cs="Times New Roman"/>
          <w:lang w:val="en-IE"/>
        </w:rPr>
        <w:t xml:space="preserve"> the appro</w:t>
      </w:r>
      <w:r w:rsidR="00CE236A" w:rsidRPr="00C73908">
        <w:rPr>
          <w:rFonts w:ascii="Times New Roman" w:hAnsi="Times New Roman" w:cs="Times New Roman"/>
          <w:lang w:val="en-IE"/>
        </w:rPr>
        <w:t>priateness of</w:t>
      </w:r>
      <w:r w:rsidR="00084FC7" w:rsidRPr="00C73908">
        <w:rPr>
          <w:rFonts w:ascii="Times New Roman" w:hAnsi="Times New Roman" w:cs="Times New Roman"/>
          <w:lang w:val="en-IE"/>
        </w:rPr>
        <w:t xml:space="preserve"> fixed </w:t>
      </w:r>
      <w:r w:rsidR="00CE236A" w:rsidRPr="00C73908">
        <w:rPr>
          <w:rFonts w:ascii="Times New Roman" w:hAnsi="Times New Roman" w:cs="Times New Roman"/>
          <w:lang w:val="en-IE"/>
        </w:rPr>
        <w:t>or</w:t>
      </w:r>
      <w:r w:rsidR="00084FC7" w:rsidRPr="00C73908">
        <w:rPr>
          <w:rFonts w:ascii="Times New Roman" w:hAnsi="Times New Roman" w:cs="Times New Roman"/>
          <w:lang w:val="en-IE"/>
        </w:rPr>
        <w:t xml:space="preserve"> random effects </w:t>
      </w:r>
      <w:r w:rsidR="00CE236A" w:rsidRPr="00C73908">
        <w:rPr>
          <w:rFonts w:ascii="Times New Roman" w:hAnsi="Times New Roman" w:cs="Times New Roman"/>
          <w:lang w:val="en-IE"/>
        </w:rPr>
        <w:t>model</w:t>
      </w:r>
      <w:r w:rsidR="005E3B96" w:rsidRPr="00C73908">
        <w:rPr>
          <w:rFonts w:ascii="Times New Roman" w:hAnsi="Times New Roman" w:cs="Times New Roman"/>
          <w:lang w:val="en-IE"/>
        </w:rPr>
        <w:t>s</w:t>
      </w:r>
      <w:r w:rsidR="00CE236A" w:rsidRPr="00C73908">
        <w:rPr>
          <w:rFonts w:ascii="Times New Roman" w:hAnsi="Times New Roman" w:cs="Times New Roman"/>
          <w:lang w:val="en-IE"/>
        </w:rPr>
        <w:t xml:space="preserve"> </w:t>
      </w:r>
      <w:r w:rsidR="00671FC0" w:rsidRPr="00C73908">
        <w:rPr>
          <w:rFonts w:ascii="Times New Roman" w:hAnsi="Times New Roman" w:cs="Times New Roman"/>
          <w:lang w:val="en-IE"/>
        </w:rPr>
        <w:t>in</w:t>
      </w:r>
      <w:r w:rsidR="00084FC7" w:rsidRPr="00C73908">
        <w:rPr>
          <w:rFonts w:ascii="Times New Roman" w:hAnsi="Times New Roman" w:cs="Times New Roman"/>
          <w:lang w:val="en-IE"/>
        </w:rPr>
        <w:t xml:space="preserve"> panel data</w:t>
      </w:r>
      <w:r w:rsidR="00671FC0" w:rsidRPr="00C73908">
        <w:rPr>
          <w:rFonts w:ascii="Times New Roman" w:hAnsi="Times New Roman" w:cs="Times New Roman"/>
          <w:lang w:val="en-IE"/>
        </w:rPr>
        <w:t xml:space="preserve"> analysis</w:t>
      </w:r>
      <w:r w:rsidR="00084FC7" w:rsidRPr="00C73908">
        <w:rPr>
          <w:rFonts w:ascii="Times New Roman" w:hAnsi="Times New Roman" w:cs="Times New Roman"/>
          <w:lang w:val="en-IE"/>
        </w:rPr>
        <w:t>.</w:t>
      </w:r>
      <w:r w:rsidR="00B17A22" w:rsidRPr="00C73908">
        <w:rPr>
          <w:rFonts w:ascii="Times New Roman" w:hAnsi="Times New Roman" w:cs="Times New Roman"/>
          <w:lang w:val="en-IE"/>
        </w:rPr>
        <w:t xml:space="preserve"> </w:t>
      </w:r>
      <w:r w:rsidR="00450A2A" w:rsidRPr="00C73908">
        <w:rPr>
          <w:rFonts w:ascii="Times New Roman" w:hAnsi="Times New Roman" w:cs="Times New Roman"/>
          <w:lang w:val="en-IE"/>
        </w:rPr>
        <w:t>The Hausman test examines if the individual effects are correlated with other regressors in the model</w:t>
      </w:r>
      <w:r w:rsidR="00B71963" w:rsidRPr="00C73908">
        <w:rPr>
          <w:rFonts w:ascii="Times New Roman" w:hAnsi="Times New Roman" w:cs="Times New Roman"/>
          <w:lang w:val="en-IE"/>
        </w:rPr>
        <w:t xml:space="preserve"> with t</w:t>
      </w:r>
      <w:r w:rsidR="00450A2A" w:rsidRPr="00C73908">
        <w:rPr>
          <w:rFonts w:ascii="Times New Roman" w:hAnsi="Times New Roman" w:cs="Times New Roman"/>
          <w:lang w:val="en-IE"/>
        </w:rPr>
        <w:t xml:space="preserve">he null hypothesis </w:t>
      </w:r>
      <w:r w:rsidR="00B71963" w:rsidRPr="00C73908">
        <w:rPr>
          <w:rFonts w:ascii="Times New Roman" w:hAnsi="Times New Roman" w:cs="Times New Roman"/>
          <w:lang w:val="en-IE"/>
        </w:rPr>
        <w:t>being that there</w:t>
      </w:r>
      <w:r w:rsidR="00EA36F5" w:rsidRPr="00C73908">
        <w:rPr>
          <w:rFonts w:ascii="Times New Roman" w:hAnsi="Times New Roman" w:cs="Times New Roman"/>
          <w:lang w:val="en-IE"/>
        </w:rPr>
        <w:t xml:space="preserve"> is no correlation between them</w:t>
      </w:r>
      <w:r w:rsidR="00C05386" w:rsidRPr="00C73908">
        <w:rPr>
          <w:rFonts w:ascii="Times New Roman" w:hAnsi="Times New Roman" w:cs="Times New Roman"/>
          <w:lang w:val="en-IE"/>
        </w:rPr>
        <w:t>;</w:t>
      </w:r>
      <w:r w:rsidR="003C1612" w:rsidRPr="00C73908">
        <w:rPr>
          <w:rFonts w:ascii="Times New Roman" w:hAnsi="Times New Roman" w:cs="Times New Roman"/>
          <w:lang w:val="en-IE"/>
        </w:rPr>
        <w:t xml:space="preserve"> </w:t>
      </w:r>
      <w:proofErr w:type="gramStart"/>
      <w:r w:rsidR="003C1612" w:rsidRPr="00C73908">
        <w:rPr>
          <w:rFonts w:ascii="Times New Roman" w:hAnsi="Times New Roman" w:cs="Times New Roman"/>
          <w:lang w:val="en-IE"/>
        </w:rPr>
        <w:t>Corr(</w:t>
      </w:r>
      <w:proofErr w:type="gramEnd"/>
      <w:r w:rsidR="003C1612" w:rsidRPr="00C73908">
        <w:rPr>
          <w:rFonts w:ascii="Times New Roman" w:hAnsi="Times New Roman" w:cs="Times New Roman"/>
          <w:sz w:val="24"/>
          <w:szCs w:val="24"/>
          <w:lang w:val="en-IE"/>
        </w:rPr>
        <w:t>u</w:t>
      </w:r>
      <w:r w:rsidR="003C1612" w:rsidRPr="00C73908">
        <w:rPr>
          <w:rFonts w:ascii="Times New Roman" w:hAnsi="Times New Roman" w:cs="Times New Roman"/>
          <w:sz w:val="24"/>
          <w:szCs w:val="24"/>
          <w:vertAlign w:val="subscript"/>
          <w:lang w:val="en-IE"/>
        </w:rPr>
        <w:t xml:space="preserve">i, </w:t>
      </w:r>
      <w:r w:rsidR="003C1612" w:rsidRPr="00C73908">
        <w:rPr>
          <w:rFonts w:ascii="Times New Roman" w:hAnsi="Times New Roman" w:cs="Times New Roman"/>
          <w:sz w:val="24"/>
          <w:szCs w:val="24"/>
          <w:lang w:val="en-IE"/>
        </w:rPr>
        <w:t>X</w:t>
      </w:r>
      <w:r w:rsidR="003C1612" w:rsidRPr="00C73908">
        <w:rPr>
          <w:rFonts w:ascii="Times New Roman" w:hAnsi="Times New Roman" w:cs="Times New Roman"/>
          <w:sz w:val="24"/>
          <w:szCs w:val="24"/>
          <w:vertAlign w:val="superscript"/>
          <w:lang w:val="en-IE"/>
        </w:rPr>
        <w:t>k</w:t>
      </w:r>
      <w:r w:rsidR="003C1612" w:rsidRPr="00C73908">
        <w:rPr>
          <w:rFonts w:ascii="Times New Roman" w:hAnsi="Times New Roman" w:cs="Times New Roman"/>
          <w:sz w:val="24"/>
          <w:szCs w:val="24"/>
          <w:vertAlign w:val="subscript"/>
          <w:lang w:val="en-IE"/>
        </w:rPr>
        <w:t>it</w:t>
      </w:r>
      <w:r w:rsidR="003C1612" w:rsidRPr="00C73908">
        <w:rPr>
          <w:rFonts w:ascii="Times New Roman" w:hAnsi="Times New Roman" w:cs="Times New Roman"/>
          <w:lang w:val="en-IE"/>
        </w:rPr>
        <w:t>) = 0</w:t>
      </w:r>
      <w:r w:rsidR="00510F35" w:rsidRPr="00C73908">
        <w:rPr>
          <w:rFonts w:ascii="Times New Roman" w:hAnsi="Times New Roman" w:cs="Times New Roman"/>
          <w:lang w:val="en-IE"/>
        </w:rPr>
        <w:t xml:space="preserve">. </w:t>
      </w:r>
      <w:r w:rsidR="00FA70EA" w:rsidRPr="00C73908">
        <w:rPr>
          <w:rFonts w:ascii="Times New Roman" w:hAnsi="Times New Roman" w:cs="Times New Roman"/>
          <w:lang w:val="en-IE"/>
        </w:rPr>
        <w:t>If the null hypothesis is not rejected</w:t>
      </w:r>
      <w:r w:rsidR="008C0942" w:rsidRPr="00C73908">
        <w:rPr>
          <w:rFonts w:ascii="Times New Roman" w:hAnsi="Times New Roman" w:cs="Times New Roman"/>
          <w:lang w:val="en-IE"/>
        </w:rPr>
        <w:t xml:space="preserve"> (p &gt; 0.05)</w:t>
      </w:r>
      <w:r w:rsidR="00FA70EA" w:rsidRPr="00C73908">
        <w:rPr>
          <w:rFonts w:ascii="Times New Roman" w:hAnsi="Times New Roman" w:cs="Times New Roman"/>
          <w:lang w:val="en-IE"/>
        </w:rPr>
        <w:t xml:space="preserve">, then both models </w:t>
      </w:r>
      <w:r w:rsidR="00583365" w:rsidRPr="00C73908">
        <w:rPr>
          <w:rFonts w:ascii="Times New Roman" w:hAnsi="Times New Roman" w:cs="Times New Roman"/>
          <w:lang w:val="en-IE"/>
        </w:rPr>
        <w:t>are</w:t>
      </w:r>
      <w:r w:rsidR="00FA70EA" w:rsidRPr="00C73908">
        <w:rPr>
          <w:rFonts w:ascii="Times New Roman" w:hAnsi="Times New Roman" w:cs="Times New Roman"/>
          <w:lang w:val="en-IE"/>
        </w:rPr>
        <w:t xml:space="preserve"> consistent estimat</w:t>
      </w:r>
      <w:r w:rsidR="00583365" w:rsidRPr="00C73908">
        <w:rPr>
          <w:rFonts w:ascii="Times New Roman" w:hAnsi="Times New Roman" w:cs="Times New Roman"/>
          <w:lang w:val="en-IE"/>
        </w:rPr>
        <w:t>ors</w:t>
      </w:r>
      <w:r w:rsidR="00140309" w:rsidRPr="00C73908">
        <w:rPr>
          <w:rFonts w:ascii="Times New Roman" w:hAnsi="Times New Roman" w:cs="Times New Roman"/>
          <w:lang w:val="en-IE"/>
        </w:rPr>
        <w:t xml:space="preserve">. However, </w:t>
      </w:r>
      <w:r w:rsidR="0079279B" w:rsidRPr="00C73908">
        <w:rPr>
          <w:rFonts w:ascii="Times New Roman" w:hAnsi="Times New Roman" w:cs="Times New Roman"/>
          <w:lang w:val="en-IE"/>
        </w:rPr>
        <w:t xml:space="preserve">the </w:t>
      </w:r>
      <w:r w:rsidR="00140309" w:rsidRPr="00C73908">
        <w:rPr>
          <w:rFonts w:ascii="Times New Roman" w:hAnsi="Times New Roman" w:cs="Times New Roman"/>
          <w:lang w:val="en-IE"/>
        </w:rPr>
        <w:t xml:space="preserve">random effects </w:t>
      </w:r>
      <w:r w:rsidR="0079279B" w:rsidRPr="00C73908">
        <w:rPr>
          <w:rFonts w:ascii="Times New Roman" w:hAnsi="Times New Roman" w:cs="Times New Roman"/>
          <w:lang w:val="en-IE"/>
        </w:rPr>
        <w:t xml:space="preserve">model </w:t>
      </w:r>
      <w:r w:rsidR="00140309" w:rsidRPr="00C73908">
        <w:rPr>
          <w:rFonts w:ascii="Times New Roman" w:hAnsi="Times New Roman" w:cs="Times New Roman"/>
          <w:lang w:val="en-IE"/>
        </w:rPr>
        <w:t>is preferred</w:t>
      </w:r>
      <w:r w:rsidR="007125FF" w:rsidRPr="00C73908">
        <w:rPr>
          <w:rFonts w:ascii="Times New Roman" w:hAnsi="Times New Roman" w:cs="Times New Roman"/>
          <w:lang w:val="en-IE"/>
        </w:rPr>
        <w:t xml:space="preserve"> as it is </w:t>
      </w:r>
      <w:r w:rsidR="00322DEC" w:rsidRPr="00C73908">
        <w:rPr>
          <w:rFonts w:ascii="Times New Roman" w:hAnsi="Times New Roman" w:cs="Times New Roman"/>
          <w:lang w:val="en-IE"/>
        </w:rPr>
        <w:t xml:space="preserve">a </w:t>
      </w:r>
      <w:r w:rsidR="007125FF" w:rsidRPr="00C73908">
        <w:rPr>
          <w:rFonts w:ascii="Times New Roman" w:hAnsi="Times New Roman" w:cs="Times New Roman"/>
          <w:lang w:val="en-IE"/>
        </w:rPr>
        <w:t xml:space="preserve">more efficient </w:t>
      </w:r>
      <w:r w:rsidR="00322DEC" w:rsidRPr="00C73908">
        <w:rPr>
          <w:rFonts w:ascii="Times New Roman" w:hAnsi="Times New Roman" w:cs="Times New Roman"/>
          <w:lang w:val="en-IE"/>
        </w:rPr>
        <w:t xml:space="preserve">estimator </w:t>
      </w:r>
      <w:r w:rsidR="007125FF" w:rsidRPr="00C73908">
        <w:rPr>
          <w:rFonts w:ascii="Times New Roman" w:hAnsi="Times New Roman" w:cs="Times New Roman"/>
          <w:lang w:val="en-IE"/>
        </w:rPr>
        <w:t xml:space="preserve">with smaller </w:t>
      </w:r>
      <w:r w:rsidR="0079279B" w:rsidRPr="00C73908">
        <w:rPr>
          <w:rFonts w:ascii="Times New Roman" w:hAnsi="Times New Roman" w:cs="Times New Roman"/>
          <w:lang w:val="en-IE"/>
        </w:rPr>
        <w:t>standard errors</w:t>
      </w:r>
      <w:r w:rsidR="007B217E" w:rsidRPr="00C73908">
        <w:rPr>
          <w:rFonts w:ascii="Times New Roman" w:hAnsi="Times New Roman" w:cs="Times New Roman"/>
          <w:lang w:val="en-IE"/>
        </w:rPr>
        <w:t xml:space="preserve">. If the </w:t>
      </w:r>
      <w:r w:rsidR="00322DEC" w:rsidRPr="00C73908">
        <w:rPr>
          <w:rFonts w:ascii="Times New Roman" w:hAnsi="Times New Roman" w:cs="Times New Roman"/>
          <w:lang w:val="en-IE"/>
        </w:rPr>
        <w:t>null hypothesis is rejected</w:t>
      </w:r>
      <w:r w:rsidR="00CA715A" w:rsidRPr="00C73908">
        <w:rPr>
          <w:rFonts w:ascii="Times New Roman" w:hAnsi="Times New Roman" w:cs="Times New Roman"/>
          <w:lang w:val="en-IE"/>
        </w:rPr>
        <w:t>,</w:t>
      </w:r>
      <w:r w:rsidR="00322DEC" w:rsidRPr="00C73908">
        <w:rPr>
          <w:rFonts w:ascii="Times New Roman" w:hAnsi="Times New Roman" w:cs="Times New Roman"/>
          <w:lang w:val="en-IE"/>
        </w:rPr>
        <w:t xml:space="preserve"> </w:t>
      </w:r>
      <w:r w:rsidR="00343E05" w:rsidRPr="00C73908">
        <w:rPr>
          <w:rFonts w:ascii="Times New Roman" w:hAnsi="Times New Roman" w:cs="Times New Roman"/>
          <w:lang w:val="en-IE"/>
        </w:rPr>
        <w:t>i.e.</w:t>
      </w:r>
      <w:r w:rsidR="00322DEC" w:rsidRPr="00C73908">
        <w:rPr>
          <w:rFonts w:ascii="Times New Roman" w:hAnsi="Times New Roman" w:cs="Times New Roman"/>
          <w:lang w:val="en-IE"/>
        </w:rPr>
        <w:t xml:space="preserve"> the test detects correlation between </w:t>
      </w:r>
      <w:r w:rsidR="00CA715A" w:rsidRPr="00C73908">
        <w:rPr>
          <w:rFonts w:ascii="Times New Roman" w:hAnsi="Times New Roman" w:cs="Times New Roman"/>
          <w:lang w:val="en-IE"/>
        </w:rPr>
        <w:t xml:space="preserve">the individual effects and the regressors, then the </w:t>
      </w:r>
      <w:r w:rsidR="007237CF" w:rsidRPr="00C73908">
        <w:rPr>
          <w:rFonts w:ascii="Times New Roman" w:hAnsi="Times New Roman" w:cs="Times New Roman"/>
          <w:lang w:val="en-IE"/>
        </w:rPr>
        <w:t xml:space="preserve">core assumption of </w:t>
      </w:r>
      <w:r w:rsidR="00CA715A" w:rsidRPr="00C73908">
        <w:rPr>
          <w:rFonts w:ascii="Times New Roman" w:hAnsi="Times New Roman" w:cs="Times New Roman"/>
          <w:lang w:val="en-IE"/>
        </w:rPr>
        <w:t>random effects</w:t>
      </w:r>
      <w:r w:rsidR="007237CF" w:rsidRPr="00C73908">
        <w:rPr>
          <w:rFonts w:ascii="Times New Roman" w:hAnsi="Times New Roman" w:cs="Times New Roman"/>
          <w:lang w:val="en-IE"/>
        </w:rPr>
        <w:t xml:space="preserve"> is </w:t>
      </w:r>
      <w:r w:rsidR="006B032B" w:rsidRPr="00C73908">
        <w:rPr>
          <w:rFonts w:ascii="Times New Roman" w:hAnsi="Times New Roman" w:cs="Times New Roman"/>
          <w:lang w:val="en-IE"/>
        </w:rPr>
        <w:t>violated,</w:t>
      </w:r>
      <w:r w:rsidR="007237CF" w:rsidRPr="00C73908">
        <w:rPr>
          <w:rFonts w:ascii="Times New Roman" w:hAnsi="Times New Roman" w:cs="Times New Roman"/>
          <w:lang w:val="en-IE"/>
        </w:rPr>
        <w:t xml:space="preserve"> and </w:t>
      </w:r>
      <w:r w:rsidR="00C05386" w:rsidRPr="00C73908">
        <w:rPr>
          <w:rFonts w:ascii="Times New Roman" w:hAnsi="Times New Roman" w:cs="Times New Roman"/>
          <w:lang w:val="en-IE"/>
        </w:rPr>
        <w:t xml:space="preserve">the </w:t>
      </w:r>
      <w:r w:rsidR="008952AE" w:rsidRPr="00C73908">
        <w:rPr>
          <w:rFonts w:ascii="Times New Roman" w:hAnsi="Times New Roman" w:cs="Times New Roman"/>
          <w:lang w:val="en-IE"/>
        </w:rPr>
        <w:t>f</w:t>
      </w:r>
      <w:r w:rsidR="007237CF" w:rsidRPr="00C73908">
        <w:rPr>
          <w:rFonts w:ascii="Times New Roman" w:hAnsi="Times New Roman" w:cs="Times New Roman"/>
          <w:lang w:val="en-IE"/>
        </w:rPr>
        <w:t xml:space="preserve">ixed effects </w:t>
      </w:r>
      <w:r w:rsidR="008952AE" w:rsidRPr="00C73908">
        <w:rPr>
          <w:rFonts w:ascii="Times New Roman" w:hAnsi="Times New Roman" w:cs="Times New Roman"/>
          <w:lang w:val="en-IE"/>
        </w:rPr>
        <w:t xml:space="preserve">model </w:t>
      </w:r>
      <w:r w:rsidR="007237CF" w:rsidRPr="00C73908">
        <w:rPr>
          <w:rFonts w:ascii="Times New Roman" w:hAnsi="Times New Roman" w:cs="Times New Roman"/>
          <w:lang w:val="en-IE"/>
        </w:rPr>
        <w:t>is, therefore, preferred</w:t>
      </w:r>
      <w:r w:rsidR="00C05386" w:rsidRPr="00C73908">
        <w:rPr>
          <w:rFonts w:ascii="Times New Roman" w:hAnsi="Times New Roman" w:cs="Times New Roman"/>
          <w:lang w:val="en-IE"/>
        </w:rPr>
        <w:t xml:space="preserve"> as it is </w:t>
      </w:r>
      <w:r w:rsidR="00591BBD" w:rsidRPr="00C73908">
        <w:rPr>
          <w:rFonts w:ascii="Times New Roman" w:hAnsi="Times New Roman" w:cs="Times New Roman"/>
          <w:lang w:val="en-IE"/>
        </w:rPr>
        <w:t>the only consistent estimator.</w:t>
      </w:r>
      <w:r w:rsidR="00EB0EE2" w:rsidRPr="00C73908">
        <w:rPr>
          <w:rFonts w:ascii="Times New Roman" w:hAnsi="Times New Roman" w:cs="Times New Roman"/>
          <w:lang w:val="en-IE"/>
        </w:rPr>
        <w:t xml:space="preserve"> In this case</w:t>
      </w:r>
      <w:r w:rsidR="004237D7" w:rsidRPr="00C73908">
        <w:rPr>
          <w:rFonts w:ascii="Times New Roman" w:hAnsi="Times New Roman" w:cs="Times New Roman"/>
          <w:lang w:val="en-IE"/>
        </w:rPr>
        <w:t>, t</w:t>
      </w:r>
      <w:r w:rsidR="00EB0EE2" w:rsidRPr="00C73908">
        <w:rPr>
          <w:rFonts w:ascii="Times New Roman" w:hAnsi="Times New Roman" w:cs="Times New Roman"/>
          <w:lang w:val="en-IE"/>
        </w:rPr>
        <w:t>he Hausman test</w:t>
      </w:r>
      <w:r w:rsidR="004237D7" w:rsidRPr="00C73908">
        <w:rPr>
          <w:rFonts w:ascii="Times New Roman" w:hAnsi="Times New Roman" w:cs="Times New Roman"/>
          <w:lang w:val="en-IE"/>
        </w:rPr>
        <w:t xml:space="preserve"> returns a p value of </w:t>
      </w:r>
      <w:r w:rsidR="004E460C">
        <w:rPr>
          <w:rFonts w:ascii="Times New Roman" w:hAnsi="Times New Roman" w:cs="Times New Roman"/>
          <w:lang w:val="en-IE"/>
        </w:rPr>
        <w:lastRenderedPageBreak/>
        <w:t xml:space="preserve">less than </w:t>
      </w:r>
      <w:r w:rsidR="00A1713B" w:rsidRPr="00C73908">
        <w:rPr>
          <w:rFonts w:ascii="Times New Roman" w:hAnsi="Times New Roman" w:cs="Times New Roman"/>
          <w:lang w:val="en-IE"/>
        </w:rPr>
        <w:t>0.0</w:t>
      </w:r>
      <w:r w:rsidR="004E460C">
        <w:rPr>
          <w:rFonts w:ascii="Times New Roman" w:hAnsi="Times New Roman" w:cs="Times New Roman"/>
          <w:lang w:val="en-IE"/>
        </w:rPr>
        <w:t>5</w:t>
      </w:r>
      <w:r w:rsidR="00D52710" w:rsidRPr="00C73908">
        <w:rPr>
          <w:rFonts w:ascii="Times New Roman" w:hAnsi="Times New Roman" w:cs="Times New Roman"/>
          <w:lang w:val="en-IE"/>
        </w:rPr>
        <w:t xml:space="preserve"> </w:t>
      </w:r>
      <w:r w:rsidR="00F176FD" w:rsidRPr="00C73908">
        <w:rPr>
          <w:rFonts w:ascii="Times New Roman" w:hAnsi="Times New Roman" w:cs="Times New Roman"/>
          <w:lang w:val="en-IE"/>
        </w:rPr>
        <w:t>and</w:t>
      </w:r>
      <w:r w:rsidR="00D52710" w:rsidRPr="00C73908">
        <w:rPr>
          <w:rFonts w:ascii="Times New Roman" w:hAnsi="Times New Roman" w:cs="Times New Roman"/>
          <w:lang w:val="en-IE"/>
        </w:rPr>
        <w:t xml:space="preserve"> the null hypothesis </w:t>
      </w:r>
      <w:r w:rsidR="00654012" w:rsidRPr="00C73908">
        <w:rPr>
          <w:rFonts w:ascii="Times New Roman" w:hAnsi="Times New Roman" w:cs="Times New Roman"/>
          <w:lang w:val="en-IE"/>
        </w:rPr>
        <w:t>is rejected</w:t>
      </w:r>
      <w:r w:rsidR="006D2E1C" w:rsidRPr="00C73908">
        <w:rPr>
          <w:rFonts w:ascii="Times New Roman" w:hAnsi="Times New Roman" w:cs="Times New Roman"/>
          <w:lang w:val="en-IE"/>
        </w:rPr>
        <w:t>. The fixed effects model is, therefore, preferred</w:t>
      </w:r>
      <w:r w:rsidR="00A80D1D" w:rsidRPr="00C73908">
        <w:rPr>
          <w:rFonts w:ascii="Times New Roman" w:hAnsi="Times New Roman" w:cs="Times New Roman"/>
          <w:lang w:val="en-IE"/>
        </w:rPr>
        <w:t xml:space="preserve"> due to the correlation between the</w:t>
      </w:r>
      <w:r w:rsidR="001D6B09" w:rsidRPr="00C73908">
        <w:rPr>
          <w:rFonts w:ascii="Times New Roman" w:hAnsi="Times New Roman" w:cs="Times New Roman"/>
          <w:lang w:val="en-IE"/>
        </w:rPr>
        <w:t xml:space="preserve"> regressors and the unobserved individual</w:t>
      </w:r>
      <w:r w:rsidR="00A80D1D" w:rsidRPr="00C73908">
        <w:rPr>
          <w:rFonts w:ascii="Times New Roman" w:hAnsi="Times New Roman" w:cs="Times New Roman"/>
          <w:lang w:val="en-IE"/>
        </w:rPr>
        <w:t xml:space="preserve"> </w:t>
      </w:r>
      <w:r w:rsidR="001D6B09" w:rsidRPr="00C73908">
        <w:rPr>
          <w:rFonts w:ascii="Times New Roman" w:hAnsi="Times New Roman" w:cs="Times New Roman"/>
          <w:lang w:val="en-IE"/>
        </w:rPr>
        <w:t>effects</w:t>
      </w:r>
      <w:r w:rsidR="00F176FD" w:rsidRPr="00C73908">
        <w:rPr>
          <w:rFonts w:ascii="Times New Roman" w:hAnsi="Times New Roman" w:cs="Times New Roman"/>
          <w:lang w:val="en-IE"/>
        </w:rPr>
        <w:t>.</w:t>
      </w:r>
    </w:p>
    <w:p w14:paraId="5A7EAED9" w14:textId="243CB296" w:rsidR="0085023E" w:rsidRPr="00C73908" w:rsidRDefault="0085023E"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An</w:t>
      </w:r>
      <w:r w:rsidR="00BB43BE" w:rsidRPr="00C73908">
        <w:rPr>
          <w:rFonts w:ascii="Times New Roman" w:hAnsi="Times New Roman" w:cs="Times New Roman"/>
          <w:lang w:val="en-IE"/>
        </w:rPr>
        <w:t xml:space="preserve">other factor which needs to be considered when dealing with panel data is the </w:t>
      </w:r>
      <w:r w:rsidR="008C25DA" w:rsidRPr="00C73908">
        <w:rPr>
          <w:rFonts w:ascii="Times New Roman" w:hAnsi="Times New Roman" w:cs="Times New Roman"/>
          <w:lang w:val="en-IE"/>
        </w:rPr>
        <w:t xml:space="preserve">possible </w:t>
      </w:r>
      <w:r w:rsidR="009857EA" w:rsidRPr="00C73908">
        <w:rPr>
          <w:rFonts w:ascii="Times New Roman" w:hAnsi="Times New Roman" w:cs="Times New Roman"/>
          <w:lang w:val="en-IE"/>
        </w:rPr>
        <w:t>influ</w:t>
      </w:r>
      <w:r w:rsidR="00BB43BE" w:rsidRPr="00C73908">
        <w:rPr>
          <w:rFonts w:ascii="Times New Roman" w:hAnsi="Times New Roman" w:cs="Times New Roman"/>
          <w:lang w:val="en-IE"/>
        </w:rPr>
        <w:t>ence of</w:t>
      </w:r>
      <w:r w:rsidR="008A6F7C" w:rsidRPr="00C73908">
        <w:rPr>
          <w:rFonts w:ascii="Times New Roman" w:hAnsi="Times New Roman" w:cs="Times New Roman"/>
          <w:lang w:val="en-IE"/>
        </w:rPr>
        <w:t xml:space="preserve"> time-fixed effects</w:t>
      </w:r>
      <w:r w:rsidR="001B348F" w:rsidRPr="00C73908">
        <w:rPr>
          <w:rFonts w:ascii="Times New Roman" w:hAnsi="Times New Roman" w:cs="Times New Roman"/>
          <w:lang w:val="en-IE"/>
        </w:rPr>
        <w:t>. These</w:t>
      </w:r>
      <w:r w:rsidR="00D502DF" w:rsidRPr="00C73908">
        <w:rPr>
          <w:rFonts w:ascii="Times New Roman" w:hAnsi="Times New Roman" w:cs="Times New Roman"/>
          <w:lang w:val="en-IE"/>
        </w:rPr>
        <w:t xml:space="preserve"> are</w:t>
      </w:r>
      <w:r w:rsidR="00BB43BE" w:rsidRPr="00C73908">
        <w:rPr>
          <w:rFonts w:ascii="Times New Roman" w:hAnsi="Times New Roman" w:cs="Times New Roman"/>
          <w:lang w:val="en-IE"/>
        </w:rPr>
        <w:t xml:space="preserve"> </w:t>
      </w:r>
      <w:r w:rsidR="009857EA" w:rsidRPr="00C73908">
        <w:rPr>
          <w:rFonts w:ascii="Times New Roman" w:hAnsi="Times New Roman" w:cs="Times New Roman"/>
          <w:lang w:val="en-IE"/>
        </w:rPr>
        <w:t xml:space="preserve">correlated shocks </w:t>
      </w:r>
      <w:r w:rsidR="00D502DF" w:rsidRPr="00C73908">
        <w:rPr>
          <w:rFonts w:ascii="Times New Roman" w:hAnsi="Times New Roman" w:cs="Times New Roman"/>
          <w:lang w:val="en-IE"/>
        </w:rPr>
        <w:t>that</w:t>
      </w:r>
      <w:r w:rsidR="009857EA" w:rsidRPr="00C73908">
        <w:rPr>
          <w:rFonts w:ascii="Times New Roman" w:hAnsi="Times New Roman" w:cs="Times New Roman"/>
          <w:lang w:val="en-IE"/>
        </w:rPr>
        <w:t xml:space="preserve"> affect all companies </w:t>
      </w:r>
      <w:r w:rsidR="00563D37" w:rsidRPr="00C73908">
        <w:rPr>
          <w:rFonts w:ascii="Times New Roman" w:hAnsi="Times New Roman" w:cs="Times New Roman"/>
          <w:lang w:val="en-IE"/>
        </w:rPr>
        <w:t xml:space="preserve">at a </w:t>
      </w:r>
      <w:r w:rsidR="001B348F" w:rsidRPr="00C73908">
        <w:rPr>
          <w:rFonts w:ascii="Times New Roman" w:hAnsi="Times New Roman" w:cs="Times New Roman"/>
          <w:lang w:val="en-IE"/>
        </w:rPr>
        <w:t>specific</w:t>
      </w:r>
      <w:r w:rsidR="00563D37" w:rsidRPr="00C73908">
        <w:rPr>
          <w:rFonts w:ascii="Times New Roman" w:hAnsi="Times New Roman" w:cs="Times New Roman"/>
          <w:lang w:val="en-IE"/>
        </w:rPr>
        <w:t xml:space="preserve"> point in time</w:t>
      </w:r>
      <w:r w:rsidR="00BB43BE" w:rsidRPr="00C73908">
        <w:rPr>
          <w:rFonts w:ascii="Times New Roman" w:hAnsi="Times New Roman" w:cs="Times New Roman"/>
          <w:lang w:val="en-IE"/>
        </w:rPr>
        <w:t>.</w:t>
      </w:r>
      <w:r w:rsidRPr="00C73908">
        <w:rPr>
          <w:rFonts w:ascii="Times New Roman" w:hAnsi="Times New Roman" w:cs="Times New Roman"/>
          <w:lang w:val="en-IE"/>
        </w:rPr>
        <w:t xml:space="preserve"> </w:t>
      </w:r>
      <w:r w:rsidR="00544798" w:rsidRPr="00C73908">
        <w:rPr>
          <w:rFonts w:ascii="Times New Roman" w:hAnsi="Times New Roman" w:cs="Times New Roman"/>
          <w:lang w:val="en-IE"/>
        </w:rPr>
        <w:t xml:space="preserve">This </w:t>
      </w:r>
      <w:r w:rsidR="00380B44" w:rsidRPr="00C73908">
        <w:rPr>
          <w:rFonts w:ascii="Times New Roman" w:hAnsi="Times New Roman" w:cs="Times New Roman"/>
          <w:lang w:val="en-IE"/>
        </w:rPr>
        <w:t xml:space="preserve">analysis </w:t>
      </w:r>
      <w:r w:rsidR="00544798" w:rsidRPr="00C73908">
        <w:rPr>
          <w:rFonts w:ascii="Times New Roman" w:hAnsi="Times New Roman" w:cs="Times New Roman"/>
          <w:lang w:val="en-IE"/>
        </w:rPr>
        <w:t>includes</w:t>
      </w:r>
      <w:r w:rsidR="0072612D" w:rsidRPr="00C73908">
        <w:rPr>
          <w:rFonts w:ascii="Times New Roman" w:hAnsi="Times New Roman" w:cs="Times New Roman"/>
          <w:lang w:val="en-IE"/>
        </w:rPr>
        <w:t xml:space="preserve"> </w:t>
      </w:r>
      <w:r w:rsidR="004C0AA9" w:rsidRPr="00C73908">
        <w:rPr>
          <w:rFonts w:ascii="Times New Roman" w:hAnsi="Times New Roman" w:cs="Times New Roman"/>
          <w:lang w:val="en-IE"/>
        </w:rPr>
        <w:t xml:space="preserve">data from 2010 </w:t>
      </w:r>
      <w:r w:rsidR="00E95041" w:rsidRPr="00C73908">
        <w:rPr>
          <w:rFonts w:ascii="Times New Roman" w:hAnsi="Times New Roman" w:cs="Times New Roman"/>
          <w:lang w:val="en-IE"/>
        </w:rPr>
        <w:t xml:space="preserve">onwards so the prolonged economic downturn following the </w:t>
      </w:r>
      <w:r w:rsidR="00EA1478" w:rsidRPr="00C73908">
        <w:rPr>
          <w:rFonts w:ascii="Times New Roman" w:hAnsi="Times New Roman" w:cs="Times New Roman"/>
          <w:lang w:val="en-IE"/>
        </w:rPr>
        <w:t xml:space="preserve">recession </w:t>
      </w:r>
      <w:r w:rsidR="00544798" w:rsidRPr="00C73908">
        <w:rPr>
          <w:rFonts w:ascii="Times New Roman" w:hAnsi="Times New Roman" w:cs="Times New Roman"/>
          <w:lang w:val="en-IE"/>
        </w:rPr>
        <w:t xml:space="preserve">in </w:t>
      </w:r>
      <w:r w:rsidR="00EA1478" w:rsidRPr="00C73908">
        <w:rPr>
          <w:rFonts w:ascii="Times New Roman" w:hAnsi="Times New Roman" w:cs="Times New Roman"/>
          <w:lang w:val="en-IE"/>
        </w:rPr>
        <w:t xml:space="preserve">2008 </w:t>
      </w:r>
      <w:r w:rsidR="00706D54" w:rsidRPr="00C73908">
        <w:rPr>
          <w:rFonts w:ascii="Times New Roman" w:hAnsi="Times New Roman" w:cs="Times New Roman"/>
          <w:lang w:val="en-IE"/>
        </w:rPr>
        <w:t>is likely to have affected</w:t>
      </w:r>
      <w:r w:rsidR="00EA1478" w:rsidRPr="00C73908">
        <w:rPr>
          <w:rFonts w:ascii="Times New Roman" w:hAnsi="Times New Roman" w:cs="Times New Roman"/>
          <w:lang w:val="en-IE"/>
        </w:rPr>
        <w:t xml:space="preserve"> </w:t>
      </w:r>
      <w:r w:rsidR="00544798" w:rsidRPr="00C73908">
        <w:rPr>
          <w:rFonts w:ascii="Times New Roman" w:hAnsi="Times New Roman" w:cs="Times New Roman"/>
          <w:lang w:val="en-IE"/>
        </w:rPr>
        <w:t xml:space="preserve">companies </w:t>
      </w:r>
      <w:r w:rsidR="00CA5D07" w:rsidRPr="00C73908">
        <w:rPr>
          <w:rFonts w:ascii="Times New Roman" w:hAnsi="Times New Roman" w:cs="Times New Roman"/>
          <w:lang w:val="en-IE"/>
        </w:rPr>
        <w:t>in th</w:t>
      </w:r>
      <w:r w:rsidR="00C907EE" w:rsidRPr="00C73908">
        <w:rPr>
          <w:rFonts w:ascii="Times New Roman" w:hAnsi="Times New Roman" w:cs="Times New Roman"/>
          <w:lang w:val="en-IE"/>
        </w:rPr>
        <w:t>is</w:t>
      </w:r>
      <w:r w:rsidR="00CA5D07" w:rsidRPr="00C73908">
        <w:rPr>
          <w:rFonts w:ascii="Times New Roman" w:hAnsi="Times New Roman" w:cs="Times New Roman"/>
          <w:lang w:val="en-IE"/>
        </w:rPr>
        <w:t xml:space="preserve"> sample</w:t>
      </w:r>
      <w:r w:rsidR="00C907EE" w:rsidRPr="00C73908">
        <w:rPr>
          <w:rFonts w:ascii="Times New Roman" w:hAnsi="Times New Roman" w:cs="Times New Roman"/>
          <w:lang w:val="en-IE"/>
        </w:rPr>
        <w:t xml:space="preserve"> although </w:t>
      </w:r>
      <w:r w:rsidR="004C5C29" w:rsidRPr="00C73908">
        <w:rPr>
          <w:rFonts w:ascii="Times New Roman" w:hAnsi="Times New Roman" w:cs="Times New Roman"/>
          <w:lang w:val="en-IE"/>
        </w:rPr>
        <w:t xml:space="preserve">overall </w:t>
      </w:r>
      <w:r w:rsidR="00C907EE" w:rsidRPr="00C73908">
        <w:rPr>
          <w:rFonts w:ascii="Times New Roman" w:hAnsi="Times New Roman" w:cs="Times New Roman"/>
          <w:lang w:val="en-IE"/>
        </w:rPr>
        <w:t xml:space="preserve">export performance had </w:t>
      </w:r>
      <w:r w:rsidR="00513E77" w:rsidRPr="00C73908">
        <w:rPr>
          <w:rFonts w:ascii="Times New Roman" w:hAnsi="Times New Roman" w:cs="Times New Roman"/>
          <w:lang w:val="en-IE"/>
        </w:rPr>
        <w:t>begun</w:t>
      </w:r>
      <w:r w:rsidR="00C907EE" w:rsidRPr="00C73908">
        <w:rPr>
          <w:rFonts w:ascii="Times New Roman" w:hAnsi="Times New Roman" w:cs="Times New Roman"/>
          <w:lang w:val="en-IE"/>
        </w:rPr>
        <w:t xml:space="preserve"> to recover </w:t>
      </w:r>
      <w:r w:rsidR="00513E77" w:rsidRPr="00C73908">
        <w:rPr>
          <w:rFonts w:ascii="Times New Roman" w:hAnsi="Times New Roman" w:cs="Times New Roman"/>
          <w:lang w:val="en-IE"/>
        </w:rPr>
        <w:t>by then</w:t>
      </w:r>
      <w:r w:rsidR="00CA5D07" w:rsidRPr="00C73908">
        <w:rPr>
          <w:rFonts w:ascii="Times New Roman" w:hAnsi="Times New Roman" w:cs="Times New Roman"/>
          <w:lang w:val="en-IE"/>
        </w:rPr>
        <w:t xml:space="preserve">. </w:t>
      </w:r>
      <w:r w:rsidR="006B02E7" w:rsidRPr="00C73908">
        <w:rPr>
          <w:rFonts w:ascii="Times New Roman" w:hAnsi="Times New Roman" w:cs="Times New Roman"/>
          <w:lang w:val="en-IE"/>
        </w:rPr>
        <w:t>Exchange rate movements may have a</w:t>
      </w:r>
      <w:r w:rsidR="00513E77" w:rsidRPr="00C73908">
        <w:rPr>
          <w:rFonts w:ascii="Times New Roman" w:hAnsi="Times New Roman" w:cs="Times New Roman"/>
          <w:lang w:val="en-IE"/>
        </w:rPr>
        <w:t xml:space="preserve">lso </w:t>
      </w:r>
      <w:r w:rsidR="00DD19BA" w:rsidRPr="00C73908">
        <w:rPr>
          <w:rFonts w:ascii="Times New Roman" w:hAnsi="Times New Roman" w:cs="Times New Roman"/>
          <w:lang w:val="en-IE"/>
        </w:rPr>
        <w:t>had</w:t>
      </w:r>
      <w:r w:rsidR="00706D54" w:rsidRPr="00C73908">
        <w:rPr>
          <w:rFonts w:ascii="Times New Roman" w:hAnsi="Times New Roman" w:cs="Times New Roman"/>
          <w:lang w:val="en-IE"/>
        </w:rPr>
        <w:t xml:space="preserve"> widespread</w:t>
      </w:r>
      <w:r w:rsidR="00513E77" w:rsidRPr="00C73908">
        <w:rPr>
          <w:rFonts w:ascii="Times New Roman" w:hAnsi="Times New Roman" w:cs="Times New Roman"/>
          <w:lang w:val="en-IE"/>
        </w:rPr>
        <w:t xml:space="preserve"> effects</w:t>
      </w:r>
      <w:r w:rsidR="00DD19BA" w:rsidRPr="00C73908">
        <w:rPr>
          <w:rFonts w:ascii="Times New Roman" w:hAnsi="Times New Roman" w:cs="Times New Roman"/>
          <w:lang w:val="en-IE"/>
        </w:rPr>
        <w:t xml:space="preserve"> on export performance. The devaluation of the euro </w:t>
      </w:r>
      <w:r w:rsidR="00D72A6D" w:rsidRPr="00C73908">
        <w:rPr>
          <w:rFonts w:ascii="Times New Roman" w:hAnsi="Times New Roman" w:cs="Times New Roman"/>
          <w:lang w:val="en-IE"/>
        </w:rPr>
        <w:t xml:space="preserve">which occurred </w:t>
      </w:r>
      <w:r w:rsidR="00AF68D3" w:rsidRPr="00C73908">
        <w:rPr>
          <w:rFonts w:ascii="Times New Roman" w:hAnsi="Times New Roman" w:cs="Times New Roman"/>
          <w:lang w:val="en-IE"/>
        </w:rPr>
        <w:t>in 2014 as a result of</w:t>
      </w:r>
      <w:r w:rsidR="00D72A6D" w:rsidRPr="00C73908">
        <w:rPr>
          <w:rFonts w:ascii="Times New Roman" w:hAnsi="Times New Roman" w:cs="Times New Roman"/>
          <w:lang w:val="en-IE"/>
        </w:rPr>
        <w:t xml:space="preserve"> the European Central Bank’s quantitative easing programme </w:t>
      </w:r>
      <w:r w:rsidR="0025509C" w:rsidRPr="00C73908">
        <w:rPr>
          <w:rFonts w:ascii="Times New Roman" w:hAnsi="Times New Roman" w:cs="Times New Roman"/>
          <w:lang w:val="en-IE"/>
        </w:rPr>
        <w:t>is likely to have improved the competitiveness of Irish exports</w:t>
      </w:r>
      <w:r w:rsidR="00A07E3A" w:rsidRPr="00C73908">
        <w:rPr>
          <w:rFonts w:ascii="Times New Roman" w:hAnsi="Times New Roman" w:cs="Times New Roman"/>
          <w:lang w:val="en-IE"/>
        </w:rPr>
        <w:t>. On the other hand,</w:t>
      </w:r>
      <w:r w:rsidR="0025509C" w:rsidRPr="00C73908">
        <w:rPr>
          <w:rFonts w:ascii="Times New Roman" w:hAnsi="Times New Roman" w:cs="Times New Roman"/>
          <w:lang w:val="en-IE"/>
        </w:rPr>
        <w:t xml:space="preserve"> the </w:t>
      </w:r>
      <w:r w:rsidR="0067109D" w:rsidRPr="00C73908">
        <w:rPr>
          <w:rFonts w:ascii="Times New Roman" w:hAnsi="Times New Roman" w:cs="Times New Roman"/>
          <w:lang w:val="en-IE"/>
        </w:rPr>
        <w:t>s</w:t>
      </w:r>
      <w:r w:rsidR="00B251D7" w:rsidRPr="00C73908">
        <w:rPr>
          <w:rFonts w:ascii="Times New Roman" w:hAnsi="Times New Roman" w:cs="Times New Roman"/>
          <w:lang w:val="en-IE"/>
        </w:rPr>
        <w:t xml:space="preserve">harp decline </w:t>
      </w:r>
      <w:r w:rsidR="0067109D" w:rsidRPr="00C73908">
        <w:rPr>
          <w:rFonts w:ascii="Times New Roman" w:hAnsi="Times New Roman" w:cs="Times New Roman"/>
          <w:lang w:val="en-IE"/>
        </w:rPr>
        <w:t xml:space="preserve">of </w:t>
      </w:r>
      <w:r w:rsidR="004272D9" w:rsidRPr="00C73908">
        <w:rPr>
          <w:rFonts w:ascii="Times New Roman" w:hAnsi="Times New Roman" w:cs="Times New Roman"/>
          <w:lang w:val="en-IE"/>
        </w:rPr>
        <w:t>sterling in the aftermath of the UK’s vote to leave the EU</w:t>
      </w:r>
      <w:r w:rsidR="00306C8F" w:rsidRPr="00C73908">
        <w:rPr>
          <w:rFonts w:ascii="Times New Roman" w:hAnsi="Times New Roman" w:cs="Times New Roman"/>
          <w:lang w:val="en-IE"/>
        </w:rPr>
        <w:t xml:space="preserve"> </w:t>
      </w:r>
      <w:r w:rsidR="004272D9" w:rsidRPr="00C73908">
        <w:rPr>
          <w:rFonts w:ascii="Times New Roman" w:hAnsi="Times New Roman" w:cs="Times New Roman"/>
          <w:lang w:val="en-IE"/>
        </w:rPr>
        <w:t xml:space="preserve">in 2016 </w:t>
      </w:r>
      <w:r w:rsidR="00306C8F" w:rsidRPr="00C73908">
        <w:rPr>
          <w:rFonts w:ascii="Times New Roman" w:hAnsi="Times New Roman" w:cs="Times New Roman"/>
          <w:lang w:val="en-IE"/>
        </w:rPr>
        <w:t>may</w:t>
      </w:r>
      <w:r w:rsidR="00A07E3A" w:rsidRPr="00C73908">
        <w:rPr>
          <w:rFonts w:ascii="Times New Roman" w:hAnsi="Times New Roman" w:cs="Times New Roman"/>
          <w:lang w:val="en-IE"/>
        </w:rPr>
        <w:t xml:space="preserve"> have had an adverse impact on exporters.</w:t>
      </w:r>
      <w:r w:rsidR="00306C8F" w:rsidRPr="00C73908">
        <w:rPr>
          <w:rFonts w:ascii="Times New Roman" w:hAnsi="Times New Roman" w:cs="Times New Roman"/>
          <w:lang w:val="en-IE"/>
        </w:rPr>
        <w:t xml:space="preserve"> </w:t>
      </w:r>
      <w:r w:rsidR="00384642" w:rsidRPr="00C73908">
        <w:rPr>
          <w:rFonts w:ascii="Times New Roman" w:hAnsi="Times New Roman" w:cs="Times New Roman"/>
          <w:lang w:val="en-IE"/>
        </w:rPr>
        <w:t xml:space="preserve">Time fixed effects can be controlled for by including dummy variables </w:t>
      </w:r>
      <w:r w:rsidR="006F404B" w:rsidRPr="00C73908">
        <w:rPr>
          <w:rFonts w:ascii="Times New Roman" w:hAnsi="Times New Roman" w:cs="Times New Roman"/>
          <w:lang w:val="en-IE"/>
        </w:rPr>
        <w:t xml:space="preserve">for </w:t>
      </w:r>
      <w:r w:rsidR="00C21158" w:rsidRPr="00C73908">
        <w:rPr>
          <w:rFonts w:ascii="Times New Roman" w:hAnsi="Times New Roman" w:cs="Times New Roman"/>
          <w:lang w:val="en-IE"/>
        </w:rPr>
        <w:t xml:space="preserve">each year in the regression. A </w:t>
      </w:r>
      <w:r w:rsidR="00A01F11" w:rsidRPr="00C73908">
        <w:rPr>
          <w:rFonts w:ascii="Times New Roman" w:hAnsi="Times New Roman" w:cs="Times New Roman"/>
          <w:lang w:val="en-IE"/>
        </w:rPr>
        <w:t>joint test</w:t>
      </w:r>
      <w:r w:rsidR="00976AE8" w:rsidRPr="00C73908">
        <w:rPr>
          <w:rFonts w:ascii="Times New Roman" w:hAnsi="Times New Roman" w:cs="Times New Roman"/>
          <w:lang w:val="en-IE"/>
        </w:rPr>
        <w:t xml:space="preserve"> for time</w:t>
      </w:r>
      <w:r w:rsidR="00777205" w:rsidRPr="00C73908">
        <w:rPr>
          <w:rFonts w:ascii="Times New Roman" w:hAnsi="Times New Roman" w:cs="Times New Roman"/>
          <w:lang w:val="en-IE"/>
        </w:rPr>
        <w:t>-</w:t>
      </w:r>
      <w:r w:rsidR="00976AE8" w:rsidRPr="00C73908">
        <w:rPr>
          <w:rFonts w:ascii="Times New Roman" w:hAnsi="Times New Roman" w:cs="Times New Roman"/>
          <w:lang w:val="en-IE"/>
        </w:rPr>
        <w:t>fixed effects</w:t>
      </w:r>
      <w:r w:rsidR="00A01F11" w:rsidRPr="00C73908">
        <w:rPr>
          <w:rFonts w:ascii="Times New Roman" w:hAnsi="Times New Roman" w:cs="Times New Roman"/>
          <w:lang w:val="en-IE"/>
        </w:rPr>
        <w:t xml:space="preserve"> is carried out </w:t>
      </w:r>
      <w:r w:rsidR="00FB5D14" w:rsidRPr="00C73908">
        <w:rPr>
          <w:rFonts w:ascii="Times New Roman" w:hAnsi="Times New Roman" w:cs="Times New Roman"/>
          <w:lang w:val="en-IE"/>
        </w:rPr>
        <w:t xml:space="preserve">using the ‘testparm’ command in Stata </w:t>
      </w:r>
      <w:r w:rsidR="00075C7D" w:rsidRPr="00C73908">
        <w:rPr>
          <w:rFonts w:ascii="Times New Roman" w:hAnsi="Times New Roman" w:cs="Times New Roman"/>
          <w:lang w:val="en-IE"/>
        </w:rPr>
        <w:t>where the null hypothesis is that the</w:t>
      </w:r>
      <w:r w:rsidR="00A01F11" w:rsidRPr="00C73908">
        <w:rPr>
          <w:rFonts w:ascii="Times New Roman" w:hAnsi="Times New Roman" w:cs="Times New Roman"/>
          <w:lang w:val="en-IE"/>
        </w:rPr>
        <w:t xml:space="preserve"> dummies for all years are equal to 0. </w:t>
      </w:r>
      <w:r w:rsidR="00FB5D14" w:rsidRPr="00C73908">
        <w:rPr>
          <w:rFonts w:ascii="Times New Roman" w:hAnsi="Times New Roman" w:cs="Times New Roman"/>
          <w:lang w:val="en-IE"/>
        </w:rPr>
        <w:t>In this case</w:t>
      </w:r>
      <w:r w:rsidR="00432D62" w:rsidRPr="00C73908">
        <w:rPr>
          <w:rFonts w:ascii="Times New Roman" w:hAnsi="Times New Roman" w:cs="Times New Roman"/>
          <w:lang w:val="en-IE"/>
        </w:rPr>
        <w:t xml:space="preserve"> t</w:t>
      </w:r>
      <w:r w:rsidR="00FB5D14" w:rsidRPr="00C73908">
        <w:rPr>
          <w:rFonts w:ascii="Times New Roman" w:hAnsi="Times New Roman" w:cs="Times New Roman"/>
          <w:lang w:val="en-IE"/>
        </w:rPr>
        <w:t xml:space="preserve">he null hypothesis </w:t>
      </w:r>
      <w:r w:rsidR="00075C7D" w:rsidRPr="00C73908">
        <w:rPr>
          <w:rFonts w:ascii="Times New Roman" w:hAnsi="Times New Roman" w:cs="Times New Roman"/>
          <w:lang w:val="en-IE"/>
        </w:rPr>
        <w:t xml:space="preserve">is </w:t>
      </w:r>
      <w:r w:rsidR="00432D62" w:rsidRPr="00C73908">
        <w:rPr>
          <w:rFonts w:ascii="Times New Roman" w:hAnsi="Times New Roman" w:cs="Times New Roman"/>
          <w:lang w:val="en-IE"/>
        </w:rPr>
        <w:t>rejected,</w:t>
      </w:r>
      <w:r w:rsidR="00075C7D" w:rsidRPr="00C73908">
        <w:rPr>
          <w:rFonts w:ascii="Times New Roman" w:hAnsi="Times New Roman" w:cs="Times New Roman"/>
          <w:lang w:val="en-IE"/>
        </w:rPr>
        <w:t xml:space="preserve"> and time-fixed effects are </w:t>
      </w:r>
      <w:r w:rsidR="006F62FC" w:rsidRPr="00C73908">
        <w:rPr>
          <w:rFonts w:ascii="Times New Roman" w:hAnsi="Times New Roman" w:cs="Times New Roman"/>
          <w:lang w:val="en-IE"/>
        </w:rPr>
        <w:t>included in the fixed effects model</w:t>
      </w:r>
      <w:r w:rsidR="003F6B33" w:rsidRPr="00C73908">
        <w:rPr>
          <w:rFonts w:ascii="Times New Roman" w:hAnsi="Times New Roman" w:cs="Times New Roman"/>
          <w:lang w:val="en-IE"/>
        </w:rPr>
        <w:t>.</w:t>
      </w:r>
      <w:r w:rsidR="003508A3" w:rsidRPr="00C73908">
        <w:rPr>
          <w:rFonts w:ascii="Times New Roman" w:hAnsi="Times New Roman" w:cs="Times New Roman"/>
          <w:lang w:val="en-IE"/>
        </w:rPr>
        <w:t xml:space="preserve"> </w:t>
      </w:r>
      <w:r w:rsidR="00BC4651" w:rsidRPr="00C73908">
        <w:rPr>
          <w:rFonts w:ascii="Times New Roman" w:hAnsi="Times New Roman" w:cs="Times New Roman"/>
          <w:lang w:val="en-IE"/>
        </w:rPr>
        <w:t>T</w:t>
      </w:r>
      <w:r w:rsidR="001562D4" w:rsidRPr="00C73908">
        <w:rPr>
          <w:rFonts w:ascii="Times New Roman" w:hAnsi="Times New Roman" w:cs="Times New Roman"/>
          <w:lang w:val="en-IE"/>
        </w:rPr>
        <w:t>he</w:t>
      </w:r>
      <w:r w:rsidR="00EE174B" w:rsidRPr="00C73908">
        <w:rPr>
          <w:rFonts w:ascii="Times New Roman" w:hAnsi="Times New Roman" w:cs="Times New Roman"/>
          <w:lang w:val="en-IE"/>
        </w:rPr>
        <w:t xml:space="preserve"> standard errors are </w:t>
      </w:r>
      <w:r w:rsidR="001562D4" w:rsidRPr="00C73908">
        <w:rPr>
          <w:rFonts w:ascii="Times New Roman" w:hAnsi="Times New Roman" w:cs="Times New Roman"/>
          <w:lang w:val="en-IE"/>
        </w:rPr>
        <w:t>clustered at company level</w:t>
      </w:r>
      <w:r w:rsidR="00EE174B" w:rsidRPr="00C73908">
        <w:rPr>
          <w:rFonts w:ascii="Times New Roman" w:hAnsi="Times New Roman" w:cs="Times New Roman"/>
          <w:lang w:val="en-IE"/>
        </w:rPr>
        <w:t xml:space="preserve"> to </w:t>
      </w:r>
      <w:r w:rsidR="00490972" w:rsidRPr="00C73908">
        <w:rPr>
          <w:rFonts w:ascii="Times New Roman" w:hAnsi="Times New Roman" w:cs="Times New Roman"/>
          <w:lang w:val="en-IE"/>
        </w:rPr>
        <w:t xml:space="preserve">make </w:t>
      </w:r>
      <w:r w:rsidR="00141C1D" w:rsidRPr="00C73908">
        <w:rPr>
          <w:rFonts w:ascii="Times New Roman" w:hAnsi="Times New Roman" w:cs="Times New Roman"/>
          <w:lang w:val="en-IE"/>
        </w:rPr>
        <w:t>statistical inferences robust to</w:t>
      </w:r>
      <w:r w:rsidR="00371CD0" w:rsidRPr="00C73908">
        <w:rPr>
          <w:rFonts w:ascii="Times New Roman" w:hAnsi="Times New Roman" w:cs="Times New Roman"/>
          <w:lang w:val="en-IE"/>
        </w:rPr>
        <w:t xml:space="preserve"> </w:t>
      </w:r>
      <w:r w:rsidR="00EE174B" w:rsidRPr="00C73908">
        <w:rPr>
          <w:rFonts w:ascii="Times New Roman" w:hAnsi="Times New Roman" w:cs="Times New Roman"/>
          <w:lang w:val="en-IE"/>
        </w:rPr>
        <w:t xml:space="preserve">heteroscedasticity </w:t>
      </w:r>
      <w:r w:rsidR="00141C1D" w:rsidRPr="00C73908">
        <w:rPr>
          <w:rFonts w:ascii="Times New Roman" w:hAnsi="Times New Roman" w:cs="Times New Roman"/>
          <w:lang w:val="en-IE"/>
        </w:rPr>
        <w:t>(</w:t>
      </w:r>
      <w:r w:rsidR="004A3339" w:rsidRPr="00C73908">
        <w:rPr>
          <w:rFonts w:ascii="Times New Roman" w:hAnsi="Times New Roman" w:cs="Times New Roman"/>
          <w:lang w:val="en-IE"/>
        </w:rPr>
        <w:t>Cameron and Miller, 2015</w:t>
      </w:r>
      <w:r w:rsidR="00371CD0" w:rsidRPr="00C73908">
        <w:rPr>
          <w:rFonts w:ascii="Times New Roman" w:hAnsi="Times New Roman" w:cs="Times New Roman"/>
          <w:lang w:val="en-IE"/>
        </w:rPr>
        <w:t>).</w:t>
      </w:r>
    </w:p>
    <w:p w14:paraId="4CA159AB" w14:textId="77777777" w:rsidR="00AA70F6" w:rsidRDefault="00147CCB" w:rsidP="008A6DF2">
      <w:pPr>
        <w:spacing w:after="240" w:line="360" w:lineRule="auto"/>
        <w:jc w:val="both"/>
        <w:rPr>
          <w:rFonts w:ascii="Times New Roman" w:hAnsi="Times New Roman" w:cs="Times New Roman"/>
          <w:lang w:val="en-IE"/>
        </w:rPr>
      </w:pPr>
      <w:r w:rsidRPr="00C73908">
        <w:rPr>
          <w:rFonts w:ascii="Times New Roman" w:hAnsi="Times New Roman" w:cs="Times New Roman"/>
          <w:b/>
          <w:bCs/>
          <w:color w:val="0070C0"/>
          <w:lang w:val="en-IE"/>
        </w:rPr>
        <w:t xml:space="preserve">Dynamic Panel Model: </w:t>
      </w:r>
      <w:r w:rsidR="001C2C66" w:rsidRPr="00C73908">
        <w:rPr>
          <w:rFonts w:ascii="Times New Roman" w:hAnsi="Times New Roman" w:cs="Times New Roman"/>
          <w:lang w:val="en-IE"/>
        </w:rPr>
        <w:t xml:space="preserve">While </w:t>
      </w:r>
      <w:r w:rsidR="00972DCC" w:rsidRPr="00C73908">
        <w:rPr>
          <w:rFonts w:ascii="Times New Roman" w:hAnsi="Times New Roman" w:cs="Times New Roman"/>
          <w:lang w:val="en-IE"/>
        </w:rPr>
        <w:t xml:space="preserve">the </w:t>
      </w:r>
      <w:r w:rsidR="001C2C66" w:rsidRPr="00C73908">
        <w:rPr>
          <w:rFonts w:ascii="Times New Roman" w:hAnsi="Times New Roman" w:cs="Times New Roman"/>
          <w:lang w:val="en-IE"/>
        </w:rPr>
        <w:t xml:space="preserve">fixed effects </w:t>
      </w:r>
      <w:r w:rsidR="00972DCC" w:rsidRPr="00C73908">
        <w:rPr>
          <w:rFonts w:ascii="Times New Roman" w:hAnsi="Times New Roman" w:cs="Times New Roman"/>
          <w:lang w:val="en-IE"/>
        </w:rPr>
        <w:t>model</w:t>
      </w:r>
      <w:r w:rsidR="001E6FCD" w:rsidRPr="00C73908">
        <w:rPr>
          <w:rFonts w:ascii="Times New Roman" w:hAnsi="Times New Roman" w:cs="Times New Roman"/>
          <w:lang w:val="en-IE"/>
        </w:rPr>
        <w:t xml:space="preserve"> </w:t>
      </w:r>
      <w:r w:rsidR="00972DCC" w:rsidRPr="00C73908">
        <w:rPr>
          <w:rFonts w:ascii="Times New Roman" w:hAnsi="Times New Roman" w:cs="Times New Roman"/>
          <w:lang w:val="en-IE"/>
        </w:rPr>
        <w:t>is widely used</w:t>
      </w:r>
      <w:r w:rsidR="0022790A" w:rsidRPr="00C73908">
        <w:rPr>
          <w:rFonts w:ascii="Times New Roman" w:hAnsi="Times New Roman" w:cs="Times New Roman"/>
          <w:lang w:val="en-IE"/>
        </w:rPr>
        <w:t xml:space="preserve"> in </w:t>
      </w:r>
      <w:r w:rsidR="00645664" w:rsidRPr="00C73908">
        <w:rPr>
          <w:rFonts w:ascii="Times New Roman" w:hAnsi="Times New Roman" w:cs="Times New Roman"/>
          <w:lang w:val="en-IE"/>
        </w:rPr>
        <w:t>empirical studies of firm-level data</w:t>
      </w:r>
      <w:r w:rsidR="001E6FCD" w:rsidRPr="00C73908">
        <w:rPr>
          <w:rFonts w:ascii="Times New Roman" w:hAnsi="Times New Roman" w:cs="Times New Roman"/>
          <w:lang w:val="en-IE"/>
        </w:rPr>
        <w:t xml:space="preserve">, it </w:t>
      </w:r>
      <w:r w:rsidR="004B3BE5" w:rsidRPr="00C73908">
        <w:rPr>
          <w:rFonts w:ascii="Times New Roman" w:hAnsi="Times New Roman" w:cs="Times New Roman"/>
          <w:lang w:val="en-IE"/>
        </w:rPr>
        <w:t>is limited in dealing with</w:t>
      </w:r>
      <w:r w:rsidR="009447DF" w:rsidRPr="00C73908">
        <w:rPr>
          <w:rFonts w:ascii="Times New Roman" w:hAnsi="Times New Roman" w:cs="Times New Roman"/>
          <w:lang w:val="en-IE"/>
        </w:rPr>
        <w:t xml:space="preserve"> endogeneity</w:t>
      </w:r>
      <w:r w:rsidR="00416232" w:rsidRPr="00C73908">
        <w:rPr>
          <w:rFonts w:ascii="Times New Roman" w:hAnsi="Times New Roman" w:cs="Times New Roman"/>
          <w:lang w:val="en-IE"/>
        </w:rPr>
        <w:t xml:space="preserve"> bias</w:t>
      </w:r>
      <w:r w:rsidR="001E6FCD" w:rsidRPr="00C73908">
        <w:rPr>
          <w:rFonts w:ascii="Times New Roman" w:hAnsi="Times New Roman" w:cs="Times New Roman"/>
          <w:lang w:val="en-IE"/>
        </w:rPr>
        <w:t>.</w:t>
      </w:r>
      <w:r w:rsidR="004D707B" w:rsidRPr="00C73908">
        <w:rPr>
          <w:rFonts w:ascii="Times New Roman" w:hAnsi="Times New Roman" w:cs="Times New Roman"/>
          <w:lang w:val="en-IE"/>
        </w:rPr>
        <w:t xml:space="preserve"> </w:t>
      </w:r>
      <w:r w:rsidR="00ED682F" w:rsidRPr="00C73908">
        <w:rPr>
          <w:rFonts w:ascii="Times New Roman" w:hAnsi="Times New Roman" w:cs="Times New Roman"/>
          <w:lang w:val="en-IE"/>
        </w:rPr>
        <w:t>In particular, the model does not address</w:t>
      </w:r>
      <w:r w:rsidR="00C065AF" w:rsidRPr="00C73908">
        <w:rPr>
          <w:rFonts w:ascii="Times New Roman" w:hAnsi="Times New Roman" w:cs="Times New Roman"/>
          <w:lang w:val="en-IE"/>
        </w:rPr>
        <w:t xml:space="preserve"> the </w:t>
      </w:r>
      <w:r w:rsidR="00796D2E" w:rsidRPr="00C73908">
        <w:rPr>
          <w:rFonts w:ascii="Times New Roman" w:hAnsi="Times New Roman" w:cs="Times New Roman"/>
          <w:lang w:val="en-IE"/>
        </w:rPr>
        <w:t xml:space="preserve">related </w:t>
      </w:r>
      <w:r w:rsidR="00C065AF" w:rsidRPr="00C73908">
        <w:rPr>
          <w:rFonts w:ascii="Times New Roman" w:hAnsi="Times New Roman" w:cs="Times New Roman"/>
          <w:lang w:val="en-IE"/>
        </w:rPr>
        <w:t>issue</w:t>
      </w:r>
      <w:r w:rsidR="00796D2E" w:rsidRPr="00C73908">
        <w:rPr>
          <w:rFonts w:ascii="Times New Roman" w:hAnsi="Times New Roman" w:cs="Times New Roman"/>
          <w:lang w:val="en-IE"/>
        </w:rPr>
        <w:t>s</w:t>
      </w:r>
      <w:r w:rsidR="00C065AF" w:rsidRPr="00C73908">
        <w:rPr>
          <w:rFonts w:ascii="Times New Roman" w:hAnsi="Times New Roman" w:cs="Times New Roman"/>
          <w:lang w:val="en-IE"/>
        </w:rPr>
        <w:t xml:space="preserve"> of</w:t>
      </w:r>
      <w:r w:rsidR="009B00DD" w:rsidRPr="00C73908">
        <w:rPr>
          <w:rFonts w:ascii="Times New Roman" w:hAnsi="Times New Roman" w:cs="Times New Roman"/>
          <w:lang w:val="en-IE"/>
        </w:rPr>
        <w:t xml:space="preserve"> </w:t>
      </w:r>
      <w:r w:rsidR="00796D2E" w:rsidRPr="00C73908">
        <w:rPr>
          <w:rFonts w:ascii="Times New Roman" w:hAnsi="Times New Roman" w:cs="Times New Roman"/>
          <w:lang w:val="en-IE"/>
        </w:rPr>
        <w:t xml:space="preserve">simultaneity bias and </w:t>
      </w:r>
      <w:r w:rsidR="009B00DD" w:rsidRPr="00C73908">
        <w:rPr>
          <w:rFonts w:ascii="Times New Roman" w:hAnsi="Times New Roman" w:cs="Times New Roman"/>
          <w:lang w:val="en-IE"/>
        </w:rPr>
        <w:t>r</w:t>
      </w:r>
      <w:r w:rsidR="00C71337" w:rsidRPr="00C73908">
        <w:rPr>
          <w:rFonts w:ascii="Times New Roman" w:hAnsi="Times New Roman" w:cs="Times New Roman"/>
          <w:lang w:val="en-IE"/>
        </w:rPr>
        <w:t xml:space="preserve">everse causality where the </w:t>
      </w:r>
      <w:r w:rsidR="00E809CE" w:rsidRPr="00C73908">
        <w:rPr>
          <w:rFonts w:ascii="Times New Roman" w:hAnsi="Times New Roman" w:cs="Times New Roman"/>
          <w:lang w:val="en-IE"/>
        </w:rPr>
        <w:t xml:space="preserve">value of a regressor is influenced by the </w:t>
      </w:r>
      <w:r w:rsidR="00C71337" w:rsidRPr="00C73908">
        <w:rPr>
          <w:rFonts w:ascii="Times New Roman" w:hAnsi="Times New Roman" w:cs="Times New Roman"/>
          <w:lang w:val="en-IE"/>
        </w:rPr>
        <w:t>dependent variable</w:t>
      </w:r>
      <w:r w:rsidR="00E809CE" w:rsidRPr="00C73908">
        <w:rPr>
          <w:rFonts w:ascii="Times New Roman" w:hAnsi="Times New Roman" w:cs="Times New Roman"/>
          <w:lang w:val="en-IE"/>
        </w:rPr>
        <w:t>.</w:t>
      </w:r>
      <w:r w:rsidR="00F734E5" w:rsidRPr="00C73908">
        <w:rPr>
          <w:rFonts w:ascii="Times New Roman" w:hAnsi="Times New Roman" w:cs="Times New Roman"/>
          <w:lang w:val="en-IE"/>
        </w:rPr>
        <w:t xml:space="preserve"> </w:t>
      </w:r>
      <w:r w:rsidR="00FF4639" w:rsidRPr="00C73908">
        <w:rPr>
          <w:rFonts w:ascii="Times New Roman" w:hAnsi="Times New Roman" w:cs="Times New Roman"/>
          <w:lang w:val="en-IE"/>
        </w:rPr>
        <w:t xml:space="preserve">In the context of </w:t>
      </w:r>
      <w:r w:rsidR="00B44CC7" w:rsidRPr="00C73908">
        <w:rPr>
          <w:rFonts w:ascii="Times New Roman" w:hAnsi="Times New Roman" w:cs="Times New Roman"/>
          <w:lang w:val="en-IE"/>
        </w:rPr>
        <w:t>export performance</w:t>
      </w:r>
      <w:r w:rsidR="00FF4639" w:rsidRPr="00C73908">
        <w:rPr>
          <w:rFonts w:ascii="Times New Roman" w:hAnsi="Times New Roman" w:cs="Times New Roman"/>
          <w:lang w:val="en-IE"/>
        </w:rPr>
        <w:t xml:space="preserve">, </w:t>
      </w:r>
      <w:r w:rsidR="00CF2980" w:rsidRPr="00C73908">
        <w:rPr>
          <w:rFonts w:ascii="Times New Roman" w:hAnsi="Times New Roman" w:cs="Times New Roman"/>
          <w:lang w:val="en-IE"/>
        </w:rPr>
        <w:t xml:space="preserve">there are several channels through which </w:t>
      </w:r>
      <w:r w:rsidR="00FF4639" w:rsidRPr="00C73908">
        <w:rPr>
          <w:rFonts w:ascii="Times New Roman" w:hAnsi="Times New Roman" w:cs="Times New Roman"/>
          <w:lang w:val="en-IE"/>
        </w:rPr>
        <w:t>reverse causality may occur</w:t>
      </w:r>
      <w:r w:rsidR="00CF2980" w:rsidRPr="00C73908">
        <w:rPr>
          <w:rFonts w:ascii="Times New Roman" w:hAnsi="Times New Roman" w:cs="Times New Roman"/>
          <w:lang w:val="en-IE"/>
        </w:rPr>
        <w:t>. For example;</w:t>
      </w:r>
      <w:r w:rsidR="00FF4639" w:rsidRPr="00C73908">
        <w:rPr>
          <w:rFonts w:ascii="Times New Roman" w:hAnsi="Times New Roman" w:cs="Times New Roman"/>
          <w:lang w:val="en-IE"/>
        </w:rPr>
        <w:t xml:space="preserve"> </w:t>
      </w:r>
      <w:r w:rsidR="00865F6A" w:rsidRPr="00C73908">
        <w:rPr>
          <w:rFonts w:ascii="Times New Roman" w:hAnsi="Times New Roman" w:cs="Times New Roman"/>
          <w:lang w:val="en-IE"/>
        </w:rPr>
        <w:t>export</w:t>
      </w:r>
      <w:r w:rsidR="00B44CC7" w:rsidRPr="00C73908">
        <w:rPr>
          <w:rFonts w:ascii="Times New Roman" w:hAnsi="Times New Roman" w:cs="Times New Roman"/>
          <w:lang w:val="en-IE"/>
        </w:rPr>
        <w:t>ing</w:t>
      </w:r>
      <w:r w:rsidR="00865F6A" w:rsidRPr="00C73908">
        <w:rPr>
          <w:rFonts w:ascii="Times New Roman" w:hAnsi="Times New Roman" w:cs="Times New Roman"/>
          <w:lang w:val="en-IE"/>
        </w:rPr>
        <w:t xml:space="preserve"> </w:t>
      </w:r>
      <w:r w:rsidR="00215ECD" w:rsidRPr="00C73908">
        <w:rPr>
          <w:rFonts w:ascii="Times New Roman" w:hAnsi="Times New Roman" w:cs="Times New Roman"/>
          <w:lang w:val="en-IE"/>
        </w:rPr>
        <w:t xml:space="preserve">may lead to improved </w:t>
      </w:r>
      <w:r w:rsidR="00865F6A" w:rsidRPr="00C73908">
        <w:rPr>
          <w:rFonts w:ascii="Times New Roman" w:hAnsi="Times New Roman" w:cs="Times New Roman"/>
          <w:lang w:val="en-IE"/>
        </w:rPr>
        <w:t xml:space="preserve">innovation </w:t>
      </w:r>
      <w:r w:rsidR="0038300D" w:rsidRPr="00C73908">
        <w:rPr>
          <w:rFonts w:ascii="Times New Roman" w:hAnsi="Times New Roman" w:cs="Times New Roman"/>
          <w:lang w:val="en-IE"/>
        </w:rPr>
        <w:t>performance through a ‘learning by exporting’ effect</w:t>
      </w:r>
      <w:r w:rsidR="00334809" w:rsidRPr="00C73908">
        <w:rPr>
          <w:rFonts w:ascii="Times New Roman" w:hAnsi="Times New Roman" w:cs="Times New Roman"/>
          <w:lang w:val="en-IE"/>
        </w:rPr>
        <w:t xml:space="preserve"> as outlined by</w:t>
      </w:r>
      <w:r w:rsidR="00717D6D" w:rsidRPr="00C73908">
        <w:rPr>
          <w:rFonts w:ascii="Times New Roman" w:hAnsi="Times New Roman" w:cs="Times New Roman"/>
          <w:lang w:val="en-IE"/>
        </w:rPr>
        <w:t xml:space="preserve"> Girma et al.</w:t>
      </w:r>
      <w:r w:rsidR="0087328C" w:rsidRPr="00C73908">
        <w:rPr>
          <w:rFonts w:ascii="Times New Roman" w:hAnsi="Times New Roman" w:cs="Times New Roman"/>
          <w:lang w:val="en-IE"/>
        </w:rPr>
        <w:t xml:space="preserve"> </w:t>
      </w:r>
      <w:r w:rsidR="00334809" w:rsidRPr="00C73908">
        <w:rPr>
          <w:rFonts w:ascii="Times New Roman" w:hAnsi="Times New Roman" w:cs="Times New Roman"/>
          <w:lang w:val="en-IE"/>
        </w:rPr>
        <w:t>(</w:t>
      </w:r>
      <w:r w:rsidR="00717D6D" w:rsidRPr="00C73908">
        <w:rPr>
          <w:rFonts w:ascii="Times New Roman" w:hAnsi="Times New Roman" w:cs="Times New Roman"/>
          <w:lang w:val="en-IE"/>
        </w:rPr>
        <w:t>2008)</w:t>
      </w:r>
      <w:r w:rsidR="00964764" w:rsidRPr="00C73908">
        <w:rPr>
          <w:rFonts w:ascii="Times New Roman" w:hAnsi="Times New Roman" w:cs="Times New Roman"/>
          <w:lang w:val="en-IE"/>
        </w:rPr>
        <w:t>.</w:t>
      </w:r>
      <w:r w:rsidR="009A5C5A" w:rsidRPr="00C73908">
        <w:rPr>
          <w:rFonts w:ascii="Times New Roman" w:hAnsi="Times New Roman" w:cs="Times New Roman"/>
          <w:lang w:val="en-IE"/>
        </w:rPr>
        <w:t xml:space="preserve"> In this case, the </w:t>
      </w:r>
      <w:r w:rsidR="00160C83" w:rsidRPr="00C73908">
        <w:rPr>
          <w:rFonts w:ascii="Times New Roman" w:hAnsi="Times New Roman" w:cs="Times New Roman"/>
          <w:lang w:val="en-IE"/>
        </w:rPr>
        <w:t xml:space="preserve">fixed effects model may identify a positive effect between the two </w:t>
      </w:r>
      <w:r w:rsidR="00DE61C3" w:rsidRPr="00C73908">
        <w:rPr>
          <w:rFonts w:ascii="Times New Roman" w:hAnsi="Times New Roman" w:cs="Times New Roman"/>
          <w:lang w:val="en-IE"/>
        </w:rPr>
        <w:t>variables,</w:t>
      </w:r>
      <w:r w:rsidR="00160C83" w:rsidRPr="00C73908">
        <w:rPr>
          <w:rFonts w:ascii="Times New Roman" w:hAnsi="Times New Roman" w:cs="Times New Roman"/>
          <w:lang w:val="en-IE"/>
        </w:rPr>
        <w:t xml:space="preserve"> but the </w:t>
      </w:r>
      <w:r w:rsidR="009A5C5A" w:rsidRPr="00C73908">
        <w:rPr>
          <w:rFonts w:ascii="Times New Roman" w:hAnsi="Times New Roman" w:cs="Times New Roman"/>
          <w:lang w:val="en-IE"/>
        </w:rPr>
        <w:t xml:space="preserve">causality </w:t>
      </w:r>
      <w:r w:rsidR="00160C83" w:rsidRPr="00C73908">
        <w:rPr>
          <w:rFonts w:ascii="Times New Roman" w:hAnsi="Times New Roman" w:cs="Times New Roman"/>
          <w:lang w:val="en-IE"/>
        </w:rPr>
        <w:t>could actually</w:t>
      </w:r>
      <w:r w:rsidR="009A5C5A" w:rsidRPr="00C73908">
        <w:rPr>
          <w:rFonts w:ascii="Times New Roman" w:hAnsi="Times New Roman" w:cs="Times New Roman"/>
          <w:lang w:val="en-IE"/>
        </w:rPr>
        <w:t xml:space="preserve"> be running </w:t>
      </w:r>
      <w:r w:rsidR="000E249E" w:rsidRPr="00C73908">
        <w:rPr>
          <w:rFonts w:ascii="Times New Roman" w:hAnsi="Times New Roman" w:cs="Times New Roman"/>
          <w:lang w:val="en-IE"/>
        </w:rPr>
        <w:t>from the dependent variables to the regressor</w:t>
      </w:r>
      <w:r w:rsidR="00885B4E" w:rsidRPr="00C73908">
        <w:rPr>
          <w:rFonts w:ascii="Times New Roman" w:hAnsi="Times New Roman" w:cs="Times New Roman"/>
          <w:lang w:val="en-IE"/>
        </w:rPr>
        <w:t xml:space="preserve"> instead of the other way around</w:t>
      </w:r>
      <w:r w:rsidR="000E249E" w:rsidRPr="00C73908">
        <w:rPr>
          <w:rFonts w:ascii="Times New Roman" w:hAnsi="Times New Roman" w:cs="Times New Roman"/>
          <w:lang w:val="en-IE"/>
        </w:rPr>
        <w:t>.</w:t>
      </w:r>
    </w:p>
    <w:p w14:paraId="7178C61B" w14:textId="41AAB2FD" w:rsidR="00897EA4" w:rsidRPr="00C73908" w:rsidRDefault="00DD5DB1"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Another potential issue when analysi</w:t>
      </w:r>
      <w:r w:rsidR="00DE7CAC" w:rsidRPr="00C73908">
        <w:rPr>
          <w:rFonts w:ascii="Times New Roman" w:hAnsi="Times New Roman" w:cs="Times New Roman"/>
          <w:lang w:val="en-IE"/>
        </w:rPr>
        <w:t>ng panel data is that</w:t>
      </w:r>
      <w:r w:rsidR="00FF2263" w:rsidRPr="00C73908">
        <w:rPr>
          <w:rFonts w:ascii="Times New Roman" w:hAnsi="Times New Roman" w:cs="Times New Roman"/>
          <w:lang w:val="en-IE"/>
        </w:rPr>
        <w:t xml:space="preserve"> </w:t>
      </w:r>
      <w:r w:rsidR="00110E25" w:rsidRPr="00C73908">
        <w:rPr>
          <w:rFonts w:ascii="Times New Roman" w:hAnsi="Times New Roman" w:cs="Times New Roman"/>
          <w:lang w:val="en-IE"/>
        </w:rPr>
        <w:t>d</w:t>
      </w:r>
      <w:r w:rsidR="00FF2263" w:rsidRPr="00C73908">
        <w:rPr>
          <w:rFonts w:ascii="Times New Roman" w:hAnsi="Times New Roman" w:cs="Times New Roman"/>
          <w:lang w:val="en-IE"/>
        </w:rPr>
        <w:t>ependent variable</w:t>
      </w:r>
      <w:r w:rsidR="00110E25" w:rsidRPr="00C73908">
        <w:rPr>
          <w:rFonts w:ascii="Times New Roman" w:hAnsi="Times New Roman" w:cs="Times New Roman"/>
          <w:lang w:val="en-IE"/>
        </w:rPr>
        <w:t>s</w:t>
      </w:r>
      <w:r w:rsidR="00FF2263" w:rsidRPr="00C73908">
        <w:rPr>
          <w:rFonts w:ascii="Times New Roman" w:hAnsi="Times New Roman" w:cs="Times New Roman"/>
          <w:lang w:val="en-IE"/>
        </w:rPr>
        <w:t xml:space="preserve"> often display a high degree of persistence over time such that </w:t>
      </w:r>
      <w:r w:rsidR="00110E25" w:rsidRPr="00C73908">
        <w:rPr>
          <w:rFonts w:ascii="Times New Roman" w:hAnsi="Times New Roman" w:cs="Times New Roman"/>
          <w:lang w:val="en-IE"/>
        </w:rPr>
        <w:t xml:space="preserve">the </w:t>
      </w:r>
      <w:r w:rsidR="00ED7481" w:rsidRPr="00C73908">
        <w:rPr>
          <w:rFonts w:ascii="Times New Roman" w:hAnsi="Times New Roman" w:cs="Times New Roman"/>
          <w:lang w:val="en-IE"/>
        </w:rPr>
        <w:t>present</w:t>
      </w:r>
      <w:r w:rsidR="00FF2263" w:rsidRPr="00C73908">
        <w:rPr>
          <w:rFonts w:ascii="Times New Roman" w:hAnsi="Times New Roman" w:cs="Times New Roman"/>
          <w:lang w:val="en-IE"/>
        </w:rPr>
        <w:t xml:space="preserve"> value</w:t>
      </w:r>
      <w:r w:rsidR="00ED7481" w:rsidRPr="00C73908">
        <w:rPr>
          <w:rFonts w:ascii="Times New Roman" w:hAnsi="Times New Roman" w:cs="Times New Roman"/>
          <w:lang w:val="en-IE"/>
        </w:rPr>
        <w:t>s</w:t>
      </w:r>
      <w:r w:rsidR="00BE53A6" w:rsidRPr="00C73908">
        <w:rPr>
          <w:rFonts w:ascii="Times New Roman" w:hAnsi="Times New Roman" w:cs="Times New Roman"/>
          <w:lang w:val="en-IE"/>
        </w:rPr>
        <w:t xml:space="preserve"> </w:t>
      </w:r>
      <w:r w:rsidR="00ED7481" w:rsidRPr="00C73908">
        <w:rPr>
          <w:rFonts w:ascii="Times New Roman" w:hAnsi="Times New Roman" w:cs="Times New Roman"/>
          <w:lang w:val="en-IE"/>
        </w:rPr>
        <w:t xml:space="preserve">are </w:t>
      </w:r>
      <w:r w:rsidR="00F91EE9" w:rsidRPr="00C73908">
        <w:rPr>
          <w:rFonts w:ascii="Times New Roman" w:hAnsi="Times New Roman" w:cs="Times New Roman"/>
          <w:lang w:val="en-IE"/>
        </w:rPr>
        <w:t xml:space="preserve">strongly </w:t>
      </w:r>
      <w:r w:rsidR="00EE3E50" w:rsidRPr="00C73908">
        <w:rPr>
          <w:rFonts w:ascii="Times New Roman" w:hAnsi="Times New Roman" w:cs="Times New Roman"/>
          <w:lang w:val="en-IE"/>
        </w:rPr>
        <w:t xml:space="preserve">influenced </w:t>
      </w:r>
      <w:r w:rsidR="00110E25" w:rsidRPr="00C73908">
        <w:rPr>
          <w:rFonts w:ascii="Times New Roman" w:hAnsi="Times New Roman" w:cs="Times New Roman"/>
          <w:lang w:val="en-IE"/>
        </w:rPr>
        <w:t>their</w:t>
      </w:r>
      <w:r w:rsidR="00ED7481" w:rsidRPr="00C73908">
        <w:rPr>
          <w:rFonts w:ascii="Times New Roman" w:hAnsi="Times New Roman" w:cs="Times New Roman"/>
          <w:lang w:val="en-IE"/>
        </w:rPr>
        <w:t xml:space="preserve"> own lagged</w:t>
      </w:r>
      <w:r w:rsidR="00961F1B" w:rsidRPr="00C73908">
        <w:rPr>
          <w:rFonts w:ascii="Times New Roman" w:hAnsi="Times New Roman" w:cs="Times New Roman"/>
          <w:lang w:val="en-IE"/>
        </w:rPr>
        <w:t xml:space="preserve"> value</w:t>
      </w:r>
      <w:r w:rsidR="00ED7481" w:rsidRPr="00C73908">
        <w:rPr>
          <w:rFonts w:ascii="Times New Roman" w:hAnsi="Times New Roman" w:cs="Times New Roman"/>
          <w:lang w:val="en-IE"/>
        </w:rPr>
        <w:t>s</w:t>
      </w:r>
      <w:r w:rsidR="00A97F31" w:rsidRPr="00C73908">
        <w:rPr>
          <w:rFonts w:ascii="Times New Roman" w:hAnsi="Times New Roman" w:cs="Times New Roman"/>
          <w:lang w:val="en-IE"/>
        </w:rPr>
        <w:t xml:space="preserve">. </w:t>
      </w:r>
      <w:r w:rsidR="002F4EBF" w:rsidRPr="00C73908">
        <w:rPr>
          <w:rFonts w:ascii="Times New Roman" w:hAnsi="Times New Roman" w:cs="Times New Roman"/>
          <w:lang w:val="en-IE"/>
        </w:rPr>
        <w:t>E</w:t>
      </w:r>
      <w:r w:rsidR="002624B2" w:rsidRPr="00C73908">
        <w:rPr>
          <w:rFonts w:ascii="Times New Roman" w:hAnsi="Times New Roman" w:cs="Times New Roman"/>
          <w:lang w:val="en-IE"/>
        </w:rPr>
        <w:t>xport</w:t>
      </w:r>
      <w:r w:rsidR="003512E0" w:rsidRPr="00C73908">
        <w:rPr>
          <w:rFonts w:ascii="Times New Roman" w:hAnsi="Times New Roman" w:cs="Times New Roman"/>
          <w:lang w:val="en-IE"/>
        </w:rPr>
        <w:t xml:space="preserve"> values and diversification</w:t>
      </w:r>
      <w:r w:rsidR="00AE1384" w:rsidRPr="00C73908">
        <w:rPr>
          <w:rFonts w:ascii="Times New Roman" w:hAnsi="Times New Roman" w:cs="Times New Roman"/>
          <w:lang w:val="en-IE"/>
        </w:rPr>
        <w:t xml:space="preserve"> </w:t>
      </w:r>
      <w:r w:rsidR="00D31445" w:rsidRPr="00C73908">
        <w:rPr>
          <w:rFonts w:ascii="Times New Roman" w:hAnsi="Times New Roman" w:cs="Times New Roman"/>
          <w:lang w:val="en-IE"/>
        </w:rPr>
        <w:t>levels</w:t>
      </w:r>
      <w:r w:rsidR="002F4EBF" w:rsidRPr="00C73908">
        <w:rPr>
          <w:rFonts w:ascii="Times New Roman" w:hAnsi="Times New Roman" w:cs="Times New Roman"/>
          <w:lang w:val="en-IE"/>
        </w:rPr>
        <w:t xml:space="preserve"> tend to remain relatively stable</w:t>
      </w:r>
      <w:r w:rsidR="00D31445" w:rsidRPr="00C73908">
        <w:rPr>
          <w:rFonts w:ascii="Times New Roman" w:hAnsi="Times New Roman" w:cs="Times New Roman"/>
          <w:lang w:val="en-IE"/>
        </w:rPr>
        <w:t xml:space="preserve"> </w:t>
      </w:r>
      <w:r w:rsidR="002F4EBF" w:rsidRPr="00C73908">
        <w:rPr>
          <w:rFonts w:ascii="Times New Roman" w:hAnsi="Times New Roman" w:cs="Times New Roman"/>
          <w:lang w:val="en-IE"/>
        </w:rPr>
        <w:t xml:space="preserve">over time </w:t>
      </w:r>
      <w:r w:rsidR="00AE1384" w:rsidRPr="00C73908">
        <w:rPr>
          <w:rFonts w:ascii="Times New Roman" w:hAnsi="Times New Roman" w:cs="Times New Roman"/>
          <w:lang w:val="en-IE"/>
        </w:rPr>
        <w:t xml:space="preserve">as </w:t>
      </w:r>
      <w:r w:rsidR="003B27E4" w:rsidRPr="00C73908">
        <w:rPr>
          <w:rFonts w:ascii="Times New Roman" w:hAnsi="Times New Roman" w:cs="Times New Roman"/>
          <w:lang w:val="en-IE"/>
        </w:rPr>
        <w:t>companies grow their exports</w:t>
      </w:r>
      <w:r w:rsidR="00114C44" w:rsidRPr="00C73908">
        <w:rPr>
          <w:rFonts w:ascii="Times New Roman" w:hAnsi="Times New Roman" w:cs="Times New Roman"/>
          <w:lang w:val="en-IE"/>
        </w:rPr>
        <w:t xml:space="preserve"> and </w:t>
      </w:r>
      <w:r w:rsidR="00111DE6" w:rsidRPr="00C73908">
        <w:rPr>
          <w:rFonts w:ascii="Times New Roman" w:hAnsi="Times New Roman" w:cs="Times New Roman"/>
          <w:lang w:val="en-IE"/>
        </w:rPr>
        <w:t>develop</w:t>
      </w:r>
      <w:r w:rsidR="00114C44" w:rsidRPr="00C73908">
        <w:rPr>
          <w:rFonts w:ascii="Times New Roman" w:hAnsi="Times New Roman" w:cs="Times New Roman"/>
          <w:lang w:val="en-IE"/>
        </w:rPr>
        <w:t xml:space="preserve"> a presence </w:t>
      </w:r>
      <w:r w:rsidR="00111DE6" w:rsidRPr="00C73908">
        <w:rPr>
          <w:rFonts w:ascii="Times New Roman" w:hAnsi="Times New Roman" w:cs="Times New Roman"/>
          <w:lang w:val="en-IE"/>
        </w:rPr>
        <w:t>in</w:t>
      </w:r>
      <w:r w:rsidR="00D31445" w:rsidRPr="00C73908">
        <w:rPr>
          <w:rFonts w:ascii="Times New Roman" w:hAnsi="Times New Roman" w:cs="Times New Roman"/>
          <w:lang w:val="en-IE"/>
        </w:rPr>
        <w:t xml:space="preserve"> </w:t>
      </w:r>
      <w:r w:rsidR="003B27E4" w:rsidRPr="00C73908">
        <w:rPr>
          <w:rFonts w:ascii="Times New Roman" w:hAnsi="Times New Roman" w:cs="Times New Roman"/>
          <w:lang w:val="en-IE"/>
        </w:rPr>
        <w:t>overseas</w:t>
      </w:r>
      <w:r w:rsidR="00D31445" w:rsidRPr="00C73908">
        <w:rPr>
          <w:rFonts w:ascii="Times New Roman" w:hAnsi="Times New Roman" w:cs="Times New Roman"/>
          <w:lang w:val="en-IE"/>
        </w:rPr>
        <w:t xml:space="preserve"> </w:t>
      </w:r>
      <w:r w:rsidR="00111DE6" w:rsidRPr="00C73908">
        <w:rPr>
          <w:rFonts w:ascii="Times New Roman" w:hAnsi="Times New Roman" w:cs="Times New Roman"/>
          <w:lang w:val="en-IE"/>
        </w:rPr>
        <w:t>market</w:t>
      </w:r>
      <w:r w:rsidR="003B27E4" w:rsidRPr="00C73908">
        <w:rPr>
          <w:rFonts w:ascii="Times New Roman" w:hAnsi="Times New Roman" w:cs="Times New Roman"/>
          <w:lang w:val="en-IE"/>
        </w:rPr>
        <w:t>s</w:t>
      </w:r>
      <w:r w:rsidR="00111DE6" w:rsidRPr="00C73908">
        <w:rPr>
          <w:rFonts w:ascii="Times New Roman" w:hAnsi="Times New Roman" w:cs="Times New Roman"/>
          <w:lang w:val="en-IE"/>
        </w:rPr>
        <w:t xml:space="preserve"> with repeat </w:t>
      </w:r>
      <w:r w:rsidR="00D31445" w:rsidRPr="00C73908">
        <w:rPr>
          <w:rFonts w:ascii="Times New Roman" w:hAnsi="Times New Roman" w:cs="Times New Roman"/>
          <w:lang w:val="en-IE"/>
        </w:rPr>
        <w:t>business from local buyers and multi-year contracts.</w:t>
      </w:r>
      <w:r w:rsidR="00A43457" w:rsidRPr="00C73908">
        <w:rPr>
          <w:rFonts w:ascii="Times New Roman" w:hAnsi="Times New Roman" w:cs="Times New Roman"/>
          <w:lang w:val="en-IE"/>
        </w:rPr>
        <w:t xml:space="preserve"> </w:t>
      </w:r>
      <w:r w:rsidR="00DC043D" w:rsidRPr="00C73908">
        <w:rPr>
          <w:rFonts w:ascii="Times New Roman" w:hAnsi="Times New Roman" w:cs="Times New Roman"/>
          <w:lang w:val="en-IE"/>
        </w:rPr>
        <w:t>A test</w:t>
      </w:r>
      <w:r w:rsidR="00941D99" w:rsidRPr="00C73908">
        <w:rPr>
          <w:rFonts w:ascii="Times New Roman" w:hAnsi="Times New Roman" w:cs="Times New Roman"/>
          <w:lang w:val="en-IE"/>
        </w:rPr>
        <w:t xml:space="preserve"> for serial correlation</w:t>
      </w:r>
      <w:r w:rsidR="00222E7F" w:rsidRPr="00C73908">
        <w:rPr>
          <w:rFonts w:ascii="Times New Roman" w:hAnsi="Times New Roman" w:cs="Times New Roman"/>
          <w:lang w:val="en-IE"/>
        </w:rPr>
        <w:t xml:space="preserve"> </w:t>
      </w:r>
      <w:r w:rsidR="0030075A" w:rsidRPr="00C73908">
        <w:rPr>
          <w:rFonts w:ascii="Times New Roman" w:hAnsi="Times New Roman" w:cs="Times New Roman"/>
          <w:lang w:val="en-IE"/>
        </w:rPr>
        <w:t xml:space="preserve">in panel data </w:t>
      </w:r>
      <w:r w:rsidR="00F55FE5" w:rsidRPr="00C73908">
        <w:rPr>
          <w:rFonts w:ascii="Times New Roman" w:hAnsi="Times New Roman" w:cs="Times New Roman"/>
          <w:lang w:val="en-IE"/>
        </w:rPr>
        <w:t>developed by Wooldridge (2002)</w:t>
      </w:r>
      <w:r w:rsidR="00941D99" w:rsidRPr="00C73908">
        <w:rPr>
          <w:rFonts w:ascii="Times New Roman" w:hAnsi="Times New Roman" w:cs="Times New Roman"/>
          <w:lang w:val="en-IE"/>
        </w:rPr>
        <w:t xml:space="preserve"> c</w:t>
      </w:r>
      <w:r w:rsidR="00EE22F0" w:rsidRPr="00C73908">
        <w:rPr>
          <w:rFonts w:ascii="Times New Roman" w:hAnsi="Times New Roman" w:cs="Times New Roman"/>
          <w:lang w:val="en-IE"/>
        </w:rPr>
        <w:t xml:space="preserve">onfirms the presence of </w:t>
      </w:r>
      <w:r w:rsidR="00941D99" w:rsidRPr="00C73908">
        <w:rPr>
          <w:rFonts w:ascii="Times New Roman" w:hAnsi="Times New Roman" w:cs="Times New Roman"/>
          <w:lang w:val="en-IE"/>
        </w:rPr>
        <w:t>this persistence</w:t>
      </w:r>
      <w:r w:rsidR="00EE22F0" w:rsidRPr="00C73908">
        <w:rPr>
          <w:rFonts w:ascii="Times New Roman" w:hAnsi="Times New Roman" w:cs="Times New Roman"/>
          <w:lang w:val="en-IE"/>
        </w:rPr>
        <w:t xml:space="preserve"> in </w:t>
      </w:r>
      <w:r w:rsidR="000D4E87" w:rsidRPr="00C73908">
        <w:rPr>
          <w:rFonts w:ascii="Times New Roman" w:hAnsi="Times New Roman" w:cs="Times New Roman"/>
          <w:lang w:val="en-IE"/>
        </w:rPr>
        <w:t xml:space="preserve">both the </w:t>
      </w:r>
      <w:r w:rsidR="00C91D63" w:rsidRPr="00C73908">
        <w:rPr>
          <w:rFonts w:ascii="Times New Roman" w:hAnsi="Times New Roman" w:cs="Times New Roman"/>
          <w:lang w:val="en-IE"/>
        </w:rPr>
        <w:t>value of exports and the number of export markets</w:t>
      </w:r>
      <w:r w:rsidR="00EE22F0" w:rsidRPr="00C73908">
        <w:rPr>
          <w:rFonts w:ascii="Times New Roman" w:hAnsi="Times New Roman" w:cs="Times New Roman"/>
          <w:lang w:val="en-IE"/>
        </w:rPr>
        <w:t>.</w:t>
      </w:r>
      <w:r w:rsidR="00C111B1" w:rsidRPr="00C73908">
        <w:rPr>
          <w:rFonts w:ascii="Times New Roman" w:hAnsi="Times New Roman" w:cs="Times New Roman"/>
          <w:lang w:val="en-IE"/>
        </w:rPr>
        <w:t xml:space="preserve"> </w:t>
      </w:r>
      <w:r w:rsidR="003A37BC" w:rsidRPr="00C73908">
        <w:rPr>
          <w:rFonts w:ascii="Times New Roman" w:hAnsi="Times New Roman" w:cs="Times New Roman"/>
          <w:lang w:val="en-IE"/>
        </w:rPr>
        <w:t>S</w:t>
      </w:r>
      <w:r w:rsidR="00262D59" w:rsidRPr="00C73908">
        <w:rPr>
          <w:rFonts w:ascii="Times New Roman" w:hAnsi="Times New Roman" w:cs="Times New Roman"/>
          <w:lang w:val="en-IE"/>
        </w:rPr>
        <w:t>tatic</w:t>
      </w:r>
      <w:r w:rsidR="00C111B1" w:rsidRPr="00C73908">
        <w:rPr>
          <w:rFonts w:ascii="Times New Roman" w:hAnsi="Times New Roman" w:cs="Times New Roman"/>
          <w:lang w:val="en-IE"/>
        </w:rPr>
        <w:t xml:space="preserve"> model</w:t>
      </w:r>
      <w:r w:rsidR="00262D59" w:rsidRPr="00C73908">
        <w:rPr>
          <w:rFonts w:ascii="Times New Roman" w:hAnsi="Times New Roman" w:cs="Times New Roman"/>
          <w:lang w:val="en-IE"/>
        </w:rPr>
        <w:t>s such as fixed effects</w:t>
      </w:r>
      <w:r w:rsidR="00C111B1" w:rsidRPr="00C73908">
        <w:rPr>
          <w:rFonts w:ascii="Times New Roman" w:hAnsi="Times New Roman" w:cs="Times New Roman"/>
          <w:lang w:val="en-IE"/>
        </w:rPr>
        <w:t xml:space="preserve"> </w:t>
      </w:r>
      <w:r w:rsidR="00D53619" w:rsidRPr="00C73908">
        <w:rPr>
          <w:rFonts w:ascii="Times New Roman" w:hAnsi="Times New Roman" w:cs="Times New Roman"/>
          <w:lang w:val="en-IE"/>
        </w:rPr>
        <w:t>are not</w:t>
      </w:r>
      <w:r w:rsidR="005831ED" w:rsidRPr="00C73908">
        <w:rPr>
          <w:rFonts w:ascii="Times New Roman" w:hAnsi="Times New Roman" w:cs="Times New Roman"/>
          <w:lang w:val="en-IE"/>
        </w:rPr>
        <w:t xml:space="preserve"> well</w:t>
      </w:r>
      <w:r w:rsidR="00D53619" w:rsidRPr="00C73908">
        <w:rPr>
          <w:rFonts w:ascii="Times New Roman" w:hAnsi="Times New Roman" w:cs="Times New Roman"/>
          <w:lang w:val="en-IE"/>
        </w:rPr>
        <w:t xml:space="preserve"> suit</w:t>
      </w:r>
      <w:r w:rsidR="005831ED" w:rsidRPr="00C73908">
        <w:rPr>
          <w:rFonts w:ascii="Times New Roman" w:hAnsi="Times New Roman" w:cs="Times New Roman"/>
          <w:lang w:val="en-IE"/>
        </w:rPr>
        <w:t>ed</w:t>
      </w:r>
      <w:r w:rsidR="00D53619" w:rsidRPr="00C73908">
        <w:rPr>
          <w:rFonts w:ascii="Times New Roman" w:hAnsi="Times New Roman" w:cs="Times New Roman"/>
          <w:lang w:val="en-IE"/>
        </w:rPr>
        <w:t xml:space="preserve"> </w:t>
      </w:r>
      <w:r w:rsidR="005831ED" w:rsidRPr="00C73908">
        <w:rPr>
          <w:rFonts w:ascii="Times New Roman" w:hAnsi="Times New Roman" w:cs="Times New Roman"/>
          <w:lang w:val="en-IE"/>
        </w:rPr>
        <w:t>to address</w:t>
      </w:r>
      <w:r w:rsidR="00D53619" w:rsidRPr="00C73908">
        <w:rPr>
          <w:rFonts w:ascii="Times New Roman" w:hAnsi="Times New Roman" w:cs="Times New Roman"/>
          <w:lang w:val="en-IE"/>
        </w:rPr>
        <w:t xml:space="preserve"> this issue</w:t>
      </w:r>
      <w:r w:rsidR="000D4295" w:rsidRPr="00C73908">
        <w:rPr>
          <w:rFonts w:ascii="Times New Roman" w:hAnsi="Times New Roman" w:cs="Times New Roman"/>
          <w:lang w:val="en-IE"/>
        </w:rPr>
        <w:t xml:space="preserve"> </w:t>
      </w:r>
      <w:r w:rsidR="00D22C0F" w:rsidRPr="00C73908">
        <w:rPr>
          <w:rFonts w:ascii="Times New Roman" w:hAnsi="Times New Roman" w:cs="Times New Roman"/>
          <w:lang w:val="en-IE"/>
        </w:rPr>
        <w:t>because</w:t>
      </w:r>
      <w:r w:rsidR="000D4295" w:rsidRPr="00C73908">
        <w:rPr>
          <w:rFonts w:ascii="Times New Roman" w:hAnsi="Times New Roman" w:cs="Times New Roman"/>
          <w:lang w:val="en-IE"/>
        </w:rPr>
        <w:t xml:space="preserve"> the introduction of lagged values as regressor</w:t>
      </w:r>
      <w:r w:rsidR="00D22C0F" w:rsidRPr="00C73908">
        <w:rPr>
          <w:rFonts w:ascii="Times New Roman" w:hAnsi="Times New Roman" w:cs="Times New Roman"/>
          <w:lang w:val="en-IE"/>
        </w:rPr>
        <w:t>s</w:t>
      </w:r>
      <w:r w:rsidR="0053122B" w:rsidRPr="00C73908">
        <w:rPr>
          <w:rFonts w:ascii="Times New Roman" w:hAnsi="Times New Roman" w:cs="Times New Roman"/>
          <w:lang w:val="en-IE"/>
        </w:rPr>
        <w:t xml:space="preserve"> </w:t>
      </w:r>
      <w:r w:rsidR="00D22C0F" w:rsidRPr="00C73908">
        <w:rPr>
          <w:rFonts w:ascii="Times New Roman" w:hAnsi="Times New Roman" w:cs="Times New Roman"/>
          <w:lang w:val="en-IE"/>
        </w:rPr>
        <w:t>leads to biased estimates.</w:t>
      </w:r>
    </w:p>
    <w:p w14:paraId="7464647C" w14:textId="03CCF213" w:rsidR="00C90FDE" w:rsidRDefault="00F3479A"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lastRenderedPageBreak/>
        <w:t xml:space="preserve">In order to </w:t>
      </w:r>
      <w:r w:rsidR="005E2EA2" w:rsidRPr="00C73908">
        <w:rPr>
          <w:rFonts w:ascii="Times New Roman" w:hAnsi="Times New Roman" w:cs="Times New Roman"/>
          <w:lang w:val="en-IE"/>
        </w:rPr>
        <w:t>address</w:t>
      </w:r>
      <w:r w:rsidRPr="00C73908">
        <w:rPr>
          <w:rFonts w:ascii="Times New Roman" w:hAnsi="Times New Roman" w:cs="Times New Roman"/>
          <w:lang w:val="en-IE"/>
        </w:rPr>
        <w:t xml:space="preserve"> the</w:t>
      </w:r>
      <w:r w:rsidR="0064475B" w:rsidRPr="00C73908">
        <w:rPr>
          <w:rFonts w:ascii="Times New Roman" w:hAnsi="Times New Roman" w:cs="Times New Roman"/>
          <w:lang w:val="en-IE"/>
        </w:rPr>
        <w:t>se</w:t>
      </w:r>
      <w:r w:rsidR="00C13911" w:rsidRPr="00C73908">
        <w:rPr>
          <w:rFonts w:ascii="Times New Roman" w:hAnsi="Times New Roman" w:cs="Times New Roman"/>
          <w:lang w:val="en-IE"/>
        </w:rPr>
        <w:t xml:space="preserve"> endogeneity</w:t>
      </w:r>
      <w:r w:rsidRPr="00C73908">
        <w:rPr>
          <w:rFonts w:ascii="Times New Roman" w:hAnsi="Times New Roman" w:cs="Times New Roman"/>
          <w:lang w:val="en-IE"/>
        </w:rPr>
        <w:t xml:space="preserve"> issues</w:t>
      </w:r>
      <w:r w:rsidR="00931838" w:rsidRPr="00C73908">
        <w:rPr>
          <w:rFonts w:ascii="Times New Roman" w:hAnsi="Times New Roman" w:cs="Times New Roman"/>
          <w:lang w:val="en-IE"/>
        </w:rPr>
        <w:t xml:space="preserve">, </w:t>
      </w:r>
      <w:r w:rsidR="00F069DA" w:rsidRPr="00C73908">
        <w:rPr>
          <w:rFonts w:ascii="Times New Roman" w:hAnsi="Times New Roman" w:cs="Times New Roman"/>
          <w:lang w:val="en-IE"/>
        </w:rPr>
        <w:t>the</w:t>
      </w:r>
      <w:r w:rsidR="00931838" w:rsidRPr="00C73908">
        <w:rPr>
          <w:rFonts w:ascii="Times New Roman" w:hAnsi="Times New Roman" w:cs="Times New Roman"/>
          <w:lang w:val="en-IE"/>
        </w:rPr>
        <w:t xml:space="preserve"> </w:t>
      </w:r>
      <w:r w:rsidR="00F069DA" w:rsidRPr="00C73908">
        <w:rPr>
          <w:rFonts w:ascii="Times New Roman" w:hAnsi="Times New Roman" w:cs="Times New Roman"/>
          <w:lang w:val="en-IE"/>
        </w:rPr>
        <w:t>System G</w:t>
      </w:r>
      <w:r w:rsidR="00937D41" w:rsidRPr="00C73908">
        <w:rPr>
          <w:rFonts w:ascii="Times New Roman" w:hAnsi="Times New Roman" w:cs="Times New Roman"/>
          <w:lang w:val="en-IE"/>
        </w:rPr>
        <w:t>eneralised Method of Moments (GMM)</w:t>
      </w:r>
      <w:r w:rsidR="00F069DA" w:rsidRPr="00C73908">
        <w:rPr>
          <w:rFonts w:ascii="Times New Roman" w:hAnsi="Times New Roman" w:cs="Times New Roman"/>
          <w:lang w:val="en-IE"/>
        </w:rPr>
        <w:t xml:space="preserve"> model</w:t>
      </w:r>
      <w:r w:rsidR="000840A7" w:rsidRPr="00C73908">
        <w:rPr>
          <w:rFonts w:ascii="Times New Roman" w:hAnsi="Times New Roman" w:cs="Times New Roman"/>
          <w:lang w:val="en-IE"/>
        </w:rPr>
        <w:t xml:space="preserve"> </w:t>
      </w:r>
      <w:r w:rsidR="006328F1" w:rsidRPr="00C73908">
        <w:rPr>
          <w:rFonts w:ascii="Times New Roman" w:hAnsi="Times New Roman" w:cs="Times New Roman"/>
          <w:lang w:val="en-IE"/>
        </w:rPr>
        <w:t xml:space="preserve">developed by Blundell and Bond (1998) </w:t>
      </w:r>
      <w:r w:rsidR="00F069DA" w:rsidRPr="00C73908">
        <w:rPr>
          <w:rFonts w:ascii="Times New Roman" w:hAnsi="Times New Roman" w:cs="Times New Roman"/>
          <w:lang w:val="en-IE"/>
        </w:rPr>
        <w:t xml:space="preserve">is also </w:t>
      </w:r>
      <w:r w:rsidR="00C13911" w:rsidRPr="00C73908">
        <w:rPr>
          <w:rFonts w:ascii="Times New Roman" w:hAnsi="Times New Roman" w:cs="Times New Roman"/>
          <w:lang w:val="en-IE"/>
        </w:rPr>
        <w:t>applied</w:t>
      </w:r>
      <w:r w:rsidR="005F68EA" w:rsidRPr="00C73908">
        <w:rPr>
          <w:rFonts w:ascii="Times New Roman" w:hAnsi="Times New Roman" w:cs="Times New Roman"/>
          <w:lang w:val="en-IE"/>
        </w:rPr>
        <w:t xml:space="preserve"> in which lagged levels of </w:t>
      </w:r>
      <w:r w:rsidR="00FC786E" w:rsidRPr="00C73908">
        <w:rPr>
          <w:rFonts w:ascii="Times New Roman" w:hAnsi="Times New Roman" w:cs="Times New Roman"/>
          <w:lang w:val="en-IE"/>
        </w:rPr>
        <w:t>variables are used as instruments</w:t>
      </w:r>
      <w:r w:rsidR="00A04A50" w:rsidRPr="00C73908">
        <w:rPr>
          <w:rFonts w:ascii="Times New Roman" w:hAnsi="Times New Roman" w:cs="Times New Roman"/>
          <w:lang w:val="en-IE"/>
        </w:rPr>
        <w:t>.</w:t>
      </w:r>
      <w:r w:rsidR="0000777D" w:rsidRPr="00C73908">
        <w:rPr>
          <w:rFonts w:ascii="Times New Roman" w:hAnsi="Times New Roman" w:cs="Times New Roman"/>
          <w:lang w:val="en-IE"/>
        </w:rPr>
        <w:t xml:space="preserve"> </w:t>
      </w:r>
      <w:r w:rsidR="00CD25AB" w:rsidRPr="00C73908">
        <w:rPr>
          <w:rFonts w:ascii="Times New Roman" w:hAnsi="Times New Roman" w:cs="Times New Roman"/>
          <w:lang w:val="en-IE"/>
        </w:rPr>
        <w:t xml:space="preserve">This </w:t>
      </w:r>
      <w:r w:rsidR="003921A3" w:rsidRPr="00C73908">
        <w:rPr>
          <w:rFonts w:ascii="Times New Roman" w:hAnsi="Times New Roman" w:cs="Times New Roman"/>
          <w:lang w:val="en-IE"/>
        </w:rPr>
        <w:t xml:space="preserve">model </w:t>
      </w:r>
      <w:r w:rsidR="00F076CE" w:rsidRPr="00C73908">
        <w:rPr>
          <w:rFonts w:ascii="Times New Roman" w:hAnsi="Times New Roman" w:cs="Times New Roman"/>
          <w:lang w:val="en-IE"/>
        </w:rPr>
        <w:t xml:space="preserve">allows for lagged dependent variables to be included as regressors which is important </w:t>
      </w:r>
      <w:r w:rsidR="00486124" w:rsidRPr="00C73908">
        <w:rPr>
          <w:rFonts w:ascii="Times New Roman" w:hAnsi="Times New Roman" w:cs="Times New Roman"/>
          <w:lang w:val="en-IE"/>
        </w:rPr>
        <w:t xml:space="preserve">due to the persistence in export values and diversification </w:t>
      </w:r>
      <w:r w:rsidR="006455A7" w:rsidRPr="00C73908">
        <w:rPr>
          <w:rFonts w:ascii="Times New Roman" w:hAnsi="Times New Roman" w:cs="Times New Roman"/>
          <w:lang w:val="en-IE"/>
        </w:rPr>
        <w:t xml:space="preserve">levels </w:t>
      </w:r>
      <w:r w:rsidR="00486124" w:rsidRPr="00C73908">
        <w:rPr>
          <w:rFonts w:ascii="Times New Roman" w:hAnsi="Times New Roman" w:cs="Times New Roman"/>
          <w:lang w:val="en-IE"/>
        </w:rPr>
        <w:t>over time.</w:t>
      </w:r>
      <w:r w:rsidR="00924A51" w:rsidRPr="00C73908">
        <w:rPr>
          <w:rFonts w:ascii="Times New Roman" w:hAnsi="Times New Roman" w:cs="Times New Roman"/>
          <w:lang w:val="en-IE"/>
        </w:rPr>
        <w:t xml:space="preserve"> A </w:t>
      </w:r>
      <w:r w:rsidR="00B11555" w:rsidRPr="00C73908">
        <w:rPr>
          <w:rFonts w:ascii="Times New Roman" w:hAnsi="Times New Roman" w:cs="Times New Roman"/>
          <w:lang w:val="en-IE"/>
        </w:rPr>
        <w:t xml:space="preserve">two-step estimation process is used as </w:t>
      </w:r>
      <w:r w:rsidR="00CD1F12" w:rsidRPr="00C73908">
        <w:rPr>
          <w:rFonts w:ascii="Times New Roman" w:hAnsi="Times New Roman" w:cs="Times New Roman"/>
          <w:lang w:val="en-IE"/>
        </w:rPr>
        <w:t>it</w:t>
      </w:r>
      <w:r w:rsidR="00B11555" w:rsidRPr="00C73908">
        <w:rPr>
          <w:rFonts w:ascii="Times New Roman" w:hAnsi="Times New Roman" w:cs="Times New Roman"/>
          <w:lang w:val="en-IE"/>
        </w:rPr>
        <w:t xml:space="preserve"> </w:t>
      </w:r>
      <w:r w:rsidR="00CD1F12" w:rsidRPr="00C73908">
        <w:rPr>
          <w:rFonts w:ascii="Times New Roman" w:hAnsi="Times New Roman" w:cs="Times New Roman"/>
          <w:lang w:val="en-IE"/>
        </w:rPr>
        <w:t>is</w:t>
      </w:r>
      <w:r w:rsidR="00B11555" w:rsidRPr="00C73908">
        <w:rPr>
          <w:rFonts w:ascii="Times New Roman" w:hAnsi="Times New Roman" w:cs="Times New Roman"/>
          <w:lang w:val="en-IE"/>
        </w:rPr>
        <w:t xml:space="preserve"> </w:t>
      </w:r>
      <w:r w:rsidR="00CD1F12" w:rsidRPr="00C73908">
        <w:rPr>
          <w:rFonts w:ascii="Times New Roman" w:hAnsi="Times New Roman" w:cs="Times New Roman"/>
          <w:lang w:val="en-IE"/>
        </w:rPr>
        <w:t xml:space="preserve">more </w:t>
      </w:r>
      <w:r w:rsidR="00B11555" w:rsidRPr="00C73908">
        <w:rPr>
          <w:rFonts w:ascii="Times New Roman" w:hAnsi="Times New Roman" w:cs="Times New Roman"/>
          <w:lang w:val="en-IE"/>
        </w:rPr>
        <w:t xml:space="preserve">efficient </w:t>
      </w:r>
      <w:r w:rsidR="00CD1F12" w:rsidRPr="00C73908">
        <w:rPr>
          <w:rFonts w:ascii="Times New Roman" w:hAnsi="Times New Roman" w:cs="Times New Roman"/>
          <w:lang w:val="en-IE"/>
        </w:rPr>
        <w:t>than the one-step process in the presence of heteros</w:t>
      </w:r>
      <w:r w:rsidR="00CF2849" w:rsidRPr="00C73908">
        <w:rPr>
          <w:rFonts w:ascii="Times New Roman" w:hAnsi="Times New Roman" w:cs="Times New Roman"/>
          <w:lang w:val="en-IE"/>
        </w:rPr>
        <w:t>cedasticity</w:t>
      </w:r>
      <w:r w:rsidR="00EE71DF" w:rsidRPr="00C73908">
        <w:rPr>
          <w:rFonts w:ascii="Times New Roman" w:hAnsi="Times New Roman" w:cs="Times New Roman"/>
          <w:lang w:val="en-IE"/>
        </w:rPr>
        <w:t xml:space="preserve"> (Roodman, 200</w:t>
      </w:r>
      <w:r w:rsidR="006278D7" w:rsidRPr="00C73908">
        <w:rPr>
          <w:rFonts w:ascii="Times New Roman" w:hAnsi="Times New Roman" w:cs="Times New Roman"/>
          <w:lang w:val="en-IE"/>
        </w:rPr>
        <w:t>9</w:t>
      </w:r>
      <w:r w:rsidR="00EE71DF" w:rsidRPr="00C73908">
        <w:rPr>
          <w:rFonts w:ascii="Times New Roman" w:hAnsi="Times New Roman" w:cs="Times New Roman"/>
          <w:lang w:val="en-IE"/>
        </w:rPr>
        <w:t>)</w:t>
      </w:r>
      <w:r w:rsidR="00351AA0" w:rsidRPr="00C73908">
        <w:rPr>
          <w:rFonts w:ascii="Times New Roman" w:hAnsi="Times New Roman" w:cs="Times New Roman"/>
          <w:lang w:val="en-IE"/>
        </w:rPr>
        <w:t>.</w:t>
      </w:r>
      <w:r w:rsidR="00EF1492" w:rsidRPr="00C73908">
        <w:rPr>
          <w:rFonts w:ascii="Times New Roman" w:hAnsi="Times New Roman" w:cs="Times New Roman"/>
          <w:lang w:val="en-IE"/>
        </w:rPr>
        <w:t xml:space="preserve"> The f</w:t>
      </w:r>
      <w:r w:rsidR="005207FC" w:rsidRPr="00C73908">
        <w:rPr>
          <w:rFonts w:ascii="Times New Roman" w:hAnsi="Times New Roman" w:cs="Times New Roman"/>
          <w:lang w:val="en-IE"/>
        </w:rPr>
        <w:t xml:space="preserve">inite sample correction devised by </w:t>
      </w:r>
      <w:r w:rsidR="00246061" w:rsidRPr="00C73908">
        <w:rPr>
          <w:rFonts w:ascii="Times New Roman" w:hAnsi="Times New Roman" w:cs="Times New Roman"/>
          <w:lang w:val="en-IE"/>
        </w:rPr>
        <w:t>Windmeijer (2005)</w:t>
      </w:r>
      <w:r w:rsidR="00652939" w:rsidRPr="00C73908">
        <w:rPr>
          <w:rFonts w:ascii="Times New Roman" w:hAnsi="Times New Roman" w:cs="Times New Roman"/>
          <w:lang w:val="en-IE"/>
        </w:rPr>
        <w:t xml:space="preserve"> is </w:t>
      </w:r>
      <w:r w:rsidR="00EF1492" w:rsidRPr="00C73908">
        <w:rPr>
          <w:rFonts w:ascii="Times New Roman" w:hAnsi="Times New Roman" w:cs="Times New Roman"/>
          <w:lang w:val="en-IE"/>
        </w:rPr>
        <w:t xml:space="preserve">also </w:t>
      </w:r>
      <w:r w:rsidR="005960C9" w:rsidRPr="00C73908">
        <w:rPr>
          <w:rFonts w:ascii="Times New Roman" w:hAnsi="Times New Roman" w:cs="Times New Roman"/>
          <w:lang w:val="en-IE"/>
        </w:rPr>
        <w:t>used</w:t>
      </w:r>
      <w:r w:rsidR="00652939" w:rsidRPr="00C73908">
        <w:rPr>
          <w:rFonts w:ascii="Times New Roman" w:hAnsi="Times New Roman" w:cs="Times New Roman"/>
          <w:lang w:val="en-IE"/>
        </w:rPr>
        <w:t xml:space="preserve"> to correct for downward bias in the two-step standard errors.</w:t>
      </w:r>
      <w:r w:rsidR="00246061" w:rsidRPr="00C73908">
        <w:rPr>
          <w:rFonts w:ascii="Times New Roman" w:hAnsi="Times New Roman" w:cs="Times New Roman"/>
          <w:lang w:val="en-IE"/>
        </w:rPr>
        <w:t xml:space="preserve"> </w:t>
      </w:r>
      <w:r w:rsidR="00655A92" w:rsidRPr="00C73908">
        <w:rPr>
          <w:rFonts w:ascii="Times New Roman" w:hAnsi="Times New Roman" w:cs="Times New Roman"/>
          <w:lang w:val="en-IE"/>
        </w:rPr>
        <w:t>In addition, t</w:t>
      </w:r>
      <w:r w:rsidR="00351AA0" w:rsidRPr="00C73908">
        <w:rPr>
          <w:rFonts w:ascii="Times New Roman" w:hAnsi="Times New Roman" w:cs="Times New Roman"/>
          <w:lang w:val="en-IE"/>
        </w:rPr>
        <w:t>he forward orthogonal deviation (FOD) transformation is applied</w:t>
      </w:r>
      <w:r w:rsidR="00CE3B05" w:rsidRPr="00C73908">
        <w:rPr>
          <w:rFonts w:ascii="Times New Roman" w:hAnsi="Times New Roman" w:cs="Times New Roman"/>
          <w:lang w:val="en-IE"/>
        </w:rPr>
        <w:t xml:space="preserve"> which involves </w:t>
      </w:r>
      <w:r w:rsidR="00525620" w:rsidRPr="00C73908">
        <w:rPr>
          <w:rFonts w:ascii="Times New Roman" w:hAnsi="Times New Roman" w:cs="Times New Roman"/>
          <w:lang w:val="en-IE"/>
        </w:rPr>
        <w:t>subtracting the mean of</w:t>
      </w:r>
      <w:r w:rsidR="00DD317B" w:rsidRPr="00C73908">
        <w:rPr>
          <w:rFonts w:ascii="Times New Roman" w:hAnsi="Times New Roman" w:cs="Times New Roman"/>
          <w:lang w:val="en-IE"/>
        </w:rPr>
        <w:t xml:space="preserve"> all future observations in the sample for each </w:t>
      </w:r>
      <w:r w:rsidR="00E43548" w:rsidRPr="00C73908">
        <w:rPr>
          <w:rFonts w:ascii="Times New Roman" w:hAnsi="Times New Roman" w:cs="Times New Roman"/>
          <w:lang w:val="en-IE"/>
        </w:rPr>
        <w:t xml:space="preserve">individual company. </w:t>
      </w:r>
      <w:r w:rsidR="00056984" w:rsidRPr="00C73908">
        <w:rPr>
          <w:rFonts w:ascii="Times New Roman" w:hAnsi="Times New Roman" w:cs="Times New Roman"/>
          <w:lang w:val="en-IE"/>
        </w:rPr>
        <w:t xml:space="preserve">This process is </w:t>
      </w:r>
      <w:r w:rsidR="007B2BC0" w:rsidRPr="00C73908">
        <w:rPr>
          <w:rFonts w:ascii="Times New Roman" w:hAnsi="Times New Roman" w:cs="Times New Roman"/>
          <w:lang w:val="en-IE"/>
        </w:rPr>
        <w:t>a</w:t>
      </w:r>
      <w:r w:rsidR="00124331" w:rsidRPr="00C73908">
        <w:rPr>
          <w:rFonts w:ascii="Times New Roman" w:hAnsi="Times New Roman" w:cs="Times New Roman"/>
          <w:lang w:val="en-IE"/>
        </w:rPr>
        <w:t xml:space="preserve"> useful </w:t>
      </w:r>
      <w:r w:rsidR="007B2BC0" w:rsidRPr="00C73908">
        <w:rPr>
          <w:rFonts w:ascii="Times New Roman" w:hAnsi="Times New Roman" w:cs="Times New Roman"/>
          <w:lang w:val="en-IE"/>
        </w:rPr>
        <w:t>alternative</w:t>
      </w:r>
      <w:r w:rsidR="00056984" w:rsidRPr="00C73908">
        <w:rPr>
          <w:rFonts w:ascii="Times New Roman" w:hAnsi="Times New Roman" w:cs="Times New Roman"/>
          <w:lang w:val="en-IE"/>
        </w:rPr>
        <w:t xml:space="preserve"> to</w:t>
      </w:r>
      <w:r w:rsidR="00BC77D6" w:rsidRPr="00C73908">
        <w:rPr>
          <w:rFonts w:ascii="Times New Roman" w:hAnsi="Times New Roman" w:cs="Times New Roman"/>
          <w:lang w:val="en-IE"/>
        </w:rPr>
        <w:t xml:space="preserve"> first differencing </w:t>
      </w:r>
      <w:r w:rsidR="00124331" w:rsidRPr="00C73908">
        <w:rPr>
          <w:rFonts w:ascii="Times New Roman" w:hAnsi="Times New Roman" w:cs="Times New Roman"/>
          <w:lang w:val="en-IE"/>
        </w:rPr>
        <w:t xml:space="preserve">for unbalanced panels </w:t>
      </w:r>
      <w:r w:rsidR="00BC77D6" w:rsidRPr="00C73908">
        <w:rPr>
          <w:rFonts w:ascii="Times New Roman" w:hAnsi="Times New Roman" w:cs="Times New Roman"/>
          <w:lang w:val="en-IE"/>
        </w:rPr>
        <w:t>as</w:t>
      </w:r>
      <w:r w:rsidR="00025D98" w:rsidRPr="00C73908">
        <w:rPr>
          <w:rFonts w:ascii="Times New Roman" w:hAnsi="Times New Roman" w:cs="Times New Roman"/>
          <w:lang w:val="en-IE"/>
        </w:rPr>
        <w:t xml:space="preserve"> it </w:t>
      </w:r>
      <w:r w:rsidR="006131E5" w:rsidRPr="00C73908">
        <w:rPr>
          <w:rFonts w:ascii="Times New Roman" w:hAnsi="Times New Roman" w:cs="Times New Roman"/>
          <w:lang w:val="en-IE"/>
        </w:rPr>
        <w:t>does not</w:t>
      </w:r>
      <w:r w:rsidR="00003C47" w:rsidRPr="00C73908">
        <w:rPr>
          <w:rFonts w:ascii="Times New Roman" w:hAnsi="Times New Roman" w:cs="Times New Roman"/>
          <w:lang w:val="en-IE"/>
        </w:rPr>
        <w:t xml:space="preserve"> </w:t>
      </w:r>
      <w:r w:rsidR="00781255" w:rsidRPr="00C73908">
        <w:rPr>
          <w:rFonts w:ascii="Times New Roman" w:hAnsi="Times New Roman" w:cs="Times New Roman"/>
          <w:lang w:val="en-IE"/>
        </w:rPr>
        <w:t xml:space="preserve">exacerbate gaps </w:t>
      </w:r>
      <w:r w:rsidR="00124331" w:rsidRPr="00C73908">
        <w:rPr>
          <w:rFonts w:ascii="Times New Roman" w:hAnsi="Times New Roman" w:cs="Times New Roman"/>
          <w:lang w:val="en-IE"/>
        </w:rPr>
        <w:t>due to missing values</w:t>
      </w:r>
      <w:r w:rsidR="00781255" w:rsidRPr="00C73908">
        <w:rPr>
          <w:rFonts w:ascii="Times New Roman" w:hAnsi="Times New Roman" w:cs="Times New Roman"/>
          <w:lang w:val="en-IE"/>
        </w:rPr>
        <w:t xml:space="preserve"> </w:t>
      </w:r>
      <w:r w:rsidR="00565D7D">
        <w:rPr>
          <w:rFonts w:ascii="Times New Roman" w:hAnsi="Times New Roman" w:cs="Times New Roman"/>
          <w:lang w:val="en-IE"/>
        </w:rPr>
        <w:t xml:space="preserve">which can </w:t>
      </w:r>
      <w:r w:rsidR="00781255" w:rsidRPr="00C73908">
        <w:rPr>
          <w:rFonts w:ascii="Times New Roman" w:hAnsi="Times New Roman" w:cs="Times New Roman"/>
          <w:lang w:val="en-IE"/>
        </w:rPr>
        <w:t xml:space="preserve">lead to a lower </w:t>
      </w:r>
      <w:r w:rsidR="007B2BC0" w:rsidRPr="00C73908">
        <w:rPr>
          <w:rFonts w:ascii="Times New Roman" w:hAnsi="Times New Roman" w:cs="Times New Roman"/>
          <w:lang w:val="en-IE"/>
        </w:rPr>
        <w:t>number of</w:t>
      </w:r>
      <w:r w:rsidR="00781255" w:rsidRPr="00C73908">
        <w:rPr>
          <w:rFonts w:ascii="Times New Roman" w:hAnsi="Times New Roman" w:cs="Times New Roman"/>
          <w:lang w:val="en-IE"/>
        </w:rPr>
        <w:t xml:space="preserve"> observations.</w:t>
      </w:r>
      <w:r w:rsidR="00351AA0" w:rsidRPr="00C73908">
        <w:rPr>
          <w:rFonts w:ascii="Times New Roman" w:hAnsi="Times New Roman" w:cs="Times New Roman"/>
          <w:lang w:val="en-IE"/>
        </w:rPr>
        <w:t xml:space="preserve"> </w:t>
      </w:r>
      <w:r w:rsidR="00924A51" w:rsidRPr="00C73908">
        <w:rPr>
          <w:rFonts w:ascii="Times New Roman" w:hAnsi="Times New Roman" w:cs="Times New Roman"/>
          <w:lang w:val="en-IE"/>
        </w:rPr>
        <w:t>Hansen</w:t>
      </w:r>
      <w:r w:rsidR="00313202" w:rsidRPr="00C73908">
        <w:rPr>
          <w:rFonts w:ascii="Times New Roman" w:hAnsi="Times New Roman" w:cs="Times New Roman"/>
          <w:lang w:val="en-IE"/>
        </w:rPr>
        <w:t>’s</w:t>
      </w:r>
      <w:r w:rsidR="00924A51" w:rsidRPr="00C73908">
        <w:rPr>
          <w:rFonts w:ascii="Times New Roman" w:hAnsi="Times New Roman" w:cs="Times New Roman"/>
          <w:lang w:val="en-IE"/>
        </w:rPr>
        <w:t xml:space="preserve"> test </w:t>
      </w:r>
      <w:r w:rsidR="00F8679D" w:rsidRPr="00C73908">
        <w:rPr>
          <w:rFonts w:ascii="Times New Roman" w:hAnsi="Times New Roman" w:cs="Times New Roman"/>
          <w:lang w:val="en-IE"/>
        </w:rPr>
        <w:t>of</w:t>
      </w:r>
      <w:r w:rsidR="00572A96" w:rsidRPr="00C73908">
        <w:rPr>
          <w:rFonts w:ascii="Times New Roman" w:hAnsi="Times New Roman" w:cs="Times New Roman"/>
          <w:lang w:val="en-IE"/>
        </w:rPr>
        <w:t xml:space="preserve"> over-identifying restrictions </w:t>
      </w:r>
      <w:r w:rsidR="00F8679D" w:rsidRPr="00C73908">
        <w:rPr>
          <w:rFonts w:ascii="Times New Roman" w:hAnsi="Times New Roman" w:cs="Times New Roman"/>
          <w:lang w:val="en-IE"/>
        </w:rPr>
        <w:t>is used to test</w:t>
      </w:r>
      <w:r w:rsidR="00313202" w:rsidRPr="00C73908">
        <w:rPr>
          <w:rFonts w:ascii="Times New Roman" w:hAnsi="Times New Roman" w:cs="Times New Roman"/>
          <w:lang w:val="en-IE"/>
        </w:rPr>
        <w:t xml:space="preserve"> the null hypothesis of joint validity of the instruments</w:t>
      </w:r>
      <w:r w:rsidR="00F8679D" w:rsidRPr="00C73908">
        <w:rPr>
          <w:rFonts w:ascii="Times New Roman" w:hAnsi="Times New Roman" w:cs="Times New Roman"/>
          <w:lang w:val="en-IE"/>
        </w:rPr>
        <w:t xml:space="preserve">. </w:t>
      </w:r>
      <w:r w:rsidR="00C5673E" w:rsidRPr="00C73908">
        <w:rPr>
          <w:rFonts w:ascii="Times New Roman" w:hAnsi="Times New Roman" w:cs="Times New Roman"/>
          <w:lang w:val="en-IE"/>
        </w:rPr>
        <w:t xml:space="preserve">The test fails to reject the null hypothesis in all cases </w:t>
      </w:r>
      <w:r w:rsidR="00572A96" w:rsidRPr="00C73908">
        <w:rPr>
          <w:rFonts w:ascii="Times New Roman" w:hAnsi="Times New Roman" w:cs="Times New Roman"/>
          <w:lang w:val="en-IE"/>
        </w:rPr>
        <w:t>and</w:t>
      </w:r>
      <w:r w:rsidR="00C5673E" w:rsidRPr="00C73908">
        <w:rPr>
          <w:rFonts w:ascii="Times New Roman" w:hAnsi="Times New Roman" w:cs="Times New Roman"/>
          <w:lang w:val="en-IE"/>
        </w:rPr>
        <w:t>, therefore,</w:t>
      </w:r>
      <w:r w:rsidR="00572A96" w:rsidRPr="00C73908">
        <w:rPr>
          <w:rFonts w:ascii="Times New Roman" w:hAnsi="Times New Roman" w:cs="Times New Roman"/>
          <w:lang w:val="en-IE"/>
        </w:rPr>
        <w:t xml:space="preserve"> </w:t>
      </w:r>
      <w:r w:rsidR="00B57B0A" w:rsidRPr="00C73908">
        <w:rPr>
          <w:rFonts w:ascii="Times New Roman" w:hAnsi="Times New Roman" w:cs="Times New Roman"/>
          <w:lang w:val="en-IE"/>
        </w:rPr>
        <w:t xml:space="preserve">the </w:t>
      </w:r>
      <w:r w:rsidR="007610F9" w:rsidRPr="00C73908">
        <w:rPr>
          <w:rFonts w:ascii="Times New Roman" w:hAnsi="Times New Roman" w:cs="Times New Roman"/>
          <w:lang w:val="en-IE"/>
        </w:rPr>
        <w:t>instruments are valid.</w:t>
      </w:r>
    </w:p>
    <w:p w14:paraId="7F8DB550" w14:textId="77777777" w:rsidR="0031310D" w:rsidRPr="00C73908" w:rsidRDefault="0031310D" w:rsidP="008A6DF2">
      <w:pPr>
        <w:spacing w:after="240" w:line="360" w:lineRule="auto"/>
        <w:jc w:val="both"/>
        <w:rPr>
          <w:rFonts w:ascii="Times New Roman" w:hAnsi="Times New Roman" w:cs="Times New Roman"/>
          <w:lang w:val="en-IE"/>
        </w:rPr>
      </w:pPr>
    </w:p>
    <w:p w14:paraId="04E11060" w14:textId="77777777" w:rsidR="00D6752C" w:rsidRPr="00C73908" w:rsidRDefault="00D6752C" w:rsidP="00D6752C">
      <w:pPr>
        <w:pStyle w:val="Heading1"/>
        <w:numPr>
          <w:ilvl w:val="0"/>
          <w:numId w:val="4"/>
        </w:numPr>
        <w:spacing w:after="240" w:line="360" w:lineRule="auto"/>
        <w:jc w:val="both"/>
        <w:rPr>
          <w:rFonts w:ascii="Times New Roman" w:hAnsi="Times New Roman" w:cs="Times New Roman"/>
          <w:b/>
          <w:bCs/>
          <w:color w:val="0070C0"/>
          <w:lang w:val="en-IE"/>
        </w:rPr>
      </w:pPr>
      <w:bookmarkStart w:id="29" w:name="_Toc67143565"/>
      <w:bookmarkStart w:id="30" w:name="_Toc69198806"/>
      <w:r w:rsidRPr="00C73908">
        <w:rPr>
          <w:rFonts w:ascii="Times New Roman" w:hAnsi="Times New Roman" w:cs="Times New Roman"/>
          <w:b/>
          <w:bCs/>
          <w:color w:val="0070C0"/>
          <w:lang w:val="en-IE"/>
        </w:rPr>
        <w:t>Results</w:t>
      </w:r>
      <w:bookmarkEnd w:id="29"/>
      <w:bookmarkEnd w:id="30"/>
    </w:p>
    <w:p w14:paraId="6924F78E" w14:textId="12E6E07F" w:rsidR="00D6752C" w:rsidRPr="00C73908" w:rsidRDefault="00D6752C" w:rsidP="009D5B76">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This section presents the outputs from the</w:t>
      </w:r>
      <w:r w:rsidR="001F5C95" w:rsidRPr="00C73908">
        <w:rPr>
          <w:rFonts w:ascii="Times New Roman" w:hAnsi="Times New Roman" w:cs="Times New Roman"/>
          <w:lang w:val="en-IE"/>
        </w:rPr>
        <w:t xml:space="preserve"> system GMM and</w:t>
      </w:r>
      <w:r w:rsidRPr="00C73908">
        <w:rPr>
          <w:rFonts w:ascii="Times New Roman" w:hAnsi="Times New Roman" w:cs="Times New Roman"/>
          <w:lang w:val="en-IE"/>
        </w:rPr>
        <w:t xml:space="preserve"> fixed-effects panel </w:t>
      </w:r>
      <w:r w:rsidR="00F316C5" w:rsidRPr="00C73908">
        <w:rPr>
          <w:rFonts w:ascii="Times New Roman" w:hAnsi="Times New Roman" w:cs="Times New Roman"/>
          <w:lang w:val="en-IE"/>
        </w:rPr>
        <w:t>models</w:t>
      </w:r>
      <w:r w:rsidRPr="00C73908">
        <w:rPr>
          <w:rFonts w:ascii="Times New Roman" w:hAnsi="Times New Roman" w:cs="Times New Roman"/>
          <w:lang w:val="en-IE"/>
        </w:rPr>
        <w:t xml:space="preserve"> with export value as the dependent variable in Table 3 and the number of export markets in Table 4.</w:t>
      </w:r>
      <w:r w:rsidR="00F316C5" w:rsidRPr="00C73908">
        <w:rPr>
          <w:rFonts w:ascii="Times New Roman" w:hAnsi="Times New Roman" w:cs="Times New Roman"/>
          <w:lang w:val="en-IE"/>
        </w:rPr>
        <w:t xml:space="preserve"> System GMM is the preferred mode</w:t>
      </w:r>
      <w:r w:rsidR="000C66F9" w:rsidRPr="00C73908">
        <w:rPr>
          <w:rFonts w:ascii="Times New Roman" w:hAnsi="Times New Roman" w:cs="Times New Roman"/>
          <w:lang w:val="en-IE"/>
        </w:rPr>
        <w:t>l – outputs from the fixed-effects model are also reported for robustness.</w:t>
      </w:r>
      <w:r w:rsidRPr="00C73908">
        <w:rPr>
          <w:rFonts w:ascii="Times New Roman" w:hAnsi="Times New Roman" w:cs="Times New Roman"/>
          <w:lang w:val="en-IE"/>
        </w:rPr>
        <w:t xml:space="preserve"> The analysis is performed separately on three populations: manufactur</w:t>
      </w:r>
      <w:r w:rsidR="003432FC">
        <w:rPr>
          <w:rFonts w:ascii="Times New Roman" w:hAnsi="Times New Roman" w:cs="Times New Roman"/>
          <w:lang w:val="en-IE"/>
        </w:rPr>
        <w:t>ers</w:t>
      </w:r>
      <w:r w:rsidRPr="00C73908">
        <w:rPr>
          <w:rFonts w:ascii="Times New Roman" w:hAnsi="Times New Roman" w:cs="Times New Roman"/>
          <w:lang w:val="en-IE"/>
        </w:rPr>
        <w:t>, services</w:t>
      </w:r>
      <w:r w:rsidR="003432FC">
        <w:rPr>
          <w:rFonts w:ascii="Times New Roman" w:hAnsi="Times New Roman" w:cs="Times New Roman"/>
          <w:lang w:val="en-IE"/>
        </w:rPr>
        <w:t xml:space="preserve"> companies</w:t>
      </w:r>
      <w:r w:rsidRPr="00C73908">
        <w:rPr>
          <w:rFonts w:ascii="Times New Roman" w:hAnsi="Times New Roman" w:cs="Times New Roman"/>
          <w:lang w:val="en-IE"/>
        </w:rPr>
        <w:t>, and</w:t>
      </w:r>
      <w:r w:rsidR="0065650C" w:rsidRPr="00C73908">
        <w:rPr>
          <w:rFonts w:ascii="Times New Roman" w:hAnsi="Times New Roman" w:cs="Times New Roman"/>
          <w:lang w:val="en-IE"/>
        </w:rPr>
        <w:t xml:space="preserve"> a combined sample with</w:t>
      </w:r>
      <w:r w:rsidRPr="00C73908">
        <w:rPr>
          <w:rFonts w:ascii="Times New Roman" w:hAnsi="Times New Roman" w:cs="Times New Roman"/>
          <w:lang w:val="en-IE"/>
        </w:rPr>
        <w:t xml:space="preserve"> all companies. The tables show the estimated coefficients of the regressors</w:t>
      </w:r>
      <w:r w:rsidR="009B7B96" w:rsidRPr="00C73908">
        <w:rPr>
          <w:rFonts w:ascii="Times New Roman" w:hAnsi="Times New Roman" w:cs="Times New Roman"/>
          <w:lang w:val="en-IE"/>
        </w:rPr>
        <w:t xml:space="preserve"> with</w:t>
      </w:r>
      <w:r w:rsidRPr="00C73908">
        <w:rPr>
          <w:rFonts w:ascii="Times New Roman" w:hAnsi="Times New Roman" w:cs="Times New Roman"/>
          <w:lang w:val="en-IE"/>
        </w:rPr>
        <w:t xml:space="preserve"> </w:t>
      </w:r>
      <w:r w:rsidR="00B64D1F" w:rsidRPr="00C73908">
        <w:rPr>
          <w:rFonts w:ascii="Times New Roman" w:hAnsi="Times New Roman" w:cs="Times New Roman"/>
          <w:lang w:val="en-IE"/>
        </w:rPr>
        <w:t xml:space="preserve">corresponding </w:t>
      </w:r>
      <w:r w:rsidRPr="00C73908">
        <w:rPr>
          <w:rFonts w:ascii="Times New Roman" w:hAnsi="Times New Roman" w:cs="Times New Roman"/>
          <w:lang w:val="en-IE"/>
        </w:rPr>
        <w:t>p-values</w:t>
      </w:r>
      <w:r w:rsidR="00B64D1F" w:rsidRPr="00C73908">
        <w:rPr>
          <w:rFonts w:ascii="Times New Roman" w:hAnsi="Times New Roman" w:cs="Times New Roman"/>
          <w:lang w:val="en-IE"/>
        </w:rPr>
        <w:t xml:space="preserve"> in brackets below each coefficient</w:t>
      </w:r>
      <w:r w:rsidRPr="00C73908">
        <w:rPr>
          <w:rFonts w:ascii="Times New Roman" w:hAnsi="Times New Roman" w:cs="Times New Roman"/>
          <w:lang w:val="en-IE"/>
        </w:rPr>
        <w:t xml:space="preserve">. </w:t>
      </w:r>
      <w:r w:rsidR="00C4387D">
        <w:rPr>
          <w:rFonts w:ascii="Times New Roman" w:hAnsi="Times New Roman" w:cs="Times New Roman"/>
          <w:lang w:val="en-IE"/>
        </w:rPr>
        <w:t>The d</w:t>
      </w:r>
      <w:r w:rsidRPr="00C73908">
        <w:rPr>
          <w:rFonts w:ascii="Times New Roman" w:hAnsi="Times New Roman" w:cs="Times New Roman"/>
          <w:lang w:val="en-IE"/>
        </w:rPr>
        <w:t xml:space="preserve">ependent variables and continuous </w:t>
      </w:r>
      <w:r w:rsidR="00EB58B2" w:rsidRPr="00C73908">
        <w:rPr>
          <w:rFonts w:ascii="Times New Roman" w:hAnsi="Times New Roman" w:cs="Times New Roman"/>
          <w:lang w:val="en-IE"/>
        </w:rPr>
        <w:t>regressors</w:t>
      </w:r>
      <w:r w:rsidRPr="00C73908">
        <w:rPr>
          <w:rFonts w:ascii="Times New Roman" w:hAnsi="Times New Roman" w:cs="Times New Roman"/>
          <w:lang w:val="en-IE"/>
        </w:rPr>
        <w:t xml:space="preserve">, such as R&amp;D </w:t>
      </w:r>
      <w:r w:rsidR="00E63463">
        <w:rPr>
          <w:rFonts w:ascii="Times New Roman" w:hAnsi="Times New Roman" w:cs="Times New Roman"/>
          <w:lang w:val="en-IE"/>
        </w:rPr>
        <w:t>s</w:t>
      </w:r>
      <w:r w:rsidRPr="00C73908">
        <w:rPr>
          <w:rFonts w:ascii="Times New Roman" w:hAnsi="Times New Roman" w:cs="Times New Roman"/>
          <w:lang w:val="en-IE"/>
        </w:rPr>
        <w:t xml:space="preserve">pend and </w:t>
      </w:r>
      <w:r w:rsidR="00E63463">
        <w:rPr>
          <w:rFonts w:ascii="Times New Roman" w:hAnsi="Times New Roman" w:cs="Times New Roman"/>
          <w:lang w:val="en-IE"/>
        </w:rPr>
        <w:t>a</w:t>
      </w:r>
      <w:r w:rsidRPr="00C73908">
        <w:rPr>
          <w:rFonts w:ascii="Times New Roman" w:hAnsi="Times New Roman" w:cs="Times New Roman"/>
          <w:lang w:val="en-IE"/>
        </w:rPr>
        <w:t xml:space="preserve">verages </w:t>
      </w:r>
      <w:r w:rsidR="00E63463">
        <w:rPr>
          <w:rFonts w:ascii="Times New Roman" w:hAnsi="Times New Roman" w:cs="Times New Roman"/>
          <w:lang w:val="en-IE"/>
        </w:rPr>
        <w:t>w</w:t>
      </w:r>
      <w:r w:rsidRPr="00C73908">
        <w:rPr>
          <w:rFonts w:ascii="Times New Roman" w:hAnsi="Times New Roman" w:cs="Times New Roman"/>
          <w:lang w:val="en-IE"/>
        </w:rPr>
        <w:t>ages, are log transformed due to the right-skewed distribution of the data</w:t>
      </w:r>
      <w:r w:rsidR="00002D49" w:rsidRPr="00C73908">
        <w:rPr>
          <w:rFonts w:ascii="Times New Roman" w:hAnsi="Times New Roman" w:cs="Times New Roman"/>
          <w:lang w:val="en-IE"/>
        </w:rPr>
        <w:t xml:space="preserve"> w</w:t>
      </w:r>
      <w:r w:rsidR="003F5FD0">
        <w:rPr>
          <w:rFonts w:ascii="Times New Roman" w:hAnsi="Times New Roman" w:cs="Times New Roman"/>
          <w:lang w:val="en-IE"/>
        </w:rPr>
        <w:t>hereby</w:t>
      </w:r>
      <w:r w:rsidR="00002D49" w:rsidRPr="00C73908">
        <w:rPr>
          <w:rFonts w:ascii="Times New Roman" w:hAnsi="Times New Roman" w:cs="Times New Roman"/>
          <w:lang w:val="en-IE"/>
        </w:rPr>
        <w:t xml:space="preserve"> a small number of companies </w:t>
      </w:r>
      <w:r w:rsidR="0046615D" w:rsidRPr="00C73908">
        <w:rPr>
          <w:rFonts w:ascii="Times New Roman" w:hAnsi="Times New Roman" w:cs="Times New Roman"/>
          <w:lang w:val="en-IE"/>
        </w:rPr>
        <w:t>hav</w:t>
      </w:r>
      <w:r w:rsidR="009D5B76">
        <w:rPr>
          <w:rFonts w:ascii="Times New Roman" w:hAnsi="Times New Roman" w:cs="Times New Roman"/>
          <w:lang w:val="en-IE"/>
        </w:rPr>
        <w:t>e</w:t>
      </w:r>
      <w:r w:rsidR="0046615D" w:rsidRPr="00C73908">
        <w:rPr>
          <w:rFonts w:ascii="Times New Roman" w:hAnsi="Times New Roman" w:cs="Times New Roman"/>
          <w:lang w:val="en-IE"/>
        </w:rPr>
        <w:t xml:space="preserve"> much larger values than the rest of the sample</w:t>
      </w:r>
      <w:r w:rsidRPr="00C73908">
        <w:rPr>
          <w:rFonts w:ascii="Times New Roman" w:hAnsi="Times New Roman" w:cs="Times New Roman"/>
          <w:lang w:val="en-IE"/>
        </w:rPr>
        <w:t xml:space="preserve">. Other </w:t>
      </w:r>
      <w:r w:rsidR="003B1859" w:rsidRPr="00C73908">
        <w:rPr>
          <w:rFonts w:ascii="Times New Roman" w:hAnsi="Times New Roman" w:cs="Times New Roman"/>
          <w:lang w:val="en-IE"/>
        </w:rPr>
        <w:t>regressors</w:t>
      </w:r>
      <w:r w:rsidRPr="00C73908">
        <w:rPr>
          <w:rFonts w:ascii="Times New Roman" w:hAnsi="Times New Roman" w:cs="Times New Roman"/>
          <w:lang w:val="en-IE"/>
        </w:rPr>
        <w:t xml:space="preserve"> are dumm</w:t>
      </w:r>
      <w:r w:rsidR="003B1859" w:rsidRPr="00C73908">
        <w:rPr>
          <w:rFonts w:ascii="Times New Roman" w:hAnsi="Times New Roman" w:cs="Times New Roman"/>
          <w:lang w:val="en-IE"/>
        </w:rPr>
        <w:t>y</w:t>
      </w:r>
      <w:r w:rsidRPr="00C73908">
        <w:rPr>
          <w:rFonts w:ascii="Times New Roman" w:hAnsi="Times New Roman" w:cs="Times New Roman"/>
          <w:lang w:val="en-IE"/>
        </w:rPr>
        <w:t xml:space="preserve"> </w:t>
      </w:r>
      <w:r w:rsidR="003B1859" w:rsidRPr="00C73908">
        <w:rPr>
          <w:rFonts w:ascii="Times New Roman" w:hAnsi="Times New Roman" w:cs="Times New Roman"/>
          <w:lang w:val="en-IE"/>
        </w:rPr>
        <w:t xml:space="preserve">variables </w:t>
      </w:r>
      <w:r w:rsidRPr="00C73908">
        <w:rPr>
          <w:rFonts w:ascii="Times New Roman" w:hAnsi="Times New Roman" w:cs="Times New Roman"/>
          <w:lang w:val="en-IE"/>
        </w:rPr>
        <w:t>which take the value 1 if a certain characteristic is present or 0 if it is not. Coefficients of log transformed variables indicate the mean percentage change in the dependent variable based on a 1% change in the independent variable. For example: a coefficient of 1 indicates that a 1% increase in the predictor variable leads to a 1% increase in the value of exports. For dummy variables, the coefficient is interpreted as the percentage change in export value associated with having the relevant characteristic relative to the reference group which does not have that characteristic.</w:t>
      </w:r>
      <w:r w:rsidR="008B043A" w:rsidRPr="00C73908">
        <w:rPr>
          <w:rFonts w:ascii="Times New Roman" w:hAnsi="Times New Roman" w:cs="Times New Roman"/>
          <w:lang w:val="en-IE"/>
        </w:rPr>
        <w:t xml:space="preserve"> </w:t>
      </w:r>
      <w:r w:rsidRPr="00C73908">
        <w:rPr>
          <w:rFonts w:ascii="Times New Roman" w:hAnsi="Times New Roman" w:cs="Times New Roman"/>
          <w:lang w:val="en-IE"/>
        </w:rPr>
        <w:t xml:space="preserve">P-values test the null hypothesis that the coefficient of each variable is equal to 0. A low p-value indicates that the null hypothesis can be rejected and that the regressor does, in fact, have an effect on the value of the dependent variable. </w:t>
      </w:r>
      <w:r w:rsidR="00A54F45" w:rsidRPr="00C73908">
        <w:rPr>
          <w:rFonts w:ascii="Times New Roman" w:hAnsi="Times New Roman" w:cs="Times New Roman"/>
          <w:lang w:val="en-IE"/>
        </w:rPr>
        <w:t>The estimated c</w:t>
      </w:r>
      <w:r w:rsidRPr="00C73908">
        <w:rPr>
          <w:rFonts w:ascii="Times New Roman" w:hAnsi="Times New Roman" w:cs="Times New Roman"/>
          <w:lang w:val="en-IE"/>
        </w:rPr>
        <w:t>oefficients are generally considered to be statistically significant when the p-value is less than 0.05.</w:t>
      </w:r>
    </w:p>
    <w:p w14:paraId="749C070D" w14:textId="457355D7" w:rsidR="00426CA2" w:rsidRPr="00C73908" w:rsidRDefault="007053C5" w:rsidP="008A6DF2">
      <w:pPr>
        <w:pStyle w:val="Heading1"/>
        <w:numPr>
          <w:ilvl w:val="1"/>
          <w:numId w:val="4"/>
        </w:numPr>
        <w:spacing w:after="240" w:line="360" w:lineRule="auto"/>
        <w:jc w:val="both"/>
        <w:rPr>
          <w:rFonts w:ascii="Times New Roman" w:hAnsi="Times New Roman" w:cs="Times New Roman"/>
          <w:b/>
          <w:bCs/>
          <w:color w:val="0070C0"/>
          <w:lang w:val="en-IE"/>
        </w:rPr>
      </w:pPr>
      <w:bookmarkStart w:id="31" w:name="_Toc67143566"/>
      <w:bookmarkStart w:id="32" w:name="_Toc69198807"/>
      <w:r w:rsidRPr="00C73908">
        <w:rPr>
          <w:rFonts w:ascii="Times New Roman" w:hAnsi="Times New Roman" w:cs="Times New Roman"/>
          <w:b/>
          <w:bCs/>
          <w:color w:val="0070C0"/>
          <w:lang w:val="en-IE"/>
        </w:rPr>
        <w:lastRenderedPageBreak/>
        <w:t>Intensive Margin</w:t>
      </w:r>
      <w:bookmarkEnd w:id="31"/>
      <w:bookmarkEnd w:id="32"/>
    </w:p>
    <w:p w14:paraId="20C77FA7" w14:textId="7022F722" w:rsidR="00426CA2" w:rsidRPr="00C73908" w:rsidRDefault="00430AD2" w:rsidP="005C36F0">
      <w:pPr>
        <w:widowControl w:val="0"/>
        <w:autoSpaceDE w:val="0"/>
        <w:autoSpaceDN w:val="0"/>
        <w:adjustRightInd w:val="0"/>
        <w:spacing w:after="0" w:line="240" w:lineRule="auto"/>
        <w:rPr>
          <w:rFonts w:ascii="Times New Roman" w:hAnsi="Times New Roman" w:cs="Times New Roman"/>
          <w:sz w:val="24"/>
          <w:szCs w:val="24"/>
        </w:rPr>
      </w:pPr>
      <w:r w:rsidRPr="00C73908">
        <w:rPr>
          <w:rFonts w:ascii="Times New Roman" w:hAnsi="Times New Roman" w:cs="Times New Roman"/>
          <w:b/>
          <w:bCs/>
        </w:rPr>
        <w:t xml:space="preserve">Table 3: </w:t>
      </w:r>
      <w:r w:rsidR="00426CA2" w:rsidRPr="00C73908">
        <w:rPr>
          <w:rFonts w:ascii="Times New Roman" w:hAnsi="Times New Roman" w:cs="Times New Roman"/>
          <w:b/>
          <w:bCs/>
        </w:rPr>
        <w:t xml:space="preserve">Regression </w:t>
      </w:r>
      <w:r w:rsidR="00E90F95" w:rsidRPr="00C73908">
        <w:rPr>
          <w:rFonts w:ascii="Times New Roman" w:hAnsi="Times New Roman" w:cs="Times New Roman"/>
          <w:b/>
          <w:bCs/>
        </w:rPr>
        <w:t xml:space="preserve">Output – </w:t>
      </w:r>
      <w:r w:rsidR="00E02E82">
        <w:rPr>
          <w:rFonts w:ascii="Times New Roman" w:hAnsi="Times New Roman" w:cs="Times New Roman"/>
          <w:b/>
          <w:bCs/>
        </w:rPr>
        <w:t xml:space="preserve">Dependent Variable is </w:t>
      </w:r>
      <w:r w:rsidR="00E90F95" w:rsidRPr="00C73908">
        <w:rPr>
          <w:rFonts w:ascii="Times New Roman" w:hAnsi="Times New Roman" w:cs="Times New Roman"/>
          <w:b/>
          <w:bCs/>
        </w:rPr>
        <w:t>Export Value</w:t>
      </w:r>
      <w:r w:rsidR="00E02E82">
        <w:rPr>
          <w:rFonts w:ascii="Times New Roman" w:hAnsi="Times New Roman" w:cs="Times New Roman"/>
          <w:b/>
          <w:bCs/>
        </w:rPr>
        <w:t>s</w:t>
      </w:r>
    </w:p>
    <w:tbl>
      <w:tblPr>
        <w:tblW w:w="9493" w:type="dxa"/>
        <w:tblLayout w:type="fixed"/>
        <w:tblCellMar>
          <w:left w:w="57" w:type="dxa"/>
          <w:right w:w="57" w:type="dxa"/>
        </w:tblCellMar>
        <w:tblLook w:val="0000" w:firstRow="0" w:lastRow="0" w:firstColumn="0" w:lastColumn="0" w:noHBand="0" w:noVBand="0"/>
      </w:tblPr>
      <w:tblGrid>
        <w:gridCol w:w="1708"/>
        <w:gridCol w:w="1297"/>
        <w:gridCol w:w="1298"/>
        <w:gridCol w:w="1297"/>
        <w:gridCol w:w="1298"/>
        <w:gridCol w:w="1297"/>
        <w:gridCol w:w="1298"/>
      </w:tblGrid>
      <w:tr w:rsidR="00743140" w:rsidRPr="00C73908" w14:paraId="51071900" w14:textId="77777777" w:rsidTr="004C5C29">
        <w:trPr>
          <w:trHeight w:val="283"/>
        </w:trPr>
        <w:tc>
          <w:tcPr>
            <w:tcW w:w="1708" w:type="dxa"/>
            <w:tcBorders>
              <w:top w:val="single" w:sz="4" w:space="0" w:color="auto"/>
              <w:left w:val="single" w:sz="4" w:space="0" w:color="auto"/>
              <w:right w:val="single" w:sz="4" w:space="0" w:color="auto"/>
            </w:tcBorders>
            <w:shd w:val="clear" w:color="auto" w:fill="0070C0"/>
            <w:vAlign w:val="center"/>
          </w:tcPr>
          <w:p w14:paraId="49E59299" w14:textId="0503E1CF" w:rsidR="00743140" w:rsidRPr="00D7417D" w:rsidRDefault="00743140" w:rsidP="008F32EB">
            <w:pPr>
              <w:widowControl w:val="0"/>
              <w:autoSpaceDE w:val="0"/>
              <w:autoSpaceDN w:val="0"/>
              <w:adjustRightInd w:val="0"/>
              <w:spacing w:after="0" w:line="240" w:lineRule="auto"/>
              <w:rPr>
                <w:rFonts w:ascii="Times New Roman" w:hAnsi="Times New Roman" w:cs="Times New Roman"/>
                <w:b/>
                <w:bCs/>
                <w:color w:val="FFFFFF" w:themeColor="background1"/>
              </w:rPr>
            </w:pPr>
            <w:r w:rsidRPr="00D7417D">
              <w:rPr>
                <w:rFonts w:ascii="Times New Roman" w:hAnsi="Times New Roman" w:cs="Times New Roman"/>
                <w:b/>
                <w:bCs/>
                <w:color w:val="FFFFFF" w:themeColor="background1"/>
              </w:rPr>
              <w:t>Dep Variable:</w:t>
            </w:r>
          </w:p>
        </w:tc>
        <w:tc>
          <w:tcPr>
            <w:tcW w:w="2595" w:type="dxa"/>
            <w:gridSpan w:val="2"/>
            <w:tcBorders>
              <w:top w:val="single" w:sz="4" w:space="0" w:color="auto"/>
              <w:left w:val="single" w:sz="4" w:space="0" w:color="auto"/>
              <w:right w:val="single" w:sz="4" w:space="0" w:color="auto"/>
            </w:tcBorders>
            <w:shd w:val="clear" w:color="auto" w:fill="0070C0"/>
            <w:vAlign w:val="center"/>
          </w:tcPr>
          <w:p w14:paraId="321E52A3" w14:textId="4B76582A" w:rsidR="00743140" w:rsidRPr="00D7417D" w:rsidRDefault="00743140" w:rsidP="008F32EB">
            <w:pPr>
              <w:widowControl w:val="0"/>
              <w:autoSpaceDE w:val="0"/>
              <w:autoSpaceDN w:val="0"/>
              <w:adjustRightInd w:val="0"/>
              <w:spacing w:after="0" w:line="240" w:lineRule="auto"/>
              <w:jc w:val="center"/>
              <w:rPr>
                <w:rFonts w:ascii="Times New Roman" w:hAnsi="Times New Roman" w:cs="Times New Roman"/>
                <w:b/>
                <w:bCs/>
                <w:color w:val="FFFFFF" w:themeColor="background1"/>
              </w:rPr>
            </w:pPr>
            <w:r w:rsidRPr="00D7417D">
              <w:rPr>
                <w:rFonts w:ascii="Times New Roman" w:hAnsi="Times New Roman" w:cs="Times New Roman"/>
                <w:b/>
                <w:bCs/>
                <w:color w:val="FFFFFF" w:themeColor="background1"/>
              </w:rPr>
              <w:t>All Companies</w:t>
            </w:r>
          </w:p>
        </w:tc>
        <w:tc>
          <w:tcPr>
            <w:tcW w:w="2595" w:type="dxa"/>
            <w:gridSpan w:val="2"/>
            <w:tcBorders>
              <w:top w:val="single" w:sz="4" w:space="0" w:color="auto"/>
              <w:left w:val="single" w:sz="4" w:space="0" w:color="auto"/>
              <w:right w:val="single" w:sz="4" w:space="0" w:color="auto"/>
            </w:tcBorders>
            <w:shd w:val="clear" w:color="auto" w:fill="0070C0"/>
            <w:vAlign w:val="center"/>
          </w:tcPr>
          <w:p w14:paraId="090FFDA7" w14:textId="0C2963B5" w:rsidR="00743140" w:rsidRPr="00D7417D" w:rsidRDefault="00743140" w:rsidP="008F32EB">
            <w:pPr>
              <w:widowControl w:val="0"/>
              <w:autoSpaceDE w:val="0"/>
              <w:autoSpaceDN w:val="0"/>
              <w:adjustRightInd w:val="0"/>
              <w:spacing w:after="0" w:line="240" w:lineRule="auto"/>
              <w:jc w:val="center"/>
              <w:rPr>
                <w:rFonts w:ascii="Times New Roman" w:hAnsi="Times New Roman" w:cs="Times New Roman"/>
                <w:b/>
                <w:bCs/>
                <w:color w:val="FFFFFF" w:themeColor="background1"/>
              </w:rPr>
            </w:pPr>
            <w:r w:rsidRPr="00D7417D">
              <w:rPr>
                <w:rFonts w:ascii="Times New Roman" w:hAnsi="Times New Roman" w:cs="Times New Roman"/>
                <w:b/>
                <w:bCs/>
                <w:color w:val="FFFFFF" w:themeColor="background1"/>
              </w:rPr>
              <w:t>Manufacturing</w:t>
            </w:r>
          </w:p>
        </w:tc>
        <w:tc>
          <w:tcPr>
            <w:tcW w:w="2595" w:type="dxa"/>
            <w:gridSpan w:val="2"/>
            <w:tcBorders>
              <w:top w:val="single" w:sz="4" w:space="0" w:color="auto"/>
              <w:left w:val="single" w:sz="4" w:space="0" w:color="auto"/>
              <w:right w:val="single" w:sz="4" w:space="0" w:color="auto"/>
            </w:tcBorders>
            <w:shd w:val="clear" w:color="auto" w:fill="0070C0"/>
            <w:vAlign w:val="center"/>
          </w:tcPr>
          <w:p w14:paraId="5D278ADD" w14:textId="4FF8E924" w:rsidR="00743140" w:rsidRPr="00D7417D" w:rsidRDefault="00743140" w:rsidP="008F32EB">
            <w:pPr>
              <w:widowControl w:val="0"/>
              <w:autoSpaceDE w:val="0"/>
              <w:autoSpaceDN w:val="0"/>
              <w:adjustRightInd w:val="0"/>
              <w:spacing w:after="0" w:line="240" w:lineRule="auto"/>
              <w:jc w:val="center"/>
              <w:rPr>
                <w:rFonts w:ascii="Times New Roman" w:hAnsi="Times New Roman" w:cs="Times New Roman"/>
                <w:b/>
                <w:bCs/>
                <w:color w:val="FFFFFF" w:themeColor="background1"/>
              </w:rPr>
            </w:pPr>
            <w:r w:rsidRPr="00D7417D">
              <w:rPr>
                <w:rFonts w:ascii="Times New Roman" w:hAnsi="Times New Roman" w:cs="Times New Roman"/>
                <w:b/>
                <w:bCs/>
                <w:color w:val="FFFFFF" w:themeColor="background1"/>
              </w:rPr>
              <w:t>Services</w:t>
            </w:r>
          </w:p>
        </w:tc>
      </w:tr>
      <w:tr w:rsidR="001D1B4E" w:rsidRPr="00C73908" w14:paraId="2BB3B3EE" w14:textId="075D37AF" w:rsidTr="004C5C29">
        <w:trPr>
          <w:trHeight w:val="283"/>
        </w:trPr>
        <w:tc>
          <w:tcPr>
            <w:tcW w:w="1708" w:type="dxa"/>
            <w:tcBorders>
              <w:left w:val="single" w:sz="4" w:space="0" w:color="auto"/>
              <w:bottom w:val="single" w:sz="4" w:space="0" w:color="auto"/>
              <w:right w:val="single" w:sz="4" w:space="0" w:color="auto"/>
            </w:tcBorders>
            <w:shd w:val="clear" w:color="auto" w:fill="8EAADB" w:themeFill="accent1" w:themeFillTint="99"/>
            <w:vAlign w:val="center"/>
          </w:tcPr>
          <w:p w14:paraId="2078DBF2" w14:textId="688C458B" w:rsidR="001D1B4E" w:rsidRPr="00C73908" w:rsidRDefault="001D1B4E" w:rsidP="001D1B4E">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Ln_Exports</w:t>
            </w:r>
          </w:p>
        </w:tc>
        <w:tc>
          <w:tcPr>
            <w:tcW w:w="1297" w:type="dxa"/>
            <w:tcBorders>
              <w:left w:val="single" w:sz="4" w:space="0" w:color="auto"/>
              <w:bottom w:val="single" w:sz="4" w:space="0" w:color="auto"/>
            </w:tcBorders>
            <w:shd w:val="clear" w:color="auto" w:fill="8EAADB" w:themeFill="accent1" w:themeFillTint="99"/>
            <w:vAlign w:val="center"/>
          </w:tcPr>
          <w:p w14:paraId="579AA82E" w14:textId="2322FC06" w:rsidR="001D1B4E" w:rsidRPr="00C73908" w:rsidRDefault="001D1B4E" w:rsidP="001D1B4E">
            <w:pPr>
              <w:widowControl w:val="0"/>
              <w:autoSpaceDE w:val="0"/>
              <w:autoSpaceDN w:val="0"/>
              <w:adjustRightInd w:val="0"/>
              <w:spacing w:after="0" w:line="240" w:lineRule="auto"/>
              <w:jc w:val="center"/>
              <w:rPr>
                <w:rFonts w:ascii="Times New Roman" w:hAnsi="Times New Roman" w:cs="Times New Roman"/>
                <w:b/>
                <w:bCs/>
                <w:sz w:val="20"/>
                <w:szCs w:val="20"/>
              </w:rPr>
            </w:pPr>
            <w:r w:rsidRPr="00C73908">
              <w:rPr>
                <w:rFonts w:ascii="Times New Roman" w:hAnsi="Times New Roman" w:cs="Times New Roman"/>
                <w:b/>
                <w:bCs/>
                <w:sz w:val="20"/>
                <w:szCs w:val="20"/>
              </w:rPr>
              <w:t>GMM</w:t>
            </w:r>
          </w:p>
        </w:tc>
        <w:tc>
          <w:tcPr>
            <w:tcW w:w="1298" w:type="dxa"/>
            <w:tcBorders>
              <w:bottom w:val="single" w:sz="4" w:space="0" w:color="auto"/>
              <w:right w:val="single" w:sz="4" w:space="0" w:color="auto"/>
            </w:tcBorders>
            <w:shd w:val="clear" w:color="auto" w:fill="8EAADB" w:themeFill="accent1" w:themeFillTint="99"/>
            <w:vAlign w:val="center"/>
          </w:tcPr>
          <w:p w14:paraId="32087214" w14:textId="518E28A1" w:rsidR="001D1B4E" w:rsidRPr="00C73908" w:rsidRDefault="001D1B4E" w:rsidP="001D1B4E">
            <w:pPr>
              <w:widowControl w:val="0"/>
              <w:autoSpaceDE w:val="0"/>
              <w:autoSpaceDN w:val="0"/>
              <w:adjustRightInd w:val="0"/>
              <w:spacing w:after="0" w:line="240" w:lineRule="auto"/>
              <w:jc w:val="center"/>
              <w:rPr>
                <w:rFonts w:ascii="Times New Roman" w:hAnsi="Times New Roman" w:cs="Times New Roman"/>
                <w:b/>
                <w:bCs/>
                <w:sz w:val="20"/>
                <w:szCs w:val="20"/>
              </w:rPr>
            </w:pPr>
            <w:r w:rsidRPr="00C73908">
              <w:rPr>
                <w:rFonts w:ascii="Times New Roman" w:hAnsi="Times New Roman" w:cs="Times New Roman"/>
                <w:b/>
                <w:bCs/>
                <w:sz w:val="20"/>
                <w:szCs w:val="20"/>
              </w:rPr>
              <w:t>FE</w:t>
            </w:r>
          </w:p>
        </w:tc>
        <w:tc>
          <w:tcPr>
            <w:tcW w:w="1297" w:type="dxa"/>
            <w:tcBorders>
              <w:left w:val="single" w:sz="4" w:space="0" w:color="auto"/>
              <w:bottom w:val="single" w:sz="4" w:space="0" w:color="auto"/>
            </w:tcBorders>
            <w:shd w:val="clear" w:color="auto" w:fill="8EAADB" w:themeFill="accent1" w:themeFillTint="99"/>
          </w:tcPr>
          <w:p w14:paraId="090D4701" w14:textId="042336EB" w:rsidR="001D1B4E" w:rsidRPr="00C73908" w:rsidRDefault="001D1B4E" w:rsidP="001D1B4E">
            <w:pPr>
              <w:widowControl w:val="0"/>
              <w:autoSpaceDE w:val="0"/>
              <w:autoSpaceDN w:val="0"/>
              <w:adjustRightInd w:val="0"/>
              <w:spacing w:after="0" w:line="240" w:lineRule="auto"/>
              <w:jc w:val="center"/>
              <w:rPr>
                <w:rFonts w:ascii="Times New Roman" w:hAnsi="Times New Roman" w:cs="Times New Roman"/>
                <w:b/>
                <w:bCs/>
                <w:sz w:val="20"/>
                <w:szCs w:val="20"/>
              </w:rPr>
            </w:pPr>
            <w:r w:rsidRPr="00C73908">
              <w:rPr>
                <w:rFonts w:ascii="Times New Roman" w:hAnsi="Times New Roman" w:cs="Times New Roman"/>
                <w:b/>
                <w:bCs/>
                <w:sz w:val="20"/>
                <w:szCs w:val="20"/>
              </w:rPr>
              <w:t>GMM</w:t>
            </w:r>
          </w:p>
        </w:tc>
        <w:tc>
          <w:tcPr>
            <w:tcW w:w="1298" w:type="dxa"/>
            <w:tcBorders>
              <w:bottom w:val="single" w:sz="4" w:space="0" w:color="auto"/>
              <w:right w:val="single" w:sz="4" w:space="0" w:color="auto"/>
            </w:tcBorders>
            <w:shd w:val="clear" w:color="auto" w:fill="8EAADB" w:themeFill="accent1" w:themeFillTint="99"/>
          </w:tcPr>
          <w:p w14:paraId="3A3BAE63" w14:textId="21E5D238" w:rsidR="001D1B4E" w:rsidRPr="00C73908" w:rsidRDefault="001D1B4E" w:rsidP="001D1B4E">
            <w:pPr>
              <w:widowControl w:val="0"/>
              <w:autoSpaceDE w:val="0"/>
              <w:autoSpaceDN w:val="0"/>
              <w:adjustRightInd w:val="0"/>
              <w:spacing w:after="0" w:line="240" w:lineRule="auto"/>
              <w:jc w:val="center"/>
              <w:rPr>
                <w:rFonts w:ascii="Times New Roman" w:hAnsi="Times New Roman" w:cs="Times New Roman"/>
                <w:b/>
                <w:bCs/>
                <w:sz w:val="20"/>
                <w:szCs w:val="20"/>
              </w:rPr>
            </w:pPr>
            <w:r w:rsidRPr="00C73908">
              <w:rPr>
                <w:rFonts w:ascii="Times New Roman" w:hAnsi="Times New Roman" w:cs="Times New Roman"/>
                <w:b/>
                <w:bCs/>
                <w:sz w:val="20"/>
                <w:szCs w:val="20"/>
              </w:rPr>
              <w:t>FE</w:t>
            </w:r>
          </w:p>
        </w:tc>
        <w:tc>
          <w:tcPr>
            <w:tcW w:w="1297" w:type="dxa"/>
            <w:tcBorders>
              <w:left w:val="single" w:sz="4" w:space="0" w:color="auto"/>
              <w:bottom w:val="single" w:sz="4" w:space="0" w:color="auto"/>
            </w:tcBorders>
            <w:shd w:val="clear" w:color="auto" w:fill="8EAADB" w:themeFill="accent1" w:themeFillTint="99"/>
          </w:tcPr>
          <w:p w14:paraId="1E9DEDAC" w14:textId="38A25A14" w:rsidR="001D1B4E" w:rsidRPr="00C73908" w:rsidRDefault="001D1B4E" w:rsidP="001D1B4E">
            <w:pPr>
              <w:widowControl w:val="0"/>
              <w:autoSpaceDE w:val="0"/>
              <w:autoSpaceDN w:val="0"/>
              <w:adjustRightInd w:val="0"/>
              <w:spacing w:after="0" w:line="240" w:lineRule="auto"/>
              <w:jc w:val="center"/>
              <w:rPr>
                <w:rFonts w:ascii="Times New Roman" w:hAnsi="Times New Roman" w:cs="Times New Roman"/>
                <w:b/>
                <w:bCs/>
                <w:sz w:val="20"/>
                <w:szCs w:val="20"/>
              </w:rPr>
            </w:pPr>
            <w:r w:rsidRPr="00C73908">
              <w:rPr>
                <w:rFonts w:ascii="Times New Roman" w:hAnsi="Times New Roman" w:cs="Times New Roman"/>
                <w:b/>
                <w:bCs/>
                <w:sz w:val="20"/>
                <w:szCs w:val="20"/>
              </w:rPr>
              <w:t>GMM</w:t>
            </w:r>
          </w:p>
        </w:tc>
        <w:tc>
          <w:tcPr>
            <w:tcW w:w="1298" w:type="dxa"/>
            <w:tcBorders>
              <w:bottom w:val="single" w:sz="4" w:space="0" w:color="auto"/>
              <w:right w:val="single" w:sz="4" w:space="0" w:color="auto"/>
            </w:tcBorders>
            <w:shd w:val="clear" w:color="auto" w:fill="8EAADB" w:themeFill="accent1" w:themeFillTint="99"/>
          </w:tcPr>
          <w:p w14:paraId="1E2DEECC" w14:textId="44A2B497" w:rsidR="001D1B4E" w:rsidRPr="00C73908" w:rsidRDefault="001D1B4E" w:rsidP="001D1B4E">
            <w:pPr>
              <w:widowControl w:val="0"/>
              <w:autoSpaceDE w:val="0"/>
              <w:autoSpaceDN w:val="0"/>
              <w:adjustRightInd w:val="0"/>
              <w:spacing w:after="0" w:line="240" w:lineRule="auto"/>
              <w:jc w:val="center"/>
              <w:rPr>
                <w:rFonts w:ascii="Times New Roman" w:hAnsi="Times New Roman" w:cs="Times New Roman"/>
                <w:b/>
                <w:bCs/>
                <w:sz w:val="20"/>
                <w:szCs w:val="20"/>
              </w:rPr>
            </w:pPr>
            <w:r w:rsidRPr="00C73908">
              <w:rPr>
                <w:rFonts w:ascii="Times New Roman" w:hAnsi="Times New Roman" w:cs="Times New Roman"/>
                <w:b/>
                <w:bCs/>
                <w:sz w:val="20"/>
                <w:szCs w:val="20"/>
              </w:rPr>
              <w:t>FE</w:t>
            </w:r>
          </w:p>
        </w:tc>
      </w:tr>
      <w:tr w:rsidR="00370520" w:rsidRPr="00C73908" w14:paraId="032F01DE" w14:textId="51E81E1A" w:rsidTr="004C5C29">
        <w:tc>
          <w:tcPr>
            <w:tcW w:w="1708" w:type="dxa"/>
            <w:tcBorders>
              <w:top w:val="single" w:sz="4" w:space="0" w:color="auto"/>
              <w:left w:val="single" w:sz="4" w:space="0" w:color="auto"/>
              <w:bottom w:val="nil"/>
              <w:right w:val="single" w:sz="4" w:space="0" w:color="auto"/>
            </w:tcBorders>
            <w:vAlign w:val="center"/>
          </w:tcPr>
          <w:p w14:paraId="280A8023"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Ln_VAperEmp</w:t>
            </w:r>
          </w:p>
        </w:tc>
        <w:tc>
          <w:tcPr>
            <w:tcW w:w="1297" w:type="dxa"/>
            <w:tcBorders>
              <w:top w:val="single" w:sz="4" w:space="0" w:color="auto"/>
              <w:left w:val="single" w:sz="4" w:space="0" w:color="auto"/>
              <w:bottom w:val="nil"/>
            </w:tcBorders>
          </w:tcPr>
          <w:p w14:paraId="2FED7317"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-.026</w:t>
            </w:r>
          </w:p>
          <w:p w14:paraId="35E28DEA" w14:textId="141843C8"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(.002 ***)</w:t>
            </w:r>
          </w:p>
        </w:tc>
        <w:tc>
          <w:tcPr>
            <w:tcW w:w="1298" w:type="dxa"/>
            <w:tcBorders>
              <w:top w:val="single" w:sz="4" w:space="0" w:color="auto"/>
              <w:bottom w:val="nil"/>
              <w:right w:val="single" w:sz="4" w:space="0" w:color="auto"/>
            </w:tcBorders>
            <w:vAlign w:val="center"/>
          </w:tcPr>
          <w:p w14:paraId="0C22418F"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-.003</w:t>
            </w:r>
          </w:p>
          <w:p w14:paraId="5C426DE4" w14:textId="003F3BD1"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(.478)</w:t>
            </w:r>
          </w:p>
        </w:tc>
        <w:tc>
          <w:tcPr>
            <w:tcW w:w="1297" w:type="dxa"/>
            <w:tcBorders>
              <w:top w:val="single" w:sz="4" w:space="0" w:color="auto"/>
              <w:left w:val="single" w:sz="4" w:space="0" w:color="auto"/>
              <w:bottom w:val="nil"/>
            </w:tcBorders>
          </w:tcPr>
          <w:p w14:paraId="6855C391"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w:t>
            </w:r>
          </w:p>
          <w:p w14:paraId="7B7EA994" w14:textId="095A4D5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(0.198)</w:t>
            </w:r>
          </w:p>
        </w:tc>
        <w:tc>
          <w:tcPr>
            <w:tcW w:w="1298" w:type="dxa"/>
            <w:tcBorders>
              <w:top w:val="single" w:sz="4" w:space="0" w:color="auto"/>
              <w:bottom w:val="nil"/>
              <w:right w:val="single" w:sz="4" w:space="0" w:color="auto"/>
            </w:tcBorders>
          </w:tcPr>
          <w:p w14:paraId="72A814C7"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-0.005</w:t>
            </w:r>
          </w:p>
          <w:p w14:paraId="3DF65BD4" w14:textId="55BDEFDF"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(0.313)</w:t>
            </w:r>
          </w:p>
        </w:tc>
        <w:tc>
          <w:tcPr>
            <w:tcW w:w="1297" w:type="dxa"/>
            <w:tcBorders>
              <w:top w:val="single" w:sz="4" w:space="0" w:color="auto"/>
              <w:left w:val="single" w:sz="4" w:space="0" w:color="auto"/>
              <w:bottom w:val="nil"/>
            </w:tcBorders>
          </w:tcPr>
          <w:p w14:paraId="19F5A149"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-0.023</w:t>
            </w:r>
          </w:p>
          <w:p w14:paraId="2F2D980D" w14:textId="6179B32F"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(0.038</w:t>
            </w:r>
            <w:r w:rsidR="006A28CD" w:rsidRPr="00C73908">
              <w:rPr>
                <w:rFonts w:ascii="Times New Roman" w:hAnsi="Times New Roman" w:cs="Times New Roman"/>
                <w:sz w:val="20"/>
                <w:szCs w:val="20"/>
              </w:rPr>
              <w:t xml:space="preserve"> **</w:t>
            </w:r>
            <w:r w:rsidRPr="00C73908">
              <w:rPr>
                <w:rFonts w:ascii="Times New Roman" w:hAnsi="Times New Roman" w:cs="Times New Roman"/>
                <w:sz w:val="20"/>
                <w:szCs w:val="20"/>
              </w:rPr>
              <w:t>)</w:t>
            </w:r>
          </w:p>
        </w:tc>
        <w:tc>
          <w:tcPr>
            <w:tcW w:w="1298" w:type="dxa"/>
            <w:tcBorders>
              <w:top w:val="single" w:sz="4" w:space="0" w:color="auto"/>
              <w:bottom w:val="nil"/>
              <w:right w:val="single" w:sz="4" w:space="0" w:color="auto"/>
            </w:tcBorders>
          </w:tcPr>
          <w:p w14:paraId="0AC69211"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-0.001</w:t>
            </w:r>
          </w:p>
          <w:p w14:paraId="50D7B385" w14:textId="4043F97A"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(0.885)</w:t>
            </w:r>
          </w:p>
        </w:tc>
      </w:tr>
      <w:tr w:rsidR="00370520" w:rsidRPr="00C73908" w14:paraId="63F59D29" w14:textId="7D5304A0" w:rsidTr="004C5C29">
        <w:tc>
          <w:tcPr>
            <w:tcW w:w="1708" w:type="dxa"/>
            <w:tcBorders>
              <w:top w:val="nil"/>
              <w:left w:val="single" w:sz="4" w:space="0" w:color="auto"/>
              <w:bottom w:val="nil"/>
              <w:right w:val="single" w:sz="4" w:space="0" w:color="auto"/>
            </w:tcBorders>
            <w:shd w:val="clear" w:color="auto" w:fill="D9E2F3" w:themeFill="accent1" w:themeFillTint="33"/>
            <w:vAlign w:val="center"/>
          </w:tcPr>
          <w:p w14:paraId="3D675EA4" w14:textId="591CA7C6" w:rsidR="00370520" w:rsidRPr="00C73908" w:rsidRDefault="00370520" w:rsidP="00370520">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Capital/LEAN</w:t>
            </w:r>
          </w:p>
        </w:tc>
        <w:tc>
          <w:tcPr>
            <w:tcW w:w="1297" w:type="dxa"/>
            <w:tcBorders>
              <w:top w:val="nil"/>
              <w:left w:val="single" w:sz="4" w:space="0" w:color="auto"/>
              <w:bottom w:val="nil"/>
            </w:tcBorders>
            <w:shd w:val="clear" w:color="auto" w:fill="D9E2F3" w:themeFill="accent1" w:themeFillTint="33"/>
          </w:tcPr>
          <w:p w14:paraId="549FB8D8"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.369</w:t>
            </w:r>
          </w:p>
          <w:p w14:paraId="41A68DE0" w14:textId="7BB80B5E"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(.012 **)</w:t>
            </w:r>
          </w:p>
        </w:tc>
        <w:tc>
          <w:tcPr>
            <w:tcW w:w="1298" w:type="dxa"/>
            <w:tcBorders>
              <w:top w:val="nil"/>
              <w:bottom w:val="nil"/>
              <w:right w:val="single" w:sz="4" w:space="0" w:color="auto"/>
            </w:tcBorders>
            <w:shd w:val="clear" w:color="auto" w:fill="D9E2F3" w:themeFill="accent1" w:themeFillTint="33"/>
            <w:vAlign w:val="center"/>
          </w:tcPr>
          <w:p w14:paraId="4AFEB898"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.074</w:t>
            </w:r>
          </w:p>
          <w:p w14:paraId="13612747" w14:textId="1CD22666"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(.036 **)</w:t>
            </w:r>
          </w:p>
        </w:tc>
        <w:tc>
          <w:tcPr>
            <w:tcW w:w="1297" w:type="dxa"/>
            <w:tcBorders>
              <w:top w:val="nil"/>
              <w:left w:val="single" w:sz="4" w:space="0" w:color="auto"/>
              <w:bottom w:val="nil"/>
            </w:tcBorders>
            <w:shd w:val="clear" w:color="auto" w:fill="D9E2F3" w:themeFill="accent1" w:themeFillTint="33"/>
          </w:tcPr>
          <w:p w14:paraId="37119682"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0.21</w:t>
            </w:r>
          </w:p>
          <w:p w14:paraId="112C821F" w14:textId="67FB137F"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(0.063 *)</w:t>
            </w:r>
          </w:p>
        </w:tc>
        <w:tc>
          <w:tcPr>
            <w:tcW w:w="1298" w:type="dxa"/>
            <w:tcBorders>
              <w:top w:val="nil"/>
              <w:bottom w:val="nil"/>
              <w:right w:val="single" w:sz="4" w:space="0" w:color="auto"/>
            </w:tcBorders>
            <w:shd w:val="clear" w:color="auto" w:fill="D9E2F3" w:themeFill="accent1" w:themeFillTint="33"/>
          </w:tcPr>
          <w:p w14:paraId="7979FB4F"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0.038</w:t>
            </w:r>
          </w:p>
          <w:p w14:paraId="5BE1F244" w14:textId="215FF656"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(0.213)</w:t>
            </w:r>
          </w:p>
        </w:tc>
        <w:tc>
          <w:tcPr>
            <w:tcW w:w="1297" w:type="dxa"/>
            <w:tcBorders>
              <w:top w:val="nil"/>
              <w:left w:val="single" w:sz="4" w:space="0" w:color="auto"/>
              <w:bottom w:val="nil"/>
            </w:tcBorders>
            <w:shd w:val="clear" w:color="auto" w:fill="D9E2F3" w:themeFill="accent1" w:themeFillTint="33"/>
          </w:tcPr>
          <w:p w14:paraId="1370BDEA"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0.161</w:t>
            </w:r>
          </w:p>
          <w:p w14:paraId="06180E9F" w14:textId="5103A228"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(0.558)</w:t>
            </w:r>
          </w:p>
        </w:tc>
        <w:tc>
          <w:tcPr>
            <w:tcW w:w="1298" w:type="dxa"/>
            <w:tcBorders>
              <w:top w:val="nil"/>
              <w:bottom w:val="nil"/>
              <w:right w:val="single" w:sz="4" w:space="0" w:color="auto"/>
            </w:tcBorders>
            <w:shd w:val="clear" w:color="auto" w:fill="D9E2F3" w:themeFill="accent1" w:themeFillTint="33"/>
          </w:tcPr>
          <w:p w14:paraId="54ABE9B0"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0.282</w:t>
            </w:r>
          </w:p>
          <w:p w14:paraId="74E55646" w14:textId="333D6080"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(.082 *)</w:t>
            </w:r>
          </w:p>
        </w:tc>
      </w:tr>
      <w:tr w:rsidR="00370520" w:rsidRPr="00C73908" w14:paraId="72EB8722" w14:textId="75F525CD" w:rsidTr="004C5C29">
        <w:tc>
          <w:tcPr>
            <w:tcW w:w="1708" w:type="dxa"/>
            <w:tcBorders>
              <w:top w:val="nil"/>
              <w:left w:val="single" w:sz="4" w:space="0" w:color="auto"/>
              <w:bottom w:val="nil"/>
              <w:right w:val="single" w:sz="4" w:space="0" w:color="auto"/>
            </w:tcBorders>
            <w:vAlign w:val="center"/>
          </w:tcPr>
          <w:p w14:paraId="609B1EF6"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Ln_RDSpend</w:t>
            </w:r>
          </w:p>
        </w:tc>
        <w:tc>
          <w:tcPr>
            <w:tcW w:w="1297" w:type="dxa"/>
            <w:tcBorders>
              <w:top w:val="nil"/>
              <w:left w:val="single" w:sz="4" w:space="0" w:color="auto"/>
              <w:bottom w:val="nil"/>
            </w:tcBorders>
          </w:tcPr>
          <w:p w14:paraId="2386C9A1"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.041</w:t>
            </w:r>
          </w:p>
          <w:p w14:paraId="39FFA0E1" w14:textId="2F6DE20C"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(.003 ***)</w:t>
            </w:r>
          </w:p>
        </w:tc>
        <w:tc>
          <w:tcPr>
            <w:tcW w:w="1298" w:type="dxa"/>
            <w:tcBorders>
              <w:top w:val="nil"/>
              <w:bottom w:val="nil"/>
              <w:right w:val="single" w:sz="4" w:space="0" w:color="auto"/>
            </w:tcBorders>
            <w:vAlign w:val="center"/>
          </w:tcPr>
          <w:p w14:paraId="1236820C"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.037</w:t>
            </w:r>
          </w:p>
          <w:p w14:paraId="059C6122" w14:textId="17E2F85F"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(.004 ***)</w:t>
            </w:r>
          </w:p>
        </w:tc>
        <w:tc>
          <w:tcPr>
            <w:tcW w:w="1297" w:type="dxa"/>
            <w:tcBorders>
              <w:top w:val="nil"/>
              <w:left w:val="single" w:sz="4" w:space="0" w:color="auto"/>
              <w:bottom w:val="nil"/>
            </w:tcBorders>
          </w:tcPr>
          <w:p w14:paraId="5FA2FC19"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0.042</w:t>
            </w:r>
          </w:p>
          <w:p w14:paraId="5B470F92" w14:textId="34BC974F"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(0.018 **)</w:t>
            </w:r>
          </w:p>
        </w:tc>
        <w:tc>
          <w:tcPr>
            <w:tcW w:w="1298" w:type="dxa"/>
            <w:tcBorders>
              <w:top w:val="nil"/>
              <w:bottom w:val="nil"/>
              <w:right w:val="single" w:sz="4" w:space="0" w:color="auto"/>
            </w:tcBorders>
          </w:tcPr>
          <w:p w14:paraId="58B6E09B"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0.032</w:t>
            </w:r>
          </w:p>
          <w:p w14:paraId="710C397C" w14:textId="74F0E610"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(.069 *)</w:t>
            </w:r>
          </w:p>
        </w:tc>
        <w:tc>
          <w:tcPr>
            <w:tcW w:w="1297" w:type="dxa"/>
            <w:tcBorders>
              <w:top w:val="nil"/>
              <w:left w:val="single" w:sz="4" w:space="0" w:color="auto"/>
              <w:bottom w:val="nil"/>
            </w:tcBorders>
          </w:tcPr>
          <w:p w14:paraId="36F02EAF"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0.039</w:t>
            </w:r>
          </w:p>
          <w:p w14:paraId="7D0639FD" w14:textId="1CD6B849"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(0.022</w:t>
            </w:r>
            <w:r w:rsidR="005F2F56" w:rsidRPr="00C73908">
              <w:rPr>
                <w:rFonts w:ascii="Times New Roman" w:hAnsi="Times New Roman" w:cs="Times New Roman"/>
                <w:sz w:val="20"/>
                <w:szCs w:val="20"/>
              </w:rPr>
              <w:t xml:space="preserve"> **</w:t>
            </w:r>
            <w:r w:rsidRPr="00C73908">
              <w:rPr>
                <w:rFonts w:ascii="Times New Roman" w:hAnsi="Times New Roman" w:cs="Times New Roman"/>
                <w:sz w:val="20"/>
                <w:szCs w:val="20"/>
              </w:rPr>
              <w:t>)</w:t>
            </w:r>
          </w:p>
        </w:tc>
        <w:tc>
          <w:tcPr>
            <w:tcW w:w="1298" w:type="dxa"/>
            <w:tcBorders>
              <w:top w:val="nil"/>
              <w:bottom w:val="nil"/>
              <w:right w:val="single" w:sz="4" w:space="0" w:color="auto"/>
            </w:tcBorders>
          </w:tcPr>
          <w:p w14:paraId="1A1F60F4"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0.043</w:t>
            </w:r>
          </w:p>
          <w:p w14:paraId="58B82A20" w14:textId="0832A638"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(.024 **)</w:t>
            </w:r>
          </w:p>
        </w:tc>
      </w:tr>
      <w:tr w:rsidR="00370520" w:rsidRPr="00C73908" w14:paraId="7AC0757A" w14:textId="69FC7F16" w:rsidTr="004C5C29">
        <w:tc>
          <w:tcPr>
            <w:tcW w:w="1708" w:type="dxa"/>
            <w:tcBorders>
              <w:top w:val="nil"/>
              <w:left w:val="single" w:sz="4" w:space="0" w:color="auto"/>
              <w:bottom w:val="nil"/>
              <w:right w:val="single" w:sz="4" w:space="0" w:color="auto"/>
            </w:tcBorders>
            <w:shd w:val="clear" w:color="auto" w:fill="D9E2F3" w:themeFill="accent1" w:themeFillTint="33"/>
            <w:vAlign w:val="center"/>
          </w:tcPr>
          <w:p w14:paraId="50AC16AA"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NewProductSales</w:t>
            </w:r>
          </w:p>
        </w:tc>
        <w:tc>
          <w:tcPr>
            <w:tcW w:w="1297" w:type="dxa"/>
            <w:tcBorders>
              <w:top w:val="nil"/>
              <w:left w:val="single" w:sz="4" w:space="0" w:color="auto"/>
              <w:bottom w:val="nil"/>
            </w:tcBorders>
            <w:shd w:val="clear" w:color="auto" w:fill="D9E2F3" w:themeFill="accent1" w:themeFillTint="33"/>
          </w:tcPr>
          <w:p w14:paraId="0B9A09BD"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.002</w:t>
            </w:r>
          </w:p>
          <w:p w14:paraId="74EE6693" w14:textId="774F4D2A"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(.97)</w:t>
            </w:r>
          </w:p>
        </w:tc>
        <w:tc>
          <w:tcPr>
            <w:tcW w:w="1298" w:type="dxa"/>
            <w:tcBorders>
              <w:top w:val="nil"/>
              <w:bottom w:val="nil"/>
              <w:right w:val="single" w:sz="4" w:space="0" w:color="auto"/>
            </w:tcBorders>
            <w:shd w:val="clear" w:color="auto" w:fill="D9E2F3" w:themeFill="accent1" w:themeFillTint="33"/>
            <w:vAlign w:val="center"/>
          </w:tcPr>
          <w:p w14:paraId="5D265BE1"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.051</w:t>
            </w:r>
          </w:p>
          <w:p w14:paraId="125B648B" w14:textId="4D88C92B"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(.088 *)</w:t>
            </w:r>
          </w:p>
        </w:tc>
        <w:tc>
          <w:tcPr>
            <w:tcW w:w="1297" w:type="dxa"/>
            <w:tcBorders>
              <w:top w:val="nil"/>
              <w:left w:val="single" w:sz="4" w:space="0" w:color="auto"/>
              <w:bottom w:val="nil"/>
            </w:tcBorders>
            <w:shd w:val="clear" w:color="auto" w:fill="D9E2F3" w:themeFill="accent1" w:themeFillTint="33"/>
          </w:tcPr>
          <w:p w14:paraId="7AB1DE8F"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0.111</w:t>
            </w:r>
          </w:p>
          <w:p w14:paraId="572CD42E" w14:textId="72D9ABC4"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(0.088 *)</w:t>
            </w:r>
          </w:p>
        </w:tc>
        <w:tc>
          <w:tcPr>
            <w:tcW w:w="1298" w:type="dxa"/>
            <w:tcBorders>
              <w:top w:val="nil"/>
              <w:bottom w:val="nil"/>
              <w:right w:val="single" w:sz="4" w:space="0" w:color="auto"/>
            </w:tcBorders>
            <w:shd w:val="clear" w:color="auto" w:fill="D9E2F3" w:themeFill="accent1" w:themeFillTint="33"/>
          </w:tcPr>
          <w:p w14:paraId="00A85077"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0.088</w:t>
            </w:r>
          </w:p>
          <w:p w14:paraId="15A013C0" w14:textId="4D0CD731"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(.023 **)</w:t>
            </w:r>
          </w:p>
        </w:tc>
        <w:tc>
          <w:tcPr>
            <w:tcW w:w="1297" w:type="dxa"/>
            <w:tcBorders>
              <w:top w:val="nil"/>
              <w:left w:val="single" w:sz="4" w:space="0" w:color="auto"/>
              <w:bottom w:val="nil"/>
            </w:tcBorders>
            <w:shd w:val="clear" w:color="auto" w:fill="D9E2F3" w:themeFill="accent1" w:themeFillTint="33"/>
          </w:tcPr>
          <w:p w14:paraId="0C983B50"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0.011</w:t>
            </w:r>
          </w:p>
          <w:p w14:paraId="39227A74" w14:textId="08C51A8D"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(0.879)</w:t>
            </w:r>
          </w:p>
        </w:tc>
        <w:tc>
          <w:tcPr>
            <w:tcW w:w="1298" w:type="dxa"/>
            <w:tcBorders>
              <w:top w:val="nil"/>
              <w:bottom w:val="nil"/>
              <w:right w:val="single" w:sz="4" w:space="0" w:color="auto"/>
            </w:tcBorders>
            <w:shd w:val="clear" w:color="auto" w:fill="D9E2F3" w:themeFill="accent1" w:themeFillTint="33"/>
          </w:tcPr>
          <w:p w14:paraId="513E99FA"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0.012</w:t>
            </w:r>
          </w:p>
          <w:p w14:paraId="16A44C5B" w14:textId="60BD1795"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(0.799)</w:t>
            </w:r>
          </w:p>
        </w:tc>
      </w:tr>
      <w:tr w:rsidR="00370520" w:rsidRPr="00C73908" w14:paraId="68C72DC5" w14:textId="3EDAC94A" w:rsidTr="004C5C29">
        <w:tc>
          <w:tcPr>
            <w:tcW w:w="1708" w:type="dxa"/>
            <w:tcBorders>
              <w:top w:val="nil"/>
              <w:left w:val="single" w:sz="4" w:space="0" w:color="auto"/>
              <w:bottom w:val="nil"/>
              <w:right w:val="single" w:sz="4" w:space="0" w:color="auto"/>
            </w:tcBorders>
            <w:vAlign w:val="center"/>
          </w:tcPr>
          <w:p w14:paraId="4467B225"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CollabRD</w:t>
            </w:r>
          </w:p>
        </w:tc>
        <w:tc>
          <w:tcPr>
            <w:tcW w:w="1297" w:type="dxa"/>
            <w:tcBorders>
              <w:top w:val="nil"/>
              <w:left w:val="single" w:sz="4" w:space="0" w:color="auto"/>
              <w:bottom w:val="nil"/>
            </w:tcBorders>
          </w:tcPr>
          <w:p w14:paraId="5BC0CE3D"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.004</w:t>
            </w:r>
          </w:p>
          <w:p w14:paraId="592A13C6" w14:textId="05FCC1FB"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(.961)</w:t>
            </w:r>
          </w:p>
        </w:tc>
        <w:tc>
          <w:tcPr>
            <w:tcW w:w="1298" w:type="dxa"/>
            <w:tcBorders>
              <w:top w:val="nil"/>
              <w:bottom w:val="nil"/>
              <w:right w:val="single" w:sz="4" w:space="0" w:color="auto"/>
            </w:tcBorders>
            <w:vAlign w:val="center"/>
          </w:tcPr>
          <w:p w14:paraId="408EBC51"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.024</w:t>
            </w:r>
          </w:p>
          <w:p w14:paraId="0C5B85D9" w14:textId="7F1A95EA"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(.539)</w:t>
            </w:r>
          </w:p>
        </w:tc>
        <w:tc>
          <w:tcPr>
            <w:tcW w:w="1297" w:type="dxa"/>
            <w:tcBorders>
              <w:top w:val="nil"/>
              <w:left w:val="single" w:sz="4" w:space="0" w:color="auto"/>
              <w:bottom w:val="nil"/>
            </w:tcBorders>
          </w:tcPr>
          <w:p w14:paraId="157FD28D"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w:t>
            </w:r>
          </w:p>
          <w:p w14:paraId="2E2A942C" w14:textId="59CC810E"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(0.916)</w:t>
            </w:r>
          </w:p>
        </w:tc>
        <w:tc>
          <w:tcPr>
            <w:tcW w:w="1298" w:type="dxa"/>
            <w:tcBorders>
              <w:top w:val="nil"/>
              <w:bottom w:val="nil"/>
              <w:right w:val="single" w:sz="4" w:space="0" w:color="auto"/>
            </w:tcBorders>
          </w:tcPr>
          <w:p w14:paraId="6173A16D"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0.032</w:t>
            </w:r>
          </w:p>
          <w:p w14:paraId="6F6CA90B" w14:textId="3AD6E749"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(0.521)</w:t>
            </w:r>
          </w:p>
        </w:tc>
        <w:tc>
          <w:tcPr>
            <w:tcW w:w="1297" w:type="dxa"/>
            <w:tcBorders>
              <w:top w:val="nil"/>
              <w:left w:val="single" w:sz="4" w:space="0" w:color="auto"/>
              <w:bottom w:val="nil"/>
            </w:tcBorders>
          </w:tcPr>
          <w:p w14:paraId="409BD647"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-0.003</w:t>
            </w:r>
          </w:p>
          <w:p w14:paraId="369E0F8C" w14:textId="6A545709"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(0.983)</w:t>
            </w:r>
          </w:p>
        </w:tc>
        <w:tc>
          <w:tcPr>
            <w:tcW w:w="1298" w:type="dxa"/>
            <w:tcBorders>
              <w:top w:val="nil"/>
              <w:bottom w:val="nil"/>
              <w:right w:val="single" w:sz="4" w:space="0" w:color="auto"/>
            </w:tcBorders>
          </w:tcPr>
          <w:p w14:paraId="387AC679"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0.013</w:t>
            </w:r>
          </w:p>
          <w:p w14:paraId="6A6901EF" w14:textId="1C8514C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(0.844)</w:t>
            </w:r>
          </w:p>
        </w:tc>
      </w:tr>
      <w:tr w:rsidR="00370520" w:rsidRPr="00C73908" w14:paraId="68DD4296" w14:textId="3744A144" w:rsidTr="004C5C29">
        <w:tc>
          <w:tcPr>
            <w:tcW w:w="1708" w:type="dxa"/>
            <w:tcBorders>
              <w:top w:val="nil"/>
              <w:left w:val="single" w:sz="4" w:space="0" w:color="auto"/>
              <w:bottom w:val="nil"/>
              <w:right w:val="single" w:sz="4" w:space="0" w:color="auto"/>
            </w:tcBorders>
            <w:shd w:val="clear" w:color="auto" w:fill="D9E2F3" w:themeFill="accent1" w:themeFillTint="33"/>
            <w:vAlign w:val="center"/>
          </w:tcPr>
          <w:p w14:paraId="3C33DC72"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Ln_Wages</w:t>
            </w:r>
          </w:p>
        </w:tc>
        <w:tc>
          <w:tcPr>
            <w:tcW w:w="1297" w:type="dxa"/>
            <w:tcBorders>
              <w:top w:val="nil"/>
              <w:left w:val="single" w:sz="4" w:space="0" w:color="auto"/>
              <w:bottom w:val="nil"/>
            </w:tcBorders>
            <w:shd w:val="clear" w:color="auto" w:fill="D9E2F3" w:themeFill="accent1" w:themeFillTint="33"/>
          </w:tcPr>
          <w:p w14:paraId="7D41BC90"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.156</w:t>
            </w:r>
          </w:p>
          <w:p w14:paraId="2C9CE140" w14:textId="06F76051"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(.138)</w:t>
            </w:r>
          </w:p>
        </w:tc>
        <w:tc>
          <w:tcPr>
            <w:tcW w:w="1298" w:type="dxa"/>
            <w:tcBorders>
              <w:top w:val="nil"/>
              <w:bottom w:val="nil"/>
              <w:right w:val="single" w:sz="4" w:space="0" w:color="auto"/>
            </w:tcBorders>
            <w:shd w:val="clear" w:color="auto" w:fill="D9E2F3" w:themeFill="accent1" w:themeFillTint="33"/>
            <w:vAlign w:val="center"/>
          </w:tcPr>
          <w:p w14:paraId="48CD5C9A"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.056</w:t>
            </w:r>
          </w:p>
          <w:p w14:paraId="7B5BC729" w14:textId="6FAD497E"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(.315)</w:t>
            </w:r>
          </w:p>
        </w:tc>
        <w:tc>
          <w:tcPr>
            <w:tcW w:w="1297" w:type="dxa"/>
            <w:tcBorders>
              <w:top w:val="nil"/>
              <w:left w:val="single" w:sz="4" w:space="0" w:color="auto"/>
              <w:bottom w:val="nil"/>
            </w:tcBorders>
            <w:shd w:val="clear" w:color="auto" w:fill="D9E2F3" w:themeFill="accent1" w:themeFillTint="33"/>
          </w:tcPr>
          <w:p w14:paraId="0BE36A54"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-0.078</w:t>
            </w:r>
          </w:p>
          <w:p w14:paraId="0AF45C18" w14:textId="6A244120"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(0.506)</w:t>
            </w:r>
          </w:p>
        </w:tc>
        <w:tc>
          <w:tcPr>
            <w:tcW w:w="1298" w:type="dxa"/>
            <w:tcBorders>
              <w:top w:val="nil"/>
              <w:bottom w:val="nil"/>
              <w:right w:val="single" w:sz="4" w:space="0" w:color="auto"/>
            </w:tcBorders>
            <w:shd w:val="clear" w:color="auto" w:fill="D9E2F3" w:themeFill="accent1" w:themeFillTint="33"/>
          </w:tcPr>
          <w:p w14:paraId="0B91A3E7"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0.115</w:t>
            </w:r>
          </w:p>
          <w:p w14:paraId="02B994B3" w14:textId="22435146"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(0.165)</w:t>
            </w:r>
          </w:p>
        </w:tc>
        <w:tc>
          <w:tcPr>
            <w:tcW w:w="1297" w:type="dxa"/>
            <w:tcBorders>
              <w:top w:val="nil"/>
              <w:left w:val="single" w:sz="4" w:space="0" w:color="auto"/>
              <w:bottom w:val="nil"/>
            </w:tcBorders>
            <w:shd w:val="clear" w:color="auto" w:fill="D9E2F3" w:themeFill="accent1" w:themeFillTint="33"/>
          </w:tcPr>
          <w:p w14:paraId="6AD0483F"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0.196</w:t>
            </w:r>
          </w:p>
          <w:p w14:paraId="248A4DF4" w14:textId="0CF16356"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(0.086</w:t>
            </w:r>
            <w:r w:rsidR="005F2F56" w:rsidRPr="00C73908">
              <w:rPr>
                <w:rFonts w:ascii="Times New Roman" w:hAnsi="Times New Roman" w:cs="Times New Roman"/>
                <w:sz w:val="20"/>
                <w:szCs w:val="20"/>
              </w:rPr>
              <w:t xml:space="preserve"> *</w:t>
            </w:r>
            <w:r w:rsidRPr="00C73908">
              <w:rPr>
                <w:rFonts w:ascii="Times New Roman" w:hAnsi="Times New Roman" w:cs="Times New Roman"/>
                <w:sz w:val="20"/>
                <w:szCs w:val="20"/>
              </w:rPr>
              <w:t>)</w:t>
            </w:r>
          </w:p>
        </w:tc>
        <w:tc>
          <w:tcPr>
            <w:tcW w:w="1298" w:type="dxa"/>
            <w:tcBorders>
              <w:top w:val="nil"/>
              <w:bottom w:val="nil"/>
              <w:right w:val="single" w:sz="4" w:space="0" w:color="auto"/>
            </w:tcBorders>
            <w:shd w:val="clear" w:color="auto" w:fill="D9E2F3" w:themeFill="accent1" w:themeFillTint="33"/>
          </w:tcPr>
          <w:p w14:paraId="56764B86"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0.017</w:t>
            </w:r>
          </w:p>
          <w:p w14:paraId="5EEB7AE1" w14:textId="4414365C"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(0.816)</w:t>
            </w:r>
          </w:p>
        </w:tc>
      </w:tr>
      <w:tr w:rsidR="00370520" w:rsidRPr="00C73908" w14:paraId="7D753631" w14:textId="77777777" w:rsidTr="004C5C29">
        <w:tc>
          <w:tcPr>
            <w:tcW w:w="1708" w:type="dxa"/>
            <w:tcBorders>
              <w:top w:val="nil"/>
              <w:left w:val="single" w:sz="4" w:space="0" w:color="auto"/>
              <w:bottom w:val="nil"/>
              <w:right w:val="single" w:sz="4" w:space="0" w:color="auto"/>
            </w:tcBorders>
            <w:shd w:val="clear" w:color="auto" w:fill="auto"/>
            <w:vAlign w:val="center"/>
          </w:tcPr>
          <w:p w14:paraId="01BBF4AD" w14:textId="7CE90FDF" w:rsidR="00370520" w:rsidRPr="00C73908" w:rsidRDefault="00370520" w:rsidP="00370520">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Ln_Training</w:t>
            </w:r>
          </w:p>
        </w:tc>
        <w:tc>
          <w:tcPr>
            <w:tcW w:w="1297" w:type="dxa"/>
            <w:tcBorders>
              <w:top w:val="nil"/>
              <w:left w:val="single" w:sz="4" w:space="0" w:color="auto"/>
              <w:bottom w:val="nil"/>
            </w:tcBorders>
            <w:shd w:val="clear" w:color="auto" w:fill="auto"/>
          </w:tcPr>
          <w:p w14:paraId="055F7AD6"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-.023</w:t>
            </w:r>
          </w:p>
          <w:p w14:paraId="22A64EBE" w14:textId="4438B39C"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(.309)</w:t>
            </w:r>
          </w:p>
        </w:tc>
        <w:tc>
          <w:tcPr>
            <w:tcW w:w="1298" w:type="dxa"/>
            <w:tcBorders>
              <w:top w:val="nil"/>
              <w:bottom w:val="nil"/>
              <w:right w:val="single" w:sz="4" w:space="0" w:color="auto"/>
            </w:tcBorders>
            <w:shd w:val="clear" w:color="auto" w:fill="auto"/>
            <w:vAlign w:val="center"/>
          </w:tcPr>
          <w:p w14:paraId="7494663B"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.035</w:t>
            </w:r>
          </w:p>
          <w:p w14:paraId="43FA0ED9" w14:textId="7B1C8284"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(.029 **)</w:t>
            </w:r>
          </w:p>
        </w:tc>
        <w:tc>
          <w:tcPr>
            <w:tcW w:w="1297" w:type="dxa"/>
            <w:tcBorders>
              <w:top w:val="nil"/>
              <w:left w:val="single" w:sz="4" w:space="0" w:color="auto"/>
              <w:bottom w:val="nil"/>
            </w:tcBorders>
            <w:shd w:val="clear" w:color="auto" w:fill="auto"/>
          </w:tcPr>
          <w:p w14:paraId="54362BCC"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-0.017</w:t>
            </w:r>
          </w:p>
          <w:p w14:paraId="6B186DB3" w14:textId="0772A525"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(0.491)</w:t>
            </w:r>
          </w:p>
        </w:tc>
        <w:tc>
          <w:tcPr>
            <w:tcW w:w="1298" w:type="dxa"/>
            <w:tcBorders>
              <w:top w:val="nil"/>
              <w:bottom w:val="nil"/>
              <w:right w:val="single" w:sz="4" w:space="0" w:color="auto"/>
            </w:tcBorders>
            <w:shd w:val="clear" w:color="auto" w:fill="auto"/>
          </w:tcPr>
          <w:p w14:paraId="160CCB47"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0.033</w:t>
            </w:r>
          </w:p>
          <w:p w14:paraId="52EAAC2A" w14:textId="7CD1C202"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(0.11)</w:t>
            </w:r>
          </w:p>
        </w:tc>
        <w:tc>
          <w:tcPr>
            <w:tcW w:w="1297" w:type="dxa"/>
            <w:tcBorders>
              <w:top w:val="nil"/>
              <w:left w:val="single" w:sz="4" w:space="0" w:color="auto"/>
              <w:bottom w:val="nil"/>
            </w:tcBorders>
            <w:shd w:val="clear" w:color="auto" w:fill="auto"/>
          </w:tcPr>
          <w:p w14:paraId="5EE2B9D0"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-0.016</w:t>
            </w:r>
          </w:p>
          <w:p w14:paraId="0FDB9FFA" w14:textId="1F88D1BB"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(0.626)</w:t>
            </w:r>
          </w:p>
        </w:tc>
        <w:tc>
          <w:tcPr>
            <w:tcW w:w="1298" w:type="dxa"/>
            <w:tcBorders>
              <w:top w:val="nil"/>
              <w:bottom w:val="nil"/>
              <w:right w:val="single" w:sz="4" w:space="0" w:color="auto"/>
            </w:tcBorders>
          </w:tcPr>
          <w:p w14:paraId="0A87EC81" w14:textId="1B88C5B1"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0.039</w:t>
            </w:r>
          </w:p>
          <w:p w14:paraId="27BC4A25" w14:textId="133C474C"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(0.116)</w:t>
            </w:r>
          </w:p>
        </w:tc>
      </w:tr>
      <w:tr w:rsidR="00370520" w:rsidRPr="00C73908" w14:paraId="5383796C" w14:textId="40DB870C" w:rsidTr="004C5C29">
        <w:tc>
          <w:tcPr>
            <w:tcW w:w="1708" w:type="dxa"/>
            <w:tcBorders>
              <w:top w:val="nil"/>
              <w:left w:val="single" w:sz="4" w:space="0" w:color="auto"/>
              <w:bottom w:val="nil"/>
              <w:right w:val="single" w:sz="4" w:space="0" w:color="auto"/>
            </w:tcBorders>
            <w:shd w:val="clear" w:color="auto" w:fill="D9E2F3" w:themeFill="accent1" w:themeFillTint="33"/>
            <w:vAlign w:val="center"/>
          </w:tcPr>
          <w:p w14:paraId="4A6F6D8A"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ExportPromo</w:t>
            </w:r>
          </w:p>
        </w:tc>
        <w:tc>
          <w:tcPr>
            <w:tcW w:w="1297" w:type="dxa"/>
            <w:tcBorders>
              <w:top w:val="nil"/>
              <w:left w:val="single" w:sz="4" w:space="0" w:color="auto"/>
              <w:bottom w:val="nil"/>
            </w:tcBorders>
            <w:shd w:val="clear" w:color="auto" w:fill="D9E2F3" w:themeFill="accent1" w:themeFillTint="33"/>
          </w:tcPr>
          <w:p w14:paraId="11022DA5"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.07</w:t>
            </w:r>
          </w:p>
          <w:p w14:paraId="2FCA2FBC" w14:textId="32255A76"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(.518)</w:t>
            </w:r>
          </w:p>
        </w:tc>
        <w:tc>
          <w:tcPr>
            <w:tcW w:w="1298" w:type="dxa"/>
            <w:tcBorders>
              <w:top w:val="nil"/>
              <w:bottom w:val="nil"/>
              <w:right w:val="single" w:sz="4" w:space="0" w:color="auto"/>
            </w:tcBorders>
            <w:shd w:val="clear" w:color="auto" w:fill="D9E2F3" w:themeFill="accent1" w:themeFillTint="33"/>
            <w:vAlign w:val="center"/>
          </w:tcPr>
          <w:p w14:paraId="39DEB061"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.059</w:t>
            </w:r>
          </w:p>
          <w:p w14:paraId="68D6C1D6" w14:textId="09B33F7B"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(.085 *)</w:t>
            </w:r>
          </w:p>
        </w:tc>
        <w:tc>
          <w:tcPr>
            <w:tcW w:w="1297" w:type="dxa"/>
            <w:tcBorders>
              <w:top w:val="nil"/>
              <w:left w:val="single" w:sz="4" w:space="0" w:color="auto"/>
              <w:bottom w:val="nil"/>
            </w:tcBorders>
            <w:shd w:val="clear" w:color="auto" w:fill="D9E2F3" w:themeFill="accent1" w:themeFillTint="33"/>
          </w:tcPr>
          <w:p w14:paraId="1DF7880A"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0.26</w:t>
            </w:r>
          </w:p>
          <w:p w14:paraId="11D72090" w14:textId="5EE44E55"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(0.018 **)</w:t>
            </w:r>
          </w:p>
        </w:tc>
        <w:tc>
          <w:tcPr>
            <w:tcW w:w="1298" w:type="dxa"/>
            <w:tcBorders>
              <w:top w:val="nil"/>
              <w:bottom w:val="nil"/>
              <w:right w:val="single" w:sz="4" w:space="0" w:color="auto"/>
            </w:tcBorders>
            <w:shd w:val="clear" w:color="auto" w:fill="D9E2F3" w:themeFill="accent1" w:themeFillTint="33"/>
          </w:tcPr>
          <w:p w14:paraId="400D14EB"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0.003</w:t>
            </w:r>
          </w:p>
          <w:p w14:paraId="412FA7E0" w14:textId="48249FA3"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(0.942)</w:t>
            </w:r>
          </w:p>
        </w:tc>
        <w:tc>
          <w:tcPr>
            <w:tcW w:w="1297" w:type="dxa"/>
            <w:tcBorders>
              <w:top w:val="nil"/>
              <w:left w:val="single" w:sz="4" w:space="0" w:color="auto"/>
              <w:bottom w:val="nil"/>
            </w:tcBorders>
            <w:shd w:val="clear" w:color="auto" w:fill="D9E2F3" w:themeFill="accent1" w:themeFillTint="33"/>
          </w:tcPr>
          <w:p w14:paraId="2D5CA82B"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0.136</w:t>
            </w:r>
          </w:p>
          <w:p w14:paraId="5C480F65" w14:textId="7138DBFF"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(0.287)</w:t>
            </w:r>
          </w:p>
        </w:tc>
        <w:tc>
          <w:tcPr>
            <w:tcW w:w="1298" w:type="dxa"/>
            <w:tcBorders>
              <w:top w:val="nil"/>
              <w:bottom w:val="nil"/>
              <w:right w:val="single" w:sz="4" w:space="0" w:color="auto"/>
            </w:tcBorders>
            <w:shd w:val="clear" w:color="auto" w:fill="D9E2F3" w:themeFill="accent1" w:themeFillTint="33"/>
          </w:tcPr>
          <w:p w14:paraId="5C4FACF3"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0.117</w:t>
            </w:r>
          </w:p>
          <w:p w14:paraId="40D8B6D1" w14:textId="5E076236"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(.05 *)</w:t>
            </w:r>
          </w:p>
        </w:tc>
      </w:tr>
      <w:tr w:rsidR="00370520" w:rsidRPr="00C73908" w14:paraId="30C6B8FE" w14:textId="4D3D08CE" w:rsidTr="004C5C29">
        <w:tc>
          <w:tcPr>
            <w:tcW w:w="1708" w:type="dxa"/>
            <w:tcBorders>
              <w:top w:val="nil"/>
              <w:left w:val="single" w:sz="4" w:space="0" w:color="auto"/>
              <w:bottom w:val="nil"/>
              <w:right w:val="single" w:sz="4" w:space="0" w:color="auto"/>
            </w:tcBorders>
            <w:shd w:val="clear" w:color="auto" w:fill="FFFFFF" w:themeFill="background1"/>
            <w:vAlign w:val="center"/>
          </w:tcPr>
          <w:p w14:paraId="75D5F501" w14:textId="177C1FE9" w:rsidR="00370520" w:rsidRPr="00C73908" w:rsidRDefault="00370520" w:rsidP="00370520">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OverseasSupport</w:t>
            </w:r>
          </w:p>
        </w:tc>
        <w:tc>
          <w:tcPr>
            <w:tcW w:w="1297" w:type="dxa"/>
            <w:tcBorders>
              <w:top w:val="nil"/>
              <w:left w:val="single" w:sz="4" w:space="0" w:color="auto"/>
              <w:bottom w:val="nil"/>
            </w:tcBorders>
            <w:shd w:val="clear" w:color="auto" w:fill="FFFFFF" w:themeFill="background1"/>
          </w:tcPr>
          <w:p w14:paraId="26735458"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.256</w:t>
            </w:r>
          </w:p>
          <w:p w14:paraId="2C252039" w14:textId="15ACE76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(.003 ***)</w:t>
            </w:r>
          </w:p>
        </w:tc>
        <w:tc>
          <w:tcPr>
            <w:tcW w:w="1298" w:type="dxa"/>
            <w:tcBorders>
              <w:top w:val="nil"/>
              <w:bottom w:val="nil"/>
              <w:right w:val="single" w:sz="4" w:space="0" w:color="auto"/>
            </w:tcBorders>
            <w:shd w:val="clear" w:color="auto" w:fill="FFFFFF" w:themeFill="background1"/>
            <w:vAlign w:val="center"/>
          </w:tcPr>
          <w:p w14:paraId="0A82F629"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.09</w:t>
            </w:r>
          </w:p>
          <w:p w14:paraId="1074014F" w14:textId="51C5D063"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 ***)</w:t>
            </w:r>
          </w:p>
        </w:tc>
        <w:tc>
          <w:tcPr>
            <w:tcW w:w="1297" w:type="dxa"/>
            <w:tcBorders>
              <w:top w:val="nil"/>
              <w:left w:val="single" w:sz="4" w:space="0" w:color="auto"/>
              <w:bottom w:val="nil"/>
            </w:tcBorders>
            <w:shd w:val="clear" w:color="auto" w:fill="FFFFFF" w:themeFill="background1"/>
          </w:tcPr>
          <w:p w14:paraId="23AE5DB4"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0.216</w:t>
            </w:r>
          </w:p>
          <w:p w14:paraId="4D62FF74" w14:textId="661EF79E"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(0.015 **)</w:t>
            </w:r>
          </w:p>
        </w:tc>
        <w:tc>
          <w:tcPr>
            <w:tcW w:w="1298" w:type="dxa"/>
            <w:tcBorders>
              <w:top w:val="nil"/>
              <w:bottom w:val="nil"/>
              <w:right w:val="single" w:sz="4" w:space="0" w:color="auto"/>
            </w:tcBorders>
            <w:shd w:val="clear" w:color="auto" w:fill="FFFFFF" w:themeFill="background1"/>
          </w:tcPr>
          <w:p w14:paraId="6F772931"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0.108</w:t>
            </w:r>
          </w:p>
          <w:p w14:paraId="09D94CC9" w14:textId="467772AD"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 ***)</w:t>
            </w:r>
          </w:p>
        </w:tc>
        <w:tc>
          <w:tcPr>
            <w:tcW w:w="1297" w:type="dxa"/>
            <w:tcBorders>
              <w:top w:val="nil"/>
              <w:left w:val="single" w:sz="4" w:space="0" w:color="auto"/>
              <w:bottom w:val="nil"/>
            </w:tcBorders>
            <w:shd w:val="clear" w:color="auto" w:fill="FFFFFF" w:themeFill="background1"/>
          </w:tcPr>
          <w:p w14:paraId="2BFC6A65"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0.285</w:t>
            </w:r>
          </w:p>
          <w:p w14:paraId="7063692C" w14:textId="6544B661"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(0.002</w:t>
            </w:r>
            <w:r w:rsidR="005F2F56" w:rsidRPr="00C73908">
              <w:rPr>
                <w:rFonts w:ascii="Times New Roman" w:hAnsi="Times New Roman" w:cs="Times New Roman"/>
                <w:sz w:val="20"/>
                <w:szCs w:val="20"/>
              </w:rPr>
              <w:t xml:space="preserve"> ***</w:t>
            </w:r>
            <w:r w:rsidRPr="00C73908">
              <w:rPr>
                <w:rFonts w:ascii="Times New Roman" w:hAnsi="Times New Roman" w:cs="Times New Roman"/>
                <w:sz w:val="20"/>
                <w:szCs w:val="20"/>
              </w:rPr>
              <w:t>)</w:t>
            </w:r>
          </w:p>
        </w:tc>
        <w:tc>
          <w:tcPr>
            <w:tcW w:w="1298" w:type="dxa"/>
            <w:tcBorders>
              <w:top w:val="nil"/>
              <w:bottom w:val="nil"/>
              <w:right w:val="single" w:sz="4" w:space="0" w:color="auto"/>
            </w:tcBorders>
            <w:shd w:val="clear" w:color="auto" w:fill="FFFFFF" w:themeFill="background1"/>
          </w:tcPr>
          <w:p w14:paraId="785D6785"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0.074</w:t>
            </w:r>
          </w:p>
          <w:p w14:paraId="39879703" w14:textId="6C7C51DC"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(.082 *)</w:t>
            </w:r>
          </w:p>
        </w:tc>
      </w:tr>
      <w:tr w:rsidR="00370520" w:rsidRPr="00C73908" w14:paraId="51623412" w14:textId="4C7D1CD2" w:rsidTr="0086479E">
        <w:trPr>
          <w:trHeight w:val="80"/>
        </w:trPr>
        <w:tc>
          <w:tcPr>
            <w:tcW w:w="1708" w:type="dxa"/>
            <w:tcBorders>
              <w:top w:val="nil"/>
              <w:left w:val="single" w:sz="4" w:space="0" w:color="auto"/>
              <w:right w:val="single" w:sz="4" w:space="0" w:color="auto"/>
            </w:tcBorders>
            <w:shd w:val="clear" w:color="auto" w:fill="D9E2F3" w:themeFill="accent1" w:themeFillTint="33"/>
            <w:vAlign w:val="center"/>
          </w:tcPr>
          <w:p w14:paraId="52B3B36D" w14:textId="41A96F0E" w:rsidR="00370520" w:rsidRPr="00C73908" w:rsidRDefault="00370520" w:rsidP="00370520">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Age</w:t>
            </w:r>
          </w:p>
        </w:tc>
        <w:tc>
          <w:tcPr>
            <w:tcW w:w="1297" w:type="dxa"/>
            <w:tcBorders>
              <w:top w:val="nil"/>
              <w:left w:val="single" w:sz="4" w:space="0" w:color="auto"/>
            </w:tcBorders>
            <w:shd w:val="clear" w:color="auto" w:fill="D9E2F3" w:themeFill="accent1" w:themeFillTint="33"/>
          </w:tcPr>
          <w:p w14:paraId="3E7F2599"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-.028</w:t>
            </w:r>
          </w:p>
          <w:p w14:paraId="52F73D8E" w14:textId="275529A1"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 ***)</w:t>
            </w:r>
          </w:p>
        </w:tc>
        <w:tc>
          <w:tcPr>
            <w:tcW w:w="1298" w:type="dxa"/>
            <w:tcBorders>
              <w:top w:val="nil"/>
              <w:right w:val="single" w:sz="4" w:space="0" w:color="auto"/>
            </w:tcBorders>
            <w:shd w:val="clear" w:color="auto" w:fill="D9E2F3" w:themeFill="accent1" w:themeFillTint="33"/>
            <w:vAlign w:val="center"/>
          </w:tcPr>
          <w:p w14:paraId="1DF1036E"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.016</w:t>
            </w:r>
          </w:p>
          <w:p w14:paraId="36D0466D" w14:textId="7F2B9278"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(.031 **)</w:t>
            </w:r>
          </w:p>
        </w:tc>
        <w:tc>
          <w:tcPr>
            <w:tcW w:w="1297" w:type="dxa"/>
            <w:tcBorders>
              <w:top w:val="nil"/>
              <w:left w:val="single" w:sz="4" w:space="0" w:color="auto"/>
            </w:tcBorders>
            <w:shd w:val="clear" w:color="auto" w:fill="D9E2F3" w:themeFill="accent1" w:themeFillTint="33"/>
          </w:tcPr>
          <w:p w14:paraId="17275447"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-0.014</w:t>
            </w:r>
          </w:p>
          <w:p w14:paraId="6F2A8F0C" w14:textId="6705E5D8"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(0.001 ***)</w:t>
            </w:r>
          </w:p>
        </w:tc>
        <w:tc>
          <w:tcPr>
            <w:tcW w:w="1298" w:type="dxa"/>
            <w:tcBorders>
              <w:top w:val="nil"/>
              <w:right w:val="single" w:sz="4" w:space="0" w:color="auto"/>
            </w:tcBorders>
            <w:shd w:val="clear" w:color="auto" w:fill="D9E2F3" w:themeFill="accent1" w:themeFillTint="33"/>
          </w:tcPr>
          <w:p w14:paraId="38D11A81"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0.019</w:t>
            </w:r>
          </w:p>
          <w:p w14:paraId="06466EF5" w14:textId="092A5A26"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(.034 **)</w:t>
            </w:r>
          </w:p>
        </w:tc>
        <w:tc>
          <w:tcPr>
            <w:tcW w:w="1297" w:type="dxa"/>
            <w:tcBorders>
              <w:top w:val="nil"/>
              <w:left w:val="single" w:sz="4" w:space="0" w:color="auto"/>
            </w:tcBorders>
            <w:shd w:val="clear" w:color="auto" w:fill="D9E2F3" w:themeFill="accent1" w:themeFillTint="33"/>
          </w:tcPr>
          <w:p w14:paraId="7BA10FFB"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-0.036</w:t>
            </w:r>
          </w:p>
          <w:p w14:paraId="571B6799" w14:textId="65629F7C" w:rsidR="00370520" w:rsidRPr="00C73908" w:rsidRDefault="005F2F56"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 ***)</w:t>
            </w:r>
          </w:p>
        </w:tc>
        <w:tc>
          <w:tcPr>
            <w:tcW w:w="1298" w:type="dxa"/>
            <w:tcBorders>
              <w:top w:val="nil"/>
              <w:right w:val="single" w:sz="4" w:space="0" w:color="auto"/>
            </w:tcBorders>
            <w:shd w:val="clear" w:color="auto" w:fill="D9E2F3" w:themeFill="accent1" w:themeFillTint="33"/>
          </w:tcPr>
          <w:p w14:paraId="58348579"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0.011</w:t>
            </w:r>
          </w:p>
          <w:p w14:paraId="76C79055" w14:textId="2681AF73"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(0.399)</w:t>
            </w:r>
          </w:p>
        </w:tc>
      </w:tr>
      <w:tr w:rsidR="00370520" w:rsidRPr="00C73908" w14:paraId="1F61E188" w14:textId="77777777" w:rsidTr="004278EE">
        <w:tc>
          <w:tcPr>
            <w:tcW w:w="1708" w:type="dxa"/>
            <w:tcBorders>
              <w:top w:val="nil"/>
              <w:left w:val="single" w:sz="4" w:space="0" w:color="auto"/>
              <w:bottom w:val="single" w:sz="4" w:space="0" w:color="auto"/>
              <w:right w:val="single" w:sz="4" w:space="0" w:color="auto"/>
            </w:tcBorders>
            <w:shd w:val="clear" w:color="auto" w:fill="FFFFFF" w:themeFill="background1"/>
            <w:vAlign w:val="center"/>
          </w:tcPr>
          <w:p w14:paraId="7119570B" w14:textId="23CBA2EF" w:rsidR="00370520" w:rsidRPr="00C73908" w:rsidRDefault="00370520" w:rsidP="00370520">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Ln_Sales</w:t>
            </w:r>
          </w:p>
        </w:tc>
        <w:tc>
          <w:tcPr>
            <w:tcW w:w="1297" w:type="dxa"/>
            <w:tcBorders>
              <w:top w:val="nil"/>
              <w:left w:val="single" w:sz="4" w:space="0" w:color="auto"/>
              <w:bottom w:val="single" w:sz="4" w:space="0" w:color="auto"/>
            </w:tcBorders>
            <w:shd w:val="clear" w:color="auto" w:fill="FFFFFF" w:themeFill="background1"/>
          </w:tcPr>
          <w:p w14:paraId="5D6D0404"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.452</w:t>
            </w:r>
          </w:p>
          <w:p w14:paraId="742D45B1" w14:textId="4BDD95AA"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 ***)</w:t>
            </w:r>
          </w:p>
        </w:tc>
        <w:tc>
          <w:tcPr>
            <w:tcW w:w="1298" w:type="dxa"/>
            <w:tcBorders>
              <w:top w:val="nil"/>
              <w:bottom w:val="single" w:sz="4" w:space="0" w:color="auto"/>
              <w:right w:val="single" w:sz="4" w:space="0" w:color="auto"/>
            </w:tcBorders>
            <w:shd w:val="clear" w:color="auto" w:fill="FFFFFF" w:themeFill="background1"/>
            <w:vAlign w:val="center"/>
          </w:tcPr>
          <w:p w14:paraId="3C7A8B75"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1.117</w:t>
            </w:r>
          </w:p>
          <w:p w14:paraId="7310164D" w14:textId="016BEC53"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 ***)</w:t>
            </w:r>
          </w:p>
        </w:tc>
        <w:tc>
          <w:tcPr>
            <w:tcW w:w="1297" w:type="dxa"/>
            <w:tcBorders>
              <w:top w:val="nil"/>
              <w:left w:val="single" w:sz="4" w:space="0" w:color="auto"/>
              <w:bottom w:val="single" w:sz="4" w:space="0" w:color="auto"/>
            </w:tcBorders>
            <w:shd w:val="clear" w:color="auto" w:fill="FFFFFF" w:themeFill="background1"/>
          </w:tcPr>
          <w:p w14:paraId="2D5DA25E"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0.519</w:t>
            </w:r>
          </w:p>
          <w:p w14:paraId="4B346F86" w14:textId="00BA72CC"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 ***)</w:t>
            </w:r>
          </w:p>
        </w:tc>
        <w:tc>
          <w:tcPr>
            <w:tcW w:w="1298" w:type="dxa"/>
            <w:tcBorders>
              <w:top w:val="nil"/>
              <w:bottom w:val="single" w:sz="4" w:space="0" w:color="auto"/>
              <w:right w:val="single" w:sz="4" w:space="0" w:color="auto"/>
            </w:tcBorders>
            <w:shd w:val="clear" w:color="auto" w:fill="FFFFFF" w:themeFill="background1"/>
          </w:tcPr>
          <w:p w14:paraId="6A9C68B9"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1.131</w:t>
            </w:r>
          </w:p>
          <w:p w14:paraId="6CB75AEB" w14:textId="1CBBC5B5"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 ***)</w:t>
            </w:r>
          </w:p>
        </w:tc>
        <w:tc>
          <w:tcPr>
            <w:tcW w:w="1297" w:type="dxa"/>
            <w:tcBorders>
              <w:top w:val="nil"/>
              <w:left w:val="single" w:sz="4" w:space="0" w:color="auto"/>
              <w:bottom w:val="single" w:sz="4" w:space="0" w:color="auto"/>
            </w:tcBorders>
            <w:shd w:val="clear" w:color="auto" w:fill="FFFFFF" w:themeFill="background1"/>
          </w:tcPr>
          <w:p w14:paraId="4ABF1023"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0.369</w:t>
            </w:r>
          </w:p>
          <w:p w14:paraId="5127CD8D" w14:textId="2809550E" w:rsidR="00370520" w:rsidRPr="00C73908" w:rsidRDefault="005F2F56"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 ***)</w:t>
            </w:r>
          </w:p>
        </w:tc>
        <w:tc>
          <w:tcPr>
            <w:tcW w:w="1298" w:type="dxa"/>
            <w:tcBorders>
              <w:top w:val="nil"/>
              <w:bottom w:val="single" w:sz="4" w:space="0" w:color="auto"/>
              <w:right w:val="single" w:sz="4" w:space="0" w:color="auto"/>
            </w:tcBorders>
            <w:shd w:val="clear" w:color="auto" w:fill="FFFFFF" w:themeFill="background1"/>
          </w:tcPr>
          <w:p w14:paraId="0A5B0798" w14:textId="77777777"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1.11</w:t>
            </w:r>
          </w:p>
          <w:p w14:paraId="0E6DA50F" w14:textId="548B9835" w:rsidR="00370520" w:rsidRPr="00C73908" w:rsidRDefault="00370520" w:rsidP="00370520">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 ***)</w:t>
            </w:r>
          </w:p>
        </w:tc>
      </w:tr>
      <w:tr w:rsidR="004278EE" w:rsidRPr="00C73908" w14:paraId="32ACBAC8" w14:textId="77777777" w:rsidTr="004278EE">
        <w:tc>
          <w:tcPr>
            <w:tcW w:w="1708" w:type="dxa"/>
            <w:tcBorders>
              <w:top w:val="single" w:sz="4" w:space="0" w:color="auto"/>
              <w:left w:val="single" w:sz="4" w:space="0" w:color="auto"/>
              <w:bottom w:val="nil"/>
              <w:right w:val="single" w:sz="4" w:space="0" w:color="auto"/>
            </w:tcBorders>
            <w:shd w:val="clear" w:color="auto" w:fill="FFFFFF" w:themeFill="background1"/>
            <w:vAlign w:val="center"/>
          </w:tcPr>
          <w:p w14:paraId="4EB78372" w14:textId="673DE639" w:rsidR="004278EE" w:rsidRPr="00C73908" w:rsidRDefault="004278EE" w:rsidP="00370520">
            <w:pPr>
              <w:widowControl w:val="0"/>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No. Observations</w:t>
            </w:r>
          </w:p>
        </w:tc>
        <w:tc>
          <w:tcPr>
            <w:tcW w:w="1297" w:type="dxa"/>
            <w:tcBorders>
              <w:top w:val="single" w:sz="4" w:space="0" w:color="auto"/>
              <w:left w:val="single" w:sz="4" w:space="0" w:color="auto"/>
              <w:bottom w:val="nil"/>
            </w:tcBorders>
            <w:shd w:val="clear" w:color="auto" w:fill="FFFFFF" w:themeFill="background1"/>
          </w:tcPr>
          <w:p w14:paraId="713A80C8" w14:textId="35175E82" w:rsidR="004278EE" w:rsidRPr="00C73908" w:rsidRDefault="00A041EC" w:rsidP="00370520">
            <w:pPr>
              <w:widowControl w:val="0"/>
              <w:autoSpaceDE w:val="0"/>
              <w:autoSpaceDN w:val="0"/>
              <w:adjustRightInd w:val="0"/>
              <w:spacing w:after="0" w:line="240" w:lineRule="auto"/>
              <w:rPr>
                <w:rFonts w:ascii="Times New Roman" w:hAnsi="Times New Roman" w:cs="Times New Roman"/>
                <w:sz w:val="20"/>
                <w:szCs w:val="20"/>
              </w:rPr>
            </w:pPr>
            <w:r w:rsidRPr="00A041EC">
              <w:rPr>
                <w:rFonts w:ascii="Times New Roman" w:hAnsi="Times New Roman" w:cs="Times New Roman"/>
                <w:sz w:val="20"/>
                <w:szCs w:val="20"/>
              </w:rPr>
              <w:t>13</w:t>
            </w:r>
            <w:r>
              <w:rPr>
                <w:rFonts w:ascii="Times New Roman" w:hAnsi="Times New Roman" w:cs="Times New Roman"/>
                <w:sz w:val="20"/>
                <w:szCs w:val="20"/>
              </w:rPr>
              <w:t>,</w:t>
            </w:r>
            <w:r w:rsidRPr="00A041EC">
              <w:rPr>
                <w:rFonts w:ascii="Times New Roman" w:hAnsi="Times New Roman" w:cs="Times New Roman"/>
                <w:sz w:val="20"/>
                <w:szCs w:val="20"/>
              </w:rPr>
              <w:t>045</w:t>
            </w:r>
          </w:p>
        </w:tc>
        <w:tc>
          <w:tcPr>
            <w:tcW w:w="1298" w:type="dxa"/>
            <w:tcBorders>
              <w:top w:val="single" w:sz="4" w:space="0" w:color="auto"/>
              <w:bottom w:val="nil"/>
              <w:right w:val="single" w:sz="4" w:space="0" w:color="auto"/>
            </w:tcBorders>
            <w:shd w:val="clear" w:color="auto" w:fill="FFFFFF" w:themeFill="background1"/>
            <w:vAlign w:val="center"/>
          </w:tcPr>
          <w:p w14:paraId="6C6B66B9" w14:textId="079090CF" w:rsidR="004278EE" w:rsidRPr="00C73908" w:rsidRDefault="005A1FBF" w:rsidP="00370520">
            <w:pPr>
              <w:widowControl w:val="0"/>
              <w:autoSpaceDE w:val="0"/>
              <w:autoSpaceDN w:val="0"/>
              <w:adjustRightInd w:val="0"/>
              <w:spacing w:after="0" w:line="240" w:lineRule="auto"/>
              <w:rPr>
                <w:rFonts w:ascii="Times New Roman" w:hAnsi="Times New Roman" w:cs="Times New Roman"/>
                <w:sz w:val="20"/>
                <w:szCs w:val="20"/>
              </w:rPr>
            </w:pPr>
            <w:r w:rsidRPr="005A1FBF">
              <w:rPr>
                <w:rFonts w:ascii="Times New Roman" w:hAnsi="Times New Roman" w:cs="Times New Roman"/>
                <w:sz w:val="20"/>
                <w:szCs w:val="20"/>
              </w:rPr>
              <w:t>14</w:t>
            </w:r>
            <w:r>
              <w:rPr>
                <w:rFonts w:ascii="Times New Roman" w:hAnsi="Times New Roman" w:cs="Times New Roman"/>
                <w:sz w:val="20"/>
                <w:szCs w:val="20"/>
              </w:rPr>
              <w:t>,</w:t>
            </w:r>
            <w:r w:rsidRPr="005A1FBF">
              <w:rPr>
                <w:rFonts w:ascii="Times New Roman" w:hAnsi="Times New Roman" w:cs="Times New Roman"/>
                <w:sz w:val="20"/>
                <w:szCs w:val="20"/>
              </w:rPr>
              <w:t>759</w:t>
            </w:r>
          </w:p>
        </w:tc>
        <w:tc>
          <w:tcPr>
            <w:tcW w:w="1297" w:type="dxa"/>
            <w:tcBorders>
              <w:top w:val="single" w:sz="4" w:space="0" w:color="auto"/>
              <w:left w:val="single" w:sz="4" w:space="0" w:color="auto"/>
              <w:bottom w:val="nil"/>
            </w:tcBorders>
            <w:shd w:val="clear" w:color="auto" w:fill="FFFFFF" w:themeFill="background1"/>
          </w:tcPr>
          <w:p w14:paraId="6F50C0F7" w14:textId="5543439E" w:rsidR="004278EE" w:rsidRPr="00C73908" w:rsidRDefault="00B12BEB" w:rsidP="00370520">
            <w:pPr>
              <w:widowControl w:val="0"/>
              <w:autoSpaceDE w:val="0"/>
              <w:autoSpaceDN w:val="0"/>
              <w:adjustRightInd w:val="0"/>
              <w:spacing w:after="0" w:line="240" w:lineRule="auto"/>
              <w:rPr>
                <w:rFonts w:ascii="Times New Roman" w:hAnsi="Times New Roman" w:cs="Times New Roman"/>
                <w:sz w:val="20"/>
                <w:szCs w:val="20"/>
              </w:rPr>
            </w:pPr>
            <w:r w:rsidRPr="00B12BEB">
              <w:rPr>
                <w:rFonts w:ascii="Times New Roman" w:hAnsi="Times New Roman" w:cs="Times New Roman"/>
                <w:sz w:val="20"/>
                <w:szCs w:val="20"/>
              </w:rPr>
              <w:t>7</w:t>
            </w:r>
            <w:r>
              <w:rPr>
                <w:rFonts w:ascii="Times New Roman" w:hAnsi="Times New Roman" w:cs="Times New Roman"/>
                <w:sz w:val="20"/>
                <w:szCs w:val="20"/>
              </w:rPr>
              <w:t>,</w:t>
            </w:r>
            <w:r w:rsidRPr="00B12BEB">
              <w:rPr>
                <w:rFonts w:ascii="Times New Roman" w:hAnsi="Times New Roman" w:cs="Times New Roman"/>
                <w:sz w:val="20"/>
                <w:szCs w:val="20"/>
              </w:rPr>
              <w:t>165</w:t>
            </w:r>
          </w:p>
        </w:tc>
        <w:tc>
          <w:tcPr>
            <w:tcW w:w="1298" w:type="dxa"/>
            <w:tcBorders>
              <w:top w:val="single" w:sz="4" w:space="0" w:color="auto"/>
              <w:bottom w:val="nil"/>
              <w:right w:val="single" w:sz="4" w:space="0" w:color="auto"/>
            </w:tcBorders>
            <w:shd w:val="clear" w:color="auto" w:fill="FFFFFF" w:themeFill="background1"/>
          </w:tcPr>
          <w:p w14:paraId="0807A404" w14:textId="56B564D6" w:rsidR="004278EE" w:rsidRPr="00C73908" w:rsidRDefault="00C86BFC" w:rsidP="00370520">
            <w:pPr>
              <w:widowControl w:val="0"/>
              <w:autoSpaceDE w:val="0"/>
              <w:autoSpaceDN w:val="0"/>
              <w:adjustRightInd w:val="0"/>
              <w:spacing w:after="0" w:line="240" w:lineRule="auto"/>
              <w:rPr>
                <w:rFonts w:ascii="Times New Roman" w:hAnsi="Times New Roman" w:cs="Times New Roman"/>
                <w:sz w:val="20"/>
                <w:szCs w:val="20"/>
              </w:rPr>
            </w:pPr>
            <w:r w:rsidRPr="00C86BFC">
              <w:rPr>
                <w:rFonts w:ascii="Times New Roman" w:hAnsi="Times New Roman" w:cs="Times New Roman"/>
                <w:sz w:val="20"/>
                <w:szCs w:val="20"/>
              </w:rPr>
              <w:t>8</w:t>
            </w:r>
            <w:r>
              <w:rPr>
                <w:rFonts w:ascii="Times New Roman" w:hAnsi="Times New Roman" w:cs="Times New Roman"/>
                <w:sz w:val="20"/>
                <w:szCs w:val="20"/>
              </w:rPr>
              <w:t>,</w:t>
            </w:r>
            <w:r w:rsidRPr="00C86BFC">
              <w:rPr>
                <w:rFonts w:ascii="Times New Roman" w:hAnsi="Times New Roman" w:cs="Times New Roman"/>
                <w:sz w:val="20"/>
                <w:szCs w:val="20"/>
              </w:rPr>
              <w:t>094</w:t>
            </w:r>
          </w:p>
        </w:tc>
        <w:tc>
          <w:tcPr>
            <w:tcW w:w="1297" w:type="dxa"/>
            <w:tcBorders>
              <w:top w:val="single" w:sz="4" w:space="0" w:color="auto"/>
              <w:left w:val="single" w:sz="4" w:space="0" w:color="auto"/>
              <w:bottom w:val="nil"/>
            </w:tcBorders>
            <w:shd w:val="clear" w:color="auto" w:fill="FFFFFF" w:themeFill="background1"/>
          </w:tcPr>
          <w:p w14:paraId="282BF0AA" w14:textId="10304788" w:rsidR="004278EE" w:rsidRPr="00C73908" w:rsidRDefault="003635EE" w:rsidP="00370520">
            <w:pPr>
              <w:widowControl w:val="0"/>
              <w:autoSpaceDE w:val="0"/>
              <w:autoSpaceDN w:val="0"/>
              <w:adjustRightInd w:val="0"/>
              <w:spacing w:after="0" w:line="240" w:lineRule="auto"/>
              <w:rPr>
                <w:rFonts w:ascii="Times New Roman" w:hAnsi="Times New Roman" w:cs="Times New Roman"/>
                <w:sz w:val="20"/>
                <w:szCs w:val="20"/>
              </w:rPr>
            </w:pPr>
            <w:r w:rsidRPr="003635EE">
              <w:rPr>
                <w:rFonts w:ascii="Times New Roman" w:hAnsi="Times New Roman" w:cs="Times New Roman"/>
                <w:sz w:val="20"/>
                <w:szCs w:val="20"/>
              </w:rPr>
              <w:t>5</w:t>
            </w:r>
            <w:r>
              <w:rPr>
                <w:rFonts w:ascii="Times New Roman" w:hAnsi="Times New Roman" w:cs="Times New Roman"/>
                <w:sz w:val="20"/>
                <w:szCs w:val="20"/>
              </w:rPr>
              <w:t>,</w:t>
            </w:r>
            <w:r w:rsidRPr="003635EE">
              <w:rPr>
                <w:rFonts w:ascii="Times New Roman" w:hAnsi="Times New Roman" w:cs="Times New Roman"/>
                <w:sz w:val="20"/>
                <w:szCs w:val="20"/>
              </w:rPr>
              <w:t>880</w:t>
            </w:r>
          </w:p>
        </w:tc>
        <w:tc>
          <w:tcPr>
            <w:tcW w:w="1298" w:type="dxa"/>
            <w:tcBorders>
              <w:top w:val="single" w:sz="4" w:space="0" w:color="auto"/>
              <w:bottom w:val="nil"/>
              <w:right w:val="single" w:sz="4" w:space="0" w:color="auto"/>
            </w:tcBorders>
            <w:shd w:val="clear" w:color="auto" w:fill="FFFFFF" w:themeFill="background1"/>
          </w:tcPr>
          <w:p w14:paraId="38BC80FA" w14:textId="678DF040" w:rsidR="004278EE" w:rsidRPr="00C73908" w:rsidRDefault="000B1087" w:rsidP="00370520">
            <w:pPr>
              <w:widowControl w:val="0"/>
              <w:autoSpaceDE w:val="0"/>
              <w:autoSpaceDN w:val="0"/>
              <w:adjustRightInd w:val="0"/>
              <w:spacing w:after="0" w:line="240" w:lineRule="auto"/>
              <w:rPr>
                <w:rFonts w:ascii="Times New Roman" w:hAnsi="Times New Roman" w:cs="Times New Roman"/>
                <w:sz w:val="20"/>
                <w:szCs w:val="20"/>
              </w:rPr>
            </w:pPr>
            <w:r w:rsidRPr="000B1087">
              <w:rPr>
                <w:rFonts w:ascii="Times New Roman" w:hAnsi="Times New Roman" w:cs="Times New Roman"/>
                <w:sz w:val="20"/>
                <w:szCs w:val="20"/>
              </w:rPr>
              <w:t>6</w:t>
            </w:r>
            <w:r>
              <w:rPr>
                <w:rFonts w:ascii="Times New Roman" w:hAnsi="Times New Roman" w:cs="Times New Roman"/>
                <w:sz w:val="20"/>
                <w:szCs w:val="20"/>
              </w:rPr>
              <w:t>,</w:t>
            </w:r>
            <w:r w:rsidRPr="000B1087">
              <w:rPr>
                <w:rFonts w:ascii="Times New Roman" w:hAnsi="Times New Roman" w:cs="Times New Roman"/>
                <w:sz w:val="20"/>
                <w:szCs w:val="20"/>
              </w:rPr>
              <w:t>665</w:t>
            </w:r>
          </w:p>
        </w:tc>
      </w:tr>
      <w:tr w:rsidR="004278EE" w:rsidRPr="00C73908" w14:paraId="76799FD4" w14:textId="77777777" w:rsidTr="004278EE">
        <w:tc>
          <w:tcPr>
            <w:tcW w:w="1708" w:type="dxa"/>
            <w:tcBorders>
              <w:top w:val="nil"/>
              <w:left w:val="single" w:sz="4" w:space="0" w:color="auto"/>
              <w:bottom w:val="nil"/>
              <w:right w:val="single" w:sz="4" w:space="0" w:color="auto"/>
            </w:tcBorders>
            <w:shd w:val="clear" w:color="auto" w:fill="FFFFFF" w:themeFill="background1"/>
            <w:vAlign w:val="center"/>
          </w:tcPr>
          <w:p w14:paraId="57DFC9F2" w14:textId="77777777" w:rsidR="004278EE" w:rsidRPr="00C73908" w:rsidRDefault="004278EE" w:rsidP="00370520">
            <w:pPr>
              <w:widowControl w:val="0"/>
              <w:autoSpaceDE w:val="0"/>
              <w:autoSpaceDN w:val="0"/>
              <w:adjustRightInd w:val="0"/>
              <w:spacing w:after="0" w:line="240" w:lineRule="auto"/>
              <w:rPr>
                <w:rFonts w:ascii="Times New Roman" w:hAnsi="Times New Roman" w:cs="Times New Roman"/>
                <w:b/>
                <w:bCs/>
                <w:sz w:val="20"/>
                <w:szCs w:val="20"/>
              </w:rPr>
            </w:pPr>
          </w:p>
        </w:tc>
        <w:tc>
          <w:tcPr>
            <w:tcW w:w="1297" w:type="dxa"/>
            <w:tcBorders>
              <w:top w:val="nil"/>
              <w:left w:val="single" w:sz="4" w:space="0" w:color="auto"/>
              <w:bottom w:val="nil"/>
            </w:tcBorders>
            <w:shd w:val="clear" w:color="auto" w:fill="FFFFFF" w:themeFill="background1"/>
          </w:tcPr>
          <w:p w14:paraId="3F532BBF" w14:textId="77777777" w:rsidR="004278EE" w:rsidRPr="00C73908" w:rsidRDefault="004278EE" w:rsidP="00370520">
            <w:pPr>
              <w:widowControl w:val="0"/>
              <w:autoSpaceDE w:val="0"/>
              <w:autoSpaceDN w:val="0"/>
              <w:adjustRightInd w:val="0"/>
              <w:spacing w:after="0" w:line="240" w:lineRule="auto"/>
              <w:rPr>
                <w:rFonts w:ascii="Times New Roman" w:hAnsi="Times New Roman" w:cs="Times New Roman"/>
                <w:sz w:val="20"/>
                <w:szCs w:val="20"/>
              </w:rPr>
            </w:pPr>
          </w:p>
        </w:tc>
        <w:tc>
          <w:tcPr>
            <w:tcW w:w="1298" w:type="dxa"/>
            <w:tcBorders>
              <w:top w:val="nil"/>
              <w:bottom w:val="nil"/>
              <w:right w:val="single" w:sz="4" w:space="0" w:color="auto"/>
            </w:tcBorders>
            <w:shd w:val="clear" w:color="auto" w:fill="FFFFFF" w:themeFill="background1"/>
            <w:vAlign w:val="center"/>
          </w:tcPr>
          <w:p w14:paraId="74C20843" w14:textId="77777777" w:rsidR="004278EE" w:rsidRPr="00C73908" w:rsidRDefault="004278EE" w:rsidP="00370520">
            <w:pPr>
              <w:widowControl w:val="0"/>
              <w:autoSpaceDE w:val="0"/>
              <w:autoSpaceDN w:val="0"/>
              <w:adjustRightInd w:val="0"/>
              <w:spacing w:after="0" w:line="240" w:lineRule="auto"/>
              <w:rPr>
                <w:rFonts w:ascii="Times New Roman" w:hAnsi="Times New Roman" w:cs="Times New Roman"/>
                <w:sz w:val="20"/>
                <w:szCs w:val="20"/>
              </w:rPr>
            </w:pPr>
          </w:p>
        </w:tc>
        <w:tc>
          <w:tcPr>
            <w:tcW w:w="1297" w:type="dxa"/>
            <w:tcBorders>
              <w:top w:val="nil"/>
              <w:left w:val="single" w:sz="4" w:space="0" w:color="auto"/>
              <w:bottom w:val="nil"/>
            </w:tcBorders>
            <w:shd w:val="clear" w:color="auto" w:fill="FFFFFF" w:themeFill="background1"/>
          </w:tcPr>
          <w:p w14:paraId="52C3F64A" w14:textId="77777777" w:rsidR="004278EE" w:rsidRPr="00C73908" w:rsidRDefault="004278EE" w:rsidP="00370520">
            <w:pPr>
              <w:widowControl w:val="0"/>
              <w:autoSpaceDE w:val="0"/>
              <w:autoSpaceDN w:val="0"/>
              <w:adjustRightInd w:val="0"/>
              <w:spacing w:after="0" w:line="240" w:lineRule="auto"/>
              <w:rPr>
                <w:rFonts w:ascii="Times New Roman" w:hAnsi="Times New Roman" w:cs="Times New Roman"/>
                <w:sz w:val="20"/>
                <w:szCs w:val="20"/>
              </w:rPr>
            </w:pPr>
          </w:p>
        </w:tc>
        <w:tc>
          <w:tcPr>
            <w:tcW w:w="1298" w:type="dxa"/>
            <w:tcBorders>
              <w:top w:val="nil"/>
              <w:bottom w:val="nil"/>
              <w:right w:val="single" w:sz="4" w:space="0" w:color="auto"/>
            </w:tcBorders>
            <w:shd w:val="clear" w:color="auto" w:fill="FFFFFF" w:themeFill="background1"/>
          </w:tcPr>
          <w:p w14:paraId="42CC49C7" w14:textId="77777777" w:rsidR="004278EE" w:rsidRPr="00C73908" w:rsidRDefault="004278EE" w:rsidP="00370520">
            <w:pPr>
              <w:widowControl w:val="0"/>
              <w:autoSpaceDE w:val="0"/>
              <w:autoSpaceDN w:val="0"/>
              <w:adjustRightInd w:val="0"/>
              <w:spacing w:after="0" w:line="240" w:lineRule="auto"/>
              <w:rPr>
                <w:rFonts w:ascii="Times New Roman" w:hAnsi="Times New Roman" w:cs="Times New Roman"/>
                <w:sz w:val="20"/>
                <w:szCs w:val="20"/>
              </w:rPr>
            </w:pPr>
          </w:p>
        </w:tc>
        <w:tc>
          <w:tcPr>
            <w:tcW w:w="1297" w:type="dxa"/>
            <w:tcBorders>
              <w:top w:val="nil"/>
              <w:left w:val="single" w:sz="4" w:space="0" w:color="auto"/>
              <w:bottom w:val="nil"/>
            </w:tcBorders>
            <w:shd w:val="clear" w:color="auto" w:fill="FFFFFF" w:themeFill="background1"/>
          </w:tcPr>
          <w:p w14:paraId="3237296A" w14:textId="77777777" w:rsidR="004278EE" w:rsidRPr="00C73908" w:rsidRDefault="004278EE" w:rsidP="00370520">
            <w:pPr>
              <w:widowControl w:val="0"/>
              <w:autoSpaceDE w:val="0"/>
              <w:autoSpaceDN w:val="0"/>
              <w:adjustRightInd w:val="0"/>
              <w:spacing w:after="0" w:line="240" w:lineRule="auto"/>
              <w:rPr>
                <w:rFonts w:ascii="Times New Roman" w:hAnsi="Times New Roman" w:cs="Times New Roman"/>
                <w:sz w:val="20"/>
                <w:szCs w:val="20"/>
              </w:rPr>
            </w:pPr>
          </w:p>
        </w:tc>
        <w:tc>
          <w:tcPr>
            <w:tcW w:w="1298" w:type="dxa"/>
            <w:tcBorders>
              <w:top w:val="nil"/>
              <w:bottom w:val="nil"/>
              <w:right w:val="single" w:sz="4" w:space="0" w:color="auto"/>
            </w:tcBorders>
            <w:shd w:val="clear" w:color="auto" w:fill="FFFFFF" w:themeFill="background1"/>
          </w:tcPr>
          <w:p w14:paraId="093CA459" w14:textId="77777777" w:rsidR="004278EE" w:rsidRPr="00C73908" w:rsidRDefault="004278EE" w:rsidP="00370520">
            <w:pPr>
              <w:widowControl w:val="0"/>
              <w:autoSpaceDE w:val="0"/>
              <w:autoSpaceDN w:val="0"/>
              <w:adjustRightInd w:val="0"/>
              <w:spacing w:after="0" w:line="240" w:lineRule="auto"/>
              <w:rPr>
                <w:rFonts w:ascii="Times New Roman" w:hAnsi="Times New Roman" w:cs="Times New Roman"/>
                <w:sz w:val="20"/>
                <w:szCs w:val="20"/>
              </w:rPr>
            </w:pPr>
          </w:p>
        </w:tc>
      </w:tr>
      <w:tr w:rsidR="004278EE" w:rsidRPr="00C73908" w14:paraId="58C62B36" w14:textId="77777777" w:rsidTr="004278EE">
        <w:tc>
          <w:tcPr>
            <w:tcW w:w="1708" w:type="dxa"/>
            <w:tcBorders>
              <w:top w:val="nil"/>
              <w:left w:val="single" w:sz="4" w:space="0" w:color="auto"/>
              <w:bottom w:val="nil"/>
              <w:right w:val="single" w:sz="4" w:space="0" w:color="auto"/>
            </w:tcBorders>
            <w:shd w:val="clear" w:color="auto" w:fill="FFFFFF" w:themeFill="background1"/>
            <w:vAlign w:val="center"/>
          </w:tcPr>
          <w:p w14:paraId="65127C16" w14:textId="5618FDE1" w:rsidR="004278EE" w:rsidRPr="00C73908" w:rsidRDefault="004278EE" w:rsidP="00370520">
            <w:pPr>
              <w:widowControl w:val="0"/>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AR2 Test</w:t>
            </w:r>
          </w:p>
        </w:tc>
        <w:tc>
          <w:tcPr>
            <w:tcW w:w="1297" w:type="dxa"/>
            <w:tcBorders>
              <w:top w:val="nil"/>
              <w:left w:val="single" w:sz="4" w:space="0" w:color="auto"/>
              <w:bottom w:val="nil"/>
            </w:tcBorders>
            <w:shd w:val="clear" w:color="auto" w:fill="FFFFFF" w:themeFill="background1"/>
          </w:tcPr>
          <w:p w14:paraId="112F374E" w14:textId="49EA83F1" w:rsidR="004278EE" w:rsidRPr="00C73908" w:rsidRDefault="00115A82" w:rsidP="00370520">
            <w:pPr>
              <w:widowControl w:val="0"/>
              <w:autoSpaceDE w:val="0"/>
              <w:autoSpaceDN w:val="0"/>
              <w:adjustRightInd w:val="0"/>
              <w:spacing w:after="0" w:line="240" w:lineRule="auto"/>
              <w:rPr>
                <w:rFonts w:ascii="Times New Roman" w:hAnsi="Times New Roman" w:cs="Times New Roman"/>
                <w:sz w:val="20"/>
                <w:szCs w:val="20"/>
              </w:rPr>
            </w:pPr>
            <w:r w:rsidRPr="00115A82">
              <w:rPr>
                <w:rFonts w:ascii="Times New Roman" w:hAnsi="Times New Roman" w:cs="Times New Roman"/>
                <w:sz w:val="20"/>
                <w:szCs w:val="20"/>
              </w:rPr>
              <w:t>0.856</w:t>
            </w:r>
          </w:p>
        </w:tc>
        <w:tc>
          <w:tcPr>
            <w:tcW w:w="1298" w:type="dxa"/>
            <w:tcBorders>
              <w:top w:val="nil"/>
              <w:bottom w:val="nil"/>
              <w:right w:val="single" w:sz="4" w:space="0" w:color="auto"/>
            </w:tcBorders>
            <w:shd w:val="clear" w:color="auto" w:fill="FFFFFF" w:themeFill="background1"/>
            <w:vAlign w:val="center"/>
          </w:tcPr>
          <w:p w14:paraId="5B69609C" w14:textId="77777777" w:rsidR="004278EE" w:rsidRPr="00C73908" w:rsidRDefault="004278EE" w:rsidP="00370520">
            <w:pPr>
              <w:widowControl w:val="0"/>
              <w:autoSpaceDE w:val="0"/>
              <w:autoSpaceDN w:val="0"/>
              <w:adjustRightInd w:val="0"/>
              <w:spacing w:after="0" w:line="240" w:lineRule="auto"/>
              <w:rPr>
                <w:rFonts w:ascii="Times New Roman" w:hAnsi="Times New Roman" w:cs="Times New Roman"/>
                <w:sz w:val="20"/>
                <w:szCs w:val="20"/>
              </w:rPr>
            </w:pPr>
          </w:p>
        </w:tc>
        <w:tc>
          <w:tcPr>
            <w:tcW w:w="1297" w:type="dxa"/>
            <w:tcBorders>
              <w:top w:val="nil"/>
              <w:left w:val="single" w:sz="4" w:space="0" w:color="auto"/>
              <w:bottom w:val="nil"/>
            </w:tcBorders>
            <w:shd w:val="clear" w:color="auto" w:fill="FFFFFF" w:themeFill="background1"/>
          </w:tcPr>
          <w:p w14:paraId="74AC2021" w14:textId="3FEF178C" w:rsidR="004278EE" w:rsidRPr="00C73908" w:rsidRDefault="006976E3" w:rsidP="00370520">
            <w:pPr>
              <w:widowControl w:val="0"/>
              <w:autoSpaceDE w:val="0"/>
              <w:autoSpaceDN w:val="0"/>
              <w:adjustRightInd w:val="0"/>
              <w:spacing w:after="0" w:line="240" w:lineRule="auto"/>
              <w:rPr>
                <w:rFonts w:ascii="Times New Roman" w:hAnsi="Times New Roman" w:cs="Times New Roman"/>
                <w:sz w:val="20"/>
                <w:szCs w:val="20"/>
              </w:rPr>
            </w:pPr>
            <w:r w:rsidRPr="006976E3">
              <w:rPr>
                <w:rFonts w:ascii="Times New Roman" w:hAnsi="Times New Roman" w:cs="Times New Roman"/>
                <w:sz w:val="20"/>
                <w:szCs w:val="20"/>
              </w:rPr>
              <w:t>0.638</w:t>
            </w:r>
          </w:p>
        </w:tc>
        <w:tc>
          <w:tcPr>
            <w:tcW w:w="1298" w:type="dxa"/>
            <w:tcBorders>
              <w:top w:val="nil"/>
              <w:bottom w:val="nil"/>
              <w:right w:val="single" w:sz="4" w:space="0" w:color="auto"/>
            </w:tcBorders>
            <w:shd w:val="clear" w:color="auto" w:fill="FFFFFF" w:themeFill="background1"/>
          </w:tcPr>
          <w:p w14:paraId="0A597B91" w14:textId="77777777" w:rsidR="004278EE" w:rsidRPr="00C73908" w:rsidRDefault="004278EE" w:rsidP="00370520">
            <w:pPr>
              <w:widowControl w:val="0"/>
              <w:autoSpaceDE w:val="0"/>
              <w:autoSpaceDN w:val="0"/>
              <w:adjustRightInd w:val="0"/>
              <w:spacing w:after="0" w:line="240" w:lineRule="auto"/>
              <w:rPr>
                <w:rFonts w:ascii="Times New Roman" w:hAnsi="Times New Roman" w:cs="Times New Roman"/>
                <w:sz w:val="20"/>
                <w:szCs w:val="20"/>
              </w:rPr>
            </w:pPr>
          </w:p>
        </w:tc>
        <w:tc>
          <w:tcPr>
            <w:tcW w:w="1297" w:type="dxa"/>
            <w:tcBorders>
              <w:top w:val="nil"/>
              <w:left w:val="single" w:sz="4" w:space="0" w:color="auto"/>
              <w:bottom w:val="nil"/>
            </w:tcBorders>
            <w:shd w:val="clear" w:color="auto" w:fill="FFFFFF" w:themeFill="background1"/>
          </w:tcPr>
          <w:p w14:paraId="25E61A9B" w14:textId="04286FCF" w:rsidR="004278EE" w:rsidRPr="00C73908" w:rsidRDefault="00605927" w:rsidP="00370520">
            <w:pPr>
              <w:widowControl w:val="0"/>
              <w:autoSpaceDE w:val="0"/>
              <w:autoSpaceDN w:val="0"/>
              <w:adjustRightInd w:val="0"/>
              <w:spacing w:after="0" w:line="240" w:lineRule="auto"/>
              <w:rPr>
                <w:rFonts w:ascii="Times New Roman" w:hAnsi="Times New Roman" w:cs="Times New Roman"/>
                <w:sz w:val="20"/>
                <w:szCs w:val="20"/>
              </w:rPr>
            </w:pPr>
            <w:r w:rsidRPr="00605927">
              <w:rPr>
                <w:rFonts w:ascii="Times New Roman" w:hAnsi="Times New Roman" w:cs="Times New Roman"/>
                <w:sz w:val="20"/>
                <w:szCs w:val="20"/>
              </w:rPr>
              <w:t>0.983</w:t>
            </w:r>
          </w:p>
        </w:tc>
        <w:tc>
          <w:tcPr>
            <w:tcW w:w="1298" w:type="dxa"/>
            <w:tcBorders>
              <w:top w:val="nil"/>
              <w:bottom w:val="nil"/>
              <w:right w:val="single" w:sz="4" w:space="0" w:color="auto"/>
            </w:tcBorders>
            <w:shd w:val="clear" w:color="auto" w:fill="FFFFFF" w:themeFill="background1"/>
          </w:tcPr>
          <w:p w14:paraId="0797773E" w14:textId="77777777" w:rsidR="004278EE" w:rsidRPr="00C73908" w:rsidRDefault="004278EE" w:rsidP="00370520">
            <w:pPr>
              <w:widowControl w:val="0"/>
              <w:autoSpaceDE w:val="0"/>
              <w:autoSpaceDN w:val="0"/>
              <w:adjustRightInd w:val="0"/>
              <w:spacing w:after="0" w:line="240" w:lineRule="auto"/>
              <w:rPr>
                <w:rFonts w:ascii="Times New Roman" w:hAnsi="Times New Roman" w:cs="Times New Roman"/>
                <w:sz w:val="20"/>
                <w:szCs w:val="20"/>
              </w:rPr>
            </w:pPr>
          </w:p>
        </w:tc>
      </w:tr>
      <w:tr w:rsidR="004278EE" w:rsidRPr="00C73908" w14:paraId="2807ED1E" w14:textId="77777777" w:rsidTr="0086479E">
        <w:tc>
          <w:tcPr>
            <w:tcW w:w="1708" w:type="dxa"/>
            <w:tcBorders>
              <w:top w:val="nil"/>
              <w:left w:val="single" w:sz="4" w:space="0" w:color="auto"/>
              <w:bottom w:val="single" w:sz="4" w:space="0" w:color="auto"/>
              <w:right w:val="single" w:sz="4" w:space="0" w:color="auto"/>
            </w:tcBorders>
            <w:shd w:val="clear" w:color="auto" w:fill="FFFFFF" w:themeFill="background1"/>
            <w:vAlign w:val="center"/>
          </w:tcPr>
          <w:p w14:paraId="510772A0" w14:textId="1E7C515F" w:rsidR="004278EE" w:rsidRPr="00C73908" w:rsidRDefault="004278EE" w:rsidP="00370520">
            <w:pPr>
              <w:widowControl w:val="0"/>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Hansen Test</w:t>
            </w:r>
          </w:p>
        </w:tc>
        <w:tc>
          <w:tcPr>
            <w:tcW w:w="1297" w:type="dxa"/>
            <w:tcBorders>
              <w:top w:val="nil"/>
              <w:left w:val="single" w:sz="4" w:space="0" w:color="auto"/>
              <w:bottom w:val="single" w:sz="4" w:space="0" w:color="auto"/>
            </w:tcBorders>
            <w:shd w:val="clear" w:color="auto" w:fill="FFFFFF" w:themeFill="background1"/>
          </w:tcPr>
          <w:p w14:paraId="25C53234" w14:textId="64A3981B" w:rsidR="004278EE" w:rsidRPr="00C73908" w:rsidRDefault="00AD529E" w:rsidP="00370520">
            <w:pPr>
              <w:widowControl w:val="0"/>
              <w:autoSpaceDE w:val="0"/>
              <w:autoSpaceDN w:val="0"/>
              <w:adjustRightInd w:val="0"/>
              <w:spacing w:after="0" w:line="240" w:lineRule="auto"/>
              <w:rPr>
                <w:rFonts w:ascii="Times New Roman" w:hAnsi="Times New Roman" w:cs="Times New Roman"/>
                <w:sz w:val="20"/>
                <w:szCs w:val="20"/>
              </w:rPr>
            </w:pPr>
            <w:r w:rsidRPr="00AD529E">
              <w:rPr>
                <w:rFonts w:ascii="Times New Roman" w:hAnsi="Times New Roman" w:cs="Times New Roman"/>
                <w:sz w:val="20"/>
                <w:szCs w:val="20"/>
              </w:rPr>
              <w:t>0.155</w:t>
            </w:r>
          </w:p>
        </w:tc>
        <w:tc>
          <w:tcPr>
            <w:tcW w:w="1298" w:type="dxa"/>
            <w:tcBorders>
              <w:top w:val="nil"/>
              <w:bottom w:val="single" w:sz="4" w:space="0" w:color="auto"/>
              <w:right w:val="single" w:sz="4" w:space="0" w:color="auto"/>
            </w:tcBorders>
            <w:shd w:val="clear" w:color="auto" w:fill="FFFFFF" w:themeFill="background1"/>
            <w:vAlign w:val="center"/>
          </w:tcPr>
          <w:p w14:paraId="1923B2B6" w14:textId="77777777" w:rsidR="004278EE" w:rsidRPr="00C73908" w:rsidRDefault="004278EE" w:rsidP="00370520">
            <w:pPr>
              <w:widowControl w:val="0"/>
              <w:autoSpaceDE w:val="0"/>
              <w:autoSpaceDN w:val="0"/>
              <w:adjustRightInd w:val="0"/>
              <w:spacing w:after="0" w:line="240" w:lineRule="auto"/>
              <w:rPr>
                <w:rFonts w:ascii="Times New Roman" w:hAnsi="Times New Roman" w:cs="Times New Roman"/>
                <w:sz w:val="20"/>
                <w:szCs w:val="20"/>
              </w:rPr>
            </w:pPr>
          </w:p>
        </w:tc>
        <w:tc>
          <w:tcPr>
            <w:tcW w:w="1297" w:type="dxa"/>
            <w:tcBorders>
              <w:top w:val="nil"/>
              <w:left w:val="single" w:sz="4" w:space="0" w:color="auto"/>
              <w:bottom w:val="single" w:sz="4" w:space="0" w:color="auto"/>
            </w:tcBorders>
            <w:shd w:val="clear" w:color="auto" w:fill="FFFFFF" w:themeFill="background1"/>
          </w:tcPr>
          <w:p w14:paraId="098B9DFA" w14:textId="2D9ED39E" w:rsidR="004278EE" w:rsidRPr="00C73908" w:rsidRDefault="00BB0E7E" w:rsidP="00370520">
            <w:pPr>
              <w:widowControl w:val="0"/>
              <w:autoSpaceDE w:val="0"/>
              <w:autoSpaceDN w:val="0"/>
              <w:adjustRightInd w:val="0"/>
              <w:spacing w:after="0" w:line="240" w:lineRule="auto"/>
              <w:rPr>
                <w:rFonts w:ascii="Times New Roman" w:hAnsi="Times New Roman" w:cs="Times New Roman"/>
                <w:sz w:val="20"/>
                <w:szCs w:val="20"/>
              </w:rPr>
            </w:pPr>
            <w:r w:rsidRPr="00BB0E7E">
              <w:rPr>
                <w:rFonts w:ascii="Times New Roman" w:hAnsi="Times New Roman" w:cs="Times New Roman"/>
                <w:sz w:val="20"/>
                <w:szCs w:val="20"/>
              </w:rPr>
              <w:t>0.330</w:t>
            </w:r>
          </w:p>
        </w:tc>
        <w:tc>
          <w:tcPr>
            <w:tcW w:w="1298" w:type="dxa"/>
            <w:tcBorders>
              <w:top w:val="nil"/>
              <w:bottom w:val="single" w:sz="4" w:space="0" w:color="auto"/>
              <w:right w:val="single" w:sz="4" w:space="0" w:color="auto"/>
            </w:tcBorders>
            <w:shd w:val="clear" w:color="auto" w:fill="FFFFFF" w:themeFill="background1"/>
          </w:tcPr>
          <w:p w14:paraId="4C383997" w14:textId="77777777" w:rsidR="004278EE" w:rsidRPr="00C73908" w:rsidRDefault="004278EE" w:rsidP="00370520">
            <w:pPr>
              <w:widowControl w:val="0"/>
              <w:autoSpaceDE w:val="0"/>
              <w:autoSpaceDN w:val="0"/>
              <w:adjustRightInd w:val="0"/>
              <w:spacing w:after="0" w:line="240" w:lineRule="auto"/>
              <w:rPr>
                <w:rFonts w:ascii="Times New Roman" w:hAnsi="Times New Roman" w:cs="Times New Roman"/>
                <w:sz w:val="20"/>
                <w:szCs w:val="20"/>
              </w:rPr>
            </w:pPr>
          </w:p>
        </w:tc>
        <w:tc>
          <w:tcPr>
            <w:tcW w:w="1297" w:type="dxa"/>
            <w:tcBorders>
              <w:top w:val="nil"/>
              <w:left w:val="single" w:sz="4" w:space="0" w:color="auto"/>
              <w:bottom w:val="single" w:sz="4" w:space="0" w:color="auto"/>
            </w:tcBorders>
            <w:shd w:val="clear" w:color="auto" w:fill="FFFFFF" w:themeFill="background1"/>
          </w:tcPr>
          <w:p w14:paraId="2406316B" w14:textId="7149541E" w:rsidR="004278EE" w:rsidRPr="00C73908" w:rsidRDefault="00D54AC4" w:rsidP="00370520">
            <w:pPr>
              <w:widowControl w:val="0"/>
              <w:autoSpaceDE w:val="0"/>
              <w:autoSpaceDN w:val="0"/>
              <w:adjustRightInd w:val="0"/>
              <w:spacing w:after="0" w:line="240" w:lineRule="auto"/>
              <w:rPr>
                <w:rFonts w:ascii="Times New Roman" w:hAnsi="Times New Roman" w:cs="Times New Roman"/>
                <w:sz w:val="20"/>
                <w:szCs w:val="20"/>
              </w:rPr>
            </w:pPr>
            <w:r w:rsidRPr="00D54AC4">
              <w:rPr>
                <w:rFonts w:ascii="Times New Roman" w:hAnsi="Times New Roman" w:cs="Times New Roman"/>
                <w:sz w:val="20"/>
                <w:szCs w:val="20"/>
              </w:rPr>
              <w:t>0.496</w:t>
            </w:r>
          </w:p>
        </w:tc>
        <w:tc>
          <w:tcPr>
            <w:tcW w:w="1298" w:type="dxa"/>
            <w:tcBorders>
              <w:top w:val="nil"/>
              <w:bottom w:val="single" w:sz="4" w:space="0" w:color="auto"/>
              <w:right w:val="single" w:sz="4" w:space="0" w:color="auto"/>
            </w:tcBorders>
            <w:shd w:val="clear" w:color="auto" w:fill="FFFFFF" w:themeFill="background1"/>
          </w:tcPr>
          <w:p w14:paraId="1CA2AE5D" w14:textId="77777777" w:rsidR="004278EE" w:rsidRPr="00C73908" w:rsidRDefault="004278EE" w:rsidP="00370520">
            <w:pPr>
              <w:widowControl w:val="0"/>
              <w:autoSpaceDE w:val="0"/>
              <w:autoSpaceDN w:val="0"/>
              <w:adjustRightInd w:val="0"/>
              <w:spacing w:after="0" w:line="240" w:lineRule="auto"/>
              <w:rPr>
                <w:rFonts w:ascii="Times New Roman" w:hAnsi="Times New Roman" w:cs="Times New Roman"/>
                <w:sz w:val="20"/>
                <w:szCs w:val="20"/>
              </w:rPr>
            </w:pPr>
          </w:p>
        </w:tc>
      </w:tr>
    </w:tbl>
    <w:p w14:paraId="58977976" w14:textId="7BD0E557" w:rsidR="00A36587" w:rsidRPr="00C73908" w:rsidRDefault="00A36587" w:rsidP="00A36587">
      <w:pPr>
        <w:widowControl w:val="0"/>
        <w:autoSpaceDE w:val="0"/>
        <w:autoSpaceDN w:val="0"/>
        <w:adjustRightInd w:val="0"/>
        <w:spacing w:after="0" w:line="240" w:lineRule="auto"/>
        <w:rPr>
          <w:rFonts w:ascii="Times New Roman" w:hAnsi="Times New Roman" w:cs="Times New Roman"/>
          <w:i/>
          <w:iCs/>
          <w:sz w:val="20"/>
          <w:szCs w:val="20"/>
        </w:rPr>
      </w:pPr>
      <w:r w:rsidRPr="00C73908">
        <w:rPr>
          <w:rFonts w:ascii="Times New Roman" w:hAnsi="Times New Roman" w:cs="Times New Roman"/>
          <w:i/>
          <w:iCs/>
          <w:sz w:val="20"/>
          <w:szCs w:val="20"/>
        </w:rPr>
        <w:t xml:space="preserve">Notes: The dependent variable is the natural logarithm of the </w:t>
      </w:r>
      <w:r w:rsidR="004C1201" w:rsidRPr="00C73908">
        <w:rPr>
          <w:rFonts w:ascii="Times New Roman" w:hAnsi="Times New Roman" w:cs="Times New Roman"/>
          <w:i/>
          <w:iCs/>
          <w:sz w:val="20"/>
          <w:szCs w:val="20"/>
        </w:rPr>
        <w:t>value</w:t>
      </w:r>
      <w:r w:rsidRPr="00C73908">
        <w:rPr>
          <w:rFonts w:ascii="Times New Roman" w:hAnsi="Times New Roman" w:cs="Times New Roman"/>
          <w:i/>
          <w:iCs/>
          <w:sz w:val="20"/>
          <w:szCs w:val="20"/>
        </w:rPr>
        <w:t xml:space="preserve"> of exports.</w:t>
      </w:r>
    </w:p>
    <w:p w14:paraId="17FB2348" w14:textId="11AE81F2" w:rsidR="00657DC3" w:rsidRPr="00C73908" w:rsidRDefault="001D7253" w:rsidP="00A36587">
      <w:pPr>
        <w:widowControl w:val="0"/>
        <w:autoSpaceDE w:val="0"/>
        <w:autoSpaceDN w:val="0"/>
        <w:adjustRightInd w:val="0"/>
        <w:spacing w:after="0" w:line="240" w:lineRule="auto"/>
        <w:rPr>
          <w:rFonts w:ascii="Times New Roman" w:hAnsi="Times New Roman" w:cs="Times New Roman"/>
          <w:i/>
          <w:iCs/>
          <w:sz w:val="20"/>
          <w:szCs w:val="20"/>
        </w:rPr>
      </w:pPr>
      <w:r w:rsidRPr="00C73908">
        <w:rPr>
          <w:rFonts w:ascii="Times New Roman" w:hAnsi="Times New Roman" w:cs="Times New Roman"/>
          <w:i/>
          <w:iCs/>
          <w:sz w:val="20"/>
          <w:szCs w:val="20"/>
        </w:rPr>
        <w:t>C</w:t>
      </w:r>
      <w:r w:rsidR="00657DC3" w:rsidRPr="00C73908">
        <w:rPr>
          <w:rFonts w:ascii="Times New Roman" w:hAnsi="Times New Roman" w:cs="Times New Roman"/>
          <w:i/>
          <w:iCs/>
          <w:sz w:val="20"/>
          <w:szCs w:val="20"/>
        </w:rPr>
        <w:t xml:space="preserve">olumns </w:t>
      </w:r>
      <w:r w:rsidRPr="00C73908">
        <w:rPr>
          <w:rFonts w:ascii="Times New Roman" w:hAnsi="Times New Roman" w:cs="Times New Roman"/>
          <w:i/>
          <w:iCs/>
          <w:sz w:val="20"/>
          <w:szCs w:val="20"/>
        </w:rPr>
        <w:t xml:space="preserve">under the heading ‘GMM’ </w:t>
      </w:r>
      <w:r w:rsidR="002F716B" w:rsidRPr="00C73908">
        <w:rPr>
          <w:rFonts w:ascii="Times New Roman" w:hAnsi="Times New Roman" w:cs="Times New Roman"/>
          <w:i/>
          <w:iCs/>
          <w:sz w:val="20"/>
          <w:szCs w:val="20"/>
        </w:rPr>
        <w:t>show the output of the preferred System GMM model</w:t>
      </w:r>
      <w:r w:rsidRPr="00C73908">
        <w:rPr>
          <w:rFonts w:ascii="Times New Roman" w:hAnsi="Times New Roman" w:cs="Times New Roman"/>
          <w:i/>
          <w:iCs/>
          <w:sz w:val="20"/>
          <w:szCs w:val="20"/>
        </w:rPr>
        <w:t xml:space="preserve">. </w:t>
      </w:r>
      <w:r w:rsidR="007A216E" w:rsidRPr="00C73908">
        <w:rPr>
          <w:rFonts w:ascii="Times New Roman" w:hAnsi="Times New Roman" w:cs="Times New Roman"/>
          <w:i/>
          <w:iCs/>
          <w:sz w:val="20"/>
          <w:szCs w:val="20"/>
        </w:rPr>
        <w:t>‘</w:t>
      </w:r>
      <w:r w:rsidRPr="00C73908">
        <w:rPr>
          <w:rFonts w:ascii="Times New Roman" w:hAnsi="Times New Roman" w:cs="Times New Roman"/>
          <w:i/>
          <w:iCs/>
          <w:sz w:val="20"/>
          <w:szCs w:val="20"/>
        </w:rPr>
        <w:t>FE</w:t>
      </w:r>
      <w:r w:rsidR="007A216E" w:rsidRPr="00C73908">
        <w:rPr>
          <w:rFonts w:ascii="Times New Roman" w:hAnsi="Times New Roman" w:cs="Times New Roman"/>
          <w:i/>
          <w:iCs/>
          <w:sz w:val="20"/>
          <w:szCs w:val="20"/>
        </w:rPr>
        <w:t>’</w:t>
      </w:r>
      <w:r w:rsidRPr="00C73908">
        <w:rPr>
          <w:rFonts w:ascii="Times New Roman" w:hAnsi="Times New Roman" w:cs="Times New Roman"/>
          <w:i/>
          <w:iCs/>
          <w:sz w:val="20"/>
          <w:szCs w:val="20"/>
        </w:rPr>
        <w:t xml:space="preserve"> </w:t>
      </w:r>
      <w:r w:rsidR="000B7A18" w:rsidRPr="00C73908">
        <w:rPr>
          <w:rFonts w:ascii="Times New Roman" w:hAnsi="Times New Roman" w:cs="Times New Roman"/>
          <w:i/>
          <w:iCs/>
          <w:sz w:val="20"/>
          <w:szCs w:val="20"/>
        </w:rPr>
        <w:t>column</w:t>
      </w:r>
      <w:r w:rsidRPr="00C73908">
        <w:rPr>
          <w:rFonts w:ascii="Times New Roman" w:hAnsi="Times New Roman" w:cs="Times New Roman"/>
          <w:i/>
          <w:iCs/>
          <w:sz w:val="20"/>
          <w:szCs w:val="20"/>
        </w:rPr>
        <w:t>s</w:t>
      </w:r>
      <w:r w:rsidR="000B7A18" w:rsidRPr="00C73908">
        <w:rPr>
          <w:rFonts w:ascii="Times New Roman" w:hAnsi="Times New Roman" w:cs="Times New Roman"/>
          <w:i/>
          <w:iCs/>
          <w:sz w:val="20"/>
          <w:szCs w:val="20"/>
        </w:rPr>
        <w:t xml:space="preserve"> show</w:t>
      </w:r>
      <w:r w:rsidRPr="00C73908">
        <w:rPr>
          <w:rFonts w:ascii="Times New Roman" w:hAnsi="Times New Roman" w:cs="Times New Roman"/>
          <w:i/>
          <w:iCs/>
          <w:sz w:val="20"/>
          <w:szCs w:val="20"/>
        </w:rPr>
        <w:t xml:space="preserve"> the output of the fixed effects model.</w:t>
      </w:r>
    </w:p>
    <w:p w14:paraId="7032FFF7" w14:textId="7D2E7F27" w:rsidR="00132298" w:rsidRPr="00C73908" w:rsidRDefault="00463E55" w:rsidP="00A36587">
      <w:pPr>
        <w:widowControl w:val="0"/>
        <w:autoSpaceDE w:val="0"/>
        <w:autoSpaceDN w:val="0"/>
        <w:adjustRightInd w:val="0"/>
        <w:spacing w:after="0" w:line="240" w:lineRule="auto"/>
        <w:rPr>
          <w:rFonts w:ascii="Times New Roman" w:hAnsi="Times New Roman" w:cs="Times New Roman"/>
          <w:i/>
          <w:iCs/>
          <w:sz w:val="20"/>
          <w:szCs w:val="20"/>
        </w:rPr>
      </w:pPr>
      <w:r w:rsidRPr="00C73908">
        <w:rPr>
          <w:rFonts w:ascii="Times New Roman" w:hAnsi="Times New Roman" w:cs="Times New Roman"/>
          <w:i/>
          <w:iCs/>
          <w:sz w:val="20"/>
          <w:szCs w:val="20"/>
        </w:rPr>
        <w:t xml:space="preserve">Coefficients for each variable are reported with </w:t>
      </w:r>
      <w:r w:rsidR="00657DC3" w:rsidRPr="00C73908">
        <w:rPr>
          <w:rFonts w:ascii="Times New Roman" w:hAnsi="Times New Roman" w:cs="Times New Roman"/>
          <w:i/>
          <w:iCs/>
          <w:sz w:val="20"/>
          <w:szCs w:val="20"/>
        </w:rPr>
        <w:t xml:space="preserve">corresponding </w:t>
      </w:r>
      <w:r w:rsidRPr="00C73908">
        <w:rPr>
          <w:rFonts w:ascii="Times New Roman" w:hAnsi="Times New Roman" w:cs="Times New Roman"/>
          <w:i/>
          <w:iCs/>
          <w:sz w:val="20"/>
          <w:szCs w:val="20"/>
        </w:rPr>
        <w:t xml:space="preserve">p values </w:t>
      </w:r>
      <w:r w:rsidR="00657DC3" w:rsidRPr="00C73908">
        <w:rPr>
          <w:rFonts w:ascii="Times New Roman" w:hAnsi="Times New Roman" w:cs="Times New Roman"/>
          <w:i/>
          <w:iCs/>
          <w:sz w:val="20"/>
          <w:szCs w:val="20"/>
        </w:rPr>
        <w:t>in brackets below.</w:t>
      </w:r>
    </w:p>
    <w:p w14:paraId="710FED9D" w14:textId="461B8054" w:rsidR="00003B34" w:rsidRPr="00C73908" w:rsidRDefault="00A36587" w:rsidP="00A36587">
      <w:pPr>
        <w:spacing w:after="240" w:line="360" w:lineRule="auto"/>
        <w:jc w:val="both"/>
        <w:rPr>
          <w:rFonts w:ascii="Times New Roman" w:hAnsi="Times New Roman" w:cs="Times New Roman"/>
          <w:lang w:val="en-IE"/>
        </w:rPr>
      </w:pPr>
      <w:r w:rsidRPr="00C73908">
        <w:rPr>
          <w:rFonts w:ascii="Times New Roman" w:hAnsi="Times New Roman" w:cs="Times New Roman"/>
          <w:i/>
          <w:iCs/>
          <w:sz w:val="20"/>
          <w:szCs w:val="20"/>
        </w:rPr>
        <w:t>***, ** and * denote statistical significance at p&lt;.01, p&lt;.05 and p&lt;.1 levels respectively.</w:t>
      </w:r>
    </w:p>
    <w:p w14:paraId="5D43364C" w14:textId="77777777" w:rsidR="00411F4A" w:rsidRDefault="006F1FCB" w:rsidP="00E40450">
      <w:pPr>
        <w:spacing w:after="240" w:line="360" w:lineRule="auto"/>
        <w:jc w:val="both"/>
        <w:rPr>
          <w:rFonts w:ascii="Times New Roman" w:hAnsi="Times New Roman" w:cs="Times New Roman"/>
          <w:lang w:val="en-IE"/>
        </w:rPr>
      </w:pPr>
      <w:r w:rsidRPr="006F1FCB">
        <w:rPr>
          <w:rFonts w:ascii="Times New Roman" w:hAnsi="Times New Roman" w:cs="Times New Roman"/>
          <w:b/>
          <w:bCs/>
          <w:color w:val="0070C0"/>
          <w:lang w:val="en-IE"/>
        </w:rPr>
        <w:t xml:space="preserve">Productivity: </w:t>
      </w:r>
      <w:r w:rsidR="00925500" w:rsidRPr="00C73908">
        <w:rPr>
          <w:rFonts w:ascii="Times New Roman" w:hAnsi="Times New Roman" w:cs="Times New Roman"/>
          <w:lang w:val="en-IE"/>
        </w:rPr>
        <w:t>Productivity</w:t>
      </w:r>
      <w:r w:rsidR="00563300" w:rsidRPr="00C73908">
        <w:rPr>
          <w:rFonts w:ascii="Times New Roman" w:hAnsi="Times New Roman" w:cs="Times New Roman"/>
          <w:lang w:val="en-IE"/>
        </w:rPr>
        <w:t xml:space="preserve">, measured </w:t>
      </w:r>
      <w:r w:rsidR="00467A94" w:rsidRPr="00C73908">
        <w:rPr>
          <w:rFonts w:ascii="Times New Roman" w:hAnsi="Times New Roman" w:cs="Times New Roman"/>
          <w:lang w:val="en-IE"/>
        </w:rPr>
        <w:t xml:space="preserve">as value added per employee, </w:t>
      </w:r>
      <w:r w:rsidR="00FE34A1" w:rsidRPr="00C73908">
        <w:rPr>
          <w:rFonts w:ascii="Times New Roman" w:hAnsi="Times New Roman" w:cs="Times New Roman"/>
          <w:lang w:val="en-IE"/>
        </w:rPr>
        <w:t xml:space="preserve">is </w:t>
      </w:r>
      <w:r w:rsidR="003F3BD4" w:rsidRPr="00C73908">
        <w:rPr>
          <w:rFonts w:ascii="Times New Roman" w:hAnsi="Times New Roman" w:cs="Times New Roman"/>
          <w:lang w:val="en-IE"/>
        </w:rPr>
        <w:t xml:space="preserve">found to have </w:t>
      </w:r>
      <w:r w:rsidR="0092682A" w:rsidRPr="00C73908">
        <w:rPr>
          <w:rFonts w:ascii="Times New Roman" w:hAnsi="Times New Roman" w:cs="Times New Roman"/>
          <w:lang w:val="en-IE"/>
        </w:rPr>
        <w:t xml:space="preserve">a </w:t>
      </w:r>
      <w:r w:rsidR="00B46D5E" w:rsidRPr="00C73908">
        <w:rPr>
          <w:rFonts w:ascii="Times New Roman" w:hAnsi="Times New Roman" w:cs="Times New Roman"/>
          <w:lang w:val="en-IE"/>
        </w:rPr>
        <w:t xml:space="preserve">small, </w:t>
      </w:r>
      <w:r w:rsidR="00470B9D" w:rsidRPr="00C73908">
        <w:rPr>
          <w:rFonts w:ascii="Times New Roman" w:hAnsi="Times New Roman" w:cs="Times New Roman"/>
          <w:lang w:val="en-IE"/>
        </w:rPr>
        <w:t xml:space="preserve">negative </w:t>
      </w:r>
      <w:r w:rsidR="004610D4">
        <w:rPr>
          <w:rFonts w:ascii="Times New Roman" w:hAnsi="Times New Roman" w:cs="Times New Roman"/>
          <w:lang w:val="en-IE"/>
        </w:rPr>
        <w:t>relationship with</w:t>
      </w:r>
      <w:r w:rsidR="00B46D5E" w:rsidRPr="00C73908">
        <w:rPr>
          <w:rFonts w:ascii="Times New Roman" w:hAnsi="Times New Roman" w:cs="Times New Roman"/>
          <w:lang w:val="en-IE"/>
        </w:rPr>
        <w:t xml:space="preserve"> </w:t>
      </w:r>
      <w:r w:rsidR="000F51C5" w:rsidRPr="00C73908">
        <w:rPr>
          <w:rFonts w:ascii="Times New Roman" w:hAnsi="Times New Roman" w:cs="Times New Roman"/>
          <w:lang w:val="en-IE"/>
        </w:rPr>
        <w:t xml:space="preserve">the </w:t>
      </w:r>
      <w:r w:rsidR="004E1BCA">
        <w:rPr>
          <w:rFonts w:ascii="Times New Roman" w:hAnsi="Times New Roman" w:cs="Times New Roman"/>
          <w:lang w:val="en-IE"/>
        </w:rPr>
        <w:t>scale</w:t>
      </w:r>
      <w:r w:rsidR="000F51C5" w:rsidRPr="00C73908">
        <w:rPr>
          <w:rFonts w:ascii="Times New Roman" w:hAnsi="Times New Roman" w:cs="Times New Roman"/>
          <w:lang w:val="en-IE"/>
        </w:rPr>
        <w:t xml:space="preserve"> of </w:t>
      </w:r>
      <w:r w:rsidR="00C57550" w:rsidRPr="00C73908">
        <w:rPr>
          <w:rFonts w:ascii="Times New Roman" w:hAnsi="Times New Roman" w:cs="Times New Roman"/>
          <w:lang w:val="en-IE"/>
        </w:rPr>
        <w:t>export</w:t>
      </w:r>
      <w:r w:rsidR="000F51C5" w:rsidRPr="00C73908">
        <w:rPr>
          <w:rFonts w:ascii="Times New Roman" w:hAnsi="Times New Roman" w:cs="Times New Roman"/>
          <w:lang w:val="en-IE"/>
        </w:rPr>
        <w:t>s among services companies</w:t>
      </w:r>
      <w:r w:rsidR="00BE3741" w:rsidRPr="00C73908">
        <w:rPr>
          <w:rFonts w:ascii="Times New Roman" w:hAnsi="Times New Roman" w:cs="Times New Roman"/>
          <w:lang w:val="en-IE"/>
        </w:rPr>
        <w:t>.</w:t>
      </w:r>
      <w:r w:rsidR="004E122B" w:rsidRPr="00C73908">
        <w:rPr>
          <w:rFonts w:ascii="Times New Roman" w:hAnsi="Times New Roman" w:cs="Times New Roman"/>
          <w:lang w:val="en-IE"/>
        </w:rPr>
        <w:t xml:space="preserve"> T</w:t>
      </w:r>
      <w:r w:rsidR="003928DA" w:rsidRPr="00C73908">
        <w:rPr>
          <w:rFonts w:ascii="Times New Roman" w:hAnsi="Times New Roman" w:cs="Times New Roman"/>
          <w:lang w:val="en-IE"/>
        </w:rPr>
        <w:t>here is</w:t>
      </w:r>
      <w:r w:rsidR="004E122B" w:rsidRPr="00C73908">
        <w:rPr>
          <w:rFonts w:ascii="Times New Roman" w:hAnsi="Times New Roman" w:cs="Times New Roman"/>
          <w:lang w:val="en-IE"/>
        </w:rPr>
        <w:t>, however,</w:t>
      </w:r>
      <w:r w:rsidR="003928DA" w:rsidRPr="00C73908">
        <w:rPr>
          <w:rFonts w:ascii="Times New Roman" w:hAnsi="Times New Roman" w:cs="Times New Roman"/>
          <w:lang w:val="en-IE"/>
        </w:rPr>
        <w:t xml:space="preserve"> no evidence of a significant impact on </w:t>
      </w:r>
      <w:r w:rsidR="00182081" w:rsidRPr="00C73908">
        <w:rPr>
          <w:rFonts w:ascii="Times New Roman" w:hAnsi="Times New Roman" w:cs="Times New Roman"/>
          <w:lang w:val="en-IE"/>
        </w:rPr>
        <w:t>manufactur</w:t>
      </w:r>
      <w:r w:rsidR="00A31524" w:rsidRPr="00C73908">
        <w:rPr>
          <w:rFonts w:ascii="Times New Roman" w:hAnsi="Times New Roman" w:cs="Times New Roman"/>
          <w:lang w:val="en-IE"/>
        </w:rPr>
        <w:t>ing exports</w:t>
      </w:r>
      <w:r w:rsidR="00182081" w:rsidRPr="00C73908">
        <w:rPr>
          <w:rFonts w:ascii="Times New Roman" w:hAnsi="Times New Roman" w:cs="Times New Roman"/>
          <w:lang w:val="en-IE"/>
        </w:rPr>
        <w:t xml:space="preserve">. </w:t>
      </w:r>
      <w:r w:rsidR="00B836CD" w:rsidRPr="00C73908">
        <w:rPr>
          <w:rFonts w:ascii="Times New Roman" w:hAnsi="Times New Roman" w:cs="Times New Roman"/>
          <w:lang w:val="en-IE"/>
        </w:rPr>
        <w:t>This</w:t>
      </w:r>
      <w:r w:rsidR="00686609" w:rsidRPr="00C73908">
        <w:rPr>
          <w:rFonts w:ascii="Times New Roman" w:hAnsi="Times New Roman" w:cs="Times New Roman"/>
          <w:lang w:val="en-IE"/>
        </w:rPr>
        <w:t xml:space="preserve"> is somewhat surprising </w:t>
      </w:r>
      <w:r w:rsidR="00530B5A" w:rsidRPr="00C73908">
        <w:rPr>
          <w:rFonts w:ascii="Times New Roman" w:hAnsi="Times New Roman" w:cs="Times New Roman"/>
          <w:lang w:val="en-IE"/>
        </w:rPr>
        <w:t xml:space="preserve">given the </w:t>
      </w:r>
      <w:r w:rsidR="00C60EDF" w:rsidRPr="00C73908">
        <w:rPr>
          <w:rFonts w:ascii="Times New Roman" w:hAnsi="Times New Roman" w:cs="Times New Roman"/>
          <w:lang w:val="en-IE"/>
        </w:rPr>
        <w:t xml:space="preserve">extensive literature identifying a </w:t>
      </w:r>
      <w:r w:rsidR="00736DE8" w:rsidRPr="00C73908">
        <w:rPr>
          <w:rFonts w:ascii="Times New Roman" w:hAnsi="Times New Roman" w:cs="Times New Roman"/>
          <w:lang w:val="en-IE"/>
        </w:rPr>
        <w:t>positive relationship between productivity and exporting</w:t>
      </w:r>
      <w:r w:rsidR="00354964" w:rsidRPr="00C73908">
        <w:rPr>
          <w:rFonts w:ascii="Times New Roman" w:hAnsi="Times New Roman" w:cs="Times New Roman"/>
          <w:lang w:val="en-IE"/>
        </w:rPr>
        <w:t xml:space="preserve"> and t</w:t>
      </w:r>
      <w:r w:rsidR="00022AE1" w:rsidRPr="00C73908">
        <w:rPr>
          <w:rFonts w:ascii="Times New Roman" w:hAnsi="Times New Roman" w:cs="Times New Roman"/>
          <w:lang w:val="en-IE"/>
        </w:rPr>
        <w:t xml:space="preserve">here are </w:t>
      </w:r>
      <w:r w:rsidR="0063081E" w:rsidRPr="00C73908">
        <w:rPr>
          <w:rFonts w:ascii="Times New Roman" w:hAnsi="Times New Roman" w:cs="Times New Roman"/>
          <w:lang w:val="en-IE"/>
        </w:rPr>
        <w:t>several</w:t>
      </w:r>
      <w:r w:rsidR="00022AE1" w:rsidRPr="00C73908">
        <w:rPr>
          <w:rFonts w:ascii="Times New Roman" w:hAnsi="Times New Roman" w:cs="Times New Roman"/>
          <w:lang w:val="en-IE"/>
        </w:rPr>
        <w:t xml:space="preserve"> factors </w:t>
      </w:r>
      <w:r w:rsidR="00721C46" w:rsidRPr="00C73908">
        <w:rPr>
          <w:rFonts w:ascii="Times New Roman" w:hAnsi="Times New Roman" w:cs="Times New Roman"/>
          <w:lang w:val="en-IE"/>
        </w:rPr>
        <w:t>to consider</w:t>
      </w:r>
      <w:r w:rsidR="009F0C74" w:rsidRPr="00C73908">
        <w:rPr>
          <w:rFonts w:ascii="Times New Roman" w:hAnsi="Times New Roman" w:cs="Times New Roman"/>
          <w:lang w:val="en-IE"/>
        </w:rPr>
        <w:t xml:space="preserve"> when interpreting it</w:t>
      </w:r>
      <w:r w:rsidR="00354964" w:rsidRPr="00C73908">
        <w:rPr>
          <w:rFonts w:ascii="Times New Roman" w:hAnsi="Times New Roman" w:cs="Times New Roman"/>
          <w:lang w:val="en-IE"/>
        </w:rPr>
        <w:t>.</w:t>
      </w:r>
      <w:r w:rsidR="00CC3ED4" w:rsidRPr="00C73908">
        <w:rPr>
          <w:rFonts w:ascii="Times New Roman" w:hAnsi="Times New Roman" w:cs="Times New Roman"/>
          <w:lang w:val="en-IE"/>
        </w:rPr>
        <w:t xml:space="preserve"> </w:t>
      </w:r>
      <w:r w:rsidR="00721C46" w:rsidRPr="00C73908">
        <w:rPr>
          <w:rFonts w:ascii="Times New Roman" w:hAnsi="Times New Roman" w:cs="Times New Roman"/>
          <w:lang w:val="en-IE"/>
        </w:rPr>
        <w:t>Firstly, i</w:t>
      </w:r>
      <w:r w:rsidR="00CC3ED4" w:rsidRPr="00C73908">
        <w:rPr>
          <w:rFonts w:ascii="Times New Roman" w:hAnsi="Times New Roman" w:cs="Times New Roman"/>
          <w:lang w:val="en-IE"/>
        </w:rPr>
        <w:t>t is important to note that</w:t>
      </w:r>
      <w:r w:rsidR="00EC337B" w:rsidRPr="00C73908">
        <w:rPr>
          <w:rFonts w:ascii="Times New Roman" w:hAnsi="Times New Roman" w:cs="Times New Roman"/>
          <w:lang w:val="en-IE"/>
        </w:rPr>
        <w:t>,</w:t>
      </w:r>
      <w:r w:rsidR="00CC3ED4" w:rsidRPr="00C73908">
        <w:rPr>
          <w:rFonts w:ascii="Times New Roman" w:hAnsi="Times New Roman" w:cs="Times New Roman"/>
          <w:lang w:val="en-IE"/>
        </w:rPr>
        <w:t xml:space="preserve"> </w:t>
      </w:r>
      <w:r w:rsidR="002C7FB0" w:rsidRPr="00C73908">
        <w:rPr>
          <w:rFonts w:ascii="Times New Roman" w:hAnsi="Times New Roman" w:cs="Times New Roman"/>
          <w:lang w:val="en-IE"/>
        </w:rPr>
        <w:t xml:space="preserve">while </w:t>
      </w:r>
      <w:r w:rsidR="00CC3ED4" w:rsidRPr="00C73908">
        <w:rPr>
          <w:rFonts w:ascii="Times New Roman" w:hAnsi="Times New Roman" w:cs="Times New Roman"/>
          <w:lang w:val="en-IE"/>
        </w:rPr>
        <w:t>the</w:t>
      </w:r>
      <w:r w:rsidR="002C7FB0" w:rsidRPr="00C73908">
        <w:rPr>
          <w:rFonts w:ascii="Times New Roman" w:hAnsi="Times New Roman" w:cs="Times New Roman"/>
          <w:lang w:val="en-IE"/>
        </w:rPr>
        <w:t>se</w:t>
      </w:r>
      <w:r w:rsidR="007D344B" w:rsidRPr="00C73908">
        <w:rPr>
          <w:rFonts w:ascii="Times New Roman" w:hAnsi="Times New Roman" w:cs="Times New Roman"/>
          <w:lang w:val="en-IE"/>
        </w:rPr>
        <w:t xml:space="preserve"> results</w:t>
      </w:r>
      <w:r w:rsidR="00CC3ED4" w:rsidRPr="00C73908">
        <w:rPr>
          <w:rFonts w:ascii="Times New Roman" w:hAnsi="Times New Roman" w:cs="Times New Roman"/>
          <w:lang w:val="en-IE"/>
        </w:rPr>
        <w:t xml:space="preserve"> </w:t>
      </w:r>
      <w:r w:rsidR="002C7FB0" w:rsidRPr="00C73908">
        <w:rPr>
          <w:rFonts w:ascii="Times New Roman" w:hAnsi="Times New Roman" w:cs="Times New Roman"/>
          <w:lang w:val="en-IE"/>
        </w:rPr>
        <w:t xml:space="preserve">may </w:t>
      </w:r>
      <w:r w:rsidR="00006A1A" w:rsidRPr="00C73908">
        <w:rPr>
          <w:rFonts w:ascii="Times New Roman" w:hAnsi="Times New Roman" w:cs="Times New Roman"/>
          <w:lang w:val="en-IE"/>
        </w:rPr>
        <w:t xml:space="preserve">appear to be </w:t>
      </w:r>
      <w:r w:rsidR="00CC3ED4" w:rsidRPr="00C73908">
        <w:rPr>
          <w:rFonts w:ascii="Times New Roman" w:hAnsi="Times New Roman" w:cs="Times New Roman"/>
          <w:lang w:val="en-IE"/>
        </w:rPr>
        <w:t xml:space="preserve">at odds with </w:t>
      </w:r>
      <w:r w:rsidR="00A07D63" w:rsidRPr="00C73908">
        <w:rPr>
          <w:rFonts w:ascii="Times New Roman" w:hAnsi="Times New Roman" w:cs="Times New Roman"/>
          <w:lang w:val="en-IE"/>
        </w:rPr>
        <w:t>previous</w:t>
      </w:r>
      <w:r w:rsidR="00F07CB3" w:rsidRPr="00C73908">
        <w:rPr>
          <w:rFonts w:ascii="Times New Roman" w:hAnsi="Times New Roman" w:cs="Times New Roman"/>
          <w:lang w:val="en-IE"/>
        </w:rPr>
        <w:t xml:space="preserve"> empirical studies</w:t>
      </w:r>
      <w:r w:rsidR="00006A1A" w:rsidRPr="00C73908">
        <w:rPr>
          <w:rFonts w:ascii="Times New Roman" w:hAnsi="Times New Roman" w:cs="Times New Roman"/>
          <w:lang w:val="en-IE"/>
        </w:rPr>
        <w:t>, there is a key distinction</w:t>
      </w:r>
      <w:r w:rsidR="00CC3ED4" w:rsidRPr="00C73908">
        <w:rPr>
          <w:rFonts w:ascii="Times New Roman" w:hAnsi="Times New Roman" w:cs="Times New Roman"/>
          <w:lang w:val="en-IE"/>
        </w:rPr>
        <w:t xml:space="preserve">. </w:t>
      </w:r>
      <w:r w:rsidR="00FB7EA8" w:rsidRPr="00C73908">
        <w:rPr>
          <w:rFonts w:ascii="Times New Roman" w:hAnsi="Times New Roman" w:cs="Times New Roman"/>
          <w:lang w:val="en-IE"/>
        </w:rPr>
        <w:t xml:space="preserve">Previous studies </w:t>
      </w:r>
      <w:r w:rsidR="00076487" w:rsidRPr="00C73908">
        <w:rPr>
          <w:rFonts w:ascii="Times New Roman" w:hAnsi="Times New Roman" w:cs="Times New Roman"/>
          <w:lang w:val="en-IE"/>
        </w:rPr>
        <w:t>in this area have</w:t>
      </w:r>
      <w:r w:rsidR="00FB7EA8" w:rsidRPr="00C73908">
        <w:rPr>
          <w:rFonts w:ascii="Times New Roman" w:hAnsi="Times New Roman" w:cs="Times New Roman"/>
          <w:lang w:val="en-IE"/>
        </w:rPr>
        <w:t xml:space="preserve"> </w:t>
      </w:r>
      <w:r w:rsidR="00EC337B" w:rsidRPr="00C73908">
        <w:rPr>
          <w:rFonts w:ascii="Times New Roman" w:hAnsi="Times New Roman" w:cs="Times New Roman"/>
          <w:lang w:val="en-IE"/>
        </w:rPr>
        <w:t>primarily focused on the determinants of export propensity</w:t>
      </w:r>
      <w:r w:rsidR="007359F8" w:rsidRPr="00C73908">
        <w:rPr>
          <w:rFonts w:ascii="Times New Roman" w:hAnsi="Times New Roman" w:cs="Times New Roman"/>
          <w:lang w:val="en-IE"/>
        </w:rPr>
        <w:t xml:space="preserve">, i.e. </w:t>
      </w:r>
      <w:r w:rsidR="004771B4" w:rsidRPr="00C73908">
        <w:rPr>
          <w:rFonts w:ascii="Times New Roman" w:hAnsi="Times New Roman" w:cs="Times New Roman"/>
          <w:lang w:val="en-IE"/>
        </w:rPr>
        <w:t xml:space="preserve">whether or not a company </w:t>
      </w:r>
      <w:r w:rsidR="00927467" w:rsidRPr="00C73908">
        <w:rPr>
          <w:rFonts w:ascii="Times New Roman" w:hAnsi="Times New Roman" w:cs="Times New Roman"/>
          <w:lang w:val="en-IE"/>
        </w:rPr>
        <w:t xml:space="preserve">is an </w:t>
      </w:r>
      <w:r w:rsidR="004771B4" w:rsidRPr="00C73908">
        <w:rPr>
          <w:rFonts w:ascii="Times New Roman" w:hAnsi="Times New Roman" w:cs="Times New Roman"/>
          <w:lang w:val="en-IE"/>
        </w:rPr>
        <w:t>export</w:t>
      </w:r>
      <w:r w:rsidR="00927467" w:rsidRPr="00C73908">
        <w:rPr>
          <w:rFonts w:ascii="Times New Roman" w:hAnsi="Times New Roman" w:cs="Times New Roman"/>
          <w:lang w:val="en-IE"/>
        </w:rPr>
        <w:t>er</w:t>
      </w:r>
      <w:r w:rsidR="0044799F" w:rsidRPr="00C73908">
        <w:rPr>
          <w:rFonts w:ascii="Times New Roman" w:hAnsi="Times New Roman" w:cs="Times New Roman"/>
          <w:lang w:val="en-IE"/>
        </w:rPr>
        <w:t>.</w:t>
      </w:r>
      <w:r w:rsidR="00FB7EA8" w:rsidRPr="00C73908">
        <w:rPr>
          <w:rFonts w:ascii="Times New Roman" w:hAnsi="Times New Roman" w:cs="Times New Roman"/>
          <w:lang w:val="en-IE"/>
        </w:rPr>
        <w:t xml:space="preserve"> </w:t>
      </w:r>
      <w:r w:rsidR="00927467" w:rsidRPr="00C73908">
        <w:rPr>
          <w:rFonts w:ascii="Times New Roman" w:hAnsi="Times New Roman" w:cs="Times New Roman"/>
          <w:lang w:val="en-IE"/>
        </w:rPr>
        <w:t xml:space="preserve">This </w:t>
      </w:r>
      <w:r w:rsidR="00076487" w:rsidRPr="00C73908">
        <w:rPr>
          <w:rFonts w:ascii="Times New Roman" w:hAnsi="Times New Roman" w:cs="Times New Roman"/>
          <w:lang w:val="en-IE"/>
        </w:rPr>
        <w:t>analysis</w:t>
      </w:r>
      <w:r w:rsidR="00927467" w:rsidRPr="00C73908">
        <w:rPr>
          <w:rFonts w:ascii="Times New Roman" w:hAnsi="Times New Roman" w:cs="Times New Roman"/>
          <w:lang w:val="en-IE"/>
        </w:rPr>
        <w:t>, on the other hand,</w:t>
      </w:r>
      <w:r w:rsidR="00076487" w:rsidRPr="00C73908">
        <w:rPr>
          <w:rFonts w:ascii="Times New Roman" w:hAnsi="Times New Roman" w:cs="Times New Roman"/>
          <w:lang w:val="en-IE"/>
        </w:rPr>
        <w:t xml:space="preserve"> examines the relationship between</w:t>
      </w:r>
      <w:r w:rsidR="007359F8" w:rsidRPr="00C73908">
        <w:rPr>
          <w:rFonts w:ascii="Times New Roman" w:hAnsi="Times New Roman" w:cs="Times New Roman"/>
          <w:lang w:val="en-IE"/>
        </w:rPr>
        <w:t xml:space="preserve"> productivity and a company’s level of exports.</w:t>
      </w:r>
      <w:r w:rsidR="00076487" w:rsidRPr="00C73908">
        <w:rPr>
          <w:rFonts w:ascii="Times New Roman" w:hAnsi="Times New Roman" w:cs="Times New Roman"/>
          <w:lang w:val="en-IE"/>
        </w:rPr>
        <w:t xml:space="preserve"> </w:t>
      </w:r>
    </w:p>
    <w:p w14:paraId="73B992A7" w14:textId="22E24F2B" w:rsidR="003E638D" w:rsidRPr="00C73908" w:rsidRDefault="00411F16" w:rsidP="00E40450">
      <w:pPr>
        <w:spacing w:after="240" w:line="360" w:lineRule="auto"/>
        <w:jc w:val="both"/>
        <w:rPr>
          <w:rFonts w:ascii="Times New Roman" w:hAnsi="Times New Roman" w:cs="Times New Roman"/>
          <w:lang w:val="en-IE"/>
        </w:rPr>
      </w:pPr>
      <w:r w:rsidRPr="00C73908">
        <w:rPr>
          <w:rFonts w:ascii="Times New Roman" w:hAnsi="Times New Roman" w:cs="Times New Roman"/>
          <w:lang w:val="en-IE"/>
        </w:rPr>
        <w:lastRenderedPageBreak/>
        <w:t>The CSO</w:t>
      </w:r>
      <w:r w:rsidR="00922E47" w:rsidRPr="00C73908">
        <w:rPr>
          <w:rFonts w:ascii="Times New Roman" w:hAnsi="Times New Roman" w:cs="Times New Roman"/>
          <w:lang w:val="en-IE"/>
        </w:rPr>
        <w:t>’s ‘Business in Ireland’ publication</w:t>
      </w:r>
      <w:r w:rsidRPr="00C73908">
        <w:rPr>
          <w:rFonts w:ascii="Times New Roman" w:hAnsi="Times New Roman" w:cs="Times New Roman"/>
          <w:lang w:val="en-IE"/>
        </w:rPr>
        <w:t xml:space="preserve"> </w:t>
      </w:r>
      <w:r w:rsidR="00922E47" w:rsidRPr="00C73908">
        <w:rPr>
          <w:rFonts w:ascii="Times New Roman" w:hAnsi="Times New Roman" w:cs="Times New Roman"/>
          <w:lang w:val="en-IE"/>
        </w:rPr>
        <w:t xml:space="preserve">provides </w:t>
      </w:r>
      <w:r w:rsidRPr="00C73908">
        <w:rPr>
          <w:rFonts w:ascii="Times New Roman" w:hAnsi="Times New Roman" w:cs="Times New Roman"/>
          <w:lang w:val="en-IE"/>
        </w:rPr>
        <w:t>statistics on the average levels of value added</w:t>
      </w:r>
      <w:r w:rsidR="009C5FE4" w:rsidRPr="00C73908">
        <w:rPr>
          <w:rFonts w:ascii="Times New Roman" w:hAnsi="Times New Roman" w:cs="Times New Roman"/>
          <w:lang w:val="en-IE"/>
        </w:rPr>
        <w:t xml:space="preserve"> (VA)</w:t>
      </w:r>
      <w:r w:rsidRPr="00C73908">
        <w:rPr>
          <w:rFonts w:ascii="Times New Roman" w:hAnsi="Times New Roman" w:cs="Times New Roman"/>
          <w:lang w:val="en-IE"/>
        </w:rPr>
        <w:t xml:space="preserve"> per employee </w:t>
      </w:r>
      <w:r w:rsidR="0011138C" w:rsidRPr="00C73908">
        <w:rPr>
          <w:rFonts w:ascii="Times New Roman" w:hAnsi="Times New Roman" w:cs="Times New Roman"/>
          <w:lang w:val="en-IE"/>
        </w:rPr>
        <w:t xml:space="preserve">for Irish-owned enterprises with a breakdown by size category. </w:t>
      </w:r>
      <w:r w:rsidR="00EB1E52" w:rsidRPr="00C73908">
        <w:rPr>
          <w:rFonts w:ascii="Times New Roman" w:hAnsi="Times New Roman" w:cs="Times New Roman"/>
          <w:lang w:val="en-IE"/>
        </w:rPr>
        <w:t xml:space="preserve">These figures are based on </w:t>
      </w:r>
      <w:r w:rsidR="009B16BC" w:rsidRPr="00C73908">
        <w:rPr>
          <w:rFonts w:ascii="Times New Roman" w:hAnsi="Times New Roman" w:cs="Times New Roman"/>
          <w:lang w:val="en-IE"/>
        </w:rPr>
        <w:t xml:space="preserve">a large population of </w:t>
      </w:r>
      <w:r w:rsidR="00EB1E52" w:rsidRPr="00C73908">
        <w:rPr>
          <w:rFonts w:ascii="Times New Roman" w:hAnsi="Times New Roman" w:cs="Times New Roman"/>
          <w:lang w:val="en-IE"/>
        </w:rPr>
        <w:t>over 2</w:t>
      </w:r>
      <w:r w:rsidR="00CC7528" w:rsidRPr="00C73908">
        <w:rPr>
          <w:rFonts w:ascii="Times New Roman" w:hAnsi="Times New Roman" w:cs="Times New Roman"/>
          <w:lang w:val="en-IE"/>
        </w:rPr>
        <w:t>0</w:t>
      </w:r>
      <w:r w:rsidR="00EB1E52" w:rsidRPr="00C73908">
        <w:rPr>
          <w:rFonts w:ascii="Times New Roman" w:hAnsi="Times New Roman" w:cs="Times New Roman"/>
          <w:lang w:val="en-IE"/>
        </w:rPr>
        <w:t>,000 c</w:t>
      </w:r>
      <w:r w:rsidR="00CC3ED4" w:rsidRPr="00C73908">
        <w:rPr>
          <w:rFonts w:ascii="Times New Roman" w:hAnsi="Times New Roman" w:cs="Times New Roman"/>
          <w:lang w:val="en-IE"/>
        </w:rPr>
        <w:t>ompanies</w:t>
      </w:r>
      <w:r w:rsidR="00EB1E52" w:rsidRPr="00C73908">
        <w:rPr>
          <w:rFonts w:ascii="Times New Roman" w:hAnsi="Times New Roman" w:cs="Times New Roman"/>
          <w:lang w:val="en-IE"/>
        </w:rPr>
        <w:t xml:space="preserve"> that responded to </w:t>
      </w:r>
      <w:r w:rsidR="00CC7528" w:rsidRPr="00C73908">
        <w:rPr>
          <w:rFonts w:ascii="Times New Roman" w:hAnsi="Times New Roman" w:cs="Times New Roman"/>
          <w:lang w:val="en-IE"/>
        </w:rPr>
        <w:t xml:space="preserve">the Annual Services </w:t>
      </w:r>
      <w:r w:rsidR="00AC13A4" w:rsidRPr="00C73908">
        <w:rPr>
          <w:rFonts w:ascii="Times New Roman" w:hAnsi="Times New Roman" w:cs="Times New Roman"/>
          <w:lang w:val="en-IE"/>
        </w:rPr>
        <w:t>Inquiry or Census of Industrial Production</w:t>
      </w:r>
      <w:r w:rsidR="004B7003" w:rsidRPr="00C73908">
        <w:rPr>
          <w:rFonts w:ascii="Times New Roman" w:hAnsi="Times New Roman" w:cs="Times New Roman"/>
          <w:lang w:val="en-IE"/>
        </w:rPr>
        <w:t xml:space="preserve"> surveys</w:t>
      </w:r>
      <w:r w:rsidR="004704E6" w:rsidRPr="00C73908">
        <w:rPr>
          <w:rFonts w:ascii="Times New Roman" w:hAnsi="Times New Roman" w:cs="Times New Roman"/>
          <w:lang w:val="en-IE"/>
        </w:rPr>
        <w:t>. A comparison between the</w:t>
      </w:r>
      <w:r w:rsidR="00CC3ED4" w:rsidRPr="00C73908">
        <w:rPr>
          <w:rFonts w:ascii="Times New Roman" w:hAnsi="Times New Roman" w:cs="Times New Roman"/>
          <w:lang w:val="en-IE"/>
        </w:rPr>
        <w:t xml:space="preserve"> EI client base </w:t>
      </w:r>
      <w:r w:rsidR="004704E6" w:rsidRPr="00C73908">
        <w:rPr>
          <w:rFonts w:ascii="Times New Roman" w:hAnsi="Times New Roman" w:cs="Times New Roman"/>
          <w:lang w:val="en-IE"/>
        </w:rPr>
        <w:t xml:space="preserve">and the CSO figures shows that average productivity levels are much higher among </w:t>
      </w:r>
      <w:r w:rsidR="004A6254" w:rsidRPr="00C73908">
        <w:rPr>
          <w:rFonts w:ascii="Times New Roman" w:hAnsi="Times New Roman" w:cs="Times New Roman"/>
          <w:lang w:val="en-IE"/>
        </w:rPr>
        <w:t xml:space="preserve">EI client companies relative to the </w:t>
      </w:r>
      <w:r w:rsidR="00E73C11" w:rsidRPr="00C73908">
        <w:rPr>
          <w:rFonts w:ascii="Times New Roman" w:hAnsi="Times New Roman" w:cs="Times New Roman"/>
          <w:lang w:val="en-IE"/>
        </w:rPr>
        <w:t>wider enterprise base</w:t>
      </w:r>
      <w:r w:rsidR="00DD7593" w:rsidRPr="00C73908">
        <w:rPr>
          <w:rFonts w:ascii="Times New Roman" w:hAnsi="Times New Roman" w:cs="Times New Roman"/>
          <w:lang w:val="en-IE"/>
        </w:rPr>
        <w:t xml:space="preserve"> in the CSO surveys</w:t>
      </w:r>
      <w:r w:rsidR="008E558A" w:rsidRPr="00C73908">
        <w:rPr>
          <w:rFonts w:ascii="Times New Roman" w:hAnsi="Times New Roman" w:cs="Times New Roman"/>
          <w:lang w:val="en-IE"/>
        </w:rPr>
        <w:t>,</w:t>
      </w:r>
      <w:r w:rsidR="00DD7593" w:rsidRPr="00C73908">
        <w:rPr>
          <w:rFonts w:ascii="Times New Roman" w:hAnsi="Times New Roman" w:cs="Times New Roman"/>
          <w:lang w:val="en-IE"/>
        </w:rPr>
        <w:t xml:space="preserve"> </w:t>
      </w:r>
      <w:r w:rsidR="00AE2A2A" w:rsidRPr="00C73908">
        <w:rPr>
          <w:rFonts w:ascii="Times New Roman" w:hAnsi="Times New Roman" w:cs="Times New Roman"/>
          <w:lang w:val="en-IE"/>
        </w:rPr>
        <w:t xml:space="preserve">the vast majority of which are </w:t>
      </w:r>
      <w:r w:rsidR="005E63AE" w:rsidRPr="00C73908">
        <w:rPr>
          <w:rFonts w:ascii="Times New Roman" w:hAnsi="Times New Roman" w:cs="Times New Roman"/>
          <w:lang w:val="en-IE"/>
        </w:rPr>
        <w:t>small</w:t>
      </w:r>
      <w:r w:rsidR="00221FCC" w:rsidRPr="00C73908">
        <w:rPr>
          <w:rFonts w:ascii="Times New Roman" w:hAnsi="Times New Roman" w:cs="Times New Roman"/>
          <w:lang w:val="en-IE"/>
        </w:rPr>
        <w:t>er</w:t>
      </w:r>
      <w:r w:rsidR="005E63AE" w:rsidRPr="00C73908">
        <w:rPr>
          <w:rFonts w:ascii="Times New Roman" w:hAnsi="Times New Roman" w:cs="Times New Roman"/>
          <w:lang w:val="en-IE"/>
        </w:rPr>
        <w:t>, domestically focused companies</w:t>
      </w:r>
      <w:r w:rsidR="00CC3ED4" w:rsidRPr="00C73908">
        <w:rPr>
          <w:rFonts w:ascii="Times New Roman" w:hAnsi="Times New Roman" w:cs="Times New Roman"/>
          <w:lang w:val="en-IE"/>
        </w:rPr>
        <w:t>.</w:t>
      </w:r>
      <w:r w:rsidR="00F34888" w:rsidRPr="00C73908">
        <w:rPr>
          <w:rFonts w:ascii="Times New Roman" w:hAnsi="Times New Roman" w:cs="Times New Roman"/>
          <w:lang w:val="en-IE"/>
        </w:rPr>
        <w:t xml:space="preserve"> Productivity levels among EI clients are 44%, 64% and 74%</w:t>
      </w:r>
      <w:r w:rsidR="00AC5246" w:rsidRPr="00C73908">
        <w:rPr>
          <w:rFonts w:ascii="Times New Roman" w:hAnsi="Times New Roman" w:cs="Times New Roman"/>
          <w:lang w:val="en-IE"/>
        </w:rPr>
        <w:t xml:space="preserve"> </w:t>
      </w:r>
      <w:r w:rsidR="002D3975" w:rsidRPr="00C73908">
        <w:rPr>
          <w:rFonts w:ascii="Times New Roman" w:hAnsi="Times New Roman" w:cs="Times New Roman"/>
          <w:lang w:val="en-IE"/>
        </w:rPr>
        <w:t>higher</w:t>
      </w:r>
      <w:r w:rsidR="00F64C0F" w:rsidRPr="00C73908">
        <w:rPr>
          <w:rFonts w:ascii="Times New Roman" w:hAnsi="Times New Roman" w:cs="Times New Roman"/>
          <w:lang w:val="en-IE"/>
        </w:rPr>
        <w:t xml:space="preserve"> than the corresponding CSO figures</w:t>
      </w:r>
      <w:r w:rsidR="002D3975" w:rsidRPr="00C73908">
        <w:rPr>
          <w:rFonts w:ascii="Times New Roman" w:hAnsi="Times New Roman" w:cs="Times New Roman"/>
          <w:lang w:val="en-IE"/>
        </w:rPr>
        <w:t xml:space="preserve"> </w:t>
      </w:r>
      <w:r w:rsidR="00AC5246" w:rsidRPr="00C73908">
        <w:rPr>
          <w:rFonts w:ascii="Times New Roman" w:hAnsi="Times New Roman" w:cs="Times New Roman"/>
          <w:lang w:val="en-IE"/>
        </w:rPr>
        <w:t xml:space="preserve">for small, </w:t>
      </w:r>
      <w:r w:rsidR="00F84C76" w:rsidRPr="00C73908">
        <w:rPr>
          <w:rFonts w:ascii="Times New Roman" w:hAnsi="Times New Roman" w:cs="Times New Roman"/>
          <w:lang w:val="en-IE"/>
        </w:rPr>
        <w:t>medium,</w:t>
      </w:r>
      <w:r w:rsidR="00AC5246" w:rsidRPr="00C73908">
        <w:rPr>
          <w:rFonts w:ascii="Times New Roman" w:hAnsi="Times New Roman" w:cs="Times New Roman"/>
          <w:lang w:val="en-IE"/>
        </w:rPr>
        <w:t xml:space="preserve"> and large companies respectively.</w:t>
      </w:r>
      <w:r w:rsidR="00CC3ED4" w:rsidRPr="00C73908">
        <w:rPr>
          <w:rFonts w:ascii="Times New Roman" w:hAnsi="Times New Roman" w:cs="Times New Roman"/>
          <w:lang w:val="en-IE"/>
        </w:rPr>
        <w:t xml:space="preserve"> </w:t>
      </w:r>
      <w:r w:rsidR="00A12D60" w:rsidRPr="00C73908">
        <w:rPr>
          <w:rFonts w:ascii="Times New Roman" w:hAnsi="Times New Roman" w:cs="Times New Roman"/>
          <w:lang w:val="en-IE"/>
        </w:rPr>
        <w:t>Overall, t</w:t>
      </w:r>
      <w:r w:rsidR="006B4111" w:rsidRPr="00C73908">
        <w:rPr>
          <w:rFonts w:ascii="Times New Roman" w:hAnsi="Times New Roman" w:cs="Times New Roman"/>
          <w:lang w:val="en-IE"/>
        </w:rPr>
        <w:t xml:space="preserve">hese figures </w:t>
      </w:r>
      <w:r w:rsidR="00A12D60" w:rsidRPr="00C73908">
        <w:rPr>
          <w:rFonts w:ascii="Times New Roman" w:hAnsi="Times New Roman" w:cs="Times New Roman"/>
          <w:lang w:val="en-IE"/>
        </w:rPr>
        <w:t>show</w:t>
      </w:r>
      <w:r w:rsidR="00844882" w:rsidRPr="00C73908">
        <w:rPr>
          <w:rFonts w:ascii="Times New Roman" w:hAnsi="Times New Roman" w:cs="Times New Roman"/>
          <w:lang w:val="en-IE"/>
        </w:rPr>
        <w:t xml:space="preserve"> that the EI client base is made up of a subset of highly productive, export-</w:t>
      </w:r>
      <w:r w:rsidR="006B4111" w:rsidRPr="00C73908">
        <w:rPr>
          <w:rFonts w:ascii="Times New Roman" w:hAnsi="Times New Roman" w:cs="Times New Roman"/>
          <w:lang w:val="en-IE"/>
        </w:rPr>
        <w:t>orientated companies</w:t>
      </w:r>
      <w:r w:rsidR="003F5B8A" w:rsidRPr="00C73908">
        <w:rPr>
          <w:rFonts w:ascii="Times New Roman" w:hAnsi="Times New Roman" w:cs="Times New Roman"/>
          <w:lang w:val="en-IE"/>
        </w:rPr>
        <w:t>.</w:t>
      </w:r>
      <w:r w:rsidR="00E8256E" w:rsidRPr="00C73908">
        <w:rPr>
          <w:rFonts w:ascii="Times New Roman" w:hAnsi="Times New Roman" w:cs="Times New Roman"/>
          <w:lang w:val="en-IE"/>
        </w:rPr>
        <w:t xml:space="preserve"> </w:t>
      </w:r>
      <w:r w:rsidR="002B114A" w:rsidRPr="00C73908">
        <w:rPr>
          <w:rFonts w:ascii="Times New Roman" w:hAnsi="Times New Roman" w:cs="Times New Roman"/>
          <w:lang w:val="en-IE"/>
        </w:rPr>
        <w:t>There is a</w:t>
      </w:r>
      <w:r w:rsidR="005C47AE" w:rsidRPr="00C73908">
        <w:rPr>
          <w:rFonts w:ascii="Times New Roman" w:hAnsi="Times New Roman" w:cs="Times New Roman"/>
          <w:lang w:val="en-IE"/>
        </w:rPr>
        <w:t xml:space="preserve"> slight caveat</w:t>
      </w:r>
      <w:r w:rsidR="00E8256E" w:rsidRPr="00C73908">
        <w:rPr>
          <w:rFonts w:ascii="Times New Roman" w:hAnsi="Times New Roman" w:cs="Times New Roman"/>
          <w:lang w:val="en-IE"/>
        </w:rPr>
        <w:t xml:space="preserve"> </w:t>
      </w:r>
      <w:r w:rsidR="000C754B">
        <w:rPr>
          <w:rFonts w:ascii="Times New Roman" w:hAnsi="Times New Roman" w:cs="Times New Roman"/>
          <w:lang w:val="en-IE"/>
        </w:rPr>
        <w:t>as</w:t>
      </w:r>
      <w:r w:rsidR="00E8256E" w:rsidRPr="00C73908">
        <w:rPr>
          <w:rFonts w:ascii="Times New Roman" w:hAnsi="Times New Roman" w:cs="Times New Roman"/>
          <w:lang w:val="en-IE"/>
        </w:rPr>
        <w:t xml:space="preserve"> the </w:t>
      </w:r>
      <w:r w:rsidR="002F3490" w:rsidRPr="00C73908">
        <w:rPr>
          <w:rFonts w:ascii="Times New Roman" w:hAnsi="Times New Roman" w:cs="Times New Roman"/>
          <w:lang w:val="en-IE"/>
        </w:rPr>
        <w:t>CSO figures include</w:t>
      </w:r>
      <w:r w:rsidR="001C20A4">
        <w:rPr>
          <w:rFonts w:ascii="Times New Roman" w:hAnsi="Times New Roman" w:cs="Times New Roman"/>
          <w:lang w:val="en-IE"/>
        </w:rPr>
        <w:t xml:space="preserve"> </w:t>
      </w:r>
      <w:r w:rsidR="002F3490" w:rsidRPr="00C73908">
        <w:rPr>
          <w:rFonts w:ascii="Times New Roman" w:hAnsi="Times New Roman" w:cs="Times New Roman"/>
          <w:lang w:val="en-IE"/>
        </w:rPr>
        <w:t xml:space="preserve">sectors </w:t>
      </w:r>
      <w:r w:rsidR="001C20A4">
        <w:rPr>
          <w:rFonts w:ascii="Times New Roman" w:hAnsi="Times New Roman" w:cs="Times New Roman"/>
          <w:lang w:val="en-IE"/>
        </w:rPr>
        <w:t>which are ineligible for EI support and have</w:t>
      </w:r>
      <w:r w:rsidR="002F3490" w:rsidRPr="00C73908">
        <w:rPr>
          <w:rFonts w:ascii="Times New Roman" w:hAnsi="Times New Roman" w:cs="Times New Roman"/>
          <w:lang w:val="en-IE"/>
        </w:rPr>
        <w:t xml:space="preserve"> lower levels </w:t>
      </w:r>
      <w:r w:rsidR="00306D1F" w:rsidRPr="00C73908">
        <w:rPr>
          <w:rFonts w:ascii="Times New Roman" w:hAnsi="Times New Roman" w:cs="Times New Roman"/>
          <w:lang w:val="en-IE"/>
        </w:rPr>
        <w:t>of productivity</w:t>
      </w:r>
      <w:r w:rsidR="003F5B8A" w:rsidRPr="00C73908">
        <w:rPr>
          <w:rFonts w:ascii="Times New Roman" w:hAnsi="Times New Roman" w:cs="Times New Roman"/>
          <w:lang w:val="en-IE"/>
        </w:rPr>
        <w:t xml:space="preserve"> </w:t>
      </w:r>
      <w:r w:rsidR="005C76F9" w:rsidRPr="00C73908">
        <w:rPr>
          <w:rFonts w:ascii="Times New Roman" w:hAnsi="Times New Roman" w:cs="Times New Roman"/>
          <w:lang w:val="en-IE"/>
        </w:rPr>
        <w:t xml:space="preserve">such as retail and hospitality which are likely to reduce the </w:t>
      </w:r>
      <w:r w:rsidR="002C572D" w:rsidRPr="00C73908">
        <w:rPr>
          <w:rFonts w:ascii="Times New Roman" w:hAnsi="Times New Roman" w:cs="Times New Roman"/>
          <w:lang w:val="en-IE"/>
        </w:rPr>
        <w:t>average</w:t>
      </w:r>
      <w:r w:rsidR="005C76F9" w:rsidRPr="00C73908">
        <w:rPr>
          <w:rFonts w:ascii="Times New Roman" w:hAnsi="Times New Roman" w:cs="Times New Roman"/>
          <w:lang w:val="en-IE"/>
        </w:rPr>
        <w:t xml:space="preserve"> </w:t>
      </w:r>
      <w:r w:rsidR="00956876" w:rsidRPr="00C73908">
        <w:rPr>
          <w:rFonts w:ascii="Times New Roman" w:hAnsi="Times New Roman" w:cs="Times New Roman"/>
          <w:lang w:val="en-IE"/>
        </w:rPr>
        <w:t>values</w:t>
      </w:r>
      <w:r w:rsidR="00094BAD" w:rsidRPr="00C73908">
        <w:rPr>
          <w:rFonts w:ascii="Times New Roman" w:hAnsi="Times New Roman" w:cs="Times New Roman"/>
          <w:lang w:val="en-IE"/>
        </w:rPr>
        <w:t>. Despite this</w:t>
      </w:r>
      <w:r w:rsidR="00F47E51" w:rsidRPr="00C73908">
        <w:rPr>
          <w:rFonts w:ascii="Times New Roman" w:hAnsi="Times New Roman" w:cs="Times New Roman"/>
          <w:lang w:val="en-IE"/>
        </w:rPr>
        <w:t>,</w:t>
      </w:r>
      <w:r w:rsidR="005C76F9" w:rsidRPr="00C73908">
        <w:rPr>
          <w:rFonts w:ascii="Times New Roman" w:hAnsi="Times New Roman" w:cs="Times New Roman"/>
          <w:lang w:val="en-IE"/>
        </w:rPr>
        <w:t xml:space="preserve"> </w:t>
      </w:r>
      <w:r w:rsidR="00094BAD" w:rsidRPr="00C73908">
        <w:rPr>
          <w:rFonts w:ascii="Times New Roman" w:hAnsi="Times New Roman" w:cs="Times New Roman"/>
          <w:lang w:val="en-IE"/>
        </w:rPr>
        <w:t>p</w:t>
      </w:r>
      <w:r w:rsidR="00CC3ED4" w:rsidRPr="00C73908">
        <w:rPr>
          <w:rFonts w:ascii="Times New Roman" w:hAnsi="Times New Roman" w:cs="Times New Roman"/>
          <w:lang w:val="en-IE"/>
        </w:rPr>
        <w:t>roductivity is</w:t>
      </w:r>
      <w:r w:rsidR="00094BAD" w:rsidRPr="00C73908">
        <w:rPr>
          <w:rFonts w:ascii="Times New Roman" w:hAnsi="Times New Roman" w:cs="Times New Roman"/>
          <w:lang w:val="en-IE"/>
        </w:rPr>
        <w:t xml:space="preserve"> </w:t>
      </w:r>
      <w:r w:rsidR="00CC3ED4" w:rsidRPr="00C73908">
        <w:rPr>
          <w:rFonts w:ascii="Times New Roman" w:hAnsi="Times New Roman" w:cs="Times New Roman"/>
          <w:lang w:val="en-IE"/>
        </w:rPr>
        <w:t>likely to be a determinant of export propensity</w:t>
      </w:r>
      <w:r w:rsidR="0060499B" w:rsidRPr="00C73908">
        <w:rPr>
          <w:rFonts w:ascii="Times New Roman" w:hAnsi="Times New Roman" w:cs="Times New Roman"/>
          <w:lang w:val="en-IE"/>
        </w:rPr>
        <w:t xml:space="preserve"> </w:t>
      </w:r>
      <w:r w:rsidR="003E6850" w:rsidRPr="00C73908">
        <w:rPr>
          <w:rFonts w:ascii="Times New Roman" w:hAnsi="Times New Roman" w:cs="Times New Roman"/>
          <w:lang w:val="en-IE"/>
        </w:rPr>
        <w:t xml:space="preserve">among all </w:t>
      </w:r>
      <w:r w:rsidR="003F4917" w:rsidRPr="00C73908">
        <w:rPr>
          <w:rFonts w:ascii="Times New Roman" w:hAnsi="Times New Roman" w:cs="Times New Roman"/>
          <w:lang w:val="en-IE"/>
        </w:rPr>
        <w:t xml:space="preserve">indigenous enterprises </w:t>
      </w:r>
      <w:r w:rsidR="0060499B" w:rsidRPr="00C73908">
        <w:rPr>
          <w:rFonts w:ascii="Times New Roman" w:hAnsi="Times New Roman" w:cs="Times New Roman"/>
          <w:lang w:val="en-IE"/>
        </w:rPr>
        <w:t xml:space="preserve">even if it has no effect </w:t>
      </w:r>
      <w:r w:rsidR="002151EC" w:rsidRPr="00C73908">
        <w:rPr>
          <w:rFonts w:ascii="Times New Roman" w:hAnsi="Times New Roman" w:cs="Times New Roman"/>
          <w:lang w:val="en-IE"/>
        </w:rPr>
        <w:t xml:space="preserve">or a slight negative effect </w:t>
      </w:r>
      <w:r w:rsidR="0060499B" w:rsidRPr="00C73908">
        <w:rPr>
          <w:rFonts w:ascii="Times New Roman" w:hAnsi="Times New Roman" w:cs="Times New Roman"/>
          <w:lang w:val="en-IE"/>
        </w:rPr>
        <w:t xml:space="preserve">on the </w:t>
      </w:r>
      <w:r w:rsidR="00653123">
        <w:rPr>
          <w:rFonts w:ascii="Times New Roman" w:hAnsi="Times New Roman" w:cs="Times New Roman"/>
          <w:lang w:val="en-IE"/>
        </w:rPr>
        <w:t>scale</w:t>
      </w:r>
      <w:r w:rsidR="0060499B" w:rsidRPr="00C73908">
        <w:rPr>
          <w:rFonts w:ascii="Times New Roman" w:hAnsi="Times New Roman" w:cs="Times New Roman"/>
          <w:lang w:val="en-IE"/>
        </w:rPr>
        <w:t xml:space="preserve"> of exports</w:t>
      </w:r>
      <w:r w:rsidR="003F4917" w:rsidRPr="00C73908">
        <w:rPr>
          <w:rFonts w:ascii="Times New Roman" w:hAnsi="Times New Roman" w:cs="Times New Roman"/>
          <w:lang w:val="en-IE"/>
        </w:rPr>
        <w:t xml:space="preserve"> </w:t>
      </w:r>
      <w:r w:rsidR="00D04B08">
        <w:rPr>
          <w:rFonts w:ascii="Times New Roman" w:hAnsi="Times New Roman" w:cs="Times New Roman"/>
          <w:lang w:val="en-IE"/>
        </w:rPr>
        <w:t>among</w:t>
      </w:r>
      <w:r w:rsidR="003F4917" w:rsidRPr="00C73908">
        <w:rPr>
          <w:rFonts w:ascii="Times New Roman" w:hAnsi="Times New Roman" w:cs="Times New Roman"/>
          <w:lang w:val="en-IE"/>
        </w:rPr>
        <w:t xml:space="preserve"> </w:t>
      </w:r>
      <w:r w:rsidR="00D04B08">
        <w:rPr>
          <w:rFonts w:ascii="Times New Roman" w:hAnsi="Times New Roman" w:cs="Times New Roman"/>
          <w:lang w:val="en-IE"/>
        </w:rPr>
        <w:t>companies within the EI client base</w:t>
      </w:r>
      <w:r w:rsidR="0060499B" w:rsidRPr="00C73908">
        <w:rPr>
          <w:rFonts w:ascii="Times New Roman" w:hAnsi="Times New Roman" w:cs="Times New Roman"/>
          <w:lang w:val="en-IE"/>
        </w:rPr>
        <w:t>.</w:t>
      </w:r>
    </w:p>
    <w:p w14:paraId="593D043A" w14:textId="6FC90B74" w:rsidR="00511F7C" w:rsidRDefault="002C3DB1" w:rsidP="00E40450">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 xml:space="preserve">An interesting </w:t>
      </w:r>
      <w:r w:rsidR="00DA7485" w:rsidRPr="00C73908">
        <w:rPr>
          <w:rFonts w:ascii="Times New Roman" w:hAnsi="Times New Roman" w:cs="Times New Roman"/>
          <w:lang w:val="en-IE"/>
        </w:rPr>
        <w:t xml:space="preserve">dynamic that </w:t>
      </w:r>
      <w:r w:rsidR="007F2A5B" w:rsidRPr="00C73908">
        <w:rPr>
          <w:rFonts w:ascii="Times New Roman" w:hAnsi="Times New Roman" w:cs="Times New Roman"/>
          <w:lang w:val="en-IE"/>
        </w:rPr>
        <w:t>is present</w:t>
      </w:r>
      <w:r w:rsidR="001578A8" w:rsidRPr="00C73908">
        <w:rPr>
          <w:rFonts w:ascii="Times New Roman" w:hAnsi="Times New Roman" w:cs="Times New Roman"/>
          <w:lang w:val="en-IE"/>
        </w:rPr>
        <w:t xml:space="preserve"> in the dataset</w:t>
      </w:r>
      <w:r w:rsidR="004E2594" w:rsidRPr="00C73908">
        <w:rPr>
          <w:rFonts w:ascii="Times New Roman" w:hAnsi="Times New Roman" w:cs="Times New Roman"/>
          <w:lang w:val="en-IE"/>
        </w:rPr>
        <w:t xml:space="preserve"> </w:t>
      </w:r>
      <w:r w:rsidR="00D7574A" w:rsidRPr="00C73908">
        <w:rPr>
          <w:rFonts w:ascii="Times New Roman" w:hAnsi="Times New Roman" w:cs="Times New Roman"/>
          <w:lang w:val="en-IE"/>
        </w:rPr>
        <w:t>is</w:t>
      </w:r>
      <w:r w:rsidR="00DC0161" w:rsidRPr="00C73908">
        <w:rPr>
          <w:rFonts w:ascii="Times New Roman" w:hAnsi="Times New Roman" w:cs="Times New Roman"/>
          <w:lang w:val="en-IE"/>
        </w:rPr>
        <w:t xml:space="preserve"> </w:t>
      </w:r>
      <w:r w:rsidR="009D38EC" w:rsidRPr="00C73908">
        <w:rPr>
          <w:rFonts w:ascii="Times New Roman" w:hAnsi="Times New Roman" w:cs="Times New Roman"/>
          <w:lang w:val="en-IE"/>
        </w:rPr>
        <w:t>the</w:t>
      </w:r>
      <w:r w:rsidR="00D7574A" w:rsidRPr="00C73908">
        <w:rPr>
          <w:rFonts w:ascii="Times New Roman" w:hAnsi="Times New Roman" w:cs="Times New Roman"/>
          <w:lang w:val="en-IE"/>
        </w:rPr>
        <w:t xml:space="preserve"> strong negative </w:t>
      </w:r>
      <w:r w:rsidR="009E5589" w:rsidRPr="00C73908">
        <w:rPr>
          <w:rFonts w:ascii="Times New Roman" w:hAnsi="Times New Roman" w:cs="Times New Roman"/>
          <w:lang w:val="en-IE"/>
        </w:rPr>
        <w:t>correlation</w:t>
      </w:r>
      <w:r w:rsidR="00D7574A" w:rsidRPr="00C73908">
        <w:rPr>
          <w:rFonts w:ascii="Times New Roman" w:hAnsi="Times New Roman" w:cs="Times New Roman"/>
          <w:lang w:val="en-IE"/>
        </w:rPr>
        <w:t xml:space="preserve"> between R&amp;D </w:t>
      </w:r>
      <w:r w:rsidR="003B5FF1" w:rsidRPr="00C73908">
        <w:rPr>
          <w:rFonts w:ascii="Times New Roman" w:hAnsi="Times New Roman" w:cs="Times New Roman"/>
          <w:lang w:val="en-IE"/>
        </w:rPr>
        <w:t>expenditure</w:t>
      </w:r>
      <w:r w:rsidR="00D7574A" w:rsidRPr="00C73908">
        <w:rPr>
          <w:rFonts w:ascii="Times New Roman" w:hAnsi="Times New Roman" w:cs="Times New Roman"/>
          <w:lang w:val="en-IE"/>
        </w:rPr>
        <w:t xml:space="preserve"> and the value-added per employee metric</w:t>
      </w:r>
      <w:r w:rsidR="00A13869" w:rsidRPr="00C73908">
        <w:rPr>
          <w:rFonts w:ascii="Times New Roman" w:hAnsi="Times New Roman" w:cs="Times New Roman"/>
          <w:lang w:val="en-IE"/>
        </w:rPr>
        <w:t xml:space="preserve"> which</w:t>
      </w:r>
      <w:r w:rsidR="00D7574A" w:rsidRPr="00C73908">
        <w:rPr>
          <w:rFonts w:ascii="Times New Roman" w:hAnsi="Times New Roman" w:cs="Times New Roman"/>
          <w:lang w:val="en-IE"/>
        </w:rPr>
        <w:t xml:space="preserve"> i</w:t>
      </w:r>
      <w:r w:rsidR="00477D1E" w:rsidRPr="00C73908">
        <w:rPr>
          <w:rFonts w:ascii="Times New Roman" w:hAnsi="Times New Roman" w:cs="Times New Roman"/>
          <w:lang w:val="en-IE"/>
        </w:rPr>
        <w:t xml:space="preserve">ndicates that </w:t>
      </w:r>
      <w:r w:rsidR="00AB38B8" w:rsidRPr="00C73908">
        <w:rPr>
          <w:rFonts w:ascii="Times New Roman" w:hAnsi="Times New Roman" w:cs="Times New Roman"/>
          <w:lang w:val="en-IE"/>
        </w:rPr>
        <w:t xml:space="preserve">companies </w:t>
      </w:r>
      <w:r w:rsidR="00B32201" w:rsidRPr="00C73908">
        <w:rPr>
          <w:rFonts w:ascii="Times New Roman" w:hAnsi="Times New Roman" w:cs="Times New Roman"/>
          <w:lang w:val="en-IE"/>
        </w:rPr>
        <w:t>that invest heavily in</w:t>
      </w:r>
      <w:r w:rsidR="00DA787A" w:rsidRPr="00C73908">
        <w:rPr>
          <w:rFonts w:ascii="Times New Roman" w:hAnsi="Times New Roman" w:cs="Times New Roman"/>
          <w:lang w:val="en-IE"/>
        </w:rPr>
        <w:t xml:space="preserve"> R&amp;D </w:t>
      </w:r>
      <w:r w:rsidR="00AB38B8" w:rsidRPr="00C73908">
        <w:rPr>
          <w:rFonts w:ascii="Times New Roman" w:hAnsi="Times New Roman" w:cs="Times New Roman"/>
          <w:lang w:val="en-IE"/>
        </w:rPr>
        <w:t>tend to have</w:t>
      </w:r>
      <w:r w:rsidR="00B30493" w:rsidRPr="00C73908">
        <w:rPr>
          <w:rFonts w:ascii="Times New Roman" w:hAnsi="Times New Roman" w:cs="Times New Roman"/>
          <w:lang w:val="en-IE"/>
        </w:rPr>
        <w:t xml:space="preserve"> </w:t>
      </w:r>
      <w:r w:rsidR="00AB38B8" w:rsidRPr="00C73908">
        <w:rPr>
          <w:rFonts w:ascii="Times New Roman" w:hAnsi="Times New Roman" w:cs="Times New Roman"/>
          <w:lang w:val="en-IE"/>
        </w:rPr>
        <w:t>lower</w:t>
      </w:r>
      <w:r w:rsidR="0047698D" w:rsidRPr="00C73908">
        <w:rPr>
          <w:rFonts w:ascii="Times New Roman" w:hAnsi="Times New Roman" w:cs="Times New Roman"/>
          <w:lang w:val="en-IE"/>
        </w:rPr>
        <w:t xml:space="preserve"> productivity</w:t>
      </w:r>
      <w:r w:rsidR="00B32201" w:rsidRPr="00C73908">
        <w:rPr>
          <w:rFonts w:ascii="Times New Roman" w:hAnsi="Times New Roman" w:cs="Times New Roman"/>
          <w:lang w:val="en-IE"/>
        </w:rPr>
        <w:t xml:space="preserve"> levels</w:t>
      </w:r>
      <w:r w:rsidR="00477D1E" w:rsidRPr="00C73908">
        <w:rPr>
          <w:rFonts w:ascii="Times New Roman" w:hAnsi="Times New Roman" w:cs="Times New Roman"/>
          <w:lang w:val="en-IE"/>
        </w:rPr>
        <w:t xml:space="preserve">. </w:t>
      </w:r>
      <w:r w:rsidR="00D63BF2" w:rsidRPr="00C73908">
        <w:rPr>
          <w:rFonts w:ascii="Times New Roman" w:hAnsi="Times New Roman" w:cs="Times New Roman"/>
          <w:lang w:val="en-IE"/>
        </w:rPr>
        <w:t>This</w:t>
      </w:r>
      <w:r w:rsidR="006D727F" w:rsidRPr="00C73908">
        <w:rPr>
          <w:rFonts w:ascii="Times New Roman" w:hAnsi="Times New Roman" w:cs="Times New Roman"/>
          <w:lang w:val="en-IE"/>
        </w:rPr>
        <w:t xml:space="preserve"> relationship m</w:t>
      </w:r>
      <w:r w:rsidR="00A33D07" w:rsidRPr="00C73908">
        <w:rPr>
          <w:rFonts w:ascii="Times New Roman" w:hAnsi="Times New Roman" w:cs="Times New Roman"/>
          <w:lang w:val="en-IE"/>
        </w:rPr>
        <w:t xml:space="preserve">ay </w:t>
      </w:r>
      <w:r w:rsidR="00BD3D47" w:rsidRPr="00C73908">
        <w:rPr>
          <w:rFonts w:ascii="Times New Roman" w:hAnsi="Times New Roman" w:cs="Times New Roman"/>
          <w:lang w:val="en-IE"/>
        </w:rPr>
        <w:t>contribute to</w:t>
      </w:r>
      <w:r w:rsidR="0094050E" w:rsidRPr="00C73908">
        <w:rPr>
          <w:rFonts w:ascii="Times New Roman" w:hAnsi="Times New Roman" w:cs="Times New Roman"/>
          <w:lang w:val="en-IE"/>
        </w:rPr>
        <w:t xml:space="preserve"> the negative influence of productivity on exports </w:t>
      </w:r>
      <w:r w:rsidR="00B611DC" w:rsidRPr="00C73908">
        <w:rPr>
          <w:rFonts w:ascii="Times New Roman" w:hAnsi="Times New Roman" w:cs="Times New Roman"/>
          <w:lang w:val="en-IE"/>
        </w:rPr>
        <w:t>in the services sector,</w:t>
      </w:r>
      <w:r w:rsidR="00D76DCB" w:rsidRPr="00C73908">
        <w:rPr>
          <w:rFonts w:ascii="Times New Roman" w:hAnsi="Times New Roman" w:cs="Times New Roman"/>
          <w:lang w:val="en-IE"/>
        </w:rPr>
        <w:t xml:space="preserve"> particularly among </w:t>
      </w:r>
      <w:r w:rsidR="00E86285" w:rsidRPr="00C73908">
        <w:rPr>
          <w:rFonts w:ascii="Times New Roman" w:hAnsi="Times New Roman" w:cs="Times New Roman"/>
          <w:lang w:val="en-IE"/>
        </w:rPr>
        <w:t>fast-growing</w:t>
      </w:r>
      <w:r w:rsidR="00DB7F91" w:rsidRPr="00C73908">
        <w:rPr>
          <w:rFonts w:ascii="Times New Roman" w:hAnsi="Times New Roman" w:cs="Times New Roman"/>
          <w:lang w:val="en-IE"/>
        </w:rPr>
        <w:t>,</w:t>
      </w:r>
      <w:r w:rsidR="00523AA4" w:rsidRPr="00C73908">
        <w:rPr>
          <w:rFonts w:ascii="Times New Roman" w:hAnsi="Times New Roman" w:cs="Times New Roman"/>
          <w:lang w:val="en-IE"/>
        </w:rPr>
        <w:t xml:space="preserve"> </w:t>
      </w:r>
      <w:r w:rsidR="00DB7F91" w:rsidRPr="00C73908">
        <w:rPr>
          <w:rFonts w:ascii="Times New Roman" w:hAnsi="Times New Roman" w:cs="Times New Roman"/>
          <w:lang w:val="en-IE"/>
        </w:rPr>
        <w:t xml:space="preserve">R&amp;D intensive </w:t>
      </w:r>
      <w:r w:rsidR="00523AA4" w:rsidRPr="00C73908">
        <w:rPr>
          <w:rFonts w:ascii="Times New Roman" w:hAnsi="Times New Roman" w:cs="Times New Roman"/>
          <w:lang w:val="en-IE"/>
        </w:rPr>
        <w:t xml:space="preserve">companies </w:t>
      </w:r>
      <w:r w:rsidR="00E86F09" w:rsidRPr="00C73908">
        <w:rPr>
          <w:rFonts w:ascii="Times New Roman" w:hAnsi="Times New Roman" w:cs="Times New Roman"/>
          <w:lang w:val="en-IE"/>
        </w:rPr>
        <w:t xml:space="preserve">in the early stages of their </w:t>
      </w:r>
      <w:r w:rsidR="00CE1B67" w:rsidRPr="00C73908">
        <w:rPr>
          <w:rFonts w:ascii="Times New Roman" w:hAnsi="Times New Roman" w:cs="Times New Roman"/>
          <w:lang w:val="en-IE"/>
        </w:rPr>
        <w:t>international expansion</w:t>
      </w:r>
      <w:r w:rsidR="0094050E" w:rsidRPr="00C73908">
        <w:rPr>
          <w:rFonts w:ascii="Times New Roman" w:hAnsi="Times New Roman" w:cs="Times New Roman"/>
          <w:lang w:val="en-IE"/>
        </w:rPr>
        <w:t>.</w:t>
      </w:r>
      <w:r w:rsidR="007F1928" w:rsidRPr="00C73908">
        <w:rPr>
          <w:rFonts w:ascii="Times New Roman" w:hAnsi="Times New Roman" w:cs="Times New Roman"/>
          <w:lang w:val="en-IE"/>
        </w:rPr>
        <w:t xml:space="preserve"> </w:t>
      </w:r>
      <w:r w:rsidR="000B1707" w:rsidRPr="00C73908">
        <w:rPr>
          <w:rFonts w:ascii="Times New Roman" w:hAnsi="Times New Roman" w:cs="Times New Roman"/>
          <w:lang w:val="en-IE"/>
        </w:rPr>
        <w:t>On the other hand</w:t>
      </w:r>
      <w:r w:rsidR="007F1928" w:rsidRPr="00C73908">
        <w:rPr>
          <w:rFonts w:ascii="Times New Roman" w:hAnsi="Times New Roman" w:cs="Times New Roman"/>
          <w:lang w:val="en-IE"/>
        </w:rPr>
        <w:t xml:space="preserve">, </w:t>
      </w:r>
      <w:r w:rsidR="00B91FF6" w:rsidRPr="00C73908">
        <w:rPr>
          <w:rFonts w:ascii="Times New Roman" w:hAnsi="Times New Roman" w:cs="Times New Roman"/>
          <w:lang w:val="en-IE"/>
        </w:rPr>
        <w:t xml:space="preserve">companies </w:t>
      </w:r>
      <w:r w:rsidR="00770B55" w:rsidRPr="00C73908">
        <w:rPr>
          <w:rFonts w:ascii="Times New Roman" w:hAnsi="Times New Roman" w:cs="Times New Roman"/>
          <w:lang w:val="en-IE"/>
        </w:rPr>
        <w:t>with low levels</w:t>
      </w:r>
      <w:r w:rsidR="0038194F" w:rsidRPr="00C73908">
        <w:rPr>
          <w:rFonts w:ascii="Times New Roman" w:hAnsi="Times New Roman" w:cs="Times New Roman"/>
          <w:lang w:val="en-IE"/>
        </w:rPr>
        <w:t xml:space="preserve"> of</w:t>
      </w:r>
      <w:r w:rsidR="00CC595D" w:rsidRPr="00C73908">
        <w:rPr>
          <w:rFonts w:ascii="Times New Roman" w:hAnsi="Times New Roman" w:cs="Times New Roman"/>
          <w:lang w:val="en-IE"/>
        </w:rPr>
        <w:t xml:space="preserve"> R&amp;D</w:t>
      </w:r>
      <w:r w:rsidR="0038194F" w:rsidRPr="00C73908">
        <w:rPr>
          <w:rFonts w:ascii="Times New Roman" w:hAnsi="Times New Roman" w:cs="Times New Roman"/>
          <w:lang w:val="en-IE"/>
        </w:rPr>
        <w:t xml:space="preserve"> expenditure </w:t>
      </w:r>
      <w:r w:rsidR="00AE0F27" w:rsidRPr="00C73908">
        <w:rPr>
          <w:rFonts w:ascii="Times New Roman" w:hAnsi="Times New Roman" w:cs="Times New Roman"/>
          <w:lang w:val="en-IE"/>
        </w:rPr>
        <w:t xml:space="preserve">may have relatively higher productivity in the short run but will not </w:t>
      </w:r>
      <w:r w:rsidR="00C9266F" w:rsidRPr="00C73908">
        <w:rPr>
          <w:rFonts w:ascii="Times New Roman" w:hAnsi="Times New Roman" w:cs="Times New Roman"/>
          <w:lang w:val="en-IE"/>
        </w:rPr>
        <w:t>grow their exports to the same extent.</w:t>
      </w:r>
      <w:r w:rsidR="00720B46" w:rsidRPr="00C73908">
        <w:rPr>
          <w:rFonts w:ascii="Times New Roman" w:hAnsi="Times New Roman" w:cs="Times New Roman"/>
          <w:lang w:val="en-IE"/>
        </w:rPr>
        <w:t xml:space="preserve"> </w:t>
      </w:r>
      <w:r w:rsidR="00B21DB2" w:rsidRPr="00C73908">
        <w:rPr>
          <w:rFonts w:ascii="Times New Roman" w:hAnsi="Times New Roman" w:cs="Times New Roman"/>
          <w:lang w:val="en-IE"/>
        </w:rPr>
        <w:t xml:space="preserve">This effect is clearly demonstrated </w:t>
      </w:r>
      <w:r w:rsidR="009B2822" w:rsidRPr="00C73908">
        <w:rPr>
          <w:rFonts w:ascii="Times New Roman" w:hAnsi="Times New Roman" w:cs="Times New Roman"/>
          <w:lang w:val="en-IE"/>
        </w:rPr>
        <w:t xml:space="preserve">by comparing the </w:t>
      </w:r>
      <w:r w:rsidR="00C53ABC" w:rsidRPr="00C73908">
        <w:rPr>
          <w:rFonts w:ascii="Times New Roman" w:hAnsi="Times New Roman" w:cs="Times New Roman"/>
          <w:lang w:val="en-IE"/>
        </w:rPr>
        <w:t>export growth</w:t>
      </w:r>
      <w:r w:rsidR="009B2822" w:rsidRPr="00C73908">
        <w:rPr>
          <w:rFonts w:ascii="Times New Roman" w:hAnsi="Times New Roman" w:cs="Times New Roman"/>
          <w:lang w:val="en-IE"/>
        </w:rPr>
        <w:t xml:space="preserve"> and productivity</w:t>
      </w:r>
      <w:r w:rsidR="00C53ABC" w:rsidRPr="00C73908">
        <w:rPr>
          <w:rFonts w:ascii="Times New Roman" w:hAnsi="Times New Roman" w:cs="Times New Roman"/>
          <w:lang w:val="en-IE"/>
        </w:rPr>
        <w:t xml:space="preserve"> levels</w:t>
      </w:r>
      <w:r w:rsidR="009B2822" w:rsidRPr="00C73908">
        <w:rPr>
          <w:rFonts w:ascii="Times New Roman" w:hAnsi="Times New Roman" w:cs="Times New Roman"/>
          <w:lang w:val="en-IE"/>
        </w:rPr>
        <w:t xml:space="preserve"> of </w:t>
      </w:r>
      <w:r w:rsidR="00B75411" w:rsidRPr="00C73908">
        <w:rPr>
          <w:rFonts w:ascii="Times New Roman" w:hAnsi="Times New Roman" w:cs="Times New Roman"/>
          <w:lang w:val="en-IE"/>
        </w:rPr>
        <w:t xml:space="preserve">services </w:t>
      </w:r>
      <w:r w:rsidR="009B2822" w:rsidRPr="00C73908">
        <w:rPr>
          <w:rFonts w:ascii="Times New Roman" w:hAnsi="Times New Roman" w:cs="Times New Roman"/>
          <w:lang w:val="en-IE"/>
        </w:rPr>
        <w:t>companies with the highest</w:t>
      </w:r>
      <w:r w:rsidR="00AC7FC3" w:rsidRPr="00C73908">
        <w:rPr>
          <w:rFonts w:ascii="Times New Roman" w:hAnsi="Times New Roman" w:cs="Times New Roman"/>
          <w:lang w:val="en-IE"/>
        </w:rPr>
        <w:t xml:space="preserve"> </w:t>
      </w:r>
      <w:r w:rsidR="005C4E57" w:rsidRPr="00C73908">
        <w:rPr>
          <w:rFonts w:ascii="Times New Roman" w:hAnsi="Times New Roman" w:cs="Times New Roman"/>
          <w:lang w:val="en-IE"/>
        </w:rPr>
        <w:t xml:space="preserve">and lowest levels of </w:t>
      </w:r>
      <w:r w:rsidR="00C53ABC" w:rsidRPr="00C73908">
        <w:rPr>
          <w:rFonts w:ascii="Times New Roman" w:hAnsi="Times New Roman" w:cs="Times New Roman"/>
          <w:lang w:val="en-IE"/>
        </w:rPr>
        <w:t>R&amp;D intensity</w:t>
      </w:r>
      <w:r w:rsidR="001100B7" w:rsidRPr="00C73908">
        <w:rPr>
          <w:rFonts w:ascii="Times New Roman" w:hAnsi="Times New Roman" w:cs="Times New Roman"/>
          <w:lang w:val="en-IE"/>
        </w:rPr>
        <w:t xml:space="preserve"> at the beginning of the period under observation</w:t>
      </w:r>
      <w:r w:rsidR="005C4E57" w:rsidRPr="00C73908">
        <w:rPr>
          <w:rFonts w:ascii="Times New Roman" w:hAnsi="Times New Roman" w:cs="Times New Roman"/>
          <w:lang w:val="en-IE"/>
        </w:rPr>
        <w:t xml:space="preserve">. </w:t>
      </w:r>
      <w:r w:rsidR="00E91571" w:rsidRPr="00C73908">
        <w:rPr>
          <w:rFonts w:ascii="Times New Roman" w:hAnsi="Times New Roman" w:cs="Times New Roman"/>
          <w:lang w:val="en-IE"/>
        </w:rPr>
        <w:t xml:space="preserve">In order to make this comparison, companies are divided into quartiles based on their average R&amp;D intensity from 2010 to 2012. </w:t>
      </w:r>
      <w:r w:rsidR="00436146" w:rsidRPr="00C73908">
        <w:rPr>
          <w:rFonts w:ascii="Times New Roman" w:hAnsi="Times New Roman" w:cs="Times New Roman"/>
          <w:lang w:val="en-IE"/>
        </w:rPr>
        <w:t>Services c</w:t>
      </w:r>
      <w:r w:rsidR="003F4FEE" w:rsidRPr="00C73908">
        <w:rPr>
          <w:rFonts w:ascii="Times New Roman" w:hAnsi="Times New Roman" w:cs="Times New Roman"/>
          <w:lang w:val="en-IE"/>
        </w:rPr>
        <w:t xml:space="preserve">ompanies in the </w:t>
      </w:r>
      <w:r w:rsidR="00365601" w:rsidRPr="00C73908">
        <w:rPr>
          <w:rFonts w:ascii="Times New Roman" w:hAnsi="Times New Roman" w:cs="Times New Roman"/>
          <w:lang w:val="en-IE"/>
        </w:rPr>
        <w:t xml:space="preserve">top </w:t>
      </w:r>
      <w:r w:rsidR="0075016D" w:rsidRPr="00C73908">
        <w:rPr>
          <w:rFonts w:ascii="Times New Roman" w:hAnsi="Times New Roman" w:cs="Times New Roman"/>
          <w:lang w:val="en-IE"/>
        </w:rPr>
        <w:t>R&amp;D intensity</w:t>
      </w:r>
      <w:r w:rsidR="00365601" w:rsidRPr="00C73908">
        <w:rPr>
          <w:rFonts w:ascii="Times New Roman" w:hAnsi="Times New Roman" w:cs="Times New Roman"/>
          <w:lang w:val="en-IE"/>
        </w:rPr>
        <w:t xml:space="preserve"> quartile</w:t>
      </w:r>
      <w:r w:rsidR="00D116A6" w:rsidRPr="00C73908">
        <w:rPr>
          <w:rFonts w:ascii="Times New Roman" w:hAnsi="Times New Roman" w:cs="Times New Roman"/>
          <w:lang w:val="en-IE"/>
        </w:rPr>
        <w:t xml:space="preserve"> </w:t>
      </w:r>
      <w:r w:rsidR="00365601" w:rsidRPr="00C73908">
        <w:rPr>
          <w:rFonts w:ascii="Times New Roman" w:hAnsi="Times New Roman" w:cs="Times New Roman"/>
          <w:lang w:val="en-IE"/>
        </w:rPr>
        <w:t xml:space="preserve">had a </w:t>
      </w:r>
      <w:r w:rsidR="00366540" w:rsidRPr="00C73908">
        <w:rPr>
          <w:rFonts w:ascii="Times New Roman" w:hAnsi="Times New Roman" w:cs="Times New Roman"/>
          <w:lang w:val="en-IE"/>
        </w:rPr>
        <w:t xml:space="preserve">median </w:t>
      </w:r>
      <w:r w:rsidR="00365601" w:rsidRPr="00C73908">
        <w:rPr>
          <w:rFonts w:ascii="Times New Roman" w:hAnsi="Times New Roman" w:cs="Times New Roman"/>
          <w:lang w:val="en-IE"/>
        </w:rPr>
        <w:t xml:space="preserve">productivity of </w:t>
      </w:r>
      <w:r w:rsidR="00016D13" w:rsidRPr="00C73908">
        <w:rPr>
          <w:rFonts w:ascii="Times New Roman" w:hAnsi="Times New Roman" w:cs="Times New Roman"/>
          <w:lang w:val="en-IE"/>
        </w:rPr>
        <w:t>€35,000</w:t>
      </w:r>
      <w:r w:rsidR="00592711" w:rsidRPr="00C73908">
        <w:rPr>
          <w:rFonts w:ascii="Times New Roman" w:hAnsi="Times New Roman" w:cs="Times New Roman"/>
          <w:lang w:val="en-IE"/>
        </w:rPr>
        <w:t xml:space="preserve"> in 2010-2012 </w:t>
      </w:r>
      <w:r w:rsidR="00AD6E2A" w:rsidRPr="00C73908">
        <w:rPr>
          <w:rFonts w:ascii="Times New Roman" w:hAnsi="Times New Roman" w:cs="Times New Roman"/>
          <w:lang w:val="en-IE"/>
        </w:rPr>
        <w:t xml:space="preserve">which is </w:t>
      </w:r>
      <w:r w:rsidR="00374B03" w:rsidRPr="00C73908">
        <w:rPr>
          <w:rFonts w:ascii="Times New Roman" w:hAnsi="Times New Roman" w:cs="Times New Roman"/>
          <w:lang w:val="en-IE"/>
        </w:rPr>
        <w:t>well below</w:t>
      </w:r>
      <w:r w:rsidR="00AD6E2A" w:rsidRPr="00C73908">
        <w:rPr>
          <w:rFonts w:ascii="Times New Roman" w:hAnsi="Times New Roman" w:cs="Times New Roman"/>
          <w:lang w:val="en-IE"/>
        </w:rPr>
        <w:t xml:space="preserve"> the </w:t>
      </w:r>
      <w:r w:rsidR="00FA4C73" w:rsidRPr="00C73908">
        <w:rPr>
          <w:rFonts w:ascii="Times New Roman" w:hAnsi="Times New Roman" w:cs="Times New Roman"/>
          <w:lang w:val="en-IE"/>
        </w:rPr>
        <w:t>median</w:t>
      </w:r>
      <w:r w:rsidR="00AD6E2A" w:rsidRPr="00C73908">
        <w:rPr>
          <w:rFonts w:ascii="Times New Roman" w:hAnsi="Times New Roman" w:cs="Times New Roman"/>
          <w:lang w:val="en-IE"/>
        </w:rPr>
        <w:t xml:space="preserve"> productivity</w:t>
      </w:r>
      <w:r w:rsidR="009826C4" w:rsidRPr="00C73908">
        <w:rPr>
          <w:rFonts w:ascii="Times New Roman" w:hAnsi="Times New Roman" w:cs="Times New Roman"/>
          <w:lang w:val="en-IE"/>
        </w:rPr>
        <w:t xml:space="preserve"> of €</w:t>
      </w:r>
      <w:r w:rsidR="001D55BA" w:rsidRPr="00C73908">
        <w:rPr>
          <w:rFonts w:ascii="Times New Roman" w:hAnsi="Times New Roman" w:cs="Times New Roman"/>
          <w:lang w:val="en-IE"/>
        </w:rPr>
        <w:t xml:space="preserve">64,000 </w:t>
      </w:r>
      <w:r w:rsidR="001C0658" w:rsidRPr="00C73908">
        <w:rPr>
          <w:rFonts w:ascii="Times New Roman" w:hAnsi="Times New Roman" w:cs="Times New Roman"/>
          <w:lang w:val="en-IE"/>
        </w:rPr>
        <w:t xml:space="preserve">among companies </w:t>
      </w:r>
      <w:r w:rsidR="00D709E5" w:rsidRPr="00C73908">
        <w:rPr>
          <w:rFonts w:ascii="Times New Roman" w:hAnsi="Times New Roman" w:cs="Times New Roman"/>
          <w:lang w:val="en-IE"/>
        </w:rPr>
        <w:t>in the bottom quartile</w:t>
      </w:r>
      <w:r w:rsidR="00AC7FC3" w:rsidRPr="00C73908">
        <w:rPr>
          <w:rFonts w:ascii="Times New Roman" w:hAnsi="Times New Roman" w:cs="Times New Roman"/>
          <w:lang w:val="en-IE"/>
        </w:rPr>
        <w:t>.</w:t>
      </w:r>
      <w:r w:rsidR="00655465" w:rsidRPr="00C73908">
        <w:rPr>
          <w:rFonts w:ascii="Times New Roman" w:hAnsi="Times New Roman" w:cs="Times New Roman"/>
          <w:lang w:val="en-IE"/>
        </w:rPr>
        <w:t xml:space="preserve"> </w:t>
      </w:r>
      <w:r w:rsidR="001B0CF0" w:rsidRPr="00C73908">
        <w:rPr>
          <w:rFonts w:ascii="Times New Roman" w:hAnsi="Times New Roman" w:cs="Times New Roman"/>
          <w:lang w:val="en-IE"/>
        </w:rPr>
        <w:t>I</w:t>
      </w:r>
      <w:r w:rsidR="00815A88" w:rsidRPr="00C73908">
        <w:rPr>
          <w:rFonts w:ascii="Times New Roman" w:hAnsi="Times New Roman" w:cs="Times New Roman"/>
          <w:lang w:val="en-IE"/>
        </w:rPr>
        <w:t xml:space="preserve">n sharp contrast with productivity levels, companies in the top R&amp;D quartile had </w:t>
      </w:r>
      <w:r w:rsidR="00374B03" w:rsidRPr="00C73908">
        <w:rPr>
          <w:rFonts w:ascii="Times New Roman" w:hAnsi="Times New Roman" w:cs="Times New Roman"/>
          <w:lang w:val="en-IE"/>
        </w:rPr>
        <w:t>much higher</w:t>
      </w:r>
      <w:r w:rsidR="00815A88" w:rsidRPr="00C73908">
        <w:rPr>
          <w:rFonts w:ascii="Times New Roman" w:hAnsi="Times New Roman" w:cs="Times New Roman"/>
          <w:lang w:val="en-IE"/>
        </w:rPr>
        <w:t xml:space="preserve"> </w:t>
      </w:r>
      <w:r w:rsidR="00100B11" w:rsidRPr="00C73908">
        <w:rPr>
          <w:rFonts w:ascii="Times New Roman" w:hAnsi="Times New Roman" w:cs="Times New Roman"/>
          <w:lang w:val="en-IE"/>
        </w:rPr>
        <w:t xml:space="preserve">export growth </w:t>
      </w:r>
      <w:r w:rsidR="00BD6638" w:rsidRPr="00C73908">
        <w:rPr>
          <w:rFonts w:ascii="Times New Roman" w:hAnsi="Times New Roman" w:cs="Times New Roman"/>
          <w:lang w:val="en-IE"/>
        </w:rPr>
        <w:t xml:space="preserve">from 2010 to 2019 </w:t>
      </w:r>
      <w:r w:rsidR="00E1380F" w:rsidRPr="00C73908">
        <w:rPr>
          <w:rFonts w:ascii="Times New Roman" w:hAnsi="Times New Roman" w:cs="Times New Roman"/>
          <w:lang w:val="en-IE"/>
        </w:rPr>
        <w:t xml:space="preserve">with a median growth of </w:t>
      </w:r>
      <w:r w:rsidR="00905DF1" w:rsidRPr="00C73908">
        <w:rPr>
          <w:rFonts w:ascii="Times New Roman" w:hAnsi="Times New Roman" w:cs="Times New Roman"/>
          <w:lang w:val="en-IE"/>
        </w:rPr>
        <w:t xml:space="preserve">154% compared to </w:t>
      </w:r>
      <w:r w:rsidR="00515512" w:rsidRPr="00C73908">
        <w:rPr>
          <w:rFonts w:ascii="Times New Roman" w:hAnsi="Times New Roman" w:cs="Times New Roman"/>
          <w:lang w:val="en-IE"/>
        </w:rPr>
        <w:t>51% in the bottom quartile.</w:t>
      </w:r>
    </w:p>
    <w:p w14:paraId="64808CC6" w14:textId="13474E1E" w:rsidR="00D63BF2" w:rsidRPr="00C73908" w:rsidRDefault="00515512" w:rsidP="00E40450">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Th</w:t>
      </w:r>
      <w:r w:rsidR="00001594" w:rsidRPr="00C73908">
        <w:rPr>
          <w:rFonts w:ascii="Times New Roman" w:hAnsi="Times New Roman" w:cs="Times New Roman"/>
          <w:lang w:val="en-IE"/>
        </w:rPr>
        <w:t xml:space="preserve">is relationship </w:t>
      </w:r>
      <w:r w:rsidR="00E00131" w:rsidRPr="00C73908">
        <w:rPr>
          <w:rFonts w:ascii="Times New Roman" w:hAnsi="Times New Roman" w:cs="Times New Roman"/>
          <w:lang w:val="en-IE"/>
        </w:rPr>
        <w:t xml:space="preserve">between </w:t>
      </w:r>
      <w:r w:rsidRPr="00C73908">
        <w:rPr>
          <w:rFonts w:ascii="Times New Roman" w:hAnsi="Times New Roman" w:cs="Times New Roman"/>
          <w:lang w:val="en-IE"/>
        </w:rPr>
        <w:t>investment in innovation and productivity levels</w:t>
      </w:r>
      <w:r w:rsidR="00E00131" w:rsidRPr="00C73908">
        <w:rPr>
          <w:rFonts w:ascii="Times New Roman" w:hAnsi="Times New Roman" w:cs="Times New Roman"/>
          <w:lang w:val="en-IE"/>
        </w:rPr>
        <w:t xml:space="preserve"> </w:t>
      </w:r>
      <w:r w:rsidR="00B511FE" w:rsidRPr="00C73908">
        <w:rPr>
          <w:rFonts w:ascii="Times New Roman" w:hAnsi="Times New Roman" w:cs="Times New Roman"/>
          <w:lang w:val="en-IE"/>
        </w:rPr>
        <w:t xml:space="preserve">may </w:t>
      </w:r>
      <w:r w:rsidR="000A1BC3" w:rsidRPr="00C73908">
        <w:rPr>
          <w:rFonts w:ascii="Times New Roman" w:hAnsi="Times New Roman" w:cs="Times New Roman"/>
          <w:lang w:val="en-IE"/>
        </w:rPr>
        <w:t xml:space="preserve">indicate that there is </w:t>
      </w:r>
      <w:r w:rsidR="00660A8A" w:rsidRPr="00C73908">
        <w:rPr>
          <w:rFonts w:ascii="Times New Roman" w:hAnsi="Times New Roman" w:cs="Times New Roman"/>
          <w:lang w:val="en-IE"/>
        </w:rPr>
        <w:t>a degree of</w:t>
      </w:r>
      <w:r w:rsidR="000A1BC3" w:rsidRPr="00C73908">
        <w:rPr>
          <w:rFonts w:ascii="Times New Roman" w:hAnsi="Times New Roman" w:cs="Times New Roman"/>
          <w:lang w:val="en-IE"/>
        </w:rPr>
        <w:t xml:space="preserve"> overlap between R&amp;D </w:t>
      </w:r>
      <w:r w:rsidR="00201274" w:rsidRPr="00C73908">
        <w:rPr>
          <w:rFonts w:ascii="Times New Roman" w:hAnsi="Times New Roman" w:cs="Times New Roman"/>
          <w:lang w:val="en-IE"/>
        </w:rPr>
        <w:t xml:space="preserve">expenditure and the costs data used to calculate </w:t>
      </w:r>
      <w:r w:rsidR="009C5FE4" w:rsidRPr="00C73908">
        <w:rPr>
          <w:rFonts w:ascii="Times New Roman" w:hAnsi="Times New Roman" w:cs="Times New Roman"/>
          <w:lang w:val="en-IE"/>
        </w:rPr>
        <w:t>VA</w:t>
      </w:r>
      <w:r w:rsidR="00117316" w:rsidRPr="00C73908">
        <w:rPr>
          <w:rFonts w:ascii="Times New Roman" w:hAnsi="Times New Roman" w:cs="Times New Roman"/>
          <w:lang w:val="en-IE"/>
        </w:rPr>
        <w:t xml:space="preserve"> per employee</w:t>
      </w:r>
      <w:r w:rsidR="00201274" w:rsidRPr="00C73908">
        <w:rPr>
          <w:rFonts w:ascii="Times New Roman" w:hAnsi="Times New Roman" w:cs="Times New Roman"/>
          <w:lang w:val="en-IE"/>
        </w:rPr>
        <w:t>.</w:t>
      </w:r>
      <w:r w:rsidR="00B15885" w:rsidRPr="00C73908">
        <w:rPr>
          <w:rFonts w:ascii="Times New Roman" w:hAnsi="Times New Roman" w:cs="Times New Roman"/>
          <w:lang w:val="en-IE"/>
        </w:rPr>
        <w:t xml:space="preserve"> </w:t>
      </w:r>
      <w:r w:rsidR="00E23B33" w:rsidRPr="00C73908">
        <w:rPr>
          <w:rFonts w:ascii="Times New Roman" w:hAnsi="Times New Roman" w:cs="Times New Roman"/>
          <w:lang w:val="en-IE"/>
        </w:rPr>
        <w:t xml:space="preserve">Due to the lack of </w:t>
      </w:r>
      <w:r w:rsidR="007A7B8F" w:rsidRPr="00C73908">
        <w:rPr>
          <w:rFonts w:ascii="Times New Roman" w:hAnsi="Times New Roman" w:cs="Times New Roman"/>
          <w:lang w:val="en-IE"/>
        </w:rPr>
        <w:t>detailed</w:t>
      </w:r>
      <w:r w:rsidR="00E23B33" w:rsidRPr="00C73908">
        <w:rPr>
          <w:rFonts w:ascii="Times New Roman" w:hAnsi="Times New Roman" w:cs="Times New Roman"/>
          <w:lang w:val="en-IE"/>
        </w:rPr>
        <w:t xml:space="preserve"> costs data, i</w:t>
      </w:r>
      <w:r w:rsidR="00B15885" w:rsidRPr="00C73908">
        <w:rPr>
          <w:rFonts w:ascii="Times New Roman" w:hAnsi="Times New Roman" w:cs="Times New Roman"/>
          <w:lang w:val="en-IE"/>
        </w:rPr>
        <w:t xml:space="preserve">t is not possible to determine the </w:t>
      </w:r>
      <w:r w:rsidR="00660A8A" w:rsidRPr="00C73908">
        <w:rPr>
          <w:rFonts w:ascii="Times New Roman" w:hAnsi="Times New Roman" w:cs="Times New Roman"/>
          <w:lang w:val="en-IE"/>
        </w:rPr>
        <w:t>extent</w:t>
      </w:r>
      <w:r w:rsidR="00B15885" w:rsidRPr="00C73908">
        <w:rPr>
          <w:rFonts w:ascii="Times New Roman" w:hAnsi="Times New Roman" w:cs="Times New Roman"/>
          <w:lang w:val="en-IE"/>
        </w:rPr>
        <w:t xml:space="preserve"> </w:t>
      </w:r>
      <w:r w:rsidR="00175810" w:rsidRPr="00C73908">
        <w:rPr>
          <w:rFonts w:ascii="Times New Roman" w:hAnsi="Times New Roman" w:cs="Times New Roman"/>
          <w:lang w:val="en-IE"/>
        </w:rPr>
        <w:t xml:space="preserve">of </w:t>
      </w:r>
      <w:r w:rsidR="00E23B33" w:rsidRPr="00C73908">
        <w:rPr>
          <w:rFonts w:ascii="Times New Roman" w:hAnsi="Times New Roman" w:cs="Times New Roman"/>
          <w:lang w:val="en-IE"/>
        </w:rPr>
        <w:t xml:space="preserve">this </w:t>
      </w:r>
      <w:r w:rsidR="00175810" w:rsidRPr="00C73908">
        <w:rPr>
          <w:rFonts w:ascii="Times New Roman" w:hAnsi="Times New Roman" w:cs="Times New Roman"/>
          <w:lang w:val="en-IE"/>
        </w:rPr>
        <w:t>overlap</w:t>
      </w:r>
      <w:r w:rsidR="00E23B33" w:rsidRPr="00C73908">
        <w:rPr>
          <w:rFonts w:ascii="Times New Roman" w:hAnsi="Times New Roman" w:cs="Times New Roman"/>
          <w:lang w:val="en-IE"/>
        </w:rPr>
        <w:t>.</w:t>
      </w:r>
      <w:r w:rsidR="00B15885" w:rsidRPr="00C73908">
        <w:rPr>
          <w:rFonts w:ascii="Times New Roman" w:hAnsi="Times New Roman" w:cs="Times New Roman"/>
          <w:lang w:val="en-IE"/>
        </w:rPr>
        <w:t xml:space="preserve"> </w:t>
      </w:r>
      <w:r w:rsidR="00E23B33" w:rsidRPr="00C73908">
        <w:rPr>
          <w:rFonts w:ascii="Times New Roman" w:hAnsi="Times New Roman" w:cs="Times New Roman"/>
          <w:lang w:val="en-IE"/>
        </w:rPr>
        <w:t>H</w:t>
      </w:r>
      <w:r w:rsidR="00201274" w:rsidRPr="00C73908">
        <w:rPr>
          <w:rFonts w:ascii="Times New Roman" w:hAnsi="Times New Roman" w:cs="Times New Roman"/>
          <w:lang w:val="en-IE"/>
        </w:rPr>
        <w:t xml:space="preserve">owever, the negative </w:t>
      </w:r>
      <w:r w:rsidR="003F0E27">
        <w:rPr>
          <w:rFonts w:ascii="Times New Roman" w:hAnsi="Times New Roman" w:cs="Times New Roman"/>
          <w:lang w:val="en-IE"/>
        </w:rPr>
        <w:t xml:space="preserve">relationship between </w:t>
      </w:r>
      <w:r w:rsidR="00201274" w:rsidRPr="00C73908">
        <w:rPr>
          <w:rFonts w:ascii="Times New Roman" w:hAnsi="Times New Roman" w:cs="Times New Roman"/>
          <w:lang w:val="en-IE"/>
        </w:rPr>
        <w:t xml:space="preserve">productivity </w:t>
      </w:r>
      <w:r w:rsidR="003F0E27">
        <w:rPr>
          <w:rFonts w:ascii="Times New Roman" w:hAnsi="Times New Roman" w:cs="Times New Roman"/>
          <w:lang w:val="en-IE"/>
        </w:rPr>
        <w:t>and</w:t>
      </w:r>
      <w:r w:rsidR="00201274" w:rsidRPr="00C73908">
        <w:rPr>
          <w:rFonts w:ascii="Times New Roman" w:hAnsi="Times New Roman" w:cs="Times New Roman"/>
          <w:lang w:val="en-IE"/>
        </w:rPr>
        <w:t xml:space="preserve"> the </w:t>
      </w:r>
      <w:r w:rsidR="00653123">
        <w:rPr>
          <w:rFonts w:ascii="Times New Roman" w:hAnsi="Times New Roman" w:cs="Times New Roman"/>
          <w:lang w:val="en-IE"/>
        </w:rPr>
        <w:t>scale</w:t>
      </w:r>
      <w:r w:rsidR="00201274" w:rsidRPr="00C73908">
        <w:rPr>
          <w:rFonts w:ascii="Times New Roman" w:hAnsi="Times New Roman" w:cs="Times New Roman"/>
          <w:lang w:val="en-IE"/>
        </w:rPr>
        <w:t xml:space="preserve"> of exports </w:t>
      </w:r>
      <w:r w:rsidR="004D3BA7" w:rsidRPr="00C73908">
        <w:rPr>
          <w:rFonts w:ascii="Times New Roman" w:hAnsi="Times New Roman" w:cs="Times New Roman"/>
          <w:lang w:val="en-IE"/>
        </w:rPr>
        <w:t xml:space="preserve">among services companies </w:t>
      </w:r>
      <w:r w:rsidR="00201274" w:rsidRPr="00C73908">
        <w:rPr>
          <w:rFonts w:ascii="Times New Roman" w:hAnsi="Times New Roman" w:cs="Times New Roman"/>
          <w:lang w:val="en-IE"/>
        </w:rPr>
        <w:t xml:space="preserve">is still observed </w:t>
      </w:r>
      <w:r w:rsidR="004D3BA7" w:rsidRPr="00C73908">
        <w:rPr>
          <w:rFonts w:ascii="Times New Roman" w:hAnsi="Times New Roman" w:cs="Times New Roman"/>
          <w:lang w:val="en-IE"/>
        </w:rPr>
        <w:t xml:space="preserve">if </w:t>
      </w:r>
      <w:r w:rsidR="006957C3" w:rsidRPr="00C73908">
        <w:rPr>
          <w:rFonts w:ascii="Times New Roman" w:hAnsi="Times New Roman" w:cs="Times New Roman"/>
          <w:lang w:val="en-IE"/>
        </w:rPr>
        <w:t xml:space="preserve">total </w:t>
      </w:r>
      <w:r w:rsidR="004D3BA7" w:rsidRPr="00C73908">
        <w:rPr>
          <w:rFonts w:ascii="Times New Roman" w:hAnsi="Times New Roman" w:cs="Times New Roman"/>
          <w:lang w:val="en-IE"/>
        </w:rPr>
        <w:t xml:space="preserve">R&amp;D </w:t>
      </w:r>
      <w:r w:rsidR="00E23B33" w:rsidRPr="00C73908">
        <w:rPr>
          <w:rFonts w:ascii="Times New Roman" w:hAnsi="Times New Roman" w:cs="Times New Roman"/>
          <w:lang w:val="en-IE"/>
        </w:rPr>
        <w:t>spend is</w:t>
      </w:r>
      <w:r w:rsidR="004D3BA7" w:rsidRPr="00C73908">
        <w:rPr>
          <w:rFonts w:ascii="Times New Roman" w:hAnsi="Times New Roman" w:cs="Times New Roman"/>
          <w:lang w:val="en-IE"/>
        </w:rPr>
        <w:t xml:space="preserve"> </w:t>
      </w:r>
      <w:r w:rsidR="00AF6F88" w:rsidRPr="00C73908">
        <w:rPr>
          <w:rFonts w:ascii="Times New Roman" w:hAnsi="Times New Roman" w:cs="Times New Roman"/>
          <w:lang w:val="en-IE"/>
        </w:rPr>
        <w:t xml:space="preserve">excluded </w:t>
      </w:r>
      <w:r w:rsidR="004D3BA7" w:rsidRPr="00C73908">
        <w:rPr>
          <w:rFonts w:ascii="Times New Roman" w:hAnsi="Times New Roman" w:cs="Times New Roman"/>
          <w:lang w:val="en-IE"/>
        </w:rPr>
        <w:t>from the costs data.</w:t>
      </w:r>
    </w:p>
    <w:p w14:paraId="0A999DA6" w14:textId="7EB5D8BB" w:rsidR="001F3862" w:rsidRDefault="009C1C9F" w:rsidP="000A669F">
      <w:pPr>
        <w:spacing w:after="240" w:line="360" w:lineRule="auto"/>
        <w:jc w:val="both"/>
        <w:rPr>
          <w:rFonts w:ascii="Times New Roman" w:hAnsi="Times New Roman" w:cs="Times New Roman"/>
          <w:lang w:val="en-IE"/>
        </w:rPr>
      </w:pPr>
      <w:r w:rsidRPr="00C73908">
        <w:rPr>
          <w:rFonts w:ascii="Times New Roman" w:hAnsi="Times New Roman" w:cs="Times New Roman"/>
          <w:lang w:val="en-IE"/>
        </w:rPr>
        <w:lastRenderedPageBreak/>
        <w:t xml:space="preserve">While the system GMM model </w:t>
      </w:r>
      <w:r w:rsidR="001E04D8" w:rsidRPr="00C73908">
        <w:rPr>
          <w:rFonts w:ascii="Times New Roman" w:hAnsi="Times New Roman" w:cs="Times New Roman"/>
          <w:lang w:val="en-IE"/>
        </w:rPr>
        <w:t>identifies</w:t>
      </w:r>
      <w:r w:rsidR="00C12A0B" w:rsidRPr="00C73908">
        <w:rPr>
          <w:rFonts w:ascii="Times New Roman" w:hAnsi="Times New Roman" w:cs="Times New Roman"/>
          <w:lang w:val="en-IE"/>
        </w:rPr>
        <w:t xml:space="preserve"> a negative relationship between </w:t>
      </w:r>
      <w:r w:rsidR="004E4ED5" w:rsidRPr="00C73908">
        <w:rPr>
          <w:rFonts w:ascii="Times New Roman" w:hAnsi="Times New Roman" w:cs="Times New Roman"/>
          <w:lang w:val="en-IE"/>
        </w:rPr>
        <w:t xml:space="preserve">exports and </w:t>
      </w:r>
      <w:r w:rsidR="009C5FE4" w:rsidRPr="00C73908">
        <w:rPr>
          <w:rFonts w:ascii="Times New Roman" w:hAnsi="Times New Roman" w:cs="Times New Roman"/>
          <w:lang w:val="en-IE"/>
        </w:rPr>
        <w:t>VA</w:t>
      </w:r>
      <w:r w:rsidR="004E4ED5" w:rsidRPr="00C73908">
        <w:rPr>
          <w:rFonts w:ascii="Times New Roman" w:hAnsi="Times New Roman" w:cs="Times New Roman"/>
          <w:lang w:val="en-IE"/>
        </w:rPr>
        <w:t xml:space="preserve"> per employee, </w:t>
      </w:r>
      <w:r w:rsidR="00B46792" w:rsidRPr="00C73908">
        <w:rPr>
          <w:rFonts w:ascii="Times New Roman" w:hAnsi="Times New Roman" w:cs="Times New Roman"/>
          <w:lang w:val="en-IE"/>
        </w:rPr>
        <w:t xml:space="preserve">it does </w:t>
      </w:r>
      <w:r w:rsidR="007B3AA8">
        <w:rPr>
          <w:rFonts w:ascii="Times New Roman" w:hAnsi="Times New Roman" w:cs="Times New Roman"/>
          <w:lang w:val="en-IE"/>
        </w:rPr>
        <w:t>indicate</w:t>
      </w:r>
      <w:r w:rsidR="004E4ED5" w:rsidRPr="00C73908">
        <w:rPr>
          <w:rFonts w:ascii="Times New Roman" w:hAnsi="Times New Roman" w:cs="Times New Roman"/>
          <w:lang w:val="en-IE"/>
        </w:rPr>
        <w:t xml:space="preserve"> </w:t>
      </w:r>
      <w:r w:rsidR="00736726" w:rsidRPr="00C73908">
        <w:rPr>
          <w:rFonts w:ascii="Times New Roman" w:hAnsi="Times New Roman" w:cs="Times New Roman"/>
          <w:lang w:val="en-IE"/>
        </w:rPr>
        <w:t xml:space="preserve">that </w:t>
      </w:r>
      <w:r w:rsidR="00602A7D" w:rsidRPr="00C73908">
        <w:rPr>
          <w:rFonts w:ascii="Times New Roman" w:hAnsi="Times New Roman" w:cs="Times New Roman"/>
          <w:lang w:val="en-IE"/>
        </w:rPr>
        <w:t xml:space="preserve">companies which have </w:t>
      </w:r>
      <w:r w:rsidR="00736726" w:rsidRPr="00C73908">
        <w:rPr>
          <w:rFonts w:ascii="Times New Roman" w:hAnsi="Times New Roman" w:cs="Times New Roman"/>
          <w:lang w:val="en-IE"/>
        </w:rPr>
        <w:t>receiv</w:t>
      </w:r>
      <w:r w:rsidR="00602A7D" w:rsidRPr="00C73908">
        <w:rPr>
          <w:rFonts w:ascii="Times New Roman" w:hAnsi="Times New Roman" w:cs="Times New Roman"/>
          <w:lang w:val="en-IE"/>
        </w:rPr>
        <w:t>ed</w:t>
      </w:r>
      <w:r w:rsidR="00736726" w:rsidRPr="00C73908">
        <w:rPr>
          <w:rFonts w:ascii="Times New Roman" w:hAnsi="Times New Roman" w:cs="Times New Roman"/>
          <w:lang w:val="en-IE"/>
        </w:rPr>
        <w:t xml:space="preserve"> funding from EI </w:t>
      </w:r>
      <w:r w:rsidR="00C4212C" w:rsidRPr="00C73908">
        <w:rPr>
          <w:rFonts w:ascii="Times New Roman" w:hAnsi="Times New Roman" w:cs="Times New Roman"/>
          <w:lang w:val="en-IE"/>
        </w:rPr>
        <w:t>to support</w:t>
      </w:r>
      <w:r w:rsidR="00736726" w:rsidRPr="00C73908">
        <w:rPr>
          <w:rFonts w:ascii="Times New Roman" w:hAnsi="Times New Roman" w:cs="Times New Roman"/>
          <w:lang w:val="en-IE"/>
        </w:rPr>
        <w:t xml:space="preserve"> </w:t>
      </w:r>
      <w:r w:rsidR="00E334FF" w:rsidRPr="00C73908">
        <w:rPr>
          <w:rFonts w:ascii="Times New Roman" w:hAnsi="Times New Roman" w:cs="Times New Roman"/>
          <w:lang w:val="en-IE"/>
        </w:rPr>
        <w:t xml:space="preserve">capital investment or </w:t>
      </w:r>
      <w:r w:rsidR="00973E90" w:rsidRPr="00C73908">
        <w:rPr>
          <w:rFonts w:ascii="Times New Roman" w:hAnsi="Times New Roman" w:cs="Times New Roman"/>
          <w:lang w:val="en-IE"/>
        </w:rPr>
        <w:t xml:space="preserve">undertake </w:t>
      </w:r>
      <w:r w:rsidR="00E334FF" w:rsidRPr="00C73908">
        <w:rPr>
          <w:rFonts w:ascii="Times New Roman" w:hAnsi="Times New Roman" w:cs="Times New Roman"/>
          <w:lang w:val="en-IE"/>
        </w:rPr>
        <w:t xml:space="preserve">LEAN projects </w:t>
      </w:r>
      <w:r w:rsidR="006A7FE3" w:rsidRPr="00C73908">
        <w:rPr>
          <w:rFonts w:ascii="Times New Roman" w:hAnsi="Times New Roman" w:cs="Times New Roman"/>
          <w:lang w:val="en-IE"/>
        </w:rPr>
        <w:t>have experienced</w:t>
      </w:r>
      <w:r w:rsidR="00E334FF" w:rsidRPr="00C73908">
        <w:rPr>
          <w:rFonts w:ascii="Times New Roman" w:hAnsi="Times New Roman" w:cs="Times New Roman"/>
          <w:lang w:val="en-IE"/>
        </w:rPr>
        <w:t xml:space="preserve"> a large</w:t>
      </w:r>
      <w:r w:rsidR="00623F6D" w:rsidRPr="00C73908">
        <w:rPr>
          <w:rFonts w:ascii="Times New Roman" w:hAnsi="Times New Roman" w:cs="Times New Roman"/>
          <w:lang w:val="en-IE"/>
        </w:rPr>
        <w:t>,</w:t>
      </w:r>
      <w:r w:rsidR="00E334FF" w:rsidRPr="00C73908">
        <w:rPr>
          <w:rFonts w:ascii="Times New Roman" w:hAnsi="Times New Roman" w:cs="Times New Roman"/>
          <w:lang w:val="en-IE"/>
        </w:rPr>
        <w:t xml:space="preserve"> positive effect on </w:t>
      </w:r>
      <w:r w:rsidR="006A7FE3" w:rsidRPr="00C73908">
        <w:rPr>
          <w:rFonts w:ascii="Times New Roman" w:hAnsi="Times New Roman" w:cs="Times New Roman"/>
          <w:lang w:val="en-IE"/>
        </w:rPr>
        <w:t xml:space="preserve">their </w:t>
      </w:r>
      <w:r w:rsidR="00653123">
        <w:rPr>
          <w:rFonts w:ascii="Times New Roman" w:hAnsi="Times New Roman" w:cs="Times New Roman"/>
          <w:lang w:val="en-IE"/>
        </w:rPr>
        <w:t>scale</w:t>
      </w:r>
      <w:r w:rsidR="00B62E51" w:rsidRPr="00C73908">
        <w:rPr>
          <w:rFonts w:ascii="Times New Roman" w:hAnsi="Times New Roman" w:cs="Times New Roman"/>
          <w:lang w:val="en-IE"/>
        </w:rPr>
        <w:t xml:space="preserve"> of</w:t>
      </w:r>
      <w:r w:rsidR="006A7FE3" w:rsidRPr="00C73908">
        <w:rPr>
          <w:rFonts w:ascii="Times New Roman" w:hAnsi="Times New Roman" w:cs="Times New Roman"/>
          <w:lang w:val="en-IE"/>
        </w:rPr>
        <w:t xml:space="preserve"> </w:t>
      </w:r>
      <w:r w:rsidR="00E334FF" w:rsidRPr="00C73908">
        <w:rPr>
          <w:rFonts w:ascii="Times New Roman" w:hAnsi="Times New Roman" w:cs="Times New Roman"/>
          <w:lang w:val="en-IE"/>
        </w:rPr>
        <w:t>exports</w:t>
      </w:r>
      <w:r w:rsidR="00816AC8" w:rsidRPr="00C73908">
        <w:rPr>
          <w:rFonts w:ascii="Times New Roman" w:hAnsi="Times New Roman" w:cs="Times New Roman"/>
          <w:lang w:val="en-IE"/>
        </w:rPr>
        <w:t xml:space="preserve"> as a result</w:t>
      </w:r>
      <w:r w:rsidR="00F44ED6" w:rsidRPr="00C73908">
        <w:rPr>
          <w:rFonts w:ascii="Times New Roman" w:hAnsi="Times New Roman" w:cs="Times New Roman"/>
          <w:lang w:val="en-IE"/>
        </w:rPr>
        <w:t>.</w:t>
      </w:r>
      <w:r w:rsidR="00C166DD" w:rsidRPr="00C73908">
        <w:rPr>
          <w:rFonts w:ascii="Times New Roman" w:hAnsi="Times New Roman" w:cs="Times New Roman"/>
          <w:lang w:val="en-IE"/>
        </w:rPr>
        <w:t xml:space="preserve"> Th</w:t>
      </w:r>
      <w:r w:rsidR="00095154" w:rsidRPr="00C73908">
        <w:rPr>
          <w:rFonts w:ascii="Times New Roman" w:hAnsi="Times New Roman" w:cs="Times New Roman"/>
          <w:lang w:val="en-IE"/>
        </w:rPr>
        <w:t>e</w:t>
      </w:r>
      <w:r w:rsidR="00C166DD" w:rsidRPr="00C73908">
        <w:rPr>
          <w:rFonts w:ascii="Times New Roman" w:hAnsi="Times New Roman" w:cs="Times New Roman"/>
          <w:lang w:val="en-IE"/>
        </w:rPr>
        <w:t xml:space="preserve"> effect is statistically significant </w:t>
      </w:r>
      <w:r w:rsidR="00B30B66" w:rsidRPr="00C73908">
        <w:rPr>
          <w:rFonts w:ascii="Times New Roman" w:hAnsi="Times New Roman" w:cs="Times New Roman"/>
          <w:lang w:val="en-IE"/>
        </w:rPr>
        <w:t xml:space="preserve">at the 5% level </w:t>
      </w:r>
      <w:r w:rsidR="00AC2ECA" w:rsidRPr="00C73908">
        <w:rPr>
          <w:rFonts w:ascii="Times New Roman" w:hAnsi="Times New Roman" w:cs="Times New Roman"/>
          <w:lang w:val="en-IE"/>
        </w:rPr>
        <w:t xml:space="preserve">when </w:t>
      </w:r>
      <w:r w:rsidR="00C166DD" w:rsidRPr="00C73908">
        <w:rPr>
          <w:rFonts w:ascii="Times New Roman" w:hAnsi="Times New Roman" w:cs="Times New Roman"/>
          <w:lang w:val="en-IE"/>
        </w:rPr>
        <w:t xml:space="preserve">all companies </w:t>
      </w:r>
      <w:r w:rsidR="00AC2ECA" w:rsidRPr="00C73908">
        <w:rPr>
          <w:rFonts w:ascii="Times New Roman" w:hAnsi="Times New Roman" w:cs="Times New Roman"/>
          <w:lang w:val="en-IE"/>
        </w:rPr>
        <w:t xml:space="preserve">are included </w:t>
      </w:r>
      <w:r w:rsidR="00C166DD" w:rsidRPr="00C73908">
        <w:rPr>
          <w:rFonts w:ascii="Times New Roman" w:hAnsi="Times New Roman" w:cs="Times New Roman"/>
          <w:lang w:val="en-IE"/>
        </w:rPr>
        <w:t xml:space="preserve">and significant at the </w:t>
      </w:r>
      <w:r w:rsidR="00AC2ECA" w:rsidRPr="00C73908">
        <w:rPr>
          <w:rFonts w:ascii="Times New Roman" w:hAnsi="Times New Roman" w:cs="Times New Roman"/>
          <w:lang w:val="en-IE"/>
        </w:rPr>
        <w:t xml:space="preserve">10% level </w:t>
      </w:r>
      <w:r w:rsidR="0038348A" w:rsidRPr="00C73908">
        <w:rPr>
          <w:rFonts w:ascii="Times New Roman" w:hAnsi="Times New Roman" w:cs="Times New Roman"/>
          <w:lang w:val="en-IE"/>
        </w:rPr>
        <w:t>in the</w:t>
      </w:r>
      <w:r w:rsidR="00AC2ECA" w:rsidRPr="00C73908">
        <w:rPr>
          <w:rFonts w:ascii="Times New Roman" w:hAnsi="Times New Roman" w:cs="Times New Roman"/>
          <w:lang w:val="en-IE"/>
        </w:rPr>
        <w:t xml:space="preserve"> manufactur</w:t>
      </w:r>
      <w:r w:rsidR="0038348A" w:rsidRPr="00C73908">
        <w:rPr>
          <w:rFonts w:ascii="Times New Roman" w:hAnsi="Times New Roman" w:cs="Times New Roman"/>
          <w:lang w:val="en-IE"/>
        </w:rPr>
        <w:t>ing sector</w:t>
      </w:r>
      <w:r w:rsidR="00AC2ECA" w:rsidRPr="00C73908">
        <w:rPr>
          <w:rFonts w:ascii="Times New Roman" w:hAnsi="Times New Roman" w:cs="Times New Roman"/>
          <w:lang w:val="en-IE"/>
        </w:rPr>
        <w:t>.</w:t>
      </w:r>
      <w:r w:rsidR="00B30B66" w:rsidRPr="00C73908">
        <w:rPr>
          <w:rFonts w:ascii="Times New Roman" w:hAnsi="Times New Roman" w:cs="Times New Roman"/>
          <w:lang w:val="en-IE"/>
        </w:rPr>
        <w:t xml:space="preserve"> </w:t>
      </w:r>
      <w:r w:rsidR="00772A91" w:rsidRPr="00C73908">
        <w:rPr>
          <w:rFonts w:ascii="Times New Roman" w:hAnsi="Times New Roman" w:cs="Times New Roman"/>
          <w:lang w:val="en-IE"/>
        </w:rPr>
        <w:t xml:space="preserve">This indicates that </w:t>
      </w:r>
      <w:r w:rsidR="0038348A" w:rsidRPr="00C73908">
        <w:rPr>
          <w:rFonts w:ascii="Times New Roman" w:hAnsi="Times New Roman" w:cs="Times New Roman"/>
          <w:lang w:val="en-IE"/>
        </w:rPr>
        <w:t xml:space="preserve">manufacturers </w:t>
      </w:r>
      <w:r w:rsidR="00EE65C9" w:rsidRPr="00C73908">
        <w:rPr>
          <w:rFonts w:ascii="Times New Roman" w:hAnsi="Times New Roman" w:cs="Times New Roman"/>
          <w:lang w:val="en-IE"/>
        </w:rPr>
        <w:t xml:space="preserve">experience </w:t>
      </w:r>
      <w:r w:rsidR="006E3432">
        <w:rPr>
          <w:rFonts w:ascii="Times New Roman" w:hAnsi="Times New Roman" w:cs="Times New Roman"/>
          <w:lang w:val="en-IE"/>
        </w:rPr>
        <w:t xml:space="preserve">subsequent </w:t>
      </w:r>
      <w:r w:rsidR="00EE65C9" w:rsidRPr="00C73908">
        <w:rPr>
          <w:rFonts w:ascii="Times New Roman" w:hAnsi="Times New Roman" w:cs="Times New Roman"/>
          <w:lang w:val="en-IE"/>
        </w:rPr>
        <w:t xml:space="preserve">export </w:t>
      </w:r>
      <w:r w:rsidR="00642FEF" w:rsidRPr="00C73908">
        <w:rPr>
          <w:rFonts w:ascii="Times New Roman" w:hAnsi="Times New Roman" w:cs="Times New Roman"/>
          <w:lang w:val="en-IE"/>
        </w:rPr>
        <w:t xml:space="preserve">gains as a result of </w:t>
      </w:r>
      <w:r w:rsidR="001D14D4" w:rsidRPr="00C73908">
        <w:rPr>
          <w:rFonts w:ascii="Times New Roman" w:hAnsi="Times New Roman" w:cs="Times New Roman"/>
          <w:lang w:val="en-IE"/>
        </w:rPr>
        <w:t>invest</w:t>
      </w:r>
      <w:r w:rsidR="00196B13" w:rsidRPr="00C73908">
        <w:rPr>
          <w:rFonts w:ascii="Times New Roman" w:hAnsi="Times New Roman" w:cs="Times New Roman"/>
          <w:lang w:val="en-IE"/>
        </w:rPr>
        <w:t>ing</w:t>
      </w:r>
      <w:r w:rsidR="001D14D4" w:rsidRPr="00C73908">
        <w:rPr>
          <w:rFonts w:ascii="Times New Roman" w:hAnsi="Times New Roman" w:cs="Times New Roman"/>
          <w:lang w:val="en-IE"/>
        </w:rPr>
        <w:t xml:space="preserve"> in new equipment</w:t>
      </w:r>
      <w:r w:rsidR="00973E90" w:rsidRPr="00C73908">
        <w:rPr>
          <w:rFonts w:ascii="Times New Roman" w:hAnsi="Times New Roman" w:cs="Times New Roman"/>
          <w:lang w:val="en-IE"/>
        </w:rPr>
        <w:t>/</w:t>
      </w:r>
      <w:r w:rsidR="007C22CE" w:rsidRPr="00C73908">
        <w:rPr>
          <w:rFonts w:ascii="Times New Roman" w:hAnsi="Times New Roman" w:cs="Times New Roman"/>
          <w:lang w:val="en-IE"/>
        </w:rPr>
        <w:t xml:space="preserve">technologies </w:t>
      </w:r>
      <w:r w:rsidR="00C00635" w:rsidRPr="00C73908">
        <w:rPr>
          <w:rFonts w:ascii="Times New Roman" w:hAnsi="Times New Roman" w:cs="Times New Roman"/>
          <w:lang w:val="en-IE"/>
        </w:rPr>
        <w:t xml:space="preserve">to </w:t>
      </w:r>
      <w:r w:rsidR="0066346A" w:rsidRPr="00C73908">
        <w:rPr>
          <w:rFonts w:ascii="Times New Roman" w:hAnsi="Times New Roman" w:cs="Times New Roman"/>
          <w:lang w:val="en-IE"/>
        </w:rPr>
        <w:t xml:space="preserve">increase </w:t>
      </w:r>
      <w:r w:rsidR="00C00635" w:rsidRPr="00C73908">
        <w:rPr>
          <w:rFonts w:ascii="Times New Roman" w:hAnsi="Times New Roman" w:cs="Times New Roman"/>
          <w:lang w:val="en-IE"/>
        </w:rPr>
        <w:t>capacity</w:t>
      </w:r>
      <w:r w:rsidR="002A6146" w:rsidRPr="00C73908">
        <w:rPr>
          <w:rFonts w:ascii="Times New Roman" w:hAnsi="Times New Roman" w:cs="Times New Roman"/>
          <w:lang w:val="en-IE"/>
        </w:rPr>
        <w:t xml:space="preserve"> and improve operational efficiency</w:t>
      </w:r>
      <w:r w:rsidR="0066346A" w:rsidRPr="00C73908">
        <w:rPr>
          <w:rFonts w:ascii="Times New Roman" w:hAnsi="Times New Roman" w:cs="Times New Roman"/>
          <w:lang w:val="en-IE"/>
        </w:rPr>
        <w:t xml:space="preserve"> </w:t>
      </w:r>
      <w:r w:rsidR="00025DA8" w:rsidRPr="00C73908">
        <w:rPr>
          <w:rFonts w:ascii="Times New Roman" w:hAnsi="Times New Roman" w:cs="Times New Roman"/>
          <w:lang w:val="en-IE"/>
        </w:rPr>
        <w:t>or</w:t>
      </w:r>
      <w:r w:rsidR="00E8311D" w:rsidRPr="00C73908">
        <w:rPr>
          <w:rFonts w:ascii="Times New Roman" w:hAnsi="Times New Roman" w:cs="Times New Roman"/>
          <w:lang w:val="en-IE"/>
        </w:rPr>
        <w:t xml:space="preserve"> </w:t>
      </w:r>
      <w:r w:rsidR="00DB725A" w:rsidRPr="00C73908">
        <w:rPr>
          <w:rFonts w:ascii="Times New Roman" w:hAnsi="Times New Roman" w:cs="Times New Roman"/>
          <w:lang w:val="en-IE"/>
        </w:rPr>
        <w:t xml:space="preserve">by </w:t>
      </w:r>
      <w:r w:rsidR="00E8311D" w:rsidRPr="00C73908">
        <w:rPr>
          <w:rFonts w:ascii="Times New Roman" w:hAnsi="Times New Roman" w:cs="Times New Roman"/>
          <w:lang w:val="en-IE"/>
        </w:rPr>
        <w:t>engag</w:t>
      </w:r>
      <w:r w:rsidR="00642FEF" w:rsidRPr="00C73908">
        <w:rPr>
          <w:rFonts w:ascii="Times New Roman" w:hAnsi="Times New Roman" w:cs="Times New Roman"/>
          <w:lang w:val="en-IE"/>
        </w:rPr>
        <w:t>ing</w:t>
      </w:r>
      <w:r w:rsidR="00E8311D" w:rsidRPr="00C73908">
        <w:rPr>
          <w:rFonts w:ascii="Times New Roman" w:hAnsi="Times New Roman" w:cs="Times New Roman"/>
          <w:lang w:val="en-IE"/>
        </w:rPr>
        <w:t xml:space="preserve"> in </w:t>
      </w:r>
      <w:r w:rsidR="00B95BA0" w:rsidRPr="00C73908">
        <w:rPr>
          <w:rFonts w:ascii="Times New Roman" w:hAnsi="Times New Roman" w:cs="Times New Roman"/>
          <w:lang w:val="en-IE"/>
        </w:rPr>
        <w:t>LEAN</w:t>
      </w:r>
      <w:r w:rsidR="00E8311D" w:rsidRPr="00C73908">
        <w:rPr>
          <w:rFonts w:ascii="Times New Roman" w:hAnsi="Times New Roman" w:cs="Times New Roman"/>
          <w:lang w:val="en-IE"/>
        </w:rPr>
        <w:t xml:space="preserve"> projects to </w:t>
      </w:r>
      <w:r w:rsidR="00CB78D4" w:rsidRPr="00C73908">
        <w:rPr>
          <w:rFonts w:ascii="Times New Roman" w:hAnsi="Times New Roman" w:cs="Times New Roman"/>
          <w:lang w:val="en-IE"/>
        </w:rPr>
        <w:t xml:space="preserve">identify </w:t>
      </w:r>
      <w:r w:rsidR="002F2972" w:rsidRPr="00C73908">
        <w:rPr>
          <w:rFonts w:ascii="Times New Roman" w:hAnsi="Times New Roman" w:cs="Times New Roman"/>
          <w:lang w:val="en-IE"/>
        </w:rPr>
        <w:t xml:space="preserve">and implement </w:t>
      </w:r>
      <w:r w:rsidR="00E8311D" w:rsidRPr="00C73908">
        <w:rPr>
          <w:rFonts w:ascii="Times New Roman" w:hAnsi="Times New Roman" w:cs="Times New Roman"/>
          <w:lang w:val="en-IE"/>
        </w:rPr>
        <w:t xml:space="preserve">productivity </w:t>
      </w:r>
      <w:r w:rsidR="004C2F9B" w:rsidRPr="00C73908">
        <w:rPr>
          <w:rFonts w:ascii="Times New Roman" w:hAnsi="Times New Roman" w:cs="Times New Roman"/>
          <w:lang w:val="en-IE"/>
        </w:rPr>
        <w:t xml:space="preserve">improvements in </w:t>
      </w:r>
      <w:r w:rsidR="0019212A" w:rsidRPr="00C73908">
        <w:rPr>
          <w:rFonts w:ascii="Times New Roman" w:hAnsi="Times New Roman" w:cs="Times New Roman"/>
          <w:lang w:val="en-IE"/>
        </w:rPr>
        <w:t xml:space="preserve">various </w:t>
      </w:r>
      <w:r w:rsidR="008A2B1F" w:rsidRPr="00C73908">
        <w:rPr>
          <w:rFonts w:ascii="Times New Roman" w:hAnsi="Times New Roman" w:cs="Times New Roman"/>
          <w:lang w:val="en-IE"/>
        </w:rPr>
        <w:t>areas</w:t>
      </w:r>
      <w:r w:rsidR="0019212A" w:rsidRPr="00C73908">
        <w:rPr>
          <w:rFonts w:ascii="Times New Roman" w:hAnsi="Times New Roman" w:cs="Times New Roman"/>
          <w:lang w:val="en-IE"/>
        </w:rPr>
        <w:t xml:space="preserve"> of</w:t>
      </w:r>
      <w:r w:rsidR="004C2F9B" w:rsidRPr="00C73908">
        <w:rPr>
          <w:rFonts w:ascii="Times New Roman" w:hAnsi="Times New Roman" w:cs="Times New Roman"/>
          <w:lang w:val="en-IE"/>
        </w:rPr>
        <w:t xml:space="preserve"> business </w:t>
      </w:r>
      <w:r w:rsidR="00053128" w:rsidRPr="00C73908">
        <w:rPr>
          <w:rFonts w:ascii="Times New Roman" w:hAnsi="Times New Roman" w:cs="Times New Roman"/>
          <w:lang w:val="en-IE"/>
        </w:rPr>
        <w:t xml:space="preserve">performance </w:t>
      </w:r>
      <w:r w:rsidR="004C2F9B" w:rsidRPr="00C73908">
        <w:rPr>
          <w:rFonts w:ascii="Times New Roman" w:hAnsi="Times New Roman" w:cs="Times New Roman"/>
          <w:lang w:val="en-IE"/>
        </w:rPr>
        <w:t xml:space="preserve">such as production, </w:t>
      </w:r>
      <w:r w:rsidR="0019212A" w:rsidRPr="00C73908">
        <w:rPr>
          <w:rFonts w:ascii="Times New Roman" w:hAnsi="Times New Roman" w:cs="Times New Roman"/>
          <w:lang w:val="en-IE"/>
        </w:rPr>
        <w:t>customer service</w:t>
      </w:r>
      <w:r w:rsidR="008A2B1F" w:rsidRPr="00C73908">
        <w:rPr>
          <w:rFonts w:ascii="Times New Roman" w:hAnsi="Times New Roman" w:cs="Times New Roman"/>
          <w:lang w:val="en-IE"/>
        </w:rPr>
        <w:t xml:space="preserve"> and </w:t>
      </w:r>
      <w:r w:rsidR="00A07A1E" w:rsidRPr="00C73908">
        <w:rPr>
          <w:rFonts w:ascii="Times New Roman" w:hAnsi="Times New Roman" w:cs="Times New Roman"/>
          <w:lang w:val="en-IE"/>
        </w:rPr>
        <w:t>management structures</w:t>
      </w:r>
      <w:r w:rsidR="00025DA8" w:rsidRPr="00C73908">
        <w:rPr>
          <w:rFonts w:ascii="Times New Roman" w:hAnsi="Times New Roman" w:cs="Times New Roman"/>
          <w:lang w:val="en-IE"/>
        </w:rPr>
        <w:t>.</w:t>
      </w:r>
      <w:r w:rsidR="00AA3A56" w:rsidRPr="00C73908">
        <w:rPr>
          <w:rFonts w:ascii="Times New Roman" w:hAnsi="Times New Roman" w:cs="Times New Roman"/>
          <w:lang w:val="en-IE"/>
        </w:rPr>
        <w:t xml:space="preserve"> </w:t>
      </w:r>
      <w:r w:rsidR="00E15834">
        <w:rPr>
          <w:rFonts w:ascii="Times New Roman" w:hAnsi="Times New Roman" w:cs="Times New Roman"/>
          <w:lang w:val="en-IE"/>
        </w:rPr>
        <w:t>Th</w:t>
      </w:r>
      <w:r w:rsidR="00286E13">
        <w:rPr>
          <w:rFonts w:ascii="Times New Roman" w:hAnsi="Times New Roman" w:cs="Times New Roman"/>
          <w:lang w:val="en-IE"/>
        </w:rPr>
        <w:t xml:space="preserve">is effect is not identified </w:t>
      </w:r>
      <w:r w:rsidR="005004B4">
        <w:rPr>
          <w:rFonts w:ascii="Times New Roman" w:hAnsi="Times New Roman" w:cs="Times New Roman"/>
          <w:lang w:val="en-IE"/>
        </w:rPr>
        <w:t xml:space="preserve">in the </w:t>
      </w:r>
      <w:r w:rsidR="00286E13">
        <w:rPr>
          <w:rFonts w:ascii="Times New Roman" w:hAnsi="Times New Roman" w:cs="Times New Roman"/>
          <w:lang w:val="en-IE"/>
        </w:rPr>
        <w:t xml:space="preserve">services </w:t>
      </w:r>
      <w:r w:rsidR="005004B4">
        <w:rPr>
          <w:rFonts w:ascii="Times New Roman" w:hAnsi="Times New Roman" w:cs="Times New Roman"/>
          <w:lang w:val="en-IE"/>
        </w:rPr>
        <w:t>sector</w:t>
      </w:r>
      <w:r w:rsidR="00286E13">
        <w:rPr>
          <w:rFonts w:ascii="Times New Roman" w:hAnsi="Times New Roman" w:cs="Times New Roman"/>
          <w:lang w:val="en-IE"/>
        </w:rPr>
        <w:t xml:space="preserve"> although this may be due to </w:t>
      </w:r>
      <w:r w:rsidR="005004B4">
        <w:rPr>
          <w:rFonts w:ascii="Times New Roman" w:hAnsi="Times New Roman" w:cs="Times New Roman"/>
          <w:lang w:val="en-IE"/>
        </w:rPr>
        <w:t>the very small number of</w:t>
      </w:r>
      <w:r w:rsidR="00283452">
        <w:rPr>
          <w:rFonts w:ascii="Times New Roman" w:hAnsi="Times New Roman" w:cs="Times New Roman"/>
          <w:lang w:val="en-IE"/>
        </w:rPr>
        <w:t xml:space="preserve"> such</w:t>
      </w:r>
      <w:r w:rsidR="005004B4">
        <w:rPr>
          <w:rFonts w:ascii="Times New Roman" w:hAnsi="Times New Roman" w:cs="Times New Roman"/>
          <w:lang w:val="en-IE"/>
        </w:rPr>
        <w:t xml:space="preserve"> supports </w:t>
      </w:r>
      <w:r w:rsidR="00283452">
        <w:rPr>
          <w:rFonts w:ascii="Times New Roman" w:hAnsi="Times New Roman" w:cs="Times New Roman"/>
          <w:lang w:val="en-IE"/>
        </w:rPr>
        <w:t xml:space="preserve">provided to services companies. </w:t>
      </w:r>
      <w:r w:rsidR="00AA3A56" w:rsidRPr="00C73908">
        <w:rPr>
          <w:rFonts w:ascii="Times New Roman" w:hAnsi="Times New Roman" w:cs="Times New Roman"/>
          <w:lang w:val="en-IE"/>
        </w:rPr>
        <w:t>The divergence in the effect</w:t>
      </w:r>
      <w:r w:rsidR="00E87612" w:rsidRPr="00C73908">
        <w:rPr>
          <w:rFonts w:ascii="Times New Roman" w:hAnsi="Times New Roman" w:cs="Times New Roman"/>
          <w:lang w:val="en-IE"/>
        </w:rPr>
        <w:t>s</w:t>
      </w:r>
      <w:r w:rsidR="00AA3A56" w:rsidRPr="00C73908">
        <w:rPr>
          <w:rFonts w:ascii="Times New Roman" w:hAnsi="Times New Roman" w:cs="Times New Roman"/>
          <w:lang w:val="en-IE"/>
        </w:rPr>
        <w:t xml:space="preserve"> of the </w:t>
      </w:r>
      <w:r w:rsidR="00A11EE5" w:rsidRPr="00C73908">
        <w:rPr>
          <w:rFonts w:ascii="Times New Roman" w:hAnsi="Times New Roman" w:cs="Times New Roman"/>
          <w:lang w:val="en-IE"/>
        </w:rPr>
        <w:t>two productivity</w:t>
      </w:r>
      <w:r w:rsidR="00FB3AF5" w:rsidRPr="00C73908">
        <w:rPr>
          <w:rFonts w:ascii="Times New Roman" w:hAnsi="Times New Roman" w:cs="Times New Roman"/>
          <w:lang w:val="en-IE"/>
        </w:rPr>
        <w:t>-</w:t>
      </w:r>
      <w:r w:rsidR="00A11EE5" w:rsidRPr="00C73908">
        <w:rPr>
          <w:rFonts w:ascii="Times New Roman" w:hAnsi="Times New Roman" w:cs="Times New Roman"/>
          <w:lang w:val="en-IE"/>
        </w:rPr>
        <w:t>related variables</w:t>
      </w:r>
      <w:r w:rsidR="00AD5FFF" w:rsidRPr="00C73908">
        <w:rPr>
          <w:rFonts w:ascii="Times New Roman" w:hAnsi="Times New Roman" w:cs="Times New Roman"/>
          <w:lang w:val="en-IE"/>
        </w:rPr>
        <w:t xml:space="preserve"> </w:t>
      </w:r>
      <w:r w:rsidR="00207242" w:rsidRPr="00C73908">
        <w:rPr>
          <w:rFonts w:ascii="Times New Roman" w:hAnsi="Times New Roman" w:cs="Times New Roman"/>
          <w:lang w:val="en-IE"/>
        </w:rPr>
        <w:t xml:space="preserve">on the </w:t>
      </w:r>
      <w:r w:rsidR="00653123">
        <w:rPr>
          <w:rFonts w:ascii="Times New Roman" w:hAnsi="Times New Roman" w:cs="Times New Roman"/>
          <w:lang w:val="en-IE"/>
        </w:rPr>
        <w:t>scale</w:t>
      </w:r>
      <w:r w:rsidR="00207242" w:rsidRPr="00C73908">
        <w:rPr>
          <w:rFonts w:ascii="Times New Roman" w:hAnsi="Times New Roman" w:cs="Times New Roman"/>
          <w:lang w:val="en-IE"/>
        </w:rPr>
        <w:t xml:space="preserve"> of exports </w:t>
      </w:r>
      <w:r w:rsidR="00AD5FFF" w:rsidRPr="00C73908">
        <w:rPr>
          <w:rFonts w:ascii="Times New Roman" w:hAnsi="Times New Roman" w:cs="Times New Roman"/>
          <w:lang w:val="en-IE"/>
        </w:rPr>
        <w:t xml:space="preserve">suggests </w:t>
      </w:r>
      <w:r w:rsidR="00B34497" w:rsidRPr="00C73908">
        <w:rPr>
          <w:rFonts w:ascii="Times New Roman" w:hAnsi="Times New Roman" w:cs="Times New Roman"/>
          <w:lang w:val="en-IE"/>
        </w:rPr>
        <w:t xml:space="preserve">that </w:t>
      </w:r>
      <w:r w:rsidR="00481469" w:rsidRPr="00C73908">
        <w:rPr>
          <w:rFonts w:ascii="Times New Roman" w:hAnsi="Times New Roman" w:cs="Times New Roman"/>
          <w:lang w:val="en-IE"/>
        </w:rPr>
        <w:t>VA per employee</w:t>
      </w:r>
      <w:r w:rsidR="00207242" w:rsidRPr="00C73908">
        <w:rPr>
          <w:rFonts w:ascii="Times New Roman" w:hAnsi="Times New Roman" w:cs="Times New Roman"/>
          <w:lang w:val="en-IE"/>
        </w:rPr>
        <w:t xml:space="preserve"> </w:t>
      </w:r>
      <w:r w:rsidR="00B34497" w:rsidRPr="00C73908">
        <w:rPr>
          <w:rFonts w:ascii="Times New Roman" w:hAnsi="Times New Roman" w:cs="Times New Roman"/>
          <w:lang w:val="en-IE"/>
        </w:rPr>
        <w:t xml:space="preserve">may </w:t>
      </w:r>
      <w:r w:rsidR="00A47942" w:rsidRPr="00C73908">
        <w:rPr>
          <w:rFonts w:ascii="Times New Roman" w:hAnsi="Times New Roman" w:cs="Times New Roman"/>
          <w:lang w:val="en-IE"/>
        </w:rPr>
        <w:t xml:space="preserve">be </w:t>
      </w:r>
      <w:r w:rsidR="00F138EF">
        <w:rPr>
          <w:rFonts w:ascii="Times New Roman" w:hAnsi="Times New Roman" w:cs="Times New Roman"/>
          <w:lang w:val="en-IE"/>
        </w:rPr>
        <w:t xml:space="preserve">somewhat </w:t>
      </w:r>
      <w:r w:rsidR="00A47942" w:rsidRPr="00C73908">
        <w:rPr>
          <w:rFonts w:ascii="Times New Roman" w:hAnsi="Times New Roman" w:cs="Times New Roman"/>
          <w:lang w:val="en-IE"/>
        </w:rPr>
        <w:t>limited</w:t>
      </w:r>
      <w:r w:rsidR="00B34497" w:rsidRPr="00C73908">
        <w:rPr>
          <w:rFonts w:ascii="Times New Roman" w:hAnsi="Times New Roman" w:cs="Times New Roman"/>
          <w:lang w:val="en-IE"/>
        </w:rPr>
        <w:t xml:space="preserve"> </w:t>
      </w:r>
      <w:r w:rsidR="00207242" w:rsidRPr="00C73908">
        <w:rPr>
          <w:rFonts w:ascii="Times New Roman" w:hAnsi="Times New Roman" w:cs="Times New Roman"/>
          <w:lang w:val="en-IE"/>
        </w:rPr>
        <w:t>as a measure of productivity</w:t>
      </w:r>
      <w:r w:rsidR="000538C0" w:rsidRPr="00C73908">
        <w:rPr>
          <w:rFonts w:ascii="Times New Roman" w:hAnsi="Times New Roman" w:cs="Times New Roman"/>
          <w:lang w:val="en-IE"/>
        </w:rPr>
        <w:t xml:space="preserve"> as it does not account for</w:t>
      </w:r>
      <w:r w:rsidR="00E50159" w:rsidRPr="00C73908">
        <w:rPr>
          <w:rFonts w:ascii="Times New Roman" w:hAnsi="Times New Roman" w:cs="Times New Roman"/>
          <w:lang w:val="en-IE"/>
        </w:rPr>
        <w:t xml:space="preserve"> </w:t>
      </w:r>
      <w:r w:rsidR="000538C0" w:rsidRPr="00C73908">
        <w:rPr>
          <w:rFonts w:ascii="Times New Roman" w:hAnsi="Times New Roman" w:cs="Times New Roman"/>
          <w:lang w:val="en-IE"/>
        </w:rPr>
        <w:t>capital intensity.</w:t>
      </w:r>
      <w:r w:rsidR="00EA5E68" w:rsidRPr="00C73908">
        <w:rPr>
          <w:rFonts w:ascii="Times New Roman" w:hAnsi="Times New Roman" w:cs="Times New Roman"/>
          <w:lang w:val="en-IE"/>
        </w:rPr>
        <w:t xml:space="preserve"> This is likely to be more of an issue </w:t>
      </w:r>
      <w:r w:rsidR="00DD6AA8" w:rsidRPr="00C73908">
        <w:rPr>
          <w:rFonts w:ascii="Times New Roman" w:hAnsi="Times New Roman" w:cs="Times New Roman"/>
          <w:lang w:val="en-IE"/>
        </w:rPr>
        <w:t xml:space="preserve">among </w:t>
      </w:r>
      <w:r w:rsidR="00EA5E68" w:rsidRPr="00C73908">
        <w:rPr>
          <w:rFonts w:ascii="Times New Roman" w:hAnsi="Times New Roman" w:cs="Times New Roman"/>
          <w:lang w:val="en-IE"/>
        </w:rPr>
        <w:t>manufactur</w:t>
      </w:r>
      <w:r w:rsidR="00001DDD" w:rsidRPr="00C73908">
        <w:rPr>
          <w:rFonts w:ascii="Times New Roman" w:hAnsi="Times New Roman" w:cs="Times New Roman"/>
          <w:lang w:val="en-IE"/>
        </w:rPr>
        <w:t>ing companies which</w:t>
      </w:r>
      <w:r w:rsidR="00DD6AA8" w:rsidRPr="00C73908">
        <w:rPr>
          <w:rFonts w:ascii="Times New Roman" w:hAnsi="Times New Roman" w:cs="Times New Roman"/>
          <w:lang w:val="en-IE"/>
        </w:rPr>
        <w:t xml:space="preserve"> tend to be more</w:t>
      </w:r>
      <w:r w:rsidR="006C79B9" w:rsidRPr="00C73908">
        <w:rPr>
          <w:rFonts w:ascii="Times New Roman" w:hAnsi="Times New Roman" w:cs="Times New Roman"/>
          <w:lang w:val="en-IE"/>
        </w:rPr>
        <w:t xml:space="preserve"> capital intensi</w:t>
      </w:r>
      <w:r w:rsidR="00001DDD" w:rsidRPr="00C73908">
        <w:rPr>
          <w:rFonts w:ascii="Times New Roman" w:hAnsi="Times New Roman" w:cs="Times New Roman"/>
          <w:lang w:val="en-IE"/>
        </w:rPr>
        <w:t>ve</w:t>
      </w:r>
      <w:r w:rsidR="00EA5E68" w:rsidRPr="00C73908">
        <w:rPr>
          <w:rFonts w:ascii="Times New Roman" w:hAnsi="Times New Roman" w:cs="Times New Roman"/>
          <w:lang w:val="en-IE"/>
        </w:rPr>
        <w:t>.</w:t>
      </w:r>
    </w:p>
    <w:p w14:paraId="6AC4A120" w14:textId="289DC0F6" w:rsidR="00975C16" w:rsidRPr="00C73908" w:rsidRDefault="00B476CD" w:rsidP="000A669F">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The</w:t>
      </w:r>
      <w:r>
        <w:rPr>
          <w:rFonts w:ascii="Times New Roman" w:hAnsi="Times New Roman" w:cs="Times New Roman"/>
          <w:lang w:val="en-IE"/>
        </w:rPr>
        <w:t xml:space="preserve"> </w:t>
      </w:r>
      <w:r w:rsidRPr="00C73908">
        <w:rPr>
          <w:rFonts w:ascii="Times New Roman" w:hAnsi="Times New Roman" w:cs="Times New Roman"/>
          <w:lang w:val="en-IE"/>
        </w:rPr>
        <w:t xml:space="preserve">issues </w:t>
      </w:r>
      <w:r>
        <w:rPr>
          <w:rFonts w:ascii="Times New Roman" w:hAnsi="Times New Roman" w:cs="Times New Roman"/>
          <w:lang w:val="en-IE"/>
        </w:rPr>
        <w:t xml:space="preserve">outlined above </w:t>
      </w:r>
      <w:r w:rsidRPr="00C73908">
        <w:rPr>
          <w:rFonts w:ascii="Times New Roman" w:hAnsi="Times New Roman" w:cs="Times New Roman"/>
          <w:lang w:val="en-IE"/>
        </w:rPr>
        <w:t xml:space="preserve">highlight the complexity </w:t>
      </w:r>
      <w:r w:rsidR="001F16E6" w:rsidRPr="001F16E6">
        <w:rPr>
          <w:rFonts w:ascii="Times New Roman" w:hAnsi="Times New Roman" w:cs="Times New Roman"/>
          <w:lang w:val="en-IE"/>
        </w:rPr>
        <w:t>of consistently measuring productivity at the firm level due to the granular level of inputs required and the general lack of consensus on which indicators should be used</w:t>
      </w:r>
      <w:r w:rsidR="00051B89">
        <w:rPr>
          <w:rFonts w:ascii="Times New Roman" w:hAnsi="Times New Roman" w:cs="Times New Roman"/>
          <w:lang w:val="en-IE"/>
        </w:rPr>
        <w:t>. VA per employee</w:t>
      </w:r>
      <w:r w:rsidRPr="00C73908">
        <w:rPr>
          <w:rFonts w:ascii="Times New Roman" w:hAnsi="Times New Roman" w:cs="Times New Roman"/>
          <w:lang w:val="en-IE"/>
        </w:rPr>
        <w:t xml:space="preserve"> is a function of multiple inputs which can vary depending on a wide range of factors. Some of these factors may indicate a general decline in company performance such as reduced efficiency or falling revenues but others do not necessarily indicate poor performance. For example; VA per employee is likely to decline</w:t>
      </w:r>
      <w:r w:rsidR="0034113E">
        <w:rPr>
          <w:rFonts w:ascii="Times New Roman" w:hAnsi="Times New Roman" w:cs="Times New Roman"/>
          <w:lang w:val="en-IE"/>
        </w:rPr>
        <w:t xml:space="preserve"> in the short run</w:t>
      </w:r>
      <w:r w:rsidRPr="00C73908">
        <w:rPr>
          <w:rFonts w:ascii="Times New Roman" w:hAnsi="Times New Roman" w:cs="Times New Roman"/>
          <w:lang w:val="en-IE"/>
        </w:rPr>
        <w:t xml:space="preserve"> in a situation where a company takes on new staff or invests heavily in R&amp;D to facilitate future growth.</w:t>
      </w:r>
    </w:p>
    <w:p w14:paraId="686C5F0E" w14:textId="64D45EB4" w:rsidR="00BD6ABA" w:rsidRPr="00C73908" w:rsidRDefault="007604AC" w:rsidP="001F0923">
      <w:pPr>
        <w:spacing w:after="240" w:line="360" w:lineRule="auto"/>
        <w:jc w:val="both"/>
        <w:rPr>
          <w:rFonts w:ascii="Times New Roman" w:hAnsi="Times New Roman" w:cs="Times New Roman"/>
          <w:lang w:val="en-IE"/>
        </w:rPr>
      </w:pPr>
      <w:r w:rsidRPr="007604AC">
        <w:rPr>
          <w:rFonts w:ascii="Times New Roman" w:hAnsi="Times New Roman" w:cs="Times New Roman"/>
          <w:b/>
          <w:bCs/>
          <w:color w:val="0070C0"/>
          <w:lang w:val="en-IE"/>
        </w:rPr>
        <w:t>Innovation:</w:t>
      </w:r>
      <w:r>
        <w:rPr>
          <w:rFonts w:ascii="Times New Roman" w:hAnsi="Times New Roman" w:cs="Times New Roman"/>
          <w:lang w:val="en-IE"/>
        </w:rPr>
        <w:t xml:space="preserve"> </w:t>
      </w:r>
      <w:r w:rsidR="003C639D" w:rsidRPr="00C73908">
        <w:rPr>
          <w:rFonts w:ascii="Times New Roman" w:hAnsi="Times New Roman" w:cs="Times New Roman"/>
          <w:lang w:val="en-IE"/>
        </w:rPr>
        <w:t>R&amp;D expenditure</w:t>
      </w:r>
      <w:r w:rsidR="00F41DED" w:rsidRPr="00C73908">
        <w:rPr>
          <w:rFonts w:ascii="Times New Roman" w:hAnsi="Times New Roman" w:cs="Times New Roman"/>
          <w:lang w:val="en-IE"/>
        </w:rPr>
        <w:t xml:space="preserve"> is </w:t>
      </w:r>
      <w:r w:rsidR="009F7AE7" w:rsidRPr="00C73908">
        <w:rPr>
          <w:rFonts w:ascii="Times New Roman" w:hAnsi="Times New Roman" w:cs="Times New Roman"/>
          <w:lang w:val="en-IE"/>
        </w:rPr>
        <w:t xml:space="preserve">found to have a positive </w:t>
      </w:r>
      <w:r w:rsidR="00C12990">
        <w:rPr>
          <w:rFonts w:ascii="Times New Roman" w:hAnsi="Times New Roman" w:cs="Times New Roman"/>
          <w:lang w:val="en-IE"/>
        </w:rPr>
        <w:t>effect</w:t>
      </w:r>
      <w:r w:rsidR="009F7AE7" w:rsidRPr="00C73908">
        <w:rPr>
          <w:rFonts w:ascii="Times New Roman" w:hAnsi="Times New Roman" w:cs="Times New Roman"/>
          <w:lang w:val="en-IE"/>
        </w:rPr>
        <w:t xml:space="preserve"> on</w:t>
      </w:r>
      <w:r w:rsidR="00DD15D6" w:rsidRPr="00C73908">
        <w:rPr>
          <w:rFonts w:ascii="Times New Roman" w:hAnsi="Times New Roman" w:cs="Times New Roman"/>
          <w:lang w:val="en-IE"/>
        </w:rPr>
        <w:t xml:space="preserve"> </w:t>
      </w:r>
      <w:r w:rsidR="002527D2">
        <w:rPr>
          <w:rFonts w:ascii="Times New Roman" w:hAnsi="Times New Roman" w:cs="Times New Roman"/>
          <w:lang w:val="en-IE"/>
        </w:rPr>
        <w:t>the scale of</w:t>
      </w:r>
      <w:r w:rsidR="00F41DED" w:rsidRPr="00C73908">
        <w:rPr>
          <w:rFonts w:ascii="Times New Roman" w:hAnsi="Times New Roman" w:cs="Times New Roman"/>
          <w:lang w:val="en-IE"/>
        </w:rPr>
        <w:t xml:space="preserve"> </w:t>
      </w:r>
      <w:r w:rsidR="00C13DAB" w:rsidRPr="00C73908">
        <w:rPr>
          <w:rFonts w:ascii="Times New Roman" w:hAnsi="Times New Roman" w:cs="Times New Roman"/>
          <w:lang w:val="en-IE"/>
        </w:rPr>
        <w:t>export</w:t>
      </w:r>
      <w:r w:rsidR="00710A48" w:rsidRPr="00C73908">
        <w:rPr>
          <w:rFonts w:ascii="Times New Roman" w:hAnsi="Times New Roman" w:cs="Times New Roman"/>
          <w:lang w:val="en-IE"/>
        </w:rPr>
        <w:t>s</w:t>
      </w:r>
      <w:r w:rsidR="00C13DAB" w:rsidRPr="00C73908">
        <w:rPr>
          <w:rFonts w:ascii="Times New Roman" w:hAnsi="Times New Roman" w:cs="Times New Roman"/>
          <w:lang w:val="en-IE"/>
        </w:rPr>
        <w:t xml:space="preserve"> </w:t>
      </w:r>
      <w:r w:rsidR="00C01C6B" w:rsidRPr="00C73908">
        <w:rPr>
          <w:rFonts w:ascii="Times New Roman" w:hAnsi="Times New Roman" w:cs="Times New Roman"/>
          <w:lang w:val="en-IE"/>
        </w:rPr>
        <w:t>with statistically significant coefficients in</w:t>
      </w:r>
      <w:r w:rsidR="00906772" w:rsidRPr="00C73908">
        <w:rPr>
          <w:rFonts w:ascii="Times New Roman" w:hAnsi="Times New Roman" w:cs="Times New Roman"/>
          <w:lang w:val="en-IE"/>
        </w:rPr>
        <w:t xml:space="preserve"> both </w:t>
      </w:r>
      <w:r w:rsidR="00C01C6B" w:rsidRPr="00C73908">
        <w:rPr>
          <w:rFonts w:ascii="Times New Roman" w:hAnsi="Times New Roman" w:cs="Times New Roman"/>
          <w:lang w:val="en-IE"/>
        </w:rPr>
        <w:t>sectors</w:t>
      </w:r>
      <w:r w:rsidR="00C13DAB" w:rsidRPr="00C73908">
        <w:rPr>
          <w:rFonts w:ascii="Times New Roman" w:hAnsi="Times New Roman" w:cs="Times New Roman"/>
          <w:lang w:val="en-IE"/>
        </w:rPr>
        <w:t xml:space="preserve">. </w:t>
      </w:r>
      <w:r w:rsidR="00EE31FD" w:rsidRPr="00C73908">
        <w:rPr>
          <w:rFonts w:ascii="Times New Roman" w:hAnsi="Times New Roman" w:cs="Times New Roman"/>
          <w:lang w:val="en-IE"/>
        </w:rPr>
        <w:t xml:space="preserve">This finding provides further evidence of the </w:t>
      </w:r>
      <w:r w:rsidR="008319D9">
        <w:rPr>
          <w:rFonts w:ascii="Times New Roman" w:hAnsi="Times New Roman" w:cs="Times New Roman"/>
          <w:lang w:val="en-IE"/>
        </w:rPr>
        <w:t>important</w:t>
      </w:r>
      <w:r w:rsidR="00EE31FD" w:rsidRPr="00C73908">
        <w:rPr>
          <w:rFonts w:ascii="Times New Roman" w:hAnsi="Times New Roman" w:cs="Times New Roman"/>
          <w:lang w:val="en-IE"/>
        </w:rPr>
        <w:t xml:space="preserve"> role of innovation in driving export growth</w:t>
      </w:r>
      <w:r w:rsidR="003075F1" w:rsidRPr="00C73908">
        <w:rPr>
          <w:rFonts w:ascii="Times New Roman" w:hAnsi="Times New Roman" w:cs="Times New Roman"/>
          <w:lang w:val="en-IE"/>
        </w:rPr>
        <w:t xml:space="preserve"> and is </w:t>
      </w:r>
      <w:r w:rsidR="00424265" w:rsidRPr="00C73908">
        <w:rPr>
          <w:rFonts w:ascii="Times New Roman" w:hAnsi="Times New Roman" w:cs="Times New Roman"/>
          <w:lang w:val="en-IE"/>
        </w:rPr>
        <w:t xml:space="preserve">in line </w:t>
      </w:r>
      <w:r w:rsidR="0040733A" w:rsidRPr="00C73908">
        <w:rPr>
          <w:rFonts w:ascii="Times New Roman" w:hAnsi="Times New Roman" w:cs="Times New Roman"/>
          <w:lang w:val="en-IE"/>
        </w:rPr>
        <w:t xml:space="preserve">with </w:t>
      </w:r>
      <w:r w:rsidR="003075F1" w:rsidRPr="00C73908">
        <w:rPr>
          <w:rFonts w:ascii="Times New Roman" w:hAnsi="Times New Roman" w:cs="Times New Roman"/>
          <w:lang w:val="en-IE"/>
        </w:rPr>
        <w:t xml:space="preserve">the </w:t>
      </w:r>
      <w:r w:rsidR="00DD444D" w:rsidRPr="00C73908">
        <w:rPr>
          <w:rFonts w:ascii="Times New Roman" w:hAnsi="Times New Roman" w:cs="Times New Roman"/>
          <w:lang w:val="en-IE"/>
        </w:rPr>
        <w:t xml:space="preserve">vast majority of </w:t>
      </w:r>
      <w:r w:rsidR="0040733A" w:rsidRPr="00C73908">
        <w:rPr>
          <w:rFonts w:ascii="Times New Roman" w:hAnsi="Times New Roman" w:cs="Times New Roman"/>
          <w:lang w:val="en-IE"/>
        </w:rPr>
        <w:t xml:space="preserve">previous studies </w:t>
      </w:r>
      <w:r w:rsidR="00EB6C8D" w:rsidRPr="00C73908">
        <w:rPr>
          <w:rFonts w:ascii="Times New Roman" w:hAnsi="Times New Roman" w:cs="Times New Roman"/>
          <w:lang w:val="en-IE"/>
        </w:rPr>
        <w:t>examining</w:t>
      </w:r>
      <w:r w:rsidR="00AD7DBA" w:rsidRPr="00C73908">
        <w:rPr>
          <w:rFonts w:ascii="Times New Roman" w:hAnsi="Times New Roman" w:cs="Times New Roman"/>
          <w:lang w:val="en-IE"/>
        </w:rPr>
        <w:t xml:space="preserve"> the link between innovation and </w:t>
      </w:r>
      <w:r w:rsidR="00077CC7" w:rsidRPr="00C73908">
        <w:rPr>
          <w:rFonts w:ascii="Times New Roman" w:hAnsi="Times New Roman" w:cs="Times New Roman"/>
          <w:lang w:val="en-IE"/>
        </w:rPr>
        <w:t>exporting</w:t>
      </w:r>
      <w:r w:rsidR="00C203C9" w:rsidRPr="00C73908">
        <w:rPr>
          <w:rFonts w:ascii="Times New Roman" w:hAnsi="Times New Roman" w:cs="Times New Roman"/>
          <w:lang w:val="en-IE"/>
        </w:rPr>
        <w:t xml:space="preserve">, including </w:t>
      </w:r>
      <w:r w:rsidR="000D111B" w:rsidRPr="00C73908">
        <w:rPr>
          <w:rFonts w:ascii="Times New Roman" w:hAnsi="Times New Roman" w:cs="Times New Roman"/>
          <w:lang w:val="en-IE"/>
        </w:rPr>
        <w:t xml:space="preserve">several </w:t>
      </w:r>
      <w:r w:rsidR="00BB3913" w:rsidRPr="00C73908">
        <w:rPr>
          <w:rFonts w:ascii="Times New Roman" w:hAnsi="Times New Roman" w:cs="Times New Roman"/>
          <w:lang w:val="en-IE"/>
        </w:rPr>
        <w:t>empirical studies of Irish firms</w:t>
      </w:r>
      <w:r w:rsidR="000D111B" w:rsidRPr="00C73908">
        <w:rPr>
          <w:rFonts w:ascii="Times New Roman" w:hAnsi="Times New Roman" w:cs="Times New Roman"/>
          <w:lang w:val="en-IE"/>
        </w:rPr>
        <w:t xml:space="preserve"> such as Roper et al. (2006) and ESRI (2006)</w:t>
      </w:r>
      <w:r w:rsidR="00FD01F1" w:rsidRPr="00C73908">
        <w:rPr>
          <w:rFonts w:ascii="Times New Roman" w:hAnsi="Times New Roman" w:cs="Times New Roman"/>
          <w:lang w:val="en-IE"/>
        </w:rPr>
        <w:t>.</w:t>
      </w:r>
      <w:r w:rsidR="00285F8C" w:rsidRPr="00C73908">
        <w:rPr>
          <w:rFonts w:ascii="Times New Roman" w:hAnsi="Times New Roman" w:cs="Times New Roman"/>
          <w:lang w:val="en-IE"/>
        </w:rPr>
        <w:t xml:space="preserve"> </w:t>
      </w:r>
      <w:r w:rsidR="008468FD" w:rsidRPr="00C73908">
        <w:rPr>
          <w:rFonts w:ascii="Times New Roman" w:hAnsi="Times New Roman" w:cs="Times New Roman"/>
          <w:lang w:val="en-IE"/>
        </w:rPr>
        <w:t>I</w:t>
      </w:r>
      <w:r w:rsidR="00285F8C" w:rsidRPr="00C73908">
        <w:rPr>
          <w:rFonts w:ascii="Times New Roman" w:hAnsi="Times New Roman" w:cs="Times New Roman"/>
          <w:lang w:val="en-IE"/>
        </w:rPr>
        <w:t>nvest</w:t>
      </w:r>
      <w:r w:rsidR="008468FD" w:rsidRPr="00C73908">
        <w:rPr>
          <w:rFonts w:ascii="Times New Roman" w:hAnsi="Times New Roman" w:cs="Times New Roman"/>
          <w:lang w:val="en-IE"/>
        </w:rPr>
        <w:t>ing</w:t>
      </w:r>
      <w:r w:rsidR="00285F8C" w:rsidRPr="00C73908">
        <w:rPr>
          <w:rFonts w:ascii="Times New Roman" w:hAnsi="Times New Roman" w:cs="Times New Roman"/>
          <w:lang w:val="en-IE"/>
        </w:rPr>
        <w:t xml:space="preserve"> in innovation </w:t>
      </w:r>
      <w:r w:rsidR="007540E8" w:rsidRPr="00C73908">
        <w:rPr>
          <w:rFonts w:ascii="Times New Roman" w:hAnsi="Times New Roman" w:cs="Times New Roman"/>
          <w:lang w:val="en-IE"/>
        </w:rPr>
        <w:t xml:space="preserve">allows </w:t>
      </w:r>
      <w:r w:rsidR="005956BE" w:rsidRPr="00C73908">
        <w:rPr>
          <w:rFonts w:ascii="Times New Roman" w:hAnsi="Times New Roman" w:cs="Times New Roman"/>
          <w:lang w:val="en-IE"/>
        </w:rPr>
        <w:t>companies to generate a competitive advantage</w:t>
      </w:r>
      <w:r w:rsidR="007540E8" w:rsidRPr="00C73908">
        <w:rPr>
          <w:rFonts w:ascii="Times New Roman" w:hAnsi="Times New Roman" w:cs="Times New Roman"/>
          <w:lang w:val="en-IE"/>
        </w:rPr>
        <w:t xml:space="preserve"> through the</w:t>
      </w:r>
      <w:r w:rsidR="00285F8C" w:rsidRPr="00C73908">
        <w:rPr>
          <w:rFonts w:ascii="Times New Roman" w:hAnsi="Times New Roman" w:cs="Times New Roman"/>
          <w:lang w:val="en-IE"/>
        </w:rPr>
        <w:t xml:space="preserve"> develop</w:t>
      </w:r>
      <w:r w:rsidR="007540E8" w:rsidRPr="00C73908">
        <w:rPr>
          <w:rFonts w:ascii="Times New Roman" w:hAnsi="Times New Roman" w:cs="Times New Roman"/>
          <w:lang w:val="en-IE"/>
        </w:rPr>
        <w:t>ment of</w:t>
      </w:r>
      <w:r w:rsidR="00285F8C" w:rsidRPr="00C73908">
        <w:rPr>
          <w:rFonts w:ascii="Times New Roman" w:hAnsi="Times New Roman" w:cs="Times New Roman"/>
          <w:lang w:val="en-IE"/>
        </w:rPr>
        <w:t xml:space="preserve"> new and improved products and services</w:t>
      </w:r>
      <w:r w:rsidR="005762AC" w:rsidRPr="00C73908">
        <w:rPr>
          <w:rFonts w:ascii="Times New Roman" w:hAnsi="Times New Roman" w:cs="Times New Roman"/>
          <w:lang w:val="en-IE"/>
        </w:rPr>
        <w:t xml:space="preserve"> and also through </w:t>
      </w:r>
      <w:r w:rsidR="006E7C4C" w:rsidRPr="00C73908">
        <w:rPr>
          <w:rFonts w:ascii="Times New Roman" w:hAnsi="Times New Roman" w:cs="Times New Roman"/>
          <w:lang w:val="en-IE"/>
        </w:rPr>
        <w:t xml:space="preserve">internal </w:t>
      </w:r>
      <w:r w:rsidR="005762AC" w:rsidRPr="00C73908">
        <w:rPr>
          <w:rFonts w:ascii="Times New Roman" w:hAnsi="Times New Roman" w:cs="Times New Roman"/>
          <w:lang w:val="en-IE"/>
        </w:rPr>
        <w:t xml:space="preserve">process </w:t>
      </w:r>
      <w:r w:rsidR="006E7C4C" w:rsidRPr="00C73908">
        <w:rPr>
          <w:rFonts w:ascii="Times New Roman" w:hAnsi="Times New Roman" w:cs="Times New Roman"/>
          <w:lang w:val="en-IE"/>
        </w:rPr>
        <w:t xml:space="preserve">and technological </w:t>
      </w:r>
      <w:r w:rsidR="005762AC" w:rsidRPr="00C73908">
        <w:rPr>
          <w:rFonts w:ascii="Times New Roman" w:hAnsi="Times New Roman" w:cs="Times New Roman"/>
          <w:lang w:val="en-IE"/>
        </w:rPr>
        <w:t xml:space="preserve">innovation which can </w:t>
      </w:r>
      <w:r w:rsidR="006E7C4C" w:rsidRPr="00C73908">
        <w:rPr>
          <w:rFonts w:ascii="Times New Roman" w:hAnsi="Times New Roman" w:cs="Times New Roman"/>
          <w:lang w:val="en-IE"/>
        </w:rPr>
        <w:t>lead</w:t>
      </w:r>
      <w:r w:rsidR="005762AC" w:rsidRPr="00C73908">
        <w:rPr>
          <w:rFonts w:ascii="Times New Roman" w:hAnsi="Times New Roman" w:cs="Times New Roman"/>
          <w:lang w:val="en-IE"/>
        </w:rPr>
        <w:t xml:space="preserve"> to lower production costs</w:t>
      </w:r>
      <w:r w:rsidR="008C72D7" w:rsidRPr="00C73908">
        <w:rPr>
          <w:rFonts w:ascii="Times New Roman" w:hAnsi="Times New Roman" w:cs="Times New Roman"/>
          <w:lang w:val="en-IE"/>
        </w:rPr>
        <w:t xml:space="preserve"> or better customer experience</w:t>
      </w:r>
      <w:r w:rsidR="005762AC" w:rsidRPr="00C73908">
        <w:rPr>
          <w:rFonts w:ascii="Times New Roman" w:hAnsi="Times New Roman" w:cs="Times New Roman"/>
          <w:lang w:val="en-IE"/>
        </w:rPr>
        <w:t>.</w:t>
      </w:r>
      <w:r w:rsidR="00285F8C" w:rsidRPr="00C73908">
        <w:rPr>
          <w:rFonts w:ascii="Times New Roman" w:hAnsi="Times New Roman" w:cs="Times New Roman"/>
          <w:lang w:val="en-IE"/>
        </w:rPr>
        <w:t xml:space="preserve"> </w:t>
      </w:r>
      <w:r w:rsidR="000F24B8" w:rsidRPr="00C73908">
        <w:rPr>
          <w:rFonts w:ascii="Times New Roman" w:hAnsi="Times New Roman" w:cs="Times New Roman"/>
          <w:lang w:val="en-IE"/>
        </w:rPr>
        <w:t xml:space="preserve">In terms of innovation outputs, there is some evidence to suggest that </w:t>
      </w:r>
      <w:r w:rsidR="00936D0F" w:rsidRPr="00C73908">
        <w:rPr>
          <w:rFonts w:ascii="Times New Roman" w:hAnsi="Times New Roman" w:cs="Times New Roman"/>
          <w:lang w:val="en-IE"/>
        </w:rPr>
        <w:t xml:space="preserve">new </w:t>
      </w:r>
      <w:r w:rsidR="009A3011" w:rsidRPr="00C73908">
        <w:rPr>
          <w:rFonts w:ascii="Times New Roman" w:hAnsi="Times New Roman" w:cs="Times New Roman"/>
          <w:lang w:val="en-IE"/>
        </w:rPr>
        <w:t xml:space="preserve">product development has a positive influence on the </w:t>
      </w:r>
      <w:r w:rsidR="00653123">
        <w:rPr>
          <w:rFonts w:ascii="Times New Roman" w:hAnsi="Times New Roman" w:cs="Times New Roman"/>
          <w:lang w:val="en-IE"/>
        </w:rPr>
        <w:t>scale</w:t>
      </w:r>
      <w:r w:rsidR="009A3011" w:rsidRPr="00C73908">
        <w:rPr>
          <w:rFonts w:ascii="Times New Roman" w:hAnsi="Times New Roman" w:cs="Times New Roman"/>
          <w:lang w:val="en-IE"/>
        </w:rPr>
        <w:t xml:space="preserve"> of exports in manufacturing companies.</w:t>
      </w:r>
      <w:r w:rsidR="003849F8" w:rsidRPr="00C73908">
        <w:rPr>
          <w:rFonts w:ascii="Times New Roman" w:hAnsi="Times New Roman" w:cs="Times New Roman"/>
          <w:lang w:val="en-IE"/>
        </w:rPr>
        <w:t xml:space="preserve"> The coefficients of the new product </w:t>
      </w:r>
      <w:r w:rsidR="00E5216F" w:rsidRPr="00C73908">
        <w:rPr>
          <w:rFonts w:ascii="Times New Roman" w:hAnsi="Times New Roman" w:cs="Times New Roman"/>
          <w:lang w:val="en-IE"/>
        </w:rPr>
        <w:t>development variable</w:t>
      </w:r>
      <w:r w:rsidR="00433600" w:rsidRPr="00C73908">
        <w:rPr>
          <w:rFonts w:ascii="Times New Roman" w:hAnsi="Times New Roman" w:cs="Times New Roman"/>
          <w:lang w:val="en-IE"/>
        </w:rPr>
        <w:t xml:space="preserve"> are statisticall</w:t>
      </w:r>
      <w:r w:rsidR="00F96CD1" w:rsidRPr="00C73908">
        <w:rPr>
          <w:rFonts w:ascii="Times New Roman" w:hAnsi="Times New Roman" w:cs="Times New Roman"/>
          <w:lang w:val="en-IE"/>
        </w:rPr>
        <w:t>y significant</w:t>
      </w:r>
      <w:r w:rsidR="00923080" w:rsidRPr="00923080">
        <w:rPr>
          <w:rFonts w:ascii="Times New Roman" w:hAnsi="Times New Roman" w:cs="Times New Roman"/>
          <w:lang w:val="en-IE"/>
        </w:rPr>
        <w:t xml:space="preserve"> </w:t>
      </w:r>
      <w:r w:rsidR="00923080" w:rsidRPr="00C73908">
        <w:rPr>
          <w:rFonts w:ascii="Times New Roman" w:hAnsi="Times New Roman" w:cs="Times New Roman"/>
          <w:lang w:val="en-IE"/>
        </w:rPr>
        <w:t>for manufacturers</w:t>
      </w:r>
      <w:r w:rsidR="00F96CD1" w:rsidRPr="00C73908">
        <w:rPr>
          <w:rFonts w:ascii="Times New Roman" w:hAnsi="Times New Roman" w:cs="Times New Roman"/>
          <w:lang w:val="en-IE"/>
        </w:rPr>
        <w:t xml:space="preserve"> </w:t>
      </w:r>
      <w:r w:rsidR="00923080">
        <w:rPr>
          <w:rFonts w:ascii="Times New Roman" w:hAnsi="Times New Roman" w:cs="Times New Roman"/>
          <w:lang w:val="en-IE"/>
        </w:rPr>
        <w:t>in</w:t>
      </w:r>
      <w:r w:rsidR="00F96CD1" w:rsidRPr="00C73908">
        <w:rPr>
          <w:rFonts w:ascii="Times New Roman" w:hAnsi="Times New Roman" w:cs="Times New Roman"/>
          <w:lang w:val="en-IE"/>
        </w:rPr>
        <w:t xml:space="preserve"> both </w:t>
      </w:r>
      <w:r w:rsidR="00701ACD" w:rsidRPr="00C73908">
        <w:rPr>
          <w:rFonts w:ascii="Times New Roman" w:hAnsi="Times New Roman" w:cs="Times New Roman"/>
          <w:lang w:val="en-IE"/>
        </w:rPr>
        <w:t xml:space="preserve">models </w:t>
      </w:r>
      <w:r w:rsidR="00A40EB3" w:rsidRPr="00C73908">
        <w:rPr>
          <w:rFonts w:ascii="Times New Roman" w:hAnsi="Times New Roman" w:cs="Times New Roman"/>
          <w:lang w:val="en-IE"/>
        </w:rPr>
        <w:t>although it i</w:t>
      </w:r>
      <w:r w:rsidR="00F90BC2" w:rsidRPr="00C73908">
        <w:rPr>
          <w:rFonts w:ascii="Times New Roman" w:hAnsi="Times New Roman" w:cs="Times New Roman"/>
          <w:lang w:val="en-IE"/>
        </w:rPr>
        <w:t>s</w:t>
      </w:r>
      <w:r w:rsidR="00A40EB3" w:rsidRPr="00C73908">
        <w:rPr>
          <w:rFonts w:ascii="Times New Roman" w:hAnsi="Times New Roman" w:cs="Times New Roman"/>
          <w:lang w:val="en-IE"/>
        </w:rPr>
        <w:t xml:space="preserve"> only significant at the 10% </w:t>
      </w:r>
      <w:r w:rsidR="00106203" w:rsidRPr="00C73908">
        <w:rPr>
          <w:rFonts w:ascii="Times New Roman" w:hAnsi="Times New Roman" w:cs="Times New Roman"/>
          <w:lang w:val="en-IE"/>
        </w:rPr>
        <w:t xml:space="preserve">confidence </w:t>
      </w:r>
      <w:r w:rsidR="00701ACD" w:rsidRPr="00C73908">
        <w:rPr>
          <w:rFonts w:ascii="Times New Roman" w:hAnsi="Times New Roman" w:cs="Times New Roman"/>
          <w:lang w:val="en-IE"/>
        </w:rPr>
        <w:t>level</w:t>
      </w:r>
      <w:r w:rsidR="00A40EB3" w:rsidRPr="00C73908">
        <w:rPr>
          <w:rFonts w:ascii="Times New Roman" w:hAnsi="Times New Roman" w:cs="Times New Roman"/>
          <w:lang w:val="en-IE"/>
        </w:rPr>
        <w:t xml:space="preserve"> for the system GMM model</w:t>
      </w:r>
      <w:r w:rsidR="00106203" w:rsidRPr="00C73908">
        <w:rPr>
          <w:rFonts w:ascii="Times New Roman" w:hAnsi="Times New Roman" w:cs="Times New Roman"/>
          <w:lang w:val="en-IE"/>
        </w:rPr>
        <w:t>.</w:t>
      </w:r>
      <w:r w:rsidR="006C4797" w:rsidRPr="00C73908">
        <w:rPr>
          <w:rFonts w:ascii="Times New Roman" w:hAnsi="Times New Roman" w:cs="Times New Roman"/>
          <w:lang w:val="en-IE"/>
        </w:rPr>
        <w:t xml:space="preserve"> This </w:t>
      </w:r>
      <w:r w:rsidR="00423048" w:rsidRPr="00C73908">
        <w:rPr>
          <w:rFonts w:ascii="Times New Roman" w:hAnsi="Times New Roman" w:cs="Times New Roman"/>
          <w:lang w:val="en-IE"/>
        </w:rPr>
        <w:t xml:space="preserve">indicates that </w:t>
      </w:r>
      <w:r w:rsidR="006B1A3B" w:rsidRPr="00C73908">
        <w:rPr>
          <w:rFonts w:ascii="Times New Roman" w:hAnsi="Times New Roman" w:cs="Times New Roman"/>
          <w:lang w:val="en-IE"/>
        </w:rPr>
        <w:t xml:space="preserve">by continually updating </w:t>
      </w:r>
      <w:r w:rsidR="002D7677" w:rsidRPr="00C73908">
        <w:rPr>
          <w:rFonts w:ascii="Times New Roman" w:hAnsi="Times New Roman" w:cs="Times New Roman"/>
          <w:lang w:val="en-IE"/>
        </w:rPr>
        <w:t xml:space="preserve">existing products </w:t>
      </w:r>
      <w:r w:rsidR="006B1A3B" w:rsidRPr="00C73908">
        <w:rPr>
          <w:rFonts w:ascii="Times New Roman" w:hAnsi="Times New Roman" w:cs="Times New Roman"/>
          <w:lang w:val="en-IE"/>
        </w:rPr>
        <w:t>and replacing</w:t>
      </w:r>
      <w:r w:rsidR="002D7677" w:rsidRPr="00C73908">
        <w:rPr>
          <w:rFonts w:ascii="Times New Roman" w:hAnsi="Times New Roman" w:cs="Times New Roman"/>
          <w:lang w:val="en-IE"/>
        </w:rPr>
        <w:t xml:space="preserve"> obsolete ones</w:t>
      </w:r>
      <w:r w:rsidR="006B1A3B" w:rsidRPr="00C73908">
        <w:rPr>
          <w:rFonts w:ascii="Times New Roman" w:hAnsi="Times New Roman" w:cs="Times New Roman"/>
          <w:lang w:val="en-IE"/>
        </w:rPr>
        <w:t xml:space="preserve">, </w:t>
      </w:r>
      <w:r w:rsidR="00423048" w:rsidRPr="00C73908">
        <w:rPr>
          <w:rFonts w:ascii="Times New Roman" w:hAnsi="Times New Roman" w:cs="Times New Roman"/>
          <w:lang w:val="en-IE"/>
        </w:rPr>
        <w:t xml:space="preserve">innovative </w:t>
      </w:r>
      <w:r w:rsidR="006B1A3B" w:rsidRPr="00C73908">
        <w:rPr>
          <w:rFonts w:ascii="Times New Roman" w:hAnsi="Times New Roman" w:cs="Times New Roman"/>
          <w:lang w:val="en-IE"/>
        </w:rPr>
        <w:t xml:space="preserve">manufacturers </w:t>
      </w:r>
      <w:r w:rsidR="002D7677" w:rsidRPr="00C73908">
        <w:rPr>
          <w:rFonts w:ascii="Times New Roman" w:hAnsi="Times New Roman" w:cs="Times New Roman"/>
          <w:lang w:val="en-IE"/>
        </w:rPr>
        <w:t>are better able</w:t>
      </w:r>
      <w:r w:rsidR="007F5EC4" w:rsidRPr="00C73908">
        <w:rPr>
          <w:rFonts w:ascii="Times New Roman" w:hAnsi="Times New Roman" w:cs="Times New Roman"/>
          <w:lang w:val="en-IE"/>
        </w:rPr>
        <w:t xml:space="preserve"> to </w:t>
      </w:r>
      <w:r w:rsidR="00554473" w:rsidRPr="00C73908">
        <w:rPr>
          <w:rFonts w:ascii="Times New Roman" w:hAnsi="Times New Roman" w:cs="Times New Roman"/>
          <w:lang w:val="en-IE"/>
        </w:rPr>
        <w:t xml:space="preserve">compete in </w:t>
      </w:r>
      <w:r w:rsidR="007F5EC4" w:rsidRPr="00C73908">
        <w:rPr>
          <w:rFonts w:ascii="Times New Roman" w:hAnsi="Times New Roman" w:cs="Times New Roman"/>
          <w:lang w:val="en-IE"/>
        </w:rPr>
        <w:t xml:space="preserve">international </w:t>
      </w:r>
      <w:r w:rsidR="00554473" w:rsidRPr="00C73908">
        <w:rPr>
          <w:rFonts w:ascii="Times New Roman" w:hAnsi="Times New Roman" w:cs="Times New Roman"/>
          <w:lang w:val="en-IE"/>
        </w:rPr>
        <w:t>markets and can</w:t>
      </w:r>
      <w:r w:rsidR="006B1A3B" w:rsidRPr="00C73908">
        <w:rPr>
          <w:rFonts w:ascii="Times New Roman" w:hAnsi="Times New Roman" w:cs="Times New Roman"/>
          <w:lang w:val="en-IE"/>
        </w:rPr>
        <w:t xml:space="preserve"> maintain </w:t>
      </w:r>
      <w:r w:rsidR="00B73D08" w:rsidRPr="00C73908">
        <w:rPr>
          <w:rFonts w:ascii="Times New Roman" w:hAnsi="Times New Roman" w:cs="Times New Roman"/>
          <w:lang w:val="en-IE"/>
        </w:rPr>
        <w:t xml:space="preserve">and grow their </w:t>
      </w:r>
      <w:r w:rsidR="00184D84" w:rsidRPr="00C73908">
        <w:rPr>
          <w:rFonts w:ascii="Times New Roman" w:hAnsi="Times New Roman" w:cs="Times New Roman"/>
          <w:lang w:val="en-IE"/>
        </w:rPr>
        <w:t xml:space="preserve">overall level of </w:t>
      </w:r>
      <w:r w:rsidR="007F5EC4" w:rsidRPr="00C73908">
        <w:rPr>
          <w:rFonts w:ascii="Times New Roman" w:hAnsi="Times New Roman" w:cs="Times New Roman"/>
          <w:lang w:val="en-IE"/>
        </w:rPr>
        <w:t>exports</w:t>
      </w:r>
      <w:r w:rsidR="00E00059" w:rsidRPr="00C73908">
        <w:rPr>
          <w:rFonts w:ascii="Times New Roman" w:hAnsi="Times New Roman" w:cs="Times New Roman"/>
          <w:lang w:val="en-IE"/>
        </w:rPr>
        <w:t>. By contrast, n</w:t>
      </w:r>
      <w:r w:rsidR="009C22CA" w:rsidRPr="00C73908">
        <w:rPr>
          <w:rFonts w:ascii="Times New Roman" w:hAnsi="Times New Roman" w:cs="Times New Roman"/>
          <w:lang w:val="en-IE"/>
        </w:rPr>
        <w:t>on-</w:t>
      </w:r>
      <w:r w:rsidR="009C22CA" w:rsidRPr="00C73908">
        <w:rPr>
          <w:rFonts w:ascii="Times New Roman" w:hAnsi="Times New Roman" w:cs="Times New Roman"/>
          <w:lang w:val="en-IE"/>
        </w:rPr>
        <w:lastRenderedPageBreak/>
        <w:t>innovators</w:t>
      </w:r>
      <w:r w:rsidR="00B73D08" w:rsidRPr="00C73908">
        <w:rPr>
          <w:rFonts w:ascii="Times New Roman" w:hAnsi="Times New Roman" w:cs="Times New Roman"/>
          <w:lang w:val="en-IE"/>
        </w:rPr>
        <w:t xml:space="preserve"> are </w:t>
      </w:r>
      <w:r w:rsidR="005A2F50" w:rsidRPr="00C73908">
        <w:rPr>
          <w:rFonts w:ascii="Times New Roman" w:hAnsi="Times New Roman" w:cs="Times New Roman"/>
          <w:lang w:val="en-IE"/>
        </w:rPr>
        <w:t>less equipped to</w:t>
      </w:r>
      <w:r w:rsidR="00B73D08" w:rsidRPr="00C73908">
        <w:rPr>
          <w:rFonts w:ascii="Times New Roman" w:hAnsi="Times New Roman" w:cs="Times New Roman"/>
          <w:lang w:val="en-IE"/>
        </w:rPr>
        <w:t xml:space="preserve"> stay ahead </w:t>
      </w:r>
      <w:r w:rsidR="005A2F50" w:rsidRPr="00C73908">
        <w:rPr>
          <w:rFonts w:ascii="Times New Roman" w:hAnsi="Times New Roman" w:cs="Times New Roman"/>
          <w:lang w:val="en-IE"/>
        </w:rPr>
        <w:t xml:space="preserve">of changing consumer trends and </w:t>
      </w:r>
      <w:r w:rsidR="00B86964" w:rsidRPr="00C73908">
        <w:rPr>
          <w:rFonts w:ascii="Times New Roman" w:hAnsi="Times New Roman" w:cs="Times New Roman"/>
          <w:lang w:val="en-IE"/>
        </w:rPr>
        <w:t>regulatory</w:t>
      </w:r>
      <w:r w:rsidR="005A2F50" w:rsidRPr="00C73908">
        <w:rPr>
          <w:rFonts w:ascii="Times New Roman" w:hAnsi="Times New Roman" w:cs="Times New Roman"/>
          <w:lang w:val="en-IE"/>
        </w:rPr>
        <w:t xml:space="preserve"> require</w:t>
      </w:r>
      <w:r w:rsidR="00B86964" w:rsidRPr="00C73908">
        <w:rPr>
          <w:rFonts w:ascii="Times New Roman" w:hAnsi="Times New Roman" w:cs="Times New Roman"/>
          <w:lang w:val="en-IE"/>
        </w:rPr>
        <w:t>ments</w:t>
      </w:r>
      <w:r w:rsidR="00E00059" w:rsidRPr="00C73908">
        <w:rPr>
          <w:rFonts w:ascii="Times New Roman" w:hAnsi="Times New Roman" w:cs="Times New Roman"/>
          <w:lang w:val="en-IE"/>
        </w:rPr>
        <w:t xml:space="preserve"> and</w:t>
      </w:r>
      <w:r w:rsidR="00D86CD5" w:rsidRPr="00C73908">
        <w:rPr>
          <w:rFonts w:ascii="Times New Roman" w:hAnsi="Times New Roman" w:cs="Times New Roman"/>
          <w:lang w:val="en-IE"/>
        </w:rPr>
        <w:t>, therefore, are less likely to achieve sustained export growth</w:t>
      </w:r>
      <w:r w:rsidR="000A3BA0" w:rsidRPr="00C73908">
        <w:rPr>
          <w:rFonts w:ascii="Times New Roman" w:hAnsi="Times New Roman" w:cs="Times New Roman"/>
          <w:lang w:val="en-IE"/>
        </w:rPr>
        <w:t xml:space="preserve"> in the long run</w:t>
      </w:r>
      <w:r w:rsidR="00B86964" w:rsidRPr="00C73908">
        <w:rPr>
          <w:rFonts w:ascii="Times New Roman" w:hAnsi="Times New Roman" w:cs="Times New Roman"/>
          <w:lang w:val="en-IE"/>
        </w:rPr>
        <w:t>.</w:t>
      </w:r>
      <w:r w:rsidR="00263F0D" w:rsidRPr="00C73908">
        <w:rPr>
          <w:rFonts w:ascii="Times New Roman" w:hAnsi="Times New Roman" w:cs="Times New Roman"/>
          <w:lang w:val="en-IE"/>
        </w:rPr>
        <w:t xml:space="preserve"> </w:t>
      </w:r>
      <w:r w:rsidR="00616C3C" w:rsidRPr="00C73908">
        <w:rPr>
          <w:rFonts w:ascii="Times New Roman" w:hAnsi="Times New Roman" w:cs="Times New Roman"/>
          <w:lang w:val="en-IE"/>
        </w:rPr>
        <w:t>For services companies,</w:t>
      </w:r>
      <w:r w:rsidR="00371641" w:rsidRPr="00C73908">
        <w:rPr>
          <w:rFonts w:ascii="Times New Roman" w:hAnsi="Times New Roman" w:cs="Times New Roman"/>
          <w:lang w:val="en-IE"/>
        </w:rPr>
        <w:t xml:space="preserve"> on the other hand,</w:t>
      </w:r>
      <w:r w:rsidR="00616C3C" w:rsidRPr="00C73908">
        <w:rPr>
          <w:rFonts w:ascii="Times New Roman" w:hAnsi="Times New Roman" w:cs="Times New Roman"/>
          <w:lang w:val="en-IE"/>
        </w:rPr>
        <w:t xml:space="preserve"> new product development </w:t>
      </w:r>
      <w:r w:rsidR="00E32A38" w:rsidRPr="00C73908">
        <w:rPr>
          <w:rFonts w:ascii="Times New Roman" w:hAnsi="Times New Roman" w:cs="Times New Roman"/>
          <w:lang w:val="en-IE"/>
        </w:rPr>
        <w:t>is not found</w:t>
      </w:r>
      <w:r w:rsidR="00616C3C" w:rsidRPr="00C73908">
        <w:rPr>
          <w:rFonts w:ascii="Times New Roman" w:hAnsi="Times New Roman" w:cs="Times New Roman"/>
          <w:lang w:val="en-IE"/>
        </w:rPr>
        <w:t xml:space="preserve"> to have a significant </w:t>
      </w:r>
      <w:r w:rsidR="008A713A" w:rsidRPr="00C73908">
        <w:rPr>
          <w:rFonts w:ascii="Times New Roman" w:hAnsi="Times New Roman" w:cs="Times New Roman"/>
          <w:lang w:val="en-IE"/>
        </w:rPr>
        <w:t>influence on export</w:t>
      </w:r>
      <w:r w:rsidR="00710A48" w:rsidRPr="00C73908">
        <w:rPr>
          <w:rFonts w:ascii="Times New Roman" w:hAnsi="Times New Roman" w:cs="Times New Roman"/>
          <w:lang w:val="en-IE"/>
        </w:rPr>
        <w:t xml:space="preserve"> values</w:t>
      </w:r>
      <w:r w:rsidR="008A713A" w:rsidRPr="00C73908">
        <w:rPr>
          <w:rFonts w:ascii="Times New Roman" w:hAnsi="Times New Roman" w:cs="Times New Roman"/>
          <w:lang w:val="en-IE"/>
        </w:rPr>
        <w:t xml:space="preserve">. This </w:t>
      </w:r>
      <w:r w:rsidR="00454B87" w:rsidRPr="00C73908">
        <w:rPr>
          <w:rFonts w:ascii="Times New Roman" w:hAnsi="Times New Roman" w:cs="Times New Roman"/>
          <w:lang w:val="en-IE"/>
        </w:rPr>
        <w:t>may be partially</w:t>
      </w:r>
      <w:r w:rsidR="008A713A" w:rsidRPr="00C73908">
        <w:rPr>
          <w:rFonts w:ascii="Times New Roman" w:hAnsi="Times New Roman" w:cs="Times New Roman"/>
          <w:lang w:val="en-IE"/>
        </w:rPr>
        <w:t xml:space="preserve"> due to the fact that, while some services sectors such as ICT invest heavily in new product development, it is less relevant for other sectors such as </w:t>
      </w:r>
      <w:r w:rsidR="00686005" w:rsidRPr="00C73908">
        <w:rPr>
          <w:rFonts w:ascii="Times New Roman" w:hAnsi="Times New Roman" w:cs="Times New Roman"/>
          <w:lang w:val="en-IE"/>
        </w:rPr>
        <w:t>construction services</w:t>
      </w:r>
      <w:r w:rsidR="008A713A" w:rsidRPr="00C73908">
        <w:rPr>
          <w:rFonts w:ascii="Times New Roman" w:hAnsi="Times New Roman" w:cs="Times New Roman"/>
          <w:lang w:val="en-IE"/>
        </w:rPr>
        <w:t>.</w:t>
      </w:r>
      <w:r w:rsidR="00454B87" w:rsidRPr="00C73908">
        <w:rPr>
          <w:rFonts w:ascii="Times New Roman" w:hAnsi="Times New Roman" w:cs="Times New Roman"/>
          <w:lang w:val="en-IE"/>
        </w:rPr>
        <w:t xml:space="preserve"> </w:t>
      </w:r>
      <w:r w:rsidR="005924B8" w:rsidRPr="00C73908">
        <w:rPr>
          <w:rFonts w:ascii="Times New Roman" w:hAnsi="Times New Roman" w:cs="Times New Roman"/>
          <w:lang w:val="en-IE"/>
        </w:rPr>
        <w:t xml:space="preserve">Such sectors </w:t>
      </w:r>
      <w:r w:rsidR="00F6448A" w:rsidRPr="00C73908">
        <w:rPr>
          <w:rFonts w:ascii="Times New Roman" w:hAnsi="Times New Roman" w:cs="Times New Roman"/>
          <w:lang w:val="en-IE"/>
        </w:rPr>
        <w:t>are</w:t>
      </w:r>
      <w:r w:rsidR="005924B8" w:rsidRPr="00C73908">
        <w:rPr>
          <w:rFonts w:ascii="Times New Roman" w:hAnsi="Times New Roman" w:cs="Times New Roman"/>
          <w:lang w:val="en-IE"/>
        </w:rPr>
        <w:t xml:space="preserve"> characterised as being</w:t>
      </w:r>
      <w:r w:rsidR="00454B87" w:rsidRPr="00C73908">
        <w:rPr>
          <w:rFonts w:ascii="Times New Roman" w:hAnsi="Times New Roman" w:cs="Times New Roman"/>
          <w:lang w:val="en-IE"/>
        </w:rPr>
        <w:t xml:space="preserve"> </w:t>
      </w:r>
      <w:r w:rsidR="00686005" w:rsidRPr="00C73908">
        <w:rPr>
          <w:rFonts w:ascii="Times New Roman" w:hAnsi="Times New Roman" w:cs="Times New Roman"/>
          <w:lang w:val="en-IE"/>
        </w:rPr>
        <w:t>project-based</w:t>
      </w:r>
      <w:r w:rsidR="00954F61" w:rsidRPr="00C73908">
        <w:rPr>
          <w:rFonts w:ascii="Times New Roman" w:hAnsi="Times New Roman" w:cs="Times New Roman"/>
          <w:lang w:val="en-IE"/>
        </w:rPr>
        <w:t xml:space="preserve"> </w:t>
      </w:r>
      <w:r w:rsidR="005924B8" w:rsidRPr="00C73908">
        <w:rPr>
          <w:rFonts w:ascii="Times New Roman" w:hAnsi="Times New Roman" w:cs="Times New Roman"/>
          <w:lang w:val="en-IE"/>
        </w:rPr>
        <w:t>rather than having</w:t>
      </w:r>
      <w:r w:rsidR="004235EE" w:rsidRPr="00C73908">
        <w:rPr>
          <w:rFonts w:ascii="Times New Roman" w:hAnsi="Times New Roman" w:cs="Times New Roman"/>
          <w:lang w:val="en-IE"/>
        </w:rPr>
        <w:t xml:space="preserve"> </w:t>
      </w:r>
      <w:r w:rsidR="00B9434B" w:rsidRPr="00C73908">
        <w:rPr>
          <w:rFonts w:ascii="Times New Roman" w:hAnsi="Times New Roman" w:cs="Times New Roman"/>
          <w:lang w:val="en-IE"/>
        </w:rPr>
        <w:t xml:space="preserve">typical </w:t>
      </w:r>
      <w:r w:rsidR="004235EE" w:rsidRPr="00C73908">
        <w:rPr>
          <w:rFonts w:ascii="Times New Roman" w:hAnsi="Times New Roman" w:cs="Times New Roman"/>
          <w:lang w:val="en-IE"/>
        </w:rPr>
        <w:t>product life cycles.</w:t>
      </w:r>
      <w:r w:rsidR="00B4348E" w:rsidRPr="00C73908">
        <w:rPr>
          <w:rFonts w:ascii="Times New Roman" w:hAnsi="Times New Roman" w:cs="Times New Roman"/>
          <w:lang w:val="en-IE"/>
        </w:rPr>
        <w:t xml:space="preserve"> Companies in these sectors may</w:t>
      </w:r>
      <w:r w:rsidR="00503054" w:rsidRPr="00C73908">
        <w:rPr>
          <w:rFonts w:ascii="Times New Roman" w:hAnsi="Times New Roman" w:cs="Times New Roman"/>
          <w:lang w:val="en-IE"/>
        </w:rPr>
        <w:t xml:space="preserve"> develop and </w:t>
      </w:r>
      <w:r w:rsidR="00B4348E" w:rsidRPr="00C73908">
        <w:rPr>
          <w:rFonts w:ascii="Times New Roman" w:hAnsi="Times New Roman" w:cs="Times New Roman"/>
          <w:lang w:val="en-IE"/>
        </w:rPr>
        <w:t xml:space="preserve">adopt new </w:t>
      </w:r>
      <w:r w:rsidR="00BF125D" w:rsidRPr="00C73908">
        <w:rPr>
          <w:rFonts w:ascii="Times New Roman" w:hAnsi="Times New Roman" w:cs="Times New Roman"/>
          <w:lang w:val="en-IE"/>
        </w:rPr>
        <w:t xml:space="preserve">approaches and </w:t>
      </w:r>
      <w:r w:rsidR="00B4348E" w:rsidRPr="00C73908">
        <w:rPr>
          <w:rFonts w:ascii="Times New Roman" w:hAnsi="Times New Roman" w:cs="Times New Roman"/>
          <w:lang w:val="en-IE"/>
        </w:rPr>
        <w:t xml:space="preserve">processes </w:t>
      </w:r>
      <w:r w:rsidR="00BF125D" w:rsidRPr="00C73908">
        <w:rPr>
          <w:rFonts w:ascii="Times New Roman" w:hAnsi="Times New Roman" w:cs="Times New Roman"/>
          <w:lang w:val="en-IE"/>
        </w:rPr>
        <w:t xml:space="preserve">as they move from one project to </w:t>
      </w:r>
      <w:r w:rsidR="00CE42CC" w:rsidRPr="00C73908">
        <w:rPr>
          <w:rFonts w:ascii="Times New Roman" w:hAnsi="Times New Roman" w:cs="Times New Roman"/>
          <w:lang w:val="en-IE"/>
        </w:rPr>
        <w:t>another,</w:t>
      </w:r>
      <w:r w:rsidR="00BF125D" w:rsidRPr="00C73908">
        <w:rPr>
          <w:rFonts w:ascii="Times New Roman" w:hAnsi="Times New Roman" w:cs="Times New Roman"/>
          <w:lang w:val="en-IE"/>
        </w:rPr>
        <w:t xml:space="preserve"> but th</w:t>
      </w:r>
      <w:r w:rsidR="00A00242" w:rsidRPr="00C73908">
        <w:rPr>
          <w:rFonts w:ascii="Times New Roman" w:hAnsi="Times New Roman" w:cs="Times New Roman"/>
          <w:lang w:val="en-IE"/>
        </w:rPr>
        <w:t>is</w:t>
      </w:r>
      <w:r w:rsidR="00BF125D" w:rsidRPr="00C73908">
        <w:rPr>
          <w:rFonts w:ascii="Times New Roman" w:hAnsi="Times New Roman" w:cs="Times New Roman"/>
          <w:lang w:val="en-IE"/>
        </w:rPr>
        <w:t xml:space="preserve"> </w:t>
      </w:r>
      <w:r w:rsidR="006910D1" w:rsidRPr="00C73908">
        <w:rPr>
          <w:rFonts w:ascii="Times New Roman" w:hAnsi="Times New Roman" w:cs="Times New Roman"/>
          <w:lang w:val="en-IE"/>
        </w:rPr>
        <w:t>would not necessarily be defined as new product development</w:t>
      </w:r>
      <w:r w:rsidR="00D879C9" w:rsidRPr="00C73908">
        <w:rPr>
          <w:rFonts w:ascii="Times New Roman" w:hAnsi="Times New Roman" w:cs="Times New Roman"/>
          <w:lang w:val="en-IE"/>
        </w:rPr>
        <w:t xml:space="preserve"> and it would </w:t>
      </w:r>
      <w:r w:rsidR="003142D8" w:rsidRPr="00C73908">
        <w:rPr>
          <w:rFonts w:ascii="Times New Roman" w:hAnsi="Times New Roman" w:cs="Times New Roman"/>
          <w:lang w:val="en-IE"/>
        </w:rPr>
        <w:t xml:space="preserve">generally </w:t>
      </w:r>
      <w:r w:rsidR="00D879C9" w:rsidRPr="00C73908">
        <w:rPr>
          <w:rFonts w:ascii="Times New Roman" w:hAnsi="Times New Roman" w:cs="Times New Roman"/>
          <w:lang w:val="en-IE"/>
        </w:rPr>
        <w:t xml:space="preserve">not be possible to calculate the revenues generated </w:t>
      </w:r>
      <w:r w:rsidR="0090503A" w:rsidRPr="00C73908">
        <w:rPr>
          <w:rFonts w:ascii="Times New Roman" w:hAnsi="Times New Roman" w:cs="Times New Roman"/>
          <w:lang w:val="en-IE"/>
        </w:rPr>
        <w:t>from</w:t>
      </w:r>
      <w:r w:rsidR="00D879C9" w:rsidRPr="00C73908">
        <w:rPr>
          <w:rFonts w:ascii="Times New Roman" w:hAnsi="Times New Roman" w:cs="Times New Roman"/>
          <w:lang w:val="en-IE"/>
        </w:rPr>
        <w:t xml:space="preserve"> these innovations.</w:t>
      </w:r>
      <w:r w:rsidR="0093702E" w:rsidRPr="00C73908">
        <w:rPr>
          <w:rFonts w:ascii="Times New Roman" w:hAnsi="Times New Roman" w:cs="Times New Roman"/>
          <w:lang w:val="en-IE"/>
        </w:rPr>
        <w:t xml:space="preserve"> </w:t>
      </w:r>
      <w:r w:rsidR="00FB6D9D" w:rsidRPr="00C73908">
        <w:rPr>
          <w:rFonts w:ascii="Times New Roman" w:hAnsi="Times New Roman" w:cs="Times New Roman"/>
          <w:lang w:val="en-IE"/>
        </w:rPr>
        <w:t>It is also difficult to analyse these effects</w:t>
      </w:r>
      <w:r w:rsidR="0093702E" w:rsidRPr="00C73908">
        <w:rPr>
          <w:rFonts w:ascii="Times New Roman" w:hAnsi="Times New Roman" w:cs="Times New Roman"/>
          <w:lang w:val="en-IE"/>
        </w:rPr>
        <w:t xml:space="preserve"> given the </w:t>
      </w:r>
      <w:r w:rsidR="009365F9" w:rsidRPr="00C73908">
        <w:rPr>
          <w:rFonts w:ascii="Times New Roman" w:hAnsi="Times New Roman" w:cs="Times New Roman"/>
          <w:lang w:val="en-IE"/>
        </w:rPr>
        <w:t>lack of a reliable output indicator for process innovations</w:t>
      </w:r>
      <w:r w:rsidR="00E3589D" w:rsidRPr="00C73908">
        <w:rPr>
          <w:rFonts w:ascii="Times New Roman" w:hAnsi="Times New Roman" w:cs="Times New Roman"/>
          <w:lang w:val="en-IE"/>
        </w:rPr>
        <w:t xml:space="preserve"> introduced by companies</w:t>
      </w:r>
      <w:r w:rsidR="00FB6D9D" w:rsidRPr="00C73908">
        <w:rPr>
          <w:rFonts w:ascii="Times New Roman" w:hAnsi="Times New Roman" w:cs="Times New Roman"/>
          <w:lang w:val="en-IE"/>
        </w:rPr>
        <w:t>.</w:t>
      </w:r>
    </w:p>
    <w:p w14:paraId="347A8042" w14:textId="48467B32" w:rsidR="00F41DED" w:rsidRPr="00C73908" w:rsidRDefault="00B91B45" w:rsidP="001F0923">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T</w:t>
      </w:r>
      <w:r w:rsidR="00F14DF8" w:rsidRPr="00C73908">
        <w:rPr>
          <w:rFonts w:ascii="Times New Roman" w:hAnsi="Times New Roman" w:cs="Times New Roman"/>
          <w:lang w:val="en-IE"/>
        </w:rPr>
        <w:t xml:space="preserve">he </w:t>
      </w:r>
      <w:r w:rsidR="00944B67" w:rsidRPr="00C73908">
        <w:rPr>
          <w:rFonts w:ascii="Times New Roman" w:hAnsi="Times New Roman" w:cs="Times New Roman"/>
          <w:lang w:val="en-IE"/>
        </w:rPr>
        <w:t>analysis finds no significant link between</w:t>
      </w:r>
      <w:r w:rsidR="00ED5A58" w:rsidRPr="00C73908">
        <w:rPr>
          <w:rFonts w:ascii="Times New Roman" w:hAnsi="Times New Roman" w:cs="Times New Roman"/>
          <w:lang w:val="en-IE"/>
        </w:rPr>
        <w:t xml:space="preserve"> companies</w:t>
      </w:r>
      <w:r w:rsidR="00944B67" w:rsidRPr="00C73908">
        <w:rPr>
          <w:rFonts w:ascii="Times New Roman" w:hAnsi="Times New Roman" w:cs="Times New Roman"/>
          <w:lang w:val="en-IE"/>
        </w:rPr>
        <w:t xml:space="preserve"> engaging in collaborative R&amp;D projects and export performance</w:t>
      </w:r>
      <w:r w:rsidR="009F4B1F" w:rsidRPr="00C73908">
        <w:rPr>
          <w:rFonts w:ascii="Times New Roman" w:hAnsi="Times New Roman" w:cs="Times New Roman"/>
          <w:lang w:val="en-IE"/>
        </w:rPr>
        <w:t xml:space="preserve">. </w:t>
      </w:r>
      <w:r w:rsidR="000866E3" w:rsidRPr="00C73908">
        <w:rPr>
          <w:rFonts w:ascii="Times New Roman" w:hAnsi="Times New Roman" w:cs="Times New Roman"/>
          <w:lang w:val="en-IE"/>
        </w:rPr>
        <w:t xml:space="preserve">This may be due to the relatively recent policy focus </w:t>
      </w:r>
      <w:r w:rsidR="00700C9E" w:rsidRPr="00C73908">
        <w:rPr>
          <w:rFonts w:ascii="Times New Roman" w:hAnsi="Times New Roman" w:cs="Times New Roman"/>
          <w:lang w:val="en-IE"/>
        </w:rPr>
        <w:t xml:space="preserve">and </w:t>
      </w:r>
      <w:r w:rsidR="00B61F26" w:rsidRPr="00C73908">
        <w:rPr>
          <w:rFonts w:ascii="Times New Roman" w:hAnsi="Times New Roman" w:cs="Times New Roman"/>
          <w:lang w:val="en-IE"/>
        </w:rPr>
        <w:t xml:space="preserve">increased </w:t>
      </w:r>
      <w:r w:rsidR="00DD1DC8" w:rsidRPr="00C73908">
        <w:rPr>
          <w:rFonts w:ascii="Times New Roman" w:hAnsi="Times New Roman" w:cs="Times New Roman"/>
          <w:lang w:val="en-IE"/>
        </w:rPr>
        <w:t>resource allocation towards</w:t>
      </w:r>
      <w:r w:rsidR="000866E3" w:rsidRPr="00C73908">
        <w:rPr>
          <w:rFonts w:ascii="Times New Roman" w:hAnsi="Times New Roman" w:cs="Times New Roman"/>
          <w:lang w:val="en-IE"/>
        </w:rPr>
        <w:t xml:space="preserve"> fostering collaborative R&amp;D among </w:t>
      </w:r>
      <w:r w:rsidR="009979DE" w:rsidRPr="00C73908">
        <w:rPr>
          <w:rFonts w:ascii="Times New Roman" w:hAnsi="Times New Roman" w:cs="Times New Roman"/>
          <w:lang w:val="en-IE"/>
        </w:rPr>
        <w:t>client</w:t>
      </w:r>
      <w:r w:rsidR="000866E3" w:rsidRPr="00C73908">
        <w:rPr>
          <w:rFonts w:ascii="Times New Roman" w:hAnsi="Times New Roman" w:cs="Times New Roman"/>
          <w:lang w:val="en-IE"/>
        </w:rPr>
        <w:t xml:space="preserve"> companies</w:t>
      </w:r>
      <w:r w:rsidR="00E40B3A" w:rsidRPr="00C73908">
        <w:rPr>
          <w:rFonts w:ascii="Times New Roman" w:hAnsi="Times New Roman" w:cs="Times New Roman"/>
          <w:lang w:val="en-IE"/>
        </w:rPr>
        <w:t>. This</w:t>
      </w:r>
      <w:r w:rsidR="000866E3" w:rsidRPr="00C73908">
        <w:rPr>
          <w:rFonts w:ascii="Times New Roman" w:hAnsi="Times New Roman" w:cs="Times New Roman"/>
          <w:lang w:val="en-IE"/>
        </w:rPr>
        <w:t xml:space="preserve"> </w:t>
      </w:r>
      <w:r w:rsidR="007030ED" w:rsidRPr="00C73908">
        <w:rPr>
          <w:rFonts w:ascii="Times New Roman" w:hAnsi="Times New Roman" w:cs="Times New Roman"/>
          <w:lang w:val="en-IE"/>
        </w:rPr>
        <w:t xml:space="preserve">is reflected </w:t>
      </w:r>
      <w:r w:rsidR="000866E3" w:rsidRPr="00C73908">
        <w:rPr>
          <w:rFonts w:ascii="Times New Roman" w:hAnsi="Times New Roman" w:cs="Times New Roman"/>
          <w:lang w:val="en-IE"/>
        </w:rPr>
        <w:t>in the number of technology centres</w:t>
      </w:r>
      <w:r w:rsidR="00DD1DC8" w:rsidRPr="00C73908">
        <w:rPr>
          <w:rFonts w:ascii="Times New Roman" w:hAnsi="Times New Roman" w:cs="Times New Roman"/>
          <w:lang w:val="en-IE"/>
        </w:rPr>
        <w:t xml:space="preserve"> </w:t>
      </w:r>
      <w:r w:rsidR="007D4741" w:rsidRPr="00C73908">
        <w:rPr>
          <w:rFonts w:ascii="Times New Roman" w:hAnsi="Times New Roman" w:cs="Times New Roman"/>
          <w:lang w:val="en-IE"/>
        </w:rPr>
        <w:t xml:space="preserve">that have </w:t>
      </w:r>
      <w:r w:rsidR="00A01FA2" w:rsidRPr="00C73908">
        <w:rPr>
          <w:rFonts w:ascii="Times New Roman" w:hAnsi="Times New Roman" w:cs="Times New Roman"/>
          <w:lang w:val="en-IE"/>
        </w:rPr>
        <w:t>been established</w:t>
      </w:r>
      <w:r w:rsidR="00DD1DC8" w:rsidRPr="00C73908">
        <w:rPr>
          <w:rFonts w:ascii="Times New Roman" w:hAnsi="Times New Roman" w:cs="Times New Roman"/>
          <w:lang w:val="en-IE"/>
        </w:rPr>
        <w:t xml:space="preserve"> in recent years</w:t>
      </w:r>
      <w:r w:rsidR="00703F53" w:rsidRPr="00C73908">
        <w:rPr>
          <w:rFonts w:ascii="Times New Roman" w:hAnsi="Times New Roman" w:cs="Times New Roman"/>
          <w:lang w:val="en-IE"/>
        </w:rPr>
        <w:t xml:space="preserve">. Of the eight technology centres that currently receive funding from EI, </w:t>
      </w:r>
      <w:r w:rsidR="006904DD" w:rsidRPr="00C73908">
        <w:rPr>
          <w:rFonts w:ascii="Times New Roman" w:hAnsi="Times New Roman" w:cs="Times New Roman"/>
          <w:lang w:val="en-IE"/>
        </w:rPr>
        <w:t xml:space="preserve">only one of them </w:t>
      </w:r>
      <w:r w:rsidR="001E5731" w:rsidRPr="00C73908">
        <w:rPr>
          <w:rFonts w:ascii="Times New Roman" w:hAnsi="Times New Roman" w:cs="Times New Roman"/>
          <w:lang w:val="en-IE"/>
        </w:rPr>
        <w:t xml:space="preserve">was operating before 2010 while </w:t>
      </w:r>
      <w:r w:rsidR="00D166B8">
        <w:rPr>
          <w:rFonts w:ascii="Times New Roman" w:hAnsi="Times New Roman" w:cs="Times New Roman"/>
          <w:lang w:val="en-IE"/>
        </w:rPr>
        <w:t>five</w:t>
      </w:r>
      <w:r w:rsidR="001E5731" w:rsidRPr="00C73908">
        <w:rPr>
          <w:rFonts w:ascii="Times New Roman" w:hAnsi="Times New Roman" w:cs="Times New Roman"/>
          <w:lang w:val="en-IE"/>
        </w:rPr>
        <w:t xml:space="preserve"> of them were established between 2013 and 2017</w:t>
      </w:r>
      <w:r w:rsidR="00975E32" w:rsidRPr="00C73908">
        <w:rPr>
          <w:rFonts w:ascii="Times New Roman" w:hAnsi="Times New Roman" w:cs="Times New Roman"/>
          <w:lang w:val="en-IE"/>
        </w:rPr>
        <w:t xml:space="preserve">. </w:t>
      </w:r>
      <w:r w:rsidR="00C835AF" w:rsidRPr="00C73908">
        <w:rPr>
          <w:rFonts w:ascii="Times New Roman" w:hAnsi="Times New Roman" w:cs="Times New Roman"/>
          <w:lang w:val="en-IE"/>
        </w:rPr>
        <w:t>C</w:t>
      </w:r>
      <w:r w:rsidR="00D55882" w:rsidRPr="00C73908">
        <w:rPr>
          <w:rFonts w:ascii="Times New Roman" w:hAnsi="Times New Roman" w:cs="Times New Roman"/>
          <w:lang w:val="en-IE"/>
        </w:rPr>
        <w:t xml:space="preserve">ollaborative R&amp;D projects </w:t>
      </w:r>
      <w:r w:rsidR="00C835AF" w:rsidRPr="00C73908">
        <w:rPr>
          <w:rFonts w:ascii="Times New Roman" w:hAnsi="Times New Roman" w:cs="Times New Roman"/>
          <w:lang w:val="en-IE"/>
        </w:rPr>
        <w:t xml:space="preserve">also tend to be </w:t>
      </w:r>
      <w:r w:rsidR="00307593" w:rsidRPr="00C73908">
        <w:rPr>
          <w:rFonts w:ascii="Times New Roman" w:hAnsi="Times New Roman" w:cs="Times New Roman"/>
          <w:lang w:val="en-IE"/>
        </w:rPr>
        <w:t xml:space="preserve">more experimental in nature and </w:t>
      </w:r>
      <w:r w:rsidR="00C835AF" w:rsidRPr="00C73908">
        <w:rPr>
          <w:rFonts w:ascii="Times New Roman" w:hAnsi="Times New Roman" w:cs="Times New Roman"/>
          <w:lang w:val="en-IE"/>
        </w:rPr>
        <w:t>less commercially focused than in-company R&amp;D</w:t>
      </w:r>
      <w:r w:rsidR="005C4661" w:rsidRPr="00C73908">
        <w:rPr>
          <w:rFonts w:ascii="Times New Roman" w:hAnsi="Times New Roman" w:cs="Times New Roman"/>
          <w:lang w:val="en-IE"/>
        </w:rPr>
        <w:t xml:space="preserve"> and are, therefore, expected to have longer timeframes in terms of generating </w:t>
      </w:r>
      <w:r w:rsidR="00307593" w:rsidRPr="00C73908">
        <w:rPr>
          <w:rFonts w:ascii="Times New Roman" w:hAnsi="Times New Roman" w:cs="Times New Roman"/>
          <w:lang w:val="en-IE"/>
        </w:rPr>
        <w:t xml:space="preserve">commercial </w:t>
      </w:r>
      <w:r w:rsidR="004529C6" w:rsidRPr="00C73908">
        <w:rPr>
          <w:rFonts w:ascii="Times New Roman" w:hAnsi="Times New Roman" w:cs="Times New Roman"/>
          <w:lang w:val="en-IE"/>
        </w:rPr>
        <w:t>outcomes for individual companies.</w:t>
      </w:r>
      <w:r w:rsidR="00E068CB" w:rsidRPr="00C73908">
        <w:rPr>
          <w:rFonts w:ascii="Times New Roman" w:hAnsi="Times New Roman" w:cs="Times New Roman"/>
          <w:lang w:val="en-IE"/>
        </w:rPr>
        <w:t xml:space="preserve"> For the reasons outlined above, it may be too early</w:t>
      </w:r>
      <w:r w:rsidR="00AD093D" w:rsidRPr="00C73908">
        <w:rPr>
          <w:rFonts w:ascii="Times New Roman" w:hAnsi="Times New Roman" w:cs="Times New Roman"/>
          <w:lang w:val="en-IE"/>
        </w:rPr>
        <w:t xml:space="preserve"> to properly evaluate the impact of collaborative R&amp;D </w:t>
      </w:r>
      <w:r w:rsidR="00C07D72" w:rsidRPr="00C73908">
        <w:rPr>
          <w:rFonts w:ascii="Times New Roman" w:hAnsi="Times New Roman" w:cs="Times New Roman"/>
          <w:lang w:val="en-IE"/>
        </w:rPr>
        <w:t xml:space="preserve">programmes </w:t>
      </w:r>
      <w:r w:rsidR="00AD093D" w:rsidRPr="00C73908">
        <w:rPr>
          <w:rFonts w:ascii="Times New Roman" w:hAnsi="Times New Roman" w:cs="Times New Roman"/>
          <w:lang w:val="en-IE"/>
        </w:rPr>
        <w:t>on the export performance of companies in the sample.</w:t>
      </w:r>
      <w:r w:rsidR="008D7E53">
        <w:rPr>
          <w:rFonts w:ascii="Times New Roman" w:hAnsi="Times New Roman" w:cs="Times New Roman"/>
          <w:lang w:val="en-IE"/>
        </w:rPr>
        <w:t xml:space="preserve"> </w:t>
      </w:r>
      <w:r w:rsidR="00F31AAC">
        <w:rPr>
          <w:rFonts w:ascii="Times New Roman" w:hAnsi="Times New Roman" w:cs="Times New Roman"/>
          <w:lang w:val="en-IE"/>
        </w:rPr>
        <w:t>T</w:t>
      </w:r>
      <w:r w:rsidR="008D7E53">
        <w:rPr>
          <w:rFonts w:ascii="Times New Roman" w:hAnsi="Times New Roman" w:cs="Times New Roman"/>
          <w:lang w:val="en-IE"/>
        </w:rPr>
        <w:t xml:space="preserve">he indicator used to </w:t>
      </w:r>
      <w:r w:rsidR="006B07AB">
        <w:rPr>
          <w:rFonts w:ascii="Times New Roman" w:hAnsi="Times New Roman" w:cs="Times New Roman"/>
          <w:lang w:val="en-IE"/>
        </w:rPr>
        <w:t xml:space="preserve">represent collaborative R&amp;D activity is </w:t>
      </w:r>
      <w:r w:rsidR="00F31AAC">
        <w:rPr>
          <w:rFonts w:ascii="Times New Roman" w:hAnsi="Times New Roman" w:cs="Times New Roman"/>
          <w:lang w:val="en-IE"/>
        </w:rPr>
        <w:t xml:space="preserve">also </w:t>
      </w:r>
      <w:r w:rsidR="006B07AB">
        <w:rPr>
          <w:rFonts w:ascii="Times New Roman" w:hAnsi="Times New Roman" w:cs="Times New Roman"/>
          <w:lang w:val="en-IE"/>
        </w:rPr>
        <w:t>quite broad</w:t>
      </w:r>
      <w:r w:rsidR="00B443D6">
        <w:rPr>
          <w:rFonts w:ascii="Times New Roman" w:hAnsi="Times New Roman" w:cs="Times New Roman"/>
          <w:lang w:val="en-IE"/>
        </w:rPr>
        <w:t>. It includes</w:t>
      </w:r>
      <w:r w:rsidR="006B07AB">
        <w:rPr>
          <w:rFonts w:ascii="Times New Roman" w:hAnsi="Times New Roman" w:cs="Times New Roman"/>
          <w:lang w:val="en-IE"/>
        </w:rPr>
        <w:t xml:space="preserve"> both large scale </w:t>
      </w:r>
      <w:r w:rsidR="0053305A">
        <w:rPr>
          <w:rFonts w:ascii="Times New Roman" w:hAnsi="Times New Roman" w:cs="Times New Roman"/>
          <w:lang w:val="en-IE"/>
        </w:rPr>
        <w:t xml:space="preserve">research </w:t>
      </w:r>
      <w:r w:rsidR="006B07AB">
        <w:rPr>
          <w:rFonts w:ascii="Times New Roman" w:hAnsi="Times New Roman" w:cs="Times New Roman"/>
          <w:lang w:val="en-IE"/>
        </w:rPr>
        <w:t>projects a</w:t>
      </w:r>
      <w:r w:rsidR="00093A51">
        <w:rPr>
          <w:rFonts w:ascii="Times New Roman" w:hAnsi="Times New Roman" w:cs="Times New Roman"/>
          <w:lang w:val="en-IE"/>
        </w:rPr>
        <w:t>s well as</w:t>
      </w:r>
      <w:r w:rsidR="006B07AB">
        <w:rPr>
          <w:rFonts w:ascii="Times New Roman" w:hAnsi="Times New Roman" w:cs="Times New Roman"/>
          <w:lang w:val="en-IE"/>
        </w:rPr>
        <w:t xml:space="preserve"> smaller </w:t>
      </w:r>
      <w:r w:rsidR="00A07853">
        <w:rPr>
          <w:rFonts w:ascii="Times New Roman" w:hAnsi="Times New Roman" w:cs="Times New Roman"/>
          <w:lang w:val="en-IE"/>
        </w:rPr>
        <w:t xml:space="preserve">projects funded </w:t>
      </w:r>
      <w:r w:rsidR="00E7585D">
        <w:rPr>
          <w:rFonts w:ascii="Times New Roman" w:hAnsi="Times New Roman" w:cs="Times New Roman"/>
          <w:lang w:val="en-IE"/>
        </w:rPr>
        <w:t>by</w:t>
      </w:r>
      <w:r w:rsidR="00A07853">
        <w:rPr>
          <w:rFonts w:ascii="Times New Roman" w:hAnsi="Times New Roman" w:cs="Times New Roman"/>
          <w:lang w:val="en-IE"/>
        </w:rPr>
        <w:t xml:space="preserve"> </w:t>
      </w:r>
      <w:r w:rsidR="0053305A">
        <w:rPr>
          <w:rFonts w:ascii="Times New Roman" w:hAnsi="Times New Roman" w:cs="Times New Roman"/>
          <w:lang w:val="en-IE"/>
        </w:rPr>
        <w:t xml:space="preserve">Innovation Vouchers which </w:t>
      </w:r>
      <w:r w:rsidR="00A8553C">
        <w:rPr>
          <w:rFonts w:ascii="Times New Roman" w:hAnsi="Times New Roman" w:cs="Times New Roman"/>
          <w:lang w:val="en-IE"/>
        </w:rPr>
        <w:t xml:space="preserve">are available to SMEs and </w:t>
      </w:r>
      <w:r w:rsidR="0053305A">
        <w:rPr>
          <w:rFonts w:ascii="Times New Roman" w:hAnsi="Times New Roman" w:cs="Times New Roman"/>
          <w:lang w:val="en-IE"/>
        </w:rPr>
        <w:t xml:space="preserve">provide grant funding of up to </w:t>
      </w:r>
      <w:r w:rsidR="00D85570">
        <w:rPr>
          <w:rFonts w:ascii="Times New Roman" w:hAnsi="Times New Roman" w:cs="Times New Roman"/>
          <w:lang w:val="en-IE"/>
        </w:rPr>
        <w:t>€5,000</w:t>
      </w:r>
      <w:r w:rsidR="00E532AC">
        <w:rPr>
          <w:rFonts w:ascii="Times New Roman" w:hAnsi="Times New Roman" w:cs="Times New Roman"/>
          <w:lang w:val="en-IE"/>
        </w:rPr>
        <w:t xml:space="preserve"> </w:t>
      </w:r>
      <w:r w:rsidR="00E532AC" w:rsidRPr="00E532AC">
        <w:rPr>
          <w:rFonts w:ascii="Times New Roman" w:hAnsi="Times New Roman" w:cs="Times New Roman"/>
          <w:lang w:val="en-IE"/>
        </w:rPr>
        <w:t xml:space="preserve">to explore a business opportunity with </w:t>
      </w:r>
      <w:r w:rsidR="0070287D">
        <w:rPr>
          <w:rFonts w:ascii="Times New Roman" w:hAnsi="Times New Roman" w:cs="Times New Roman"/>
          <w:lang w:val="en-IE"/>
        </w:rPr>
        <w:t>third level institutions</w:t>
      </w:r>
      <w:r w:rsidR="00D85570">
        <w:rPr>
          <w:rFonts w:ascii="Times New Roman" w:hAnsi="Times New Roman" w:cs="Times New Roman"/>
          <w:lang w:val="en-IE"/>
        </w:rPr>
        <w:t>.</w:t>
      </w:r>
      <w:r w:rsidR="004B39CF">
        <w:rPr>
          <w:rFonts w:ascii="Times New Roman" w:hAnsi="Times New Roman" w:cs="Times New Roman"/>
          <w:lang w:val="en-IE"/>
        </w:rPr>
        <w:t xml:space="preserve"> Given the wide </w:t>
      </w:r>
      <w:r w:rsidR="00A8553C">
        <w:rPr>
          <w:rFonts w:ascii="Times New Roman" w:hAnsi="Times New Roman" w:cs="Times New Roman"/>
          <w:lang w:val="en-IE"/>
        </w:rPr>
        <w:t xml:space="preserve">range </w:t>
      </w:r>
      <w:r w:rsidR="00BF098A">
        <w:rPr>
          <w:rFonts w:ascii="Times New Roman" w:hAnsi="Times New Roman" w:cs="Times New Roman"/>
          <w:lang w:val="en-IE"/>
        </w:rPr>
        <w:t xml:space="preserve">and large disparities in </w:t>
      </w:r>
      <w:r w:rsidR="002C53CD">
        <w:rPr>
          <w:rFonts w:ascii="Times New Roman" w:hAnsi="Times New Roman" w:cs="Times New Roman"/>
          <w:lang w:val="en-IE"/>
        </w:rPr>
        <w:t xml:space="preserve">the scope of </w:t>
      </w:r>
      <w:r w:rsidR="00BF098A">
        <w:rPr>
          <w:rFonts w:ascii="Times New Roman" w:hAnsi="Times New Roman" w:cs="Times New Roman"/>
          <w:lang w:val="en-IE"/>
        </w:rPr>
        <w:t xml:space="preserve">the activities covered </w:t>
      </w:r>
      <w:r w:rsidR="00E45536">
        <w:rPr>
          <w:rFonts w:ascii="Times New Roman" w:hAnsi="Times New Roman" w:cs="Times New Roman"/>
          <w:lang w:val="en-IE"/>
        </w:rPr>
        <w:t>by this indicator, it may be difficult to draw strong conclusions from the analysis.</w:t>
      </w:r>
    </w:p>
    <w:p w14:paraId="7F61564A" w14:textId="17CA0172" w:rsidR="0067456C" w:rsidRPr="00C73908" w:rsidRDefault="002B2A57" w:rsidP="008A6DF2">
      <w:pPr>
        <w:spacing w:after="240" w:line="360" w:lineRule="auto"/>
        <w:jc w:val="both"/>
        <w:rPr>
          <w:rFonts w:ascii="Times New Roman" w:hAnsi="Times New Roman" w:cs="Times New Roman"/>
          <w:lang w:val="en-IE"/>
        </w:rPr>
      </w:pPr>
      <w:r w:rsidRPr="002B2A57">
        <w:rPr>
          <w:rFonts w:ascii="Times New Roman" w:hAnsi="Times New Roman" w:cs="Times New Roman"/>
          <w:b/>
          <w:bCs/>
          <w:color w:val="0070C0"/>
          <w:lang w:val="en-IE"/>
        </w:rPr>
        <w:t>Skill Levels:</w:t>
      </w:r>
      <w:r>
        <w:rPr>
          <w:rFonts w:ascii="Times New Roman" w:hAnsi="Times New Roman" w:cs="Times New Roman"/>
          <w:lang w:val="en-IE"/>
        </w:rPr>
        <w:t xml:space="preserve"> </w:t>
      </w:r>
      <w:r w:rsidR="0067456C" w:rsidRPr="00C73908">
        <w:rPr>
          <w:rFonts w:ascii="Times New Roman" w:hAnsi="Times New Roman" w:cs="Times New Roman"/>
          <w:lang w:val="en-IE"/>
        </w:rPr>
        <w:t xml:space="preserve">Overall, there is limited evidence that </w:t>
      </w:r>
      <w:r w:rsidR="003A0B82" w:rsidRPr="00C73908">
        <w:rPr>
          <w:rFonts w:ascii="Times New Roman" w:hAnsi="Times New Roman" w:cs="Times New Roman"/>
          <w:lang w:val="en-IE"/>
        </w:rPr>
        <w:t>average wage</w:t>
      </w:r>
      <w:r w:rsidR="00ED56AD" w:rsidRPr="00C73908">
        <w:rPr>
          <w:rFonts w:ascii="Times New Roman" w:hAnsi="Times New Roman" w:cs="Times New Roman"/>
          <w:lang w:val="en-IE"/>
        </w:rPr>
        <w:t xml:space="preserve"> levels </w:t>
      </w:r>
      <w:r w:rsidR="00DD10A4" w:rsidRPr="00C73908">
        <w:rPr>
          <w:rFonts w:ascii="Times New Roman" w:hAnsi="Times New Roman" w:cs="Times New Roman"/>
          <w:lang w:val="en-IE"/>
        </w:rPr>
        <w:t xml:space="preserve">have a strong influence on export </w:t>
      </w:r>
      <w:r w:rsidR="00B8489E" w:rsidRPr="00C73908">
        <w:rPr>
          <w:rFonts w:ascii="Times New Roman" w:hAnsi="Times New Roman" w:cs="Times New Roman"/>
          <w:lang w:val="en-IE"/>
        </w:rPr>
        <w:t>perform</w:t>
      </w:r>
      <w:r w:rsidR="00DD10A4" w:rsidRPr="00C73908">
        <w:rPr>
          <w:rFonts w:ascii="Times New Roman" w:hAnsi="Times New Roman" w:cs="Times New Roman"/>
          <w:lang w:val="en-IE"/>
        </w:rPr>
        <w:t>ance</w:t>
      </w:r>
      <w:r w:rsidR="00536424" w:rsidRPr="00C73908">
        <w:rPr>
          <w:rFonts w:ascii="Times New Roman" w:hAnsi="Times New Roman" w:cs="Times New Roman"/>
          <w:lang w:val="en-IE"/>
        </w:rPr>
        <w:t xml:space="preserve">. The </w:t>
      </w:r>
      <w:r w:rsidR="00C36A86" w:rsidRPr="00C73908">
        <w:rPr>
          <w:rFonts w:ascii="Times New Roman" w:hAnsi="Times New Roman" w:cs="Times New Roman"/>
          <w:lang w:val="en-IE"/>
        </w:rPr>
        <w:t xml:space="preserve">estimated </w:t>
      </w:r>
      <w:r w:rsidR="00536424" w:rsidRPr="00C73908">
        <w:rPr>
          <w:rFonts w:ascii="Times New Roman" w:hAnsi="Times New Roman" w:cs="Times New Roman"/>
          <w:lang w:val="en-IE"/>
        </w:rPr>
        <w:t>coefficients for all companies a</w:t>
      </w:r>
      <w:r w:rsidR="00E66CFD" w:rsidRPr="00C73908">
        <w:rPr>
          <w:rFonts w:ascii="Times New Roman" w:hAnsi="Times New Roman" w:cs="Times New Roman"/>
          <w:lang w:val="en-IE"/>
        </w:rPr>
        <w:t>nd manufacturers are insignificant</w:t>
      </w:r>
      <w:r w:rsidR="002B7159" w:rsidRPr="00C73908">
        <w:rPr>
          <w:rFonts w:ascii="Times New Roman" w:hAnsi="Times New Roman" w:cs="Times New Roman"/>
          <w:lang w:val="en-IE"/>
        </w:rPr>
        <w:t xml:space="preserve"> with the system GMM model.</w:t>
      </w:r>
      <w:r w:rsidR="00B616D3" w:rsidRPr="00C73908">
        <w:rPr>
          <w:rFonts w:ascii="Times New Roman" w:hAnsi="Times New Roman" w:cs="Times New Roman"/>
          <w:lang w:val="en-IE"/>
        </w:rPr>
        <w:t xml:space="preserve"> </w:t>
      </w:r>
      <w:r w:rsidR="00643FD6" w:rsidRPr="00C73908">
        <w:rPr>
          <w:rFonts w:ascii="Times New Roman" w:hAnsi="Times New Roman" w:cs="Times New Roman"/>
          <w:lang w:val="en-IE"/>
        </w:rPr>
        <w:t xml:space="preserve">The model does, however, </w:t>
      </w:r>
      <w:r w:rsidR="00B37463" w:rsidRPr="00C73908">
        <w:rPr>
          <w:rFonts w:ascii="Times New Roman" w:hAnsi="Times New Roman" w:cs="Times New Roman"/>
          <w:lang w:val="en-IE"/>
        </w:rPr>
        <w:t>indicate that</w:t>
      </w:r>
      <w:r w:rsidR="00643FD6" w:rsidRPr="00C73908">
        <w:rPr>
          <w:rFonts w:ascii="Times New Roman" w:hAnsi="Times New Roman" w:cs="Times New Roman"/>
          <w:lang w:val="en-IE"/>
        </w:rPr>
        <w:t xml:space="preserve"> </w:t>
      </w:r>
      <w:r w:rsidR="00257F56" w:rsidRPr="00C73908">
        <w:rPr>
          <w:rFonts w:ascii="Times New Roman" w:hAnsi="Times New Roman" w:cs="Times New Roman"/>
          <w:lang w:val="en-IE"/>
        </w:rPr>
        <w:t xml:space="preserve">services companies which pay higher average wages </w:t>
      </w:r>
      <w:r w:rsidR="00ED56AD" w:rsidRPr="00C73908">
        <w:rPr>
          <w:rFonts w:ascii="Times New Roman" w:hAnsi="Times New Roman" w:cs="Times New Roman"/>
          <w:lang w:val="en-IE"/>
        </w:rPr>
        <w:t xml:space="preserve">tend to </w:t>
      </w:r>
      <w:r w:rsidR="00E33200" w:rsidRPr="00C73908">
        <w:rPr>
          <w:rFonts w:ascii="Times New Roman" w:hAnsi="Times New Roman" w:cs="Times New Roman"/>
          <w:lang w:val="en-IE"/>
        </w:rPr>
        <w:t>have higher</w:t>
      </w:r>
      <w:r w:rsidR="00ED56AD" w:rsidRPr="00C73908">
        <w:rPr>
          <w:rFonts w:ascii="Times New Roman" w:hAnsi="Times New Roman" w:cs="Times New Roman"/>
          <w:lang w:val="en-IE"/>
        </w:rPr>
        <w:t xml:space="preserve"> export</w:t>
      </w:r>
      <w:r w:rsidR="00AA5D8E" w:rsidRPr="00C73908">
        <w:rPr>
          <w:rFonts w:ascii="Times New Roman" w:hAnsi="Times New Roman" w:cs="Times New Roman"/>
          <w:lang w:val="en-IE"/>
        </w:rPr>
        <w:t>s</w:t>
      </w:r>
      <w:r w:rsidR="00972472" w:rsidRPr="00C73908">
        <w:rPr>
          <w:rFonts w:ascii="Times New Roman" w:hAnsi="Times New Roman" w:cs="Times New Roman"/>
          <w:lang w:val="en-IE"/>
        </w:rPr>
        <w:t xml:space="preserve"> </w:t>
      </w:r>
      <w:r w:rsidR="00E24035" w:rsidRPr="00C73908">
        <w:rPr>
          <w:rFonts w:ascii="Times New Roman" w:hAnsi="Times New Roman" w:cs="Times New Roman"/>
          <w:lang w:val="en-IE"/>
        </w:rPr>
        <w:t>although the coefficient</w:t>
      </w:r>
      <w:r w:rsidR="00972472" w:rsidRPr="00C73908">
        <w:rPr>
          <w:rFonts w:ascii="Times New Roman" w:hAnsi="Times New Roman" w:cs="Times New Roman"/>
          <w:lang w:val="en-IE"/>
        </w:rPr>
        <w:t xml:space="preserve"> is </w:t>
      </w:r>
      <w:r w:rsidR="00E24035" w:rsidRPr="00C73908">
        <w:rPr>
          <w:rFonts w:ascii="Times New Roman" w:hAnsi="Times New Roman" w:cs="Times New Roman"/>
          <w:lang w:val="en-IE"/>
        </w:rPr>
        <w:t xml:space="preserve">only </w:t>
      </w:r>
      <w:r w:rsidR="00972472" w:rsidRPr="00C73908">
        <w:rPr>
          <w:rFonts w:ascii="Times New Roman" w:hAnsi="Times New Roman" w:cs="Times New Roman"/>
          <w:lang w:val="en-IE"/>
        </w:rPr>
        <w:t>significant at the 10% confidence level</w:t>
      </w:r>
      <w:r w:rsidR="00E66CFD" w:rsidRPr="00C73908">
        <w:rPr>
          <w:rFonts w:ascii="Times New Roman" w:hAnsi="Times New Roman" w:cs="Times New Roman"/>
          <w:lang w:val="en-IE"/>
        </w:rPr>
        <w:t>.</w:t>
      </w:r>
      <w:r w:rsidR="008145C9" w:rsidRPr="00C73908">
        <w:rPr>
          <w:rFonts w:ascii="Times New Roman" w:hAnsi="Times New Roman" w:cs="Times New Roman"/>
          <w:lang w:val="en-IE"/>
        </w:rPr>
        <w:t xml:space="preserve"> </w:t>
      </w:r>
      <w:r w:rsidR="005E7C1D" w:rsidRPr="00C73908">
        <w:rPr>
          <w:rFonts w:ascii="Times New Roman" w:hAnsi="Times New Roman" w:cs="Times New Roman"/>
          <w:lang w:val="en-IE"/>
        </w:rPr>
        <w:t xml:space="preserve">A recent study on the determinants of exporting among Dutch </w:t>
      </w:r>
      <w:r w:rsidR="00E56DC8" w:rsidRPr="00C73908">
        <w:rPr>
          <w:rFonts w:ascii="Times New Roman" w:hAnsi="Times New Roman" w:cs="Times New Roman"/>
          <w:lang w:val="en-IE"/>
        </w:rPr>
        <w:t>enterprises</w:t>
      </w:r>
      <w:r w:rsidR="005E7C1D" w:rsidRPr="00C73908">
        <w:rPr>
          <w:rFonts w:ascii="Times New Roman" w:hAnsi="Times New Roman" w:cs="Times New Roman"/>
          <w:lang w:val="en-IE"/>
        </w:rPr>
        <w:t xml:space="preserve"> by Brakman et al. (20</w:t>
      </w:r>
      <w:r w:rsidR="00AC4028" w:rsidRPr="00C73908">
        <w:rPr>
          <w:rFonts w:ascii="Times New Roman" w:hAnsi="Times New Roman" w:cs="Times New Roman"/>
          <w:lang w:val="en-IE"/>
        </w:rPr>
        <w:t>20</w:t>
      </w:r>
      <w:r w:rsidR="005E7C1D" w:rsidRPr="00C73908">
        <w:rPr>
          <w:rFonts w:ascii="Times New Roman" w:hAnsi="Times New Roman" w:cs="Times New Roman"/>
          <w:lang w:val="en-IE"/>
        </w:rPr>
        <w:t>)</w:t>
      </w:r>
      <w:r w:rsidR="00E56DC8" w:rsidRPr="00C73908">
        <w:rPr>
          <w:rFonts w:ascii="Times New Roman" w:hAnsi="Times New Roman" w:cs="Times New Roman"/>
          <w:lang w:val="en-IE"/>
        </w:rPr>
        <w:t xml:space="preserve"> produces </w:t>
      </w:r>
      <w:r w:rsidR="005E1484" w:rsidRPr="00C73908">
        <w:rPr>
          <w:rFonts w:ascii="Times New Roman" w:hAnsi="Times New Roman" w:cs="Times New Roman"/>
          <w:lang w:val="en-IE"/>
        </w:rPr>
        <w:t>similar findings with average wages found to have a positive effect on export propensity in services companies but no effect for manufacturers.</w:t>
      </w:r>
      <w:r w:rsidR="005E7C1D" w:rsidRPr="00C73908">
        <w:rPr>
          <w:rFonts w:ascii="Times New Roman" w:hAnsi="Times New Roman" w:cs="Times New Roman"/>
          <w:lang w:val="en-IE"/>
        </w:rPr>
        <w:t xml:space="preserve"> </w:t>
      </w:r>
      <w:r w:rsidR="00822F00" w:rsidRPr="00C73908">
        <w:rPr>
          <w:rFonts w:ascii="Times New Roman" w:hAnsi="Times New Roman" w:cs="Times New Roman"/>
          <w:lang w:val="en-IE"/>
        </w:rPr>
        <w:t>In an Irish context, t</w:t>
      </w:r>
      <w:r w:rsidR="00931D3F" w:rsidRPr="00C73908">
        <w:rPr>
          <w:rFonts w:ascii="Times New Roman" w:hAnsi="Times New Roman" w:cs="Times New Roman"/>
          <w:lang w:val="en-IE"/>
        </w:rPr>
        <w:t xml:space="preserve">his </w:t>
      </w:r>
      <w:r w:rsidR="00822F00" w:rsidRPr="00C73908">
        <w:rPr>
          <w:rFonts w:ascii="Times New Roman" w:hAnsi="Times New Roman" w:cs="Times New Roman"/>
          <w:lang w:val="en-IE"/>
        </w:rPr>
        <w:t xml:space="preserve">result </w:t>
      </w:r>
      <w:r w:rsidR="00AC71A8" w:rsidRPr="00C73908">
        <w:rPr>
          <w:rFonts w:ascii="Times New Roman" w:hAnsi="Times New Roman" w:cs="Times New Roman"/>
          <w:lang w:val="en-IE"/>
        </w:rPr>
        <w:t xml:space="preserve">may reflect </w:t>
      </w:r>
      <w:r w:rsidR="00E656AC" w:rsidRPr="00C73908">
        <w:rPr>
          <w:rFonts w:ascii="Times New Roman" w:hAnsi="Times New Roman" w:cs="Times New Roman"/>
          <w:lang w:val="en-IE"/>
        </w:rPr>
        <w:t xml:space="preserve">the </w:t>
      </w:r>
      <w:r w:rsidR="00A056D9" w:rsidRPr="00C73908">
        <w:rPr>
          <w:rFonts w:ascii="Times New Roman" w:hAnsi="Times New Roman" w:cs="Times New Roman"/>
          <w:lang w:val="en-IE"/>
        </w:rPr>
        <w:t>intense</w:t>
      </w:r>
      <w:r w:rsidR="00931D3F" w:rsidRPr="00C73908">
        <w:rPr>
          <w:rFonts w:ascii="Times New Roman" w:hAnsi="Times New Roman" w:cs="Times New Roman"/>
          <w:lang w:val="en-IE"/>
        </w:rPr>
        <w:t xml:space="preserve"> competition </w:t>
      </w:r>
      <w:r w:rsidR="00A056D9" w:rsidRPr="00C73908">
        <w:rPr>
          <w:rFonts w:ascii="Times New Roman" w:hAnsi="Times New Roman" w:cs="Times New Roman"/>
          <w:lang w:val="en-IE"/>
        </w:rPr>
        <w:t xml:space="preserve">for skills </w:t>
      </w:r>
      <w:r w:rsidR="00931D3F" w:rsidRPr="00C73908">
        <w:rPr>
          <w:rFonts w:ascii="Times New Roman" w:hAnsi="Times New Roman" w:cs="Times New Roman"/>
          <w:lang w:val="en-IE"/>
        </w:rPr>
        <w:t xml:space="preserve">in certain </w:t>
      </w:r>
      <w:r w:rsidR="00A056D9" w:rsidRPr="00C73908">
        <w:rPr>
          <w:rFonts w:ascii="Times New Roman" w:hAnsi="Times New Roman" w:cs="Times New Roman"/>
          <w:lang w:val="en-IE"/>
        </w:rPr>
        <w:t>services sectors over the past decade</w:t>
      </w:r>
      <w:r w:rsidR="00095E96" w:rsidRPr="00C73908">
        <w:rPr>
          <w:rFonts w:ascii="Times New Roman" w:hAnsi="Times New Roman" w:cs="Times New Roman"/>
          <w:lang w:val="en-IE"/>
        </w:rPr>
        <w:t xml:space="preserve">. In particular, </w:t>
      </w:r>
      <w:r w:rsidR="00957F5A" w:rsidRPr="00C73908">
        <w:rPr>
          <w:rFonts w:ascii="Times New Roman" w:hAnsi="Times New Roman" w:cs="Times New Roman"/>
          <w:lang w:val="en-IE"/>
        </w:rPr>
        <w:t xml:space="preserve">ICT skills have been in </w:t>
      </w:r>
      <w:r w:rsidR="008E5046" w:rsidRPr="00C73908">
        <w:rPr>
          <w:rFonts w:ascii="Times New Roman" w:hAnsi="Times New Roman" w:cs="Times New Roman"/>
          <w:lang w:val="en-IE"/>
        </w:rPr>
        <w:t xml:space="preserve">consistently </w:t>
      </w:r>
      <w:r w:rsidR="001646D9" w:rsidRPr="00C73908">
        <w:rPr>
          <w:rFonts w:ascii="Times New Roman" w:hAnsi="Times New Roman" w:cs="Times New Roman"/>
          <w:lang w:val="en-IE"/>
        </w:rPr>
        <w:t>high</w:t>
      </w:r>
      <w:r w:rsidR="00957F5A" w:rsidRPr="00C73908">
        <w:rPr>
          <w:rFonts w:ascii="Times New Roman" w:hAnsi="Times New Roman" w:cs="Times New Roman"/>
          <w:lang w:val="en-IE"/>
        </w:rPr>
        <w:t xml:space="preserve"> demand </w:t>
      </w:r>
      <w:r w:rsidR="003A2C57" w:rsidRPr="00C73908">
        <w:rPr>
          <w:rFonts w:ascii="Times New Roman" w:hAnsi="Times New Roman" w:cs="Times New Roman"/>
          <w:lang w:val="en-IE"/>
        </w:rPr>
        <w:t xml:space="preserve">even during the </w:t>
      </w:r>
      <w:r w:rsidR="006E317C" w:rsidRPr="00C73908">
        <w:rPr>
          <w:rFonts w:ascii="Times New Roman" w:hAnsi="Times New Roman" w:cs="Times New Roman"/>
          <w:lang w:val="en-IE"/>
        </w:rPr>
        <w:t>economic downturn in the early years</w:t>
      </w:r>
      <w:r w:rsidR="00596305" w:rsidRPr="00C73908">
        <w:rPr>
          <w:rFonts w:ascii="Times New Roman" w:hAnsi="Times New Roman" w:cs="Times New Roman"/>
          <w:lang w:val="en-IE"/>
        </w:rPr>
        <w:t xml:space="preserve">. </w:t>
      </w:r>
      <w:r w:rsidR="00D16011" w:rsidRPr="00C73908">
        <w:rPr>
          <w:rFonts w:ascii="Times New Roman" w:hAnsi="Times New Roman" w:cs="Times New Roman"/>
          <w:lang w:val="en-IE"/>
        </w:rPr>
        <w:t>Globally, t</w:t>
      </w:r>
      <w:r w:rsidR="00596305" w:rsidRPr="00C73908">
        <w:rPr>
          <w:rFonts w:ascii="Times New Roman" w:hAnsi="Times New Roman" w:cs="Times New Roman"/>
          <w:lang w:val="en-IE"/>
        </w:rPr>
        <w:t xml:space="preserve">he sector has experienced </w:t>
      </w:r>
      <w:r w:rsidR="00596305" w:rsidRPr="00C73908">
        <w:rPr>
          <w:rFonts w:ascii="Times New Roman" w:hAnsi="Times New Roman" w:cs="Times New Roman"/>
          <w:lang w:val="en-IE"/>
        </w:rPr>
        <w:lastRenderedPageBreak/>
        <w:t xml:space="preserve">huge growth </w:t>
      </w:r>
      <w:r w:rsidR="00C76A7D" w:rsidRPr="00C73908">
        <w:rPr>
          <w:rFonts w:ascii="Times New Roman" w:hAnsi="Times New Roman" w:cs="Times New Roman"/>
          <w:lang w:val="en-IE"/>
        </w:rPr>
        <w:t>in recent</w:t>
      </w:r>
      <w:r w:rsidR="00D16011" w:rsidRPr="00C73908">
        <w:rPr>
          <w:rFonts w:ascii="Times New Roman" w:hAnsi="Times New Roman" w:cs="Times New Roman"/>
          <w:lang w:val="en-IE"/>
        </w:rPr>
        <w:t xml:space="preserve"> decade</w:t>
      </w:r>
      <w:r w:rsidR="00C76A7D" w:rsidRPr="00C73908">
        <w:rPr>
          <w:rFonts w:ascii="Times New Roman" w:hAnsi="Times New Roman" w:cs="Times New Roman"/>
          <w:lang w:val="en-IE"/>
        </w:rPr>
        <w:t>s</w:t>
      </w:r>
      <w:r w:rsidR="001646D9" w:rsidRPr="00C73908">
        <w:rPr>
          <w:rFonts w:ascii="Times New Roman" w:hAnsi="Times New Roman" w:cs="Times New Roman"/>
          <w:lang w:val="en-IE"/>
        </w:rPr>
        <w:t xml:space="preserve"> </w:t>
      </w:r>
      <w:r w:rsidR="00D16011" w:rsidRPr="00C73908">
        <w:rPr>
          <w:rFonts w:ascii="Times New Roman" w:hAnsi="Times New Roman" w:cs="Times New Roman"/>
          <w:lang w:val="en-IE"/>
        </w:rPr>
        <w:t xml:space="preserve">and Ireland </w:t>
      </w:r>
      <w:r w:rsidR="008B06D6" w:rsidRPr="00C73908">
        <w:rPr>
          <w:rFonts w:ascii="Times New Roman" w:hAnsi="Times New Roman" w:cs="Times New Roman"/>
          <w:lang w:val="en-IE"/>
        </w:rPr>
        <w:t>ha</w:t>
      </w:r>
      <w:r w:rsidR="0022399F" w:rsidRPr="00C73908">
        <w:rPr>
          <w:rFonts w:ascii="Times New Roman" w:hAnsi="Times New Roman" w:cs="Times New Roman"/>
          <w:lang w:val="en-IE"/>
        </w:rPr>
        <w:t>s</w:t>
      </w:r>
      <w:r w:rsidR="008B06D6" w:rsidRPr="00C73908">
        <w:rPr>
          <w:rFonts w:ascii="Times New Roman" w:hAnsi="Times New Roman" w:cs="Times New Roman"/>
          <w:lang w:val="en-IE"/>
        </w:rPr>
        <w:t xml:space="preserve"> benefitted from this with </w:t>
      </w:r>
      <w:r w:rsidR="00742CBF" w:rsidRPr="00C73908">
        <w:rPr>
          <w:rFonts w:ascii="Times New Roman" w:hAnsi="Times New Roman" w:cs="Times New Roman"/>
          <w:lang w:val="en-IE"/>
        </w:rPr>
        <w:t>some of the largest tech companies in the world</w:t>
      </w:r>
      <w:r w:rsidR="00042643" w:rsidRPr="00C73908">
        <w:rPr>
          <w:rFonts w:ascii="Times New Roman" w:hAnsi="Times New Roman" w:cs="Times New Roman"/>
          <w:lang w:val="en-IE"/>
        </w:rPr>
        <w:t xml:space="preserve"> setting up operations here and creating thousands of highly skilled jobs. </w:t>
      </w:r>
      <w:r w:rsidR="00EA4DF6" w:rsidRPr="00C73908">
        <w:rPr>
          <w:rFonts w:ascii="Times New Roman" w:hAnsi="Times New Roman" w:cs="Times New Roman"/>
          <w:lang w:val="en-IE"/>
        </w:rPr>
        <w:t xml:space="preserve">Indigenous tech companies have also experienced rapid growth </w:t>
      </w:r>
      <w:r w:rsidR="00E41721" w:rsidRPr="00C73908">
        <w:rPr>
          <w:rFonts w:ascii="Times New Roman" w:hAnsi="Times New Roman" w:cs="Times New Roman"/>
          <w:lang w:val="en-IE"/>
        </w:rPr>
        <w:t xml:space="preserve">with annual average employment growth </w:t>
      </w:r>
      <w:r w:rsidR="00026EC6" w:rsidRPr="00C73908">
        <w:rPr>
          <w:rFonts w:ascii="Times New Roman" w:hAnsi="Times New Roman" w:cs="Times New Roman"/>
          <w:lang w:val="en-IE"/>
        </w:rPr>
        <w:t xml:space="preserve">of </w:t>
      </w:r>
      <w:r w:rsidR="00E41721" w:rsidRPr="00C73908">
        <w:rPr>
          <w:rFonts w:ascii="Times New Roman" w:hAnsi="Times New Roman" w:cs="Times New Roman"/>
          <w:lang w:val="en-IE"/>
        </w:rPr>
        <w:t>9% from 2013 to 2018</w:t>
      </w:r>
      <w:r w:rsidR="009D1832" w:rsidRPr="00C73908">
        <w:rPr>
          <w:rFonts w:ascii="Times New Roman" w:hAnsi="Times New Roman" w:cs="Times New Roman"/>
          <w:lang w:val="en-IE"/>
        </w:rPr>
        <w:t>.</w:t>
      </w:r>
      <w:r w:rsidR="00A65C5B" w:rsidRPr="00C73908">
        <w:rPr>
          <w:rFonts w:ascii="Times New Roman" w:hAnsi="Times New Roman" w:cs="Times New Roman"/>
          <w:lang w:val="en-IE"/>
        </w:rPr>
        <w:t xml:space="preserve"> </w:t>
      </w:r>
      <w:r w:rsidR="002F711F" w:rsidRPr="00C73908">
        <w:rPr>
          <w:rFonts w:ascii="Times New Roman" w:hAnsi="Times New Roman" w:cs="Times New Roman"/>
          <w:lang w:val="en-IE"/>
        </w:rPr>
        <w:t xml:space="preserve">This growth has </w:t>
      </w:r>
      <w:r w:rsidR="00504F7A" w:rsidRPr="00C73908">
        <w:rPr>
          <w:rFonts w:ascii="Times New Roman" w:hAnsi="Times New Roman" w:cs="Times New Roman"/>
          <w:lang w:val="en-IE"/>
        </w:rPr>
        <w:t>led to</w:t>
      </w:r>
      <w:r w:rsidR="006A4093" w:rsidRPr="00C73908">
        <w:rPr>
          <w:rFonts w:ascii="Times New Roman" w:hAnsi="Times New Roman" w:cs="Times New Roman"/>
          <w:lang w:val="en-IE"/>
        </w:rPr>
        <w:t xml:space="preserve"> compet</w:t>
      </w:r>
      <w:r w:rsidR="0019437A" w:rsidRPr="00C73908">
        <w:rPr>
          <w:rFonts w:ascii="Times New Roman" w:hAnsi="Times New Roman" w:cs="Times New Roman"/>
          <w:lang w:val="en-IE"/>
        </w:rPr>
        <w:t xml:space="preserve">ition in the labour market </w:t>
      </w:r>
      <w:r w:rsidR="00194F5D" w:rsidRPr="00C73908">
        <w:rPr>
          <w:rFonts w:ascii="Times New Roman" w:hAnsi="Times New Roman" w:cs="Times New Roman"/>
          <w:lang w:val="en-IE"/>
        </w:rPr>
        <w:t>with shortage</w:t>
      </w:r>
      <w:r w:rsidR="00EF275E" w:rsidRPr="00C73908">
        <w:rPr>
          <w:rFonts w:ascii="Times New Roman" w:hAnsi="Times New Roman" w:cs="Times New Roman"/>
          <w:lang w:val="en-IE"/>
        </w:rPr>
        <w:t>s</w:t>
      </w:r>
      <w:r w:rsidR="00194F5D" w:rsidRPr="00C73908">
        <w:rPr>
          <w:rFonts w:ascii="Times New Roman" w:hAnsi="Times New Roman" w:cs="Times New Roman"/>
          <w:lang w:val="en-IE"/>
        </w:rPr>
        <w:t xml:space="preserve"> </w:t>
      </w:r>
      <w:r w:rsidR="00B6238F" w:rsidRPr="00C73908">
        <w:rPr>
          <w:rFonts w:ascii="Times New Roman" w:hAnsi="Times New Roman" w:cs="Times New Roman"/>
          <w:lang w:val="en-IE"/>
        </w:rPr>
        <w:t>of</w:t>
      </w:r>
      <w:r w:rsidR="00194F5D" w:rsidRPr="00C73908">
        <w:rPr>
          <w:rFonts w:ascii="Times New Roman" w:hAnsi="Times New Roman" w:cs="Times New Roman"/>
          <w:lang w:val="en-IE"/>
        </w:rPr>
        <w:t xml:space="preserve"> ICT graduates in Ireland and high levels of </w:t>
      </w:r>
      <w:r w:rsidR="00C0666C" w:rsidRPr="00C73908">
        <w:rPr>
          <w:rFonts w:ascii="Times New Roman" w:hAnsi="Times New Roman" w:cs="Times New Roman"/>
          <w:lang w:val="en-IE"/>
        </w:rPr>
        <w:t xml:space="preserve">inward </w:t>
      </w:r>
      <w:r w:rsidR="00194F5D" w:rsidRPr="00C73908">
        <w:rPr>
          <w:rFonts w:ascii="Times New Roman" w:hAnsi="Times New Roman" w:cs="Times New Roman"/>
          <w:lang w:val="en-IE"/>
        </w:rPr>
        <w:t xml:space="preserve">migration </w:t>
      </w:r>
      <w:r w:rsidR="0092686B" w:rsidRPr="00C73908">
        <w:rPr>
          <w:rFonts w:ascii="Times New Roman" w:hAnsi="Times New Roman" w:cs="Times New Roman"/>
          <w:lang w:val="en-IE"/>
        </w:rPr>
        <w:t xml:space="preserve">to </w:t>
      </w:r>
      <w:r w:rsidR="00494CEF" w:rsidRPr="00C73908">
        <w:rPr>
          <w:rFonts w:ascii="Times New Roman" w:hAnsi="Times New Roman" w:cs="Times New Roman"/>
          <w:lang w:val="en-IE"/>
        </w:rPr>
        <w:t>address</w:t>
      </w:r>
      <w:r w:rsidR="0092686B" w:rsidRPr="00C73908">
        <w:rPr>
          <w:rFonts w:ascii="Times New Roman" w:hAnsi="Times New Roman" w:cs="Times New Roman"/>
          <w:lang w:val="en-IE"/>
        </w:rPr>
        <w:t xml:space="preserve"> skills </w:t>
      </w:r>
      <w:r w:rsidR="00EF275E" w:rsidRPr="00C73908">
        <w:rPr>
          <w:rFonts w:ascii="Times New Roman" w:hAnsi="Times New Roman" w:cs="Times New Roman"/>
          <w:lang w:val="en-IE"/>
        </w:rPr>
        <w:t>gaps</w:t>
      </w:r>
      <w:r w:rsidR="00C0666C" w:rsidRPr="00C73908">
        <w:rPr>
          <w:rFonts w:ascii="Times New Roman" w:hAnsi="Times New Roman" w:cs="Times New Roman"/>
          <w:lang w:val="en-IE"/>
        </w:rPr>
        <w:t xml:space="preserve">. </w:t>
      </w:r>
      <w:r w:rsidR="00951AAE" w:rsidRPr="00C73908">
        <w:rPr>
          <w:rFonts w:ascii="Times New Roman" w:hAnsi="Times New Roman" w:cs="Times New Roman"/>
          <w:lang w:val="en-IE"/>
        </w:rPr>
        <w:t xml:space="preserve">The </w:t>
      </w:r>
      <w:r w:rsidR="00C46BFB" w:rsidRPr="00C73908">
        <w:rPr>
          <w:rFonts w:ascii="Times New Roman" w:hAnsi="Times New Roman" w:cs="Times New Roman"/>
          <w:lang w:val="en-IE"/>
        </w:rPr>
        <w:t xml:space="preserve">ICT </w:t>
      </w:r>
      <w:r w:rsidR="00951AAE" w:rsidRPr="00C73908">
        <w:rPr>
          <w:rFonts w:ascii="Times New Roman" w:hAnsi="Times New Roman" w:cs="Times New Roman"/>
          <w:lang w:val="en-IE"/>
        </w:rPr>
        <w:t>sector accounts for</w:t>
      </w:r>
      <w:r w:rsidR="00C46BFB" w:rsidRPr="00C73908">
        <w:rPr>
          <w:rFonts w:ascii="Times New Roman" w:hAnsi="Times New Roman" w:cs="Times New Roman"/>
          <w:lang w:val="en-IE"/>
        </w:rPr>
        <w:t xml:space="preserve"> over </w:t>
      </w:r>
      <w:r w:rsidR="00B17F25" w:rsidRPr="00C73908">
        <w:rPr>
          <w:rFonts w:ascii="Times New Roman" w:hAnsi="Times New Roman" w:cs="Times New Roman"/>
          <w:lang w:val="en-IE"/>
        </w:rPr>
        <w:t>half of all services companies in th</w:t>
      </w:r>
      <w:r w:rsidR="00951AAE" w:rsidRPr="00C73908">
        <w:rPr>
          <w:rFonts w:ascii="Times New Roman" w:hAnsi="Times New Roman" w:cs="Times New Roman"/>
          <w:lang w:val="en-IE"/>
        </w:rPr>
        <w:t>e</w:t>
      </w:r>
      <w:r w:rsidR="00B17F25" w:rsidRPr="00C73908">
        <w:rPr>
          <w:rFonts w:ascii="Times New Roman" w:hAnsi="Times New Roman" w:cs="Times New Roman"/>
          <w:lang w:val="en-IE"/>
        </w:rPr>
        <w:t xml:space="preserve"> sample and </w:t>
      </w:r>
      <w:r w:rsidR="00BC2F68" w:rsidRPr="00C73908">
        <w:rPr>
          <w:rFonts w:ascii="Times New Roman" w:hAnsi="Times New Roman" w:cs="Times New Roman"/>
          <w:lang w:val="en-IE"/>
        </w:rPr>
        <w:t xml:space="preserve">the </w:t>
      </w:r>
      <w:r w:rsidR="005A6BA8" w:rsidRPr="00C73908">
        <w:rPr>
          <w:rFonts w:ascii="Times New Roman" w:hAnsi="Times New Roman" w:cs="Times New Roman"/>
          <w:lang w:val="en-IE"/>
        </w:rPr>
        <w:t>results indicate that the export performance of</w:t>
      </w:r>
      <w:r w:rsidR="00BC2F68" w:rsidRPr="00C73908">
        <w:rPr>
          <w:rFonts w:ascii="Times New Roman" w:hAnsi="Times New Roman" w:cs="Times New Roman"/>
          <w:lang w:val="en-IE"/>
        </w:rPr>
        <w:t xml:space="preserve"> </w:t>
      </w:r>
      <w:r w:rsidR="00B17F25" w:rsidRPr="00C73908">
        <w:rPr>
          <w:rFonts w:ascii="Times New Roman" w:hAnsi="Times New Roman" w:cs="Times New Roman"/>
          <w:lang w:val="en-IE"/>
        </w:rPr>
        <w:t xml:space="preserve">these companies </w:t>
      </w:r>
      <w:r w:rsidR="005A6BA8" w:rsidRPr="00C73908">
        <w:rPr>
          <w:rFonts w:ascii="Times New Roman" w:hAnsi="Times New Roman" w:cs="Times New Roman"/>
          <w:lang w:val="en-IE"/>
        </w:rPr>
        <w:t xml:space="preserve">is influenced by their </w:t>
      </w:r>
      <w:r w:rsidR="008205BF" w:rsidRPr="00C73908">
        <w:rPr>
          <w:rFonts w:ascii="Times New Roman" w:hAnsi="Times New Roman" w:cs="Times New Roman"/>
          <w:lang w:val="en-IE"/>
        </w:rPr>
        <w:t>ability</w:t>
      </w:r>
      <w:r w:rsidR="005A6BA8" w:rsidRPr="00C73908">
        <w:rPr>
          <w:rFonts w:ascii="Times New Roman" w:hAnsi="Times New Roman" w:cs="Times New Roman"/>
          <w:lang w:val="en-IE"/>
        </w:rPr>
        <w:t xml:space="preserve"> </w:t>
      </w:r>
      <w:r w:rsidR="0070706E" w:rsidRPr="00C73908">
        <w:rPr>
          <w:rFonts w:ascii="Times New Roman" w:hAnsi="Times New Roman" w:cs="Times New Roman"/>
          <w:lang w:val="en-IE"/>
        </w:rPr>
        <w:t>to pay higher wages</w:t>
      </w:r>
      <w:r w:rsidR="00900744" w:rsidRPr="00C73908">
        <w:rPr>
          <w:rFonts w:ascii="Times New Roman" w:hAnsi="Times New Roman" w:cs="Times New Roman"/>
          <w:lang w:val="en-IE"/>
        </w:rPr>
        <w:t xml:space="preserve"> in order to </w:t>
      </w:r>
      <w:r w:rsidR="00EE234E" w:rsidRPr="00C73908">
        <w:rPr>
          <w:rFonts w:ascii="Times New Roman" w:hAnsi="Times New Roman" w:cs="Times New Roman"/>
          <w:lang w:val="en-IE"/>
        </w:rPr>
        <w:t>attract and retain critical skills</w:t>
      </w:r>
      <w:r w:rsidR="0070706E" w:rsidRPr="00C73908">
        <w:rPr>
          <w:rFonts w:ascii="Times New Roman" w:hAnsi="Times New Roman" w:cs="Times New Roman"/>
          <w:lang w:val="en-IE"/>
        </w:rPr>
        <w:t>.</w:t>
      </w:r>
      <w:r w:rsidR="00BC2A29" w:rsidRPr="00C73908">
        <w:rPr>
          <w:rFonts w:ascii="Times New Roman" w:hAnsi="Times New Roman" w:cs="Times New Roman"/>
          <w:lang w:val="en-IE"/>
        </w:rPr>
        <w:t xml:space="preserve"> </w:t>
      </w:r>
      <w:r w:rsidR="004D52DE" w:rsidRPr="00C73908">
        <w:rPr>
          <w:rFonts w:ascii="Times New Roman" w:hAnsi="Times New Roman" w:cs="Times New Roman"/>
          <w:lang w:val="en-IE"/>
        </w:rPr>
        <w:t>E</w:t>
      </w:r>
      <w:r w:rsidR="00BC2A29" w:rsidRPr="00C73908">
        <w:rPr>
          <w:rFonts w:ascii="Times New Roman" w:hAnsi="Times New Roman" w:cs="Times New Roman"/>
          <w:lang w:val="en-IE"/>
        </w:rPr>
        <w:t>xpenditure on training</w:t>
      </w:r>
      <w:r w:rsidR="004D52DE" w:rsidRPr="00C73908">
        <w:rPr>
          <w:rFonts w:ascii="Times New Roman" w:hAnsi="Times New Roman" w:cs="Times New Roman"/>
          <w:lang w:val="en-IE"/>
        </w:rPr>
        <w:t>,</w:t>
      </w:r>
      <w:r w:rsidR="00BC2A29" w:rsidRPr="00C73908">
        <w:rPr>
          <w:rFonts w:ascii="Times New Roman" w:hAnsi="Times New Roman" w:cs="Times New Roman"/>
          <w:lang w:val="en-IE"/>
        </w:rPr>
        <w:t xml:space="preserve"> which is used as an indicator of </w:t>
      </w:r>
      <w:r w:rsidR="004D52DE" w:rsidRPr="00C73908">
        <w:rPr>
          <w:rFonts w:ascii="Times New Roman" w:hAnsi="Times New Roman" w:cs="Times New Roman"/>
          <w:lang w:val="en-IE"/>
        </w:rPr>
        <w:t xml:space="preserve">company investment in developing </w:t>
      </w:r>
      <w:r w:rsidR="005F5B04" w:rsidRPr="00C73908">
        <w:rPr>
          <w:rFonts w:ascii="Times New Roman" w:hAnsi="Times New Roman" w:cs="Times New Roman"/>
          <w:lang w:val="en-IE"/>
        </w:rPr>
        <w:t>skills within their workforce, is not found to have a significant</w:t>
      </w:r>
      <w:r w:rsidR="00FF5614" w:rsidRPr="00C73908">
        <w:rPr>
          <w:rFonts w:ascii="Times New Roman" w:hAnsi="Times New Roman" w:cs="Times New Roman"/>
          <w:lang w:val="en-IE"/>
        </w:rPr>
        <w:t xml:space="preserve"> effect on </w:t>
      </w:r>
      <w:r w:rsidR="00FB788C" w:rsidRPr="00C73908">
        <w:rPr>
          <w:rFonts w:ascii="Times New Roman" w:hAnsi="Times New Roman" w:cs="Times New Roman"/>
          <w:lang w:val="en-IE"/>
        </w:rPr>
        <w:t>the level of exports</w:t>
      </w:r>
      <w:r w:rsidR="00793A03" w:rsidRPr="00C73908">
        <w:rPr>
          <w:rFonts w:ascii="Times New Roman" w:hAnsi="Times New Roman" w:cs="Times New Roman"/>
          <w:lang w:val="en-IE"/>
        </w:rPr>
        <w:t xml:space="preserve"> in either sector</w:t>
      </w:r>
      <w:r w:rsidR="00FB788C" w:rsidRPr="00C73908">
        <w:rPr>
          <w:rFonts w:ascii="Times New Roman" w:hAnsi="Times New Roman" w:cs="Times New Roman"/>
          <w:lang w:val="en-IE"/>
        </w:rPr>
        <w:t>.</w:t>
      </w:r>
      <w:r w:rsidR="005B7C19" w:rsidRPr="00C73908">
        <w:rPr>
          <w:rFonts w:ascii="Times New Roman" w:hAnsi="Times New Roman" w:cs="Times New Roman"/>
          <w:lang w:val="en-IE"/>
        </w:rPr>
        <w:t xml:space="preserve"> The fixed effects model indicates a positive </w:t>
      </w:r>
      <w:r w:rsidR="00F12FA3" w:rsidRPr="00C73908">
        <w:rPr>
          <w:rFonts w:ascii="Times New Roman" w:hAnsi="Times New Roman" w:cs="Times New Roman"/>
          <w:lang w:val="en-IE"/>
        </w:rPr>
        <w:t xml:space="preserve">effect at an overall </w:t>
      </w:r>
      <w:r w:rsidR="000D26BF" w:rsidRPr="00C73908">
        <w:rPr>
          <w:rFonts w:ascii="Times New Roman" w:hAnsi="Times New Roman" w:cs="Times New Roman"/>
          <w:lang w:val="en-IE"/>
        </w:rPr>
        <w:t>level,</w:t>
      </w:r>
      <w:r w:rsidR="00F12FA3" w:rsidRPr="00C73908">
        <w:rPr>
          <w:rFonts w:ascii="Times New Roman" w:hAnsi="Times New Roman" w:cs="Times New Roman"/>
          <w:lang w:val="en-IE"/>
        </w:rPr>
        <w:t xml:space="preserve"> but this is not observed at the sectoral level and the system GMM model produces no evidence of significant </w:t>
      </w:r>
      <w:r w:rsidR="002929E2" w:rsidRPr="00C73908">
        <w:rPr>
          <w:rFonts w:ascii="Times New Roman" w:hAnsi="Times New Roman" w:cs="Times New Roman"/>
          <w:lang w:val="en-IE"/>
        </w:rPr>
        <w:t>effect</w:t>
      </w:r>
      <w:r w:rsidR="005449E7" w:rsidRPr="00C73908">
        <w:rPr>
          <w:rFonts w:ascii="Times New Roman" w:hAnsi="Times New Roman" w:cs="Times New Roman"/>
          <w:lang w:val="en-IE"/>
        </w:rPr>
        <w:t>s</w:t>
      </w:r>
      <w:r w:rsidR="002929E2" w:rsidRPr="00C73908">
        <w:rPr>
          <w:rFonts w:ascii="Times New Roman" w:hAnsi="Times New Roman" w:cs="Times New Roman"/>
          <w:lang w:val="en-IE"/>
        </w:rPr>
        <w:t>.</w:t>
      </w:r>
    </w:p>
    <w:p w14:paraId="2A583B0C" w14:textId="650493A9" w:rsidR="00C94BDD" w:rsidRDefault="00486A2C" w:rsidP="008A6DF2">
      <w:pPr>
        <w:spacing w:after="240" w:line="360" w:lineRule="auto"/>
        <w:jc w:val="both"/>
        <w:rPr>
          <w:rFonts w:ascii="Times New Roman" w:hAnsi="Times New Roman" w:cs="Times New Roman"/>
          <w:lang w:val="en-IE"/>
        </w:rPr>
      </w:pPr>
      <w:r w:rsidRPr="00486A2C">
        <w:rPr>
          <w:rFonts w:ascii="Times New Roman" w:hAnsi="Times New Roman" w:cs="Times New Roman"/>
          <w:b/>
          <w:bCs/>
          <w:color w:val="0070C0"/>
          <w:lang w:val="en-IE"/>
        </w:rPr>
        <w:t>Export Promotion Policies:</w:t>
      </w:r>
      <w:r>
        <w:rPr>
          <w:rFonts w:ascii="Times New Roman" w:hAnsi="Times New Roman" w:cs="Times New Roman"/>
          <w:lang w:val="en-IE"/>
        </w:rPr>
        <w:t xml:space="preserve"> </w:t>
      </w:r>
      <w:r w:rsidR="00517E81">
        <w:rPr>
          <w:rFonts w:ascii="Times New Roman" w:hAnsi="Times New Roman" w:cs="Times New Roman"/>
          <w:lang w:val="en-IE"/>
        </w:rPr>
        <w:t>The analysis indicates a</w:t>
      </w:r>
      <w:r w:rsidR="00FE69D7" w:rsidRPr="00C73908">
        <w:rPr>
          <w:rFonts w:ascii="Times New Roman" w:hAnsi="Times New Roman" w:cs="Times New Roman"/>
          <w:lang w:val="en-IE"/>
        </w:rPr>
        <w:t xml:space="preserve"> </w:t>
      </w:r>
      <w:r w:rsidR="00820C81" w:rsidRPr="00C73908">
        <w:rPr>
          <w:rFonts w:ascii="Times New Roman" w:hAnsi="Times New Roman" w:cs="Times New Roman"/>
          <w:lang w:val="en-IE"/>
        </w:rPr>
        <w:t>large, positive</w:t>
      </w:r>
      <w:r w:rsidR="00E97501" w:rsidRPr="00C73908">
        <w:rPr>
          <w:rFonts w:ascii="Times New Roman" w:hAnsi="Times New Roman" w:cs="Times New Roman"/>
          <w:lang w:val="en-IE"/>
        </w:rPr>
        <w:t xml:space="preserve"> </w:t>
      </w:r>
      <w:r w:rsidR="00517E81">
        <w:rPr>
          <w:rFonts w:ascii="Times New Roman" w:hAnsi="Times New Roman" w:cs="Times New Roman"/>
          <w:lang w:val="en-IE"/>
        </w:rPr>
        <w:t>relationship between the</w:t>
      </w:r>
      <w:r w:rsidR="002D2AE7" w:rsidRPr="00C73908">
        <w:rPr>
          <w:rFonts w:ascii="Times New Roman" w:hAnsi="Times New Roman" w:cs="Times New Roman"/>
          <w:lang w:val="en-IE"/>
        </w:rPr>
        <w:t xml:space="preserve"> </w:t>
      </w:r>
      <w:r w:rsidR="00FF1342" w:rsidRPr="00C73908">
        <w:rPr>
          <w:rFonts w:ascii="Times New Roman" w:hAnsi="Times New Roman" w:cs="Times New Roman"/>
          <w:lang w:val="en-IE"/>
        </w:rPr>
        <w:t xml:space="preserve">services provided by the </w:t>
      </w:r>
      <w:r w:rsidR="001D61F5" w:rsidRPr="00C73908">
        <w:rPr>
          <w:rFonts w:ascii="Times New Roman" w:hAnsi="Times New Roman" w:cs="Times New Roman"/>
          <w:lang w:val="en-IE"/>
        </w:rPr>
        <w:t xml:space="preserve">EI </w:t>
      </w:r>
      <w:r w:rsidR="00FF1342" w:rsidRPr="00C73908">
        <w:rPr>
          <w:rFonts w:ascii="Times New Roman" w:hAnsi="Times New Roman" w:cs="Times New Roman"/>
          <w:lang w:val="en-IE"/>
        </w:rPr>
        <w:t>overseas office</w:t>
      </w:r>
      <w:r w:rsidR="00946990" w:rsidRPr="00C73908">
        <w:rPr>
          <w:rFonts w:ascii="Times New Roman" w:hAnsi="Times New Roman" w:cs="Times New Roman"/>
          <w:lang w:val="en-IE"/>
        </w:rPr>
        <w:t xml:space="preserve"> network</w:t>
      </w:r>
      <w:r w:rsidR="00FF1342" w:rsidRPr="00C73908">
        <w:rPr>
          <w:rFonts w:ascii="Times New Roman" w:hAnsi="Times New Roman" w:cs="Times New Roman"/>
          <w:lang w:val="en-IE"/>
        </w:rPr>
        <w:t xml:space="preserve"> </w:t>
      </w:r>
      <w:r w:rsidR="00643E31" w:rsidRPr="00C73908">
        <w:rPr>
          <w:rFonts w:ascii="Times New Roman" w:hAnsi="Times New Roman" w:cs="Times New Roman"/>
          <w:lang w:val="en-IE"/>
        </w:rPr>
        <w:t xml:space="preserve">(OON) </w:t>
      </w:r>
      <w:r w:rsidR="00517E81">
        <w:rPr>
          <w:rFonts w:ascii="Times New Roman" w:hAnsi="Times New Roman" w:cs="Times New Roman"/>
          <w:lang w:val="en-IE"/>
        </w:rPr>
        <w:t>and the</w:t>
      </w:r>
      <w:r w:rsidR="00FF1342" w:rsidRPr="00C73908">
        <w:rPr>
          <w:rFonts w:ascii="Times New Roman" w:hAnsi="Times New Roman" w:cs="Times New Roman"/>
          <w:lang w:val="en-IE"/>
        </w:rPr>
        <w:t xml:space="preserve"> export performance of </w:t>
      </w:r>
      <w:r w:rsidR="00E2313F" w:rsidRPr="00C73908">
        <w:rPr>
          <w:rFonts w:ascii="Times New Roman" w:hAnsi="Times New Roman" w:cs="Times New Roman"/>
          <w:lang w:val="en-IE"/>
        </w:rPr>
        <w:t xml:space="preserve">client </w:t>
      </w:r>
      <w:r w:rsidR="00FF1342" w:rsidRPr="00C73908">
        <w:rPr>
          <w:rFonts w:ascii="Times New Roman" w:hAnsi="Times New Roman" w:cs="Times New Roman"/>
          <w:lang w:val="en-IE"/>
        </w:rPr>
        <w:t>companies</w:t>
      </w:r>
      <w:r w:rsidR="00517E81">
        <w:rPr>
          <w:rFonts w:ascii="Times New Roman" w:hAnsi="Times New Roman" w:cs="Times New Roman"/>
          <w:lang w:val="en-IE"/>
        </w:rPr>
        <w:t xml:space="preserve"> which receive those services</w:t>
      </w:r>
      <w:r w:rsidR="00446121" w:rsidRPr="00C73908">
        <w:rPr>
          <w:rFonts w:ascii="Times New Roman" w:hAnsi="Times New Roman" w:cs="Times New Roman"/>
          <w:lang w:val="en-IE"/>
        </w:rPr>
        <w:t>. This effect</w:t>
      </w:r>
      <w:r w:rsidR="00A11112" w:rsidRPr="00C73908">
        <w:rPr>
          <w:rFonts w:ascii="Times New Roman" w:hAnsi="Times New Roman" w:cs="Times New Roman"/>
          <w:lang w:val="en-IE"/>
        </w:rPr>
        <w:t xml:space="preserve"> is</w:t>
      </w:r>
      <w:r w:rsidR="00AB0E4E" w:rsidRPr="00C73908">
        <w:rPr>
          <w:rFonts w:ascii="Times New Roman" w:hAnsi="Times New Roman" w:cs="Times New Roman"/>
          <w:lang w:val="en-IE"/>
        </w:rPr>
        <w:t xml:space="preserve"> </w:t>
      </w:r>
      <w:r w:rsidR="005B0C36" w:rsidRPr="00C73908">
        <w:rPr>
          <w:rFonts w:ascii="Times New Roman" w:hAnsi="Times New Roman" w:cs="Times New Roman"/>
          <w:lang w:val="en-IE"/>
        </w:rPr>
        <w:t xml:space="preserve">statistically significant </w:t>
      </w:r>
      <w:r w:rsidR="001705F0" w:rsidRPr="00C73908">
        <w:rPr>
          <w:rFonts w:ascii="Times New Roman" w:hAnsi="Times New Roman" w:cs="Times New Roman"/>
          <w:lang w:val="en-IE"/>
        </w:rPr>
        <w:t xml:space="preserve">in </w:t>
      </w:r>
      <w:r w:rsidR="00446121" w:rsidRPr="00C73908">
        <w:rPr>
          <w:rFonts w:ascii="Times New Roman" w:hAnsi="Times New Roman" w:cs="Times New Roman"/>
          <w:lang w:val="en-IE"/>
        </w:rPr>
        <w:t xml:space="preserve">both the </w:t>
      </w:r>
      <w:r w:rsidR="001705F0" w:rsidRPr="00C73908">
        <w:rPr>
          <w:rFonts w:ascii="Times New Roman" w:hAnsi="Times New Roman" w:cs="Times New Roman"/>
          <w:lang w:val="en-IE"/>
        </w:rPr>
        <w:t>system GMM and fixed effects</w:t>
      </w:r>
      <w:r w:rsidR="00F11509" w:rsidRPr="00C73908">
        <w:rPr>
          <w:rFonts w:ascii="Times New Roman" w:hAnsi="Times New Roman" w:cs="Times New Roman"/>
          <w:lang w:val="en-IE"/>
        </w:rPr>
        <w:t xml:space="preserve"> models</w:t>
      </w:r>
      <w:r w:rsidR="005B0C36" w:rsidRPr="00C73908">
        <w:rPr>
          <w:rFonts w:ascii="Times New Roman" w:hAnsi="Times New Roman" w:cs="Times New Roman"/>
          <w:lang w:val="en-IE"/>
        </w:rPr>
        <w:t xml:space="preserve"> and</w:t>
      </w:r>
      <w:r w:rsidR="009B0FB1" w:rsidRPr="00C73908">
        <w:rPr>
          <w:rFonts w:ascii="Times New Roman" w:hAnsi="Times New Roman" w:cs="Times New Roman"/>
          <w:lang w:val="en-IE"/>
        </w:rPr>
        <w:t xml:space="preserve"> </w:t>
      </w:r>
      <w:r w:rsidR="000352BA" w:rsidRPr="00C73908">
        <w:rPr>
          <w:rFonts w:ascii="Times New Roman" w:hAnsi="Times New Roman" w:cs="Times New Roman"/>
          <w:lang w:val="en-IE"/>
        </w:rPr>
        <w:t>across</w:t>
      </w:r>
      <w:r w:rsidR="009B0FB1" w:rsidRPr="00C73908">
        <w:rPr>
          <w:rFonts w:ascii="Times New Roman" w:hAnsi="Times New Roman" w:cs="Times New Roman"/>
          <w:lang w:val="en-IE"/>
        </w:rPr>
        <w:t xml:space="preserve"> </w:t>
      </w:r>
      <w:r w:rsidR="001705F0" w:rsidRPr="00C73908">
        <w:rPr>
          <w:rFonts w:ascii="Times New Roman" w:hAnsi="Times New Roman" w:cs="Times New Roman"/>
          <w:lang w:val="en-IE"/>
        </w:rPr>
        <w:t xml:space="preserve">both </w:t>
      </w:r>
      <w:r w:rsidR="007D545A" w:rsidRPr="00C73908">
        <w:rPr>
          <w:rFonts w:ascii="Times New Roman" w:hAnsi="Times New Roman" w:cs="Times New Roman"/>
          <w:lang w:val="en-IE"/>
        </w:rPr>
        <w:t>manufacturing and services</w:t>
      </w:r>
      <w:r w:rsidR="00014CB7">
        <w:rPr>
          <w:rFonts w:ascii="Times New Roman" w:hAnsi="Times New Roman" w:cs="Times New Roman"/>
          <w:lang w:val="en-IE"/>
        </w:rPr>
        <w:t xml:space="preserve"> sectors</w:t>
      </w:r>
      <w:r w:rsidR="00C22CBA" w:rsidRPr="00C73908">
        <w:rPr>
          <w:rFonts w:ascii="Times New Roman" w:hAnsi="Times New Roman" w:cs="Times New Roman"/>
          <w:lang w:val="en-IE"/>
        </w:rPr>
        <w:t>.</w:t>
      </w:r>
      <w:r w:rsidR="00A813C4" w:rsidRPr="00C73908">
        <w:rPr>
          <w:rFonts w:ascii="Times New Roman" w:hAnsi="Times New Roman" w:cs="Times New Roman"/>
          <w:lang w:val="en-IE"/>
        </w:rPr>
        <w:t xml:space="preserve"> </w:t>
      </w:r>
      <w:r w:rsidR="00526F9C" w:rsidRPr="00C73908">
        <w:rPr>
          <w:rFonts w:ascii="Times New Roman" w:hAnsi="Times New Roman" w:cs="Times New Roman"/>
          <w:lang w:val="en-IE"/>
        </w:rPr>
        <w:t>It should be noted that</w:t>
      </w:r>
      <w:r w:rsidR="007200A7" w:rsidRPr="00C73908">
        <w:rPr>
          <w:rFonts w:ascii="Times New Roman" w:hAnsi="Times New Roman" w:cs="Times New Roman"/>
          <w:lang w:val="en-IE"/>
        </w:rPr>
        <w:t xml:space="preserve"> Enterprise Ireland</w:t>
      </w:r>
      <w:r w:rsidR="00E85BFD" w:rsidRPr="00C73908">
        <w:rPr>
          <w:rFonts w:ascii="Times New Roman" w:hAnsi="Times New Roman" w:cs="Times New Roman"/>
          <w:lang w:val="en-IE"/>
        </w:rPr>
        <w:t>’s</w:t>
      </w:r>
      <w:r w:rsidR="007200A7" w:rsidRPr="00C73908">
        <w:rPr>
          <w:rFonts w:ascii="Times New Roman" w:hAnsi="Times New Roman" w:cs="Times New Roman"/>
          <w:lang w:val="en-IE"/>
        </w:rPr>
        <w:t xml:space="preserve"> client engagement model </w:t>
      </w:r>
      <w:r w:rsidR="005008AA" w:rsidRPr="00C73908">
        <w:rPr>
          <w:rFonts w:ascii="Times New Roman" w:hAnsi="Times New Roman" w:cs="Times New Roman"/>
          <w:lang w:val="en-IE"/>
        </w:rPr>
        <w:t>take</w:t>
      </w:r>
      <w:r w:rsidR="006401C5" w:rsidRPr="00C73908">
        <w:rPr>
          <w:rFonts w:ascii="Times New Roman" w:hAnsi="Times New Roman" w:cs="Times New Roman"/>
          <w:lang w:val="en-IE"/>
        </w:rPr>
        <w:t>s</w:t>
      </w:r>
      <w:r w:rsidR="00E85BFD" w:rsidRPr="00C73908">
        <w:rPr>
          <w:rFonts w:ascii="Times New Roman" w:hAnsi="Times New Roman" w:cs="Times New Roman"/>
          <w:lang w:val="en-IE"/>
        </w:rPr>
        <w:t xml:space="preserve"> a holistic approach to company development </w:t>
      </w:r>
      <w:r w:rsidR="006401C5" w:rsidRPr="00C73908">
        <w:rPr>
          <w:rFonts w:ascii="Times New Roman" w:hAnsi="Times New Roman" w:cs="Times New Roman"/>
          <w:lang w:val="en-IE"/>
        </w:rPr>
        <w:t xml:space="preserve">in which </w:t>
      </w:r>
      <w:r w:rsidR="004C7100">
        <w:rPr>
          <w:rFonts w:ascii="Times New Roman" w:hAnsi="Times New Roman" w:cs="Times New Roman"/>
          <w:lang w:val="en-IE"/>
        </w:rPr>
        <w:t xml:space="preserve">client </w:t>
      </w:r>
      <w:r w:rsidR="00190452" w:rsidRPr="00C73908">
        <w:rPr>
          <w:rFonts w:ascii="Times New Roman" w:hAnsi="Times New Roman" w:cs="Times New Roman"/>
          <w:lang w:val="en-IE"/>
        </w:rPr>
        <w:t>compan</w:t>
      </w:r>
      <w:r w:rsidR="000233BD" w:rsidRPr="00C73908">
        <w:rPr>
          <w:rFonts w:ascii="Times New Roman" w:hAnsi="Times New Roman" w:cs="Times New Roman"/>
          <w:lang w:val="en-IE"/>
        </w:rPr>
        <w:t>ies</w:t>
      </w:r>
      <w:r w:rsidR="00190452" w:rsidRPr="00C73908">
        <w:rPr>
          <w:rFonts w:ascii="Times New Roman" w:hAnsi="Times New Roman" w:cs="Times New Roman"/>
          <w:lang w:val="en-IE"/>
        </w:rPr>
        <w:t xml:space="preserve"> </w:t>
      </w:r>
      <w:r w:rsidR="004C7100">
        <w:rPr>
          <w:rFonts w:ascii="Times New Roman" w:hAnsi="Times New Roman" w:cs="Times New Roman"/>
          <w:lang w:val="en-IE"/>
        </w:rPr>
        <w:t xml:space="preserve">work with </w:t>
      </w:r>
      <w:r w:rsidR="00190452" w:rsidRPr="00C73908">
        <w:rPr>
          <w:rFonts w:ascii="Times New Roman" w:hAnsi="Times New Roman" w:cs="Times New Roman"/>
          <w:lang w:val="en-IE"/>
        </w:rPr>
        <w:t>their development advisor</w:t>
      </w:r>
      <w:r w:rsidR="00A02892" w:rsidRPr="00C73908">
        <w:rPr>
          <w:rFonts w:ascii="Times New Roman" w:hAnsi="Times New Roman" w:cs="Times New Roman"/>
          <w:lang w:val="en-IE"/>
        </w:rPr>
        <w:t>s</w:t>
      </w:r>
      <w:r w:rsidR="00945527" w:rsidRPr="00C73908">
        <w:rPr>
          <w:rFonts w:ascii="Times New Roman" w:hAnsi="Times New Roman" w:cs="Times New Roman"/>
          <w:lang w:val="en-IE"/>
        </w:rPr>
        <w:t xml:space="preserve"> </w:t>
      </w:r>
      <w:r w:rsidR="000233BD" w:rsidRPr="00C73908">
        <w:rPr>
          <w:rFonts w:ascii="Times New Roman" w:hAnsi="Times New Roman" w:cs="Times New Roman"/>
          <w:lang w:val="en-IE"/>
        </w:rPr>
        <w:t xml:space="preserve">to </w:t>
      </w:r>
      <w:r w:rsidR="00577674" w:rsidRPr="00C73908">
        <w:rPr>
          <w:rFonts w:ascii="Times New Roman" w:hAnsi="Times New Roman" w:cs="Times New Roman"/>
          <w:lang w:val="en-IE"/>
        </w:rPr>
        <w:t>diagnose</w:t>
      </w:r>
      <w:r w:rsidR="000233BD" w:rsidRPr="00C73908">
        <w:rPr>
          <w:rFonts w:ascii="Times New Roman" w:hAnsi="Times New Roman" w:cs="Times New Roman"/>
          <w:lang w:val="en-IE"/>
        </w:rPr>
        <w:t xml:space="preserve"> organisational capabilities in specific areas such as </w:t>
      </w:r>
      <w:r w:rsidR="00D055C3" w:rsidRPr="00C73908">
        <w:rPr>
          <w:rFonts w:ascii="Times New Roman" w:hAnsi="Times New Roman" w:cs="Times New Roman"/>
          <w:lang w:val="en-IE"/>
        </w:rPr>
        <w:t xml:space="preserve">sales and marketing, </w:t>
      </w:r>
      <w:r w:rsidR="00577674" w:rsidRPr="00C73908">
        <w:rPr>
          <w:rFonts w:ascii="Times New Roman" w:hAnsi="Times New Roman" w:cs="Times New Roman"/>
          <w:lang w:val="en-IE"/>
        </w:rPr>
        <w:t>innovation,</w:t>
      </w:r>
      <w:r w:rsidR="00D055C3" w:rsidRPr="00C73908">
        <w:rPr>
          <w:rFonts w:ascii="Times New Roman" w:hAnsi="Times New Roman" w:cs="Times New Roman"/>
          <w:lang w:val="en-IE"/>
        </w:rPr>
        <w:t xml:space="preserve"> and</w:t>
      </w:r>
      <w:r w:rsidR="000233BD" w:rsidRPr="00C73908">
        <w:rPr>
          <w:rFonts w:ascii="Times New Roman" w:hAnsi="Times New Roman" w:cs="Times New Roman"/>
          <w:lang w:val="en-IE"/>
        </w:rPr>
        <w:t xml:space="preserve"> finance</w:t>
      </w:r>
      <w:r w:rsidR="00D055C3" w:rsidRPr="00C73908">
        <w:rPr>
          <w:rFonts w:ascii="Times New Roman" w:hAnsi="Times New Roman" w:cs="Times New Roman"/>
          <w:lang w:val="en-IE"/>
        </w:rPr>
        <w:t xml:space="preserve">. </w:t>
      </w:r>
      <w:r w:rsidR="00F23FA1" w:rsidRPr="00C73908">
        <w:rPr>
          <w:rFonts w:ascii="Times New Roman" w:hAnsi="Times New Roman" w:cs="Times New Roman"/>
          <w:lang w:val="en-IE"/>
        </w:rPr>
        <w:t xml:space="preserve">Based on </w:t>
      </w:r>
      <w:r w:rsidR="00F9085E">
        <w:rPr>
          <w:rFonts w:ascii="Times New Roman" w:hAnsi="Times New Roman" w:cs="Times New Roman"/>
          <w:lang w:val="en-IE"/>
        </w:rPr>
        <w:t>this analysis</w:t>
      </w:r>
      <w:r w:rsidR="00F23FA1" w:rsidRPr="00C73908">
        <w:rPr>
          <w:rFonts w:ascii="Times New Roman" w:hAnsi="Times New Roman" w:cs="Times New Roman"/>
          <w:lang w:val="en-IE"/>
        </w:rPr>
        <w:t>, priority areas are identified and agreed with the company, a functional plan is put in place</w:t>
      </w:r>
      <w:r w:rsidR="00A14416" w:rsidRPr="00C73908">
        <w:rPr>
          <w:rFonts w:ascii="Times New Roman" w:hAnsi="Times New Roman" w:cs="Times New Roman"/>
          <w:lang w:val="en-IE"/>
        </w:rPr>
        <w:t xml:space="preserve"> and</w:t>
      </w:r>
      <w:r w:rsidR="00F23FA1" w:rsidRPr="00C73908">
        <w:rPr>
          <w:rFonts w:ascii="Times New Roman" w:hAnsi="Times New Roman" w:cs="Times New Roman"/>
          <w:lang w:val="en-IE"/>
        </w:rPr>
        <w:t xml:space="preserve"> </w:t>
      </w:r>
      <w:r w:rsidR="00A14416" w:rsidRPr="00C73908">
        <w:rPr>
          <w:rFonts w:ascii="Times New Roman" w:hAnsi="Times New Roman" w:cs="Times New Roman"/>
          <w:lang w:val="en-IE"/>
        </w:rPr>
        <w:t>tailored</w:t>
      </w:r>
      <w:r w:rsidR="006401C5" w:rsidRPr="00C73908">
        <w:rPr>
          <w:rFonts w:ascii="Times New Roman" w:hAnsi="Times New Roman" w:cs="Times New Roman"/>
          <w:lang w:val="en-IE"/>
        </w:rPr>
        <w:t xml:space="preserve"> support </w:t>
      </w:r>
      <w:r w:rsidR="00A14416" w:rsidRPr="00C73908">
        <w:rPr>
          <w:rFonts w:ascii="Times New Roman" w:hAnsi="Times New Roman" w:cs="Times New Roman"/>
          <w:lang w:val="en-IE"/>
        </w:rPr>
        <w:t>is</w:t>
      </w:r>
      <w:r w:rsidR="006401C5" w:rsidRPr="00C73908">
        <w:rPr>
          <w:rFonts w:ascii="Times New Roman" w:hAnsi="Times New Roman" w:cs="Times New Roman"/>
          <w:lang w:val="en-IE"/>
        </w:rPr>
        <w:t xml:space="preserve"> provided to </w:t>
      </w:r>
      <w:r w:rsidR="00850D36" w:rsidRPr="00C73908">
        <w:rPr>
          <w:rFonts w:ascii="Times New Roman" w:hAnsi="Times New Roman" w:cs="Times New Roman"/>
          <w:lang w:val="en-IE"/>
        </w:rPr>
        <w:t xml:space="preserve">the </w:t>
      </w:r>
      <w:r w:rsidR="00D055C3" w:rsidRPr="00C73908">
        <w:rPr>
          <w:rFonts w:ascii="Times New Roman" w:hAnsi="Times New Roman" w:cs="Times New Roman"/>
          <w:lang w:val="en-IE"/>
        </w:rPr>
        <w:t>compan</w:t>
      </w:r>
      <w:r w:rsidR="00850D36" w:rsidRPr="00C73908">
        <w:rPr>
          <w:rFonts w:ascii="Times New Roman" w:hAnsi="Times New Roman" w:cs="Times New Roman"/>
          <w:lang w:val="en-IE"/>
        </w:rPr>
        <w:t>y depending on their stage of development.</w:t>
      </w:r>
      <w:r w:rsidR="00E754AB" w:rsidRPr="00C73908">
        <w:rPr>
          <w:rFonts w:ascii="Times New Roman" w:hAnsi="Times New Roman" w:cs="Times New Roman"/>
          <w:lang w:val="en-IE"/>
        </w:rPr>
        <w:t xml:space="preserve"> Support from the overseas offices </w:t>
      </w:r>
      <w:r w:rsidR="00A14FAD" w:rsidRPr="00C73908">
        <w:rPr>
          <w:rFonts w:ascii="Times New Roman" w:hAnsi="Times New Roman" w:cs="Times New Roman"/>
          <w:lang w:val="en-IE"/>
        </w:rPr>
        <w:t>i</w:t>
      </w:r>
      <w:r w:rsidR="00A3437F" w:rsidRPr="00C73908">
        <w:rPr>
          <w:rFonts w:ascii="Times New Roman" w:hAnsi="Times New Roman" w:cs="Times New Roman"/>
          <w:lang w:val="en-IE"/>
        </w:rPr>
        <w:t>s</w:t>
      </w:r>
      <w:r w:rsidR="00E754AB" w:rsidRPr="00C73908">
        <w:rPr>
          <w:rFonts w:ascii="Times New Roman" w:hAnsi="Times New Roman" w:cs="Times New Roman"/>
          <w:lang w:val="en-IE"/>
        </w:rPr>
        <w:t xml:space="preserve">, therefore, </w:t>
      </w:r>
      <w:r w:rsidR="005E01EA" w:rsidRPr="00C73908">
        <w:rPr>
          <w:rFonts w:ascii="Times New Roman" w:hAnsi="Times New Roman" w:cs="Times New Roman"/>
          <w:lang w:val="en-IE"/>
        </w:rPr>
        <w:t xml:space="preserve">primarily </w:t>
      </w:r>
      <w:r w:rsidR="00E754AB" w:rsidRPr="00C73908">
        <w:rPr>
          <w:rFonts w:ascii="Times New Roman" w:hAnsi="Times New Roman" w:cs="Times New Roman"/>
          <w:lang w:val="en-IE"/>
        </w:rPr>
        <w:t>targeted at companies that are</w:t>
      </w:r>
      <w:r w:rsidR="00B76D53" w:rsidRPr="00C73908">
        <w:rPr>
          <w:rFonts w:ascii="Times New Roman" w:hAnsi="Times New Roman" w:cs="Times New Roman"/>
        </w:rPr>
        <w:t xml:space="preserve"> </w:t>
      </w:r>
      <w:r w:rsidR="00B74049" w:rsidRPr="00C73908">
        <w:rPr>
          <w:rFonts w:ascii="Times New Roman" w:hAnsi="Times New Roman" w:cs="Times New Roman"/>
          <w:lang w:val="en-IE"/>
        </w:rPr>
        <w:t>identified as being in</w:t>
      </w:r>
      <w:r w:rsidR="00B76D53" w:rsidRPr="00C73908">
        <w:rPr>
          <w:rFonts w:ascii="Times New Roman" w:hAnsi="Times New Roman" w:cs="Times New Roman"/>
          <w:lang w:val="en-IE"/>
        </w:rPr>
        <w:t xml:space="preserve"> a good position to extend or expand their export activities.</w:t>
      </w:r>
      <w:r w:rsidR="005D0858" w:rsidRPr="00C73908">
        <w:rPr>
          <w:rFonts w:ascii="Times New Roman" w:hAnsi="Times New Roman" w:cs="Times New Roman"/>
          <w:lang w:val="en-IE"/>
        </w:rPr>
        <w:t xml:space="preserve"> This </w:t>
      </w:r>
      <w:r w:rsidR="00E517D3" w:rsidRPr="00C73908">
        <w:rPr>
          <w:rFonts w:ascii="Times New Roman" w:hAnsi="Times New Roman" w:cs="Times New Roman"/>
          <w:lang w:val="en-IE"/>
        </w:rPr>
        <w:t xml:space="preserve">approach differs </w:t>
      </w:r>
      <w:r w:rsidR="003B2E0A" w:rsidRPr="00C73908">
        <w:rPr>
          <w:rFonts w:ascii="Times New Roman" w:hAnsi="Times New Roman" w:cs="Times New Roman"/>
          <w:lang w:val="en-IE"/>
        </w:rPr>
        <w:t xml:space="preserve">from many other countries where </w:t>
      </w:r>
      <w:r w:rsidR="00F5755D" w:rsidRPr="00C73908">
        <w:rPr>
          <w:rFonts w:ascii="Times New Roman" w:hAnsi="Times New Roman" w:cs="Times New Roman"/>
          <w:lang w:val="en-IE"/>
        </w:rPr>
        <w:t>export promotion</w:t>
      </w:r>
      <w:r w:rsidR="00DD4193" w:rsidRPr="00C73908">
        <w:rPr>
          <w:rFonts w:ascii="Times New Roman" w:hAnsi="Times New Roman" w:cs="Times New Roman"/>
          <w:lang w:val="en-IE"/>
        </w:rPr>
        <w:t xml:space="preserve"> supports</w:t>
      </w:r>
      <w:r w:rsidR="00FE5DEB">
        <w:rPr>
          <w:rFonts w:ascii="Times New Roman" w:hAnsi="Times New Roman" w:cs="Times New Roman"/>
          <w:lang w:val="en-IE"/>
        </w:rPr>
        <w:t xml:space="preserve"> are </w:t>
      </w:r>
      <w:r w:rsidR="008C06F2">
        <w:rPr>
          <w:rFonts w:ascii="Times New Roman" w:hAnsi="Times New Roman" w:cs="Times New Roman"/>
          <w:lang w:val="en-IE"/>
        </w:rPr>
        <w:t>provided through embassies and consulates and</w:t>
      </w:r>
      <w:r w:rsidR="00DD4193" w:rsidRPr="00C73908">
        <w:rPr>
          <w:rFonts w:ascii="Times New Roman" w:hAnsi="Times New Roman" w:cs="Times New Roman"/>
          <w:lang w:val="en-IE"/>
        </w:rPr>
        <w:t xml:space="preserve"> are </w:t>
      </w:r>
      <w:r w:rsidR="00FE5EB5" w:rsidRPr="00C73908">
        <w:rPr>
          <w:rFonts w:ascii="Times New Roman" w:hAnsi="Times New Roman" w:cs="Times New Roman"/>
          <w:lang w:val="en-IE"/>
        </w:rPr>
        <w:t>not targeted in this way</w:t>
      </w:r>
      <w:r w:rsidR="001E214F" w:rsidRPr="00C73908">
        <w:rPr>
          <w:rFonts w:ascii="Times New Roman" w:hAnsi="Times New Roman" w:cs="Times New Roman"/>
          <w:lang w:val="en-IE"/>
        </w:rPr>
        <w:t xml:space="preserve">. In terms of the analysis, this approach </w:t>
      </w:r>
      <w:r w:rsidR="005D0858" w:rsidRPr="00C73908">
        <w:rPr>
          <w:rFonts w:ascii="Times New Roman" w:hAnsi="Times New Roman" w:cs="Times New Roman"/>
          <w:lang w:val="en-IE"/>
        </w:rPr>
        <w:t>may result in self</w:t>
      </w:r>
      <w:r w:rsidR="000E368F" w:rsidRPr="00C73908">
        <w:rPr>
          <w:rFonts w:ascii="Times New Roman" w:hAnsi="Times New Roman" w:cs="Times New Roman"/>
          <w:lang w:val="en-IE"/>
        </w:rPr>
        <w:t>-selection issue</w:t>
      </w:r>
      <w:r w:rsidR="004A5CA9" w:rsidRPr="00C73908">
        <w:rPr>
          <w:rFonts w:ascii="Times New Roman" w:hAnsi="Times New Roman" w:cs="Times New Roman"/>
          <w:lang w:val="en-IE"/>
        </w:rPr>
        <w:t>s</w:t>
      </w:r>
      <w:r w:rsidR="000E368F" w:rsidRPr="00C73908">
        <w:rPr>
          <w:rFonts w:ascii="Times New Roman" w:hAnsi="Times New Roman" w:cs="Times New Roman"/>
          <w:lang w:val="en-IE"/>
        </w:rPr>
        <w:t xml:space="preserve"> as companies with the greatest potential to grow their exports are more likely to receive support from the OON</w:t>
      </w:r>
      <w:r w:rsidR="008E40B7" w:rsidRPr="00C73908">
        <w:rPr>
          <w:rFonts w:ascii="Times New Roman" w:hAnsi="Times New Roman" w:cs="Times New Roman"/>
          <w:lang w:val="en-IE"/>
        </w:rPr>
        <w:t>.</w:t>
      </w:r>
    </w:p>
    <w:p w14:paraId="01F4576C" w14:textId="11433DEC" w:rsidR="007A754F" w:rsidRPr="00C73908" w:rsidRDefault="00415362"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In 2017, a</w:t>
      </w:r>
      <w:r w:rsidR="00772C0B" w:rsidRPr="00C73908">
        <w:rPr>
          <w:rFonts w:ascii="Times New Roman" w:hAnsi="Times New Roman" w:cs="Times New Roman"/>
          <w:lang w:val="en-IE"/>
        </w:rPr>
        <w:t xml:space="preserve">n </w:t>
      </w:r>
      <w:r w:rsidR="00D425E6" w:rsidRPr="00C73908">
        <w:rPr>
          <w:rFonts w:ascii="Times New Roman" w:hAnsi="Times New Roman" w:cs="Times New Roman"/>
          <w:lang w:val="en-IE"/>
        </w:rPr>
        <w:t>evaluation</w:t>
      </w:r>
      <w:r w:rsidR="00D448E4" w:rsidRPr="00C73908">
        <w:rPr>
          <w:rFonts w:ascii="Times New Roman" w:hAnsi="Times New Roman" w:cs="Times New Roman"/>
          <w:lang w:val="en-IE"/>
        </w:rPr>
        <w:t xml:space="preserve"> of the EI overseas office network</w:t>
      </w:r>
      <w:r w:rsidR="00D425E6" w:rsidRPr="00C73908">
        <w:rPr>
          <w:rFonts w:ascii="Times New Roman" w:hAnsi="Times New Roman" w:cs="Times New Roman"/>
          <w:lang w:val="en-IE"/>
        </w:rPr>
        <w:t xml:space="preserve"> </w:t>
      </w:r>
      <w:r w:rsidR="00772C0B" w:rsidRPr="00C73908">
        <w:rPr>
          <w:rFonts w:ascii="Times New Roman" w:hAnsi="Times New Roman" w:cs="Times New Roman"/>
          <w:lang w:val="en-IE"/>
        </w:rPr>
        <w:t xml:space="preserve">was </w:t>
      </w:r>
      <w:r w:rsidR="00DE08DB" w:rsidRPr="00C73908">
        <w:rPr>
          <w:rFonts w:ascii="Times New Roman" w:hAnsi="Times New Roman" w:cs="Times New Roman"/>
          <w:lang w:val="en-IE"/>
        </w:rPr>
        <w:t xml:space="preserve">carried out </w:t>
      </w:r>
      <w:r w:rsidRPr="00C73908">
        <w:rPr>
          <w:rFonts w:ascii="Times New Roman" w:hAnsi="Times New Roman" w:cs="Times New Roman"/>
          <w:lang w:val="en-IE"/>
        </w:rPr>
        <w:t xml:space="preserve">by Technopolis </w:t>
      </w:r>
      <w:r w:rsidR="00DE08DB" w:rsidRPr="00C73908">
        <w:rPr>
          <w:rFonts w:ascii="Times New Roman" w:hAnsi="Times New Roman" w:cs="Times New Roman"/>
          <w:lang w:val="en-IE"/>
        </w:rPr>
        <w:t xml:space="preserve">on behalf of the Department of Business, </w:t>
      </w:r>
      <w:r w:rsidR="00B6170E" w:rsidRPr="00C73908">
        <w:rPr>
          <w:rFonts w:ascii="Times New Roman" w:hAnsi="Times New Roman" w:cs="Times New Roman"/>
          <w:lang w:val="en-IE"/>
        </w:rPr>
        <w:t>Enterprise,</w:t>
      </w:r>
      <w:r w:rsidR="00DE08DB" w:rsidRPr="00C73908">
        <w:rPr>
          <w:rFonts w:ascii="Times New Roman" w:hAnsi="Times New Roman" w:cs="Times New Roman"/>
          <w:lang w:val="en-IE"/>
        </w:rPr>
        <w:t xml:space="preserve"> and Innovation</w:t>
      </w:r>
      <w:r w:rsidR="00B07CD6" w:rsidRPr="00C73908">
        <w:rPr>
          <w:rFonts w:ascii="Times New Roman" w:hAnsi="Times New Roman" w:cs="Times New Roman"/>
          <w:lang w:val="en-IE"/>
        </w:rPr>
        <w:t xml:space="preserve"> (DBEI)</w:t>
      </w:r>
      <w:r w:rsidRPr="00C73908">
        <w:rPr>
          <w:rFonts w:ascii="Times New Roman" w:hAnsi="Times New Roman" w:cs="Times New Roman"/>
          <w:lang w:val="en-IE"/>
        </w:rPr>
        <w:t xml:space="preserve">. As part of the evaluation, a survey was conducted on a sample of companies that had received </w:t>
      </w:r>
      <w:r w:rsidR="00461AAE" w:rsidRPr="00C73908">
        <w:rPr>
          <w:rFonts w:ascii="Times New Roman" w:hAnsi="Times New Roman" w:cs="Times New Roman"/>
          <w:lang w:val="en-IE"/>
        </w:rPr>
        <w:t xml:space="preserve">support from the </w:t>
      </w:r>
      <w:r w:rsidR="00643E31" w:rsidRPr="00C73908">
        <w:rPr>
          <w:rFonts w:ascii="Times New Roman" w:hAnsi="Times New Roman" w:cs="Times New Roman"/>
          <w:lang w:val="en-IE"/>
        </w:rPr>
        <w:t xml:space="preserve">(OON) </w:t>
      </w:r>
      <w:r w:rsidR="00461AAE" w:rsidRPr="00C73908">
        <w:rPr>
          <w:rFonts w:ascii="Times New Roman" w:hAnsi="Times New Roman" w:cs="Times New Roman"/>
          <w:lang w:val="en-IE"/>
        </w:rPr>
        <w:t xml:space="preserve">during the period from 2005 to 2015. The responses to this survey provide some </w:t>
      </w:r>
      <w:r w:rsidR="003F2146" w:rsidRPr="00C73908">
        <w:rPr>
          <w:rFonts w:ascii="Times New Roman" w:hAnsi="Times New Roman" w:cs="Times New Roman"/>
          <w:lang w:val="en-IE"/>
        </w:rPr>
        <w:t>insights</w:t>
      </w:r>
      <w:r w:rsidR="00461AAE" w:rsidRPr="00C73908">
        <w:rPr>
          <w:rFonts w:ascii="Times New Roman" w:hAnsi="Times New Roman" w:cs="Times New Roman"/>
          <w:lang w:val="en-IE"/>
        </w:rPr>
        <w:t xml:space="preserve"> around company’s perceptions of the </w:t>
      </w:r>
      <w:r w:rsidR="00607F24" w:rsidRPr="00C73908">
        <w:rPr>
          <w:rFonts w:ascii="Times New Roman" w:hAnsi="Times New Roman" w:cs="Times New Roman"/>
          <w:lang w:val="en-IE"/>
        </w:rPr>
        <w:t>benefits they received</w:t>
      </w:r>
      <w:r w:rsidR="00E239E7" w:rsidRPr="00C73908">
        <w:rPr>
          <w:rFonts w:ascii="Times New Roman" w:hAnsi="Times New Roman" w:cs="Times New Roman"/>
          <w:lang w:val="en-IE"/>
        </w:rPr>
        <w:t xml:space="preserve"> </w:t>
      </w:r>
      <w:r w:rsidR="00607F24" w:rsidRPr="00C73908">
        <w:rPr>
          <w:rFonts w:ascii="Times New Roman" w:hAnsi="Times New Roman" w:cs="Times New Roman"/>
          <w:lang w:val="en-IE"/>
        </w:rPr>
        <w:t xml:space="preserve">and their level of satisfaction with </w:t>
      </w:r>
      <w:r w:rsidR="00BF2E1A" w:rsidRPr="00C73908">
        <w:rPr>
          <w:rFonts w:ascii="Times New Roman" w:hAnsi="Times New Roman" w:cs="Times New Roman"/>
          <w:lang w:val="en-IE"/>
        </w:rPr>
        <w:t xml:space="preserve">specific supports. </w:t>
      </w:r>
      <w:r w:rsidR="00B06D90" w:rsidRPr="00C73908">
        <w:rPr>
          <w:rFonts w:ascii="Times New Roman" w:hAnsi="Times New Roman" w:cs="Times New Roman"/>
          <w:lang w:val="en-IE"/>
        </w:rPr>
        <w:t xml:space="preserve">Overall, 53% of respondents indicated that </w:t>
      </w:r>
      <w:r w:rsidR="00D44A6B" w:rsidRPr="00C73908">
        <w:rPr>
          <w:rFonts w:ascii="Times New Roman" w:hAnsi="Times New Roman" w:cs="Times New Roman"/>
          <w:lang w:val="en-IE"/>
        </w:rPr>
        <w:t xml:space="preserve">support from the OON had made a difference in terms of </w:t>
      </w:r>
      <w:r w:rsidR="00351D57" w:rsidRPr="00C73908">
        <w:rPr>
          <w:rFonts w:ascii="Times New Roman" w:hAnsi="Times New Roman" w:cs="Times New Roman"/>
          <w:lang w:val="en-IE"/>
        </w:rPr>
        <w:t xml:space="preserve">sustaining or growing their </w:t>
      </w:r>
      <w:r w:rsidR="00F03D06" w:rsidRPr="00C73908">
        <w:rPr>
          <w:rFonts w:ascii="Times New Roman" w:hAnsi="Times New Roman" w:cs="Times New Roman"/>
          <w:lang w:val="en-IE"/>
        </w:rPr>
        <w:t>exports or</w:t>
      </w:r>
      <w:r w:rsidR="00351D57" w:rsidRPr="00C73908">
        <w:rPr>
          <w:rFonts w:ascii="Times New Roman" w:hAnsi="Times New Roman" w:cs="Times New Roman"/>
          <w:lang w:val="en-IE"/>
        </w:rPr>
        <w:t xml:space="preserve"> was expected to in the near future. </w:t>
      </w:r>
      <w:r w:rsidR="00F03D06" w:rsidRPr="00C73908">
        <w:rPr>
          <w:rFonts w:ascii="Times New Roman" w:hAnsi="Times New Roman" w:cs="Times New Roman"/>
          <w:lang w:val="en-IE"/>
        </w:rPr>
        <w:t>Among the services provided by the OON</w:t>
      </w:r>
      <w:r w:rsidR="00ED1D7D" w:rsidRPr="00C73908">
        <w:rPr>
          <w:rFonts w:ascii="Times New Roman" w:hAnsi="Times New Roman" w:cs="Times New Roman"/>
          <w:lang w:val="en-IE"/>
        </w:rPr>
        <w:t xml:space="preserve">, </w:t>
      </w:r>
      <w:r w:rsidR="003E0C08" w:rsidRPr="00C73908">
        <w:rPr>
          <w:rFonts w:ascii="Times New Roman" w:hAnsi="Times New Roman" w:cs="Times New Roman"/>
          <w:lang w:val="en-IE"/>
        </w:rPr>
        <w:t xml:space="preserve">facilitating </w:t>
      </w:r>
      <w:r w:rsidR="00ED1D7D" w:rsidRPr="00C73908">
        <w:rPr>
          <w:rFonts w:ascii="Times New Roman" w:hAnsi="Times New Roman" w:cs="Times New Roman"/>
          <w:lang w:val="en-IE"/>
        </w:rPr>
        <w:t>introduct</w:t>
      </w:r>
      <w:r w:rsidR="00953922" w:rsidRPr="00C73908">
        <w:rPr>
          <w:rFonts w:ascii="Times New Roman" w:hAnsi="Times New Roman" w:cs="Times New Roman"/>
          <w:lang w:val="en-IE"/>
        </w:rPr>
        <w:t>ory meetings</w:t>
      </w:r>
      <w:r w:rsidR="00ED1D7D" w:rsidRPr="00C73908">
        <w:rPr>
          <w:rFonts w:ascii="Times New Roman" w:hAnsi="Times New Roman" w:cs="Times New Roman"/>
          <w:lang w:val="en-IE"/>
        </w:rPr>
        <w:t xml:space="preserve"> </w:t>
      </w:r>
      <w:r w:rsidR="00953922" w:rsidRPr="00C73908">
        <w:rPr>
          <w:rFonts w:ascii="Times New Roman" w:hAnsi="Times New Roman" w:cs="Times New Roman"/>
          <w:lang w:val="en-IE"/>
        </w:rPr>
        <w:t>with</w:t>
      </w:r>
      <w:r w:rsidR="00ED1D7D" w:rsidRPr="00C73908">
        <w:rPr>
          <w:rFonts w:ascii="Times New Roman" w:hAnsi="Times New Roman" w:cs="Times New Roman"/>
          <w:lang w:val="en-IE"/>
        </w:rPr>
        <w:t xml:space="preserve"> potential buyers </w:t>
      </w:r>
      <w:r w:rsidR="00F76E5A" w:rsidRPr="00C73908">
        <w:rPr>
          <w:rFonts w:ascii="Times New Roman" w:hAnsi="Times New Roman" w:cs="Times New Roman"/>
          <w:lang w:val="en-IE"/>
        </w:rPr>
        <w:t xml:space="preserve">and </w:t>
      </w:r>
      <w:r w:rsidR="008F40CB" w:rsidRPr="00C73908">
        <w:rPr>
          <w:rFonts w:ascii="Times New Roman" w:hAnsi="Times New Roman" w:cs="Times New Roman"/>
          <w:lang w:val="en-IE"/>
        </w:rPr>
        <w:t>overseas visits/trade missions</w:t>
      </w:r>
      <w:r w:rsidR="00F76E5A" w:rsidRPr="00C73908">
        <w:rPr>
          <w:rFonts w:ascii="Times New Roman" w:hAnsi="Times New Roman" w:cs="Times New Roman"/>
          <w:lang w:val="en-IE"/>
        </w:rPr>
        <w:t xml:space="preserve"> </w:t>
      </w:r>
      <w:r w:rsidR="008F40CB" w:rsidRPr="00C73908">
        <w:rPr>
          <w:rFonts w:ascii="Times New Roman" w:hAnsi="Times New Roman" w:cs="Times New Roman"/>
          <w:lang w:val="en-IE"/>
        </w:rPr>
        <w:t>were</w:t>
      </w:r>
      <w:r w:rsidR="00F76E5A" w:rsidRPr="00C73908">
        <w:rPr>
          <w:rFonts w:ascii="Times New Roman" w:hAnsi="Times New Roman" w:cs="Times New Roman"/>
          <w:lang w:val="en-IE"/>
        </w:rPr>
        <w:t xml:space="preserve"> identified as the most valuable</w:t>
      </w:r>
      <w:r w:rsidR="00A20038" w:rsidRPr="00C73908">
        <w:rPr>
          <w:rFonts w:ascii="Times New Roman" w:hAnsi="Times New Roman" w:cs="Times New Roman"/>
          <w:lang w:val="en-IE"/>
        </w:rPr>
        <w:t>.</w:t>
      </w:r>
      <w:r w:rsidR="00862C29" w:rsidRPr="00C73908">
        <w:rPr>
          <w:rFonts w:ascii="Times New Roman" w:hAnsi="Times New Roman" w:cs="Times New Roman"/>
          <w:lang w:val="en-IE"/>
        </w:rPr>
        <w:t xml:space="preserve"> </w:t>
      </w:r>
      <w:r w:rsidR="0074711A" w:rsidRPr="00C73908">
        <w:rPr>
          <w:rFonts w:ascii="Times New Roman" w:hAnsi="Times New Roman" w:cs="Times New Roman"/>
          <w:lang w:val="en-IE"/>
        </w:rPr>
        <w:t xml:space="preserve">The </w:t>
      </w:r>
      <w:r w:rsidR="0074711A" w:rsidRPr="00C73908">
        <w:rPr>
          <w:rFonts w:ascii="Times New Roman" w:hAnsi="Times New Roman" w:cs="Times New Roman"/>
          <w:lang w:val="en-IE"/>
        </w:rPr>
        <w:lastRenderedPageBreak/>
        <w:t xml:space="preserve">results </w:t>
      </w:r>
      <w:r w:rsidR="00F05AC4" w:rsidRPr="00C73908">
        <w:rPr>
          <w:rFonts w:ascii="Times New Roman" w:hAnsi="Times New Roman" w:cs="Times New Roman"/>
          <w:lang w:val="en-IE"/>
        </w:rPr>
        <w:t>highlight the important role of</w:t>
      </w:r>
      <w:r w:rsidR="0074711A" w:rsidRPr="00C73908">
        <w:rPr>
          <w:rFonts w:ascii="Times New Roman" w:hAnsi="Times New Roman" w:cs="Times New Roman"/>
          <w:lang w:val="en-IE"/>
        </w:rPr>
        <w:t xml:space="preserve"> the overseas offices in </w:t>
      </w:r>
      <w:r w:rsidR="00B840CF" w:rsidRPr="00C73908">
        <w:rPr>
          <w:rFonts w:ascii="Times New Roman" w:hAnsi="Times New Roman" w:cs="Times New Roman"/>
          <w:lang w:val="en-IE"/>
        </w:rPr>
        <w:t>support</w:t>
      </w:r>
      <w:r w:rsidR="0074711A" w:rsidRPr="00C73908">
        <w:rPr>
          <w:rFonts w:ascii="Times New Roman" w:hAnsi="Times New Roman" w:cs="Times New Roman"/>
          <w:lang w:val="en-IE"/>
        </w:rPr>
        <w:t xml:space="preserve">ing companies to overcome </w:t>
      </w:r>
      <w:r w:rsidR="00B840CF" w:rsidRPr="00C73908">
        <w:rPr>
          <w:rFonts w:ascii="Times New Roman" w:hAnsi="Times New Roman" w:cs="Times New Roman"/>
          <w:lang w:val="en-IE"/>
        </w:rPr>
        <w:t xml:space="preserve">the </w:t>
      </w:r>
      <w:r w:rsidR="0074711A" w:rsidRPr="00C73908">
        <w:rPr>
          <w:rFonts w:ascii="Times New Roman" w:hAnsi="Times New Roman" w:cs="Times New Roman"/>
          <w:lang w:val="en-IE"/>
        </w:rPr>
        <w:t xml:space="preserve">barriers to exporting </w:t>
      </w:r>
      <w:r w:rsidR="00145581" w:rsidRPr="00C73908">
        <w:rPr>
          <w:rFonts w:ascii="Times New Roman" w:hAnsi="Times New Roman" w:cs="Times New Roman"/>
          <w:lang w:val="en-IE"/>
        </w:rPr>
        <w:t xml:space="preserve">and identify new </w:t>
      </w:r>
      <w:r w:rsidR="00665887" w:rsidRPr="00C73908">
        <w:rPr>
          <w:rFonts w:ascii="Times New Roman" w:hAnsi="Times New Roman" w:cs="Times New Roman"/>
          <w:lang w:val="en-IE"/>
        </w:rPr>
        <w:t xml:space="preserve">growth </w:t>
      </w:r>
      <w:r w:rsidR="00145581" w:rsidRPr="00C73908">
        <w:rPr>
          <w:rFonts w:ascii="Times New Roman" w:hAnsi="Times New Roman" w:cs="Times New Roman"/>
          <w:lang w:val="en-IE"/>
        </w:rPr>
        <w:t>opportunities</w:t>
      </w:r>
      <w:r w:rsidR="0074711A" w:rsidRPr="00C73908">
        <w:rPr>
          <w:rFonts w:ascii="Times New Roman" w:hAnsi="Times New Roman" w:cs="Times New Roman"/>
          <w:lang w:val="en-IE"/>
        </w:rPr>
        <w:t>.</w:t>
      </w:r>
      <w:r w:rsidR="00D03062" w:rsidRPr="00C73908">
        <w:rPr>
          <w:rFonts w:ascii="Times New Roman" w:hAnsi="Times New Roman" w:cs="Times New Roman"/>
          <w:lang w:val="en-IE"/>
        </w:rPr>
        <w:t xml:space="preserve"> Funding </w:t>
      </w:r>
      <w:r w:rsidR="008A796B" w:rsidRPr="00C73908">
        <w:rPr>
          <w:rFonts w:ascii="Times New Roman" w:hAnsi="Times New Roman" w:cs="Times New Roman"/>
          <w:lang w:val="en-IE"/>
        </w:rPr>
        <w:t xml:space="preserve">supports </w:t>
      </w:r>
      <w:r w:rsidR="00D03062" w:rsidRPr="00C73908">
        <w:rPr>
          <w:rFonts w:ascii="Times New Roman" w:hAnsi="Times New Roman" w:cs="Times New Roman"/>
          <w:lang w:val="en-IE"/>
        </w:rPr>
        <w:t xml:space="preserve">for </w:t>
      </w:r>
      <w:r w:rsidR="00243011" w:rsidRPr="00C73908">
        <w:rPr>
          <w:rFonts w:ascii="Times New Roman" w:hAnsi="Times New Roman" w:cs="Times New Roman"/>
          <w:lang w:val="en-IE"/>
        </w:rPr>
        <w:t>market research and internationalisation</w:t>
      </w:r>
      <w:r w:rsidR="00B4310D" w:rsidRPr="00C73908">
        <w:rPr>
          <w:rFonts w:ascii="Times New Roman" w:hAnsi="Times New Roman" w:cs="Times New Roman"/>
          <w:lang w:val="en-IE"/>
        </w:rPr>
        <w:t xml:space="preserve"> </w:t>
      </w:r>
      <w:r w:rsidR="00DC1060" w:rsidRPr="00C73908">
        <w:rPr>
          <w:rFonts w:ascii="Times New Roman" w:hAnsi="Times New Roman" w:cs="Times New Roman"/>
          <w:lang w:val="en-IE"/>
        </w:rPr>
        <w:t>are</w:t>
      </w:r>
      <w:r w:rsidR="00711FF3" w:rsidRPr="00C73908">
        <w:rPr>
          <w:rFonts w:ascii="Times New Roman" w:hAnsi="Times New Roman" w:cs="Times New Roman"/>
          <w:lang w:val="en-IE"/>
        </w:rPr>
        <w:t xml:space="preserve"> also</w:t>
      </w:r>
      <w:r w:rsidR="00DC1060" w:rsidRPr="00C73908">
        <w:rPr>
          <w:rFonts w:ascii="Times New Roman" w:hAnsi="Times New Roman" w:cs="Times New Roman"/>
          <w:lang w:val="en-IE"/>
        </w:rPr>
        <w:t xml:space="preserve"> </w:t>
      </w:r>
      <w:r w:rsidR="00B4310D" w:rsidRPr="00C73908">
        <w:rPr>
          <w:rFonts w:ascii="Times New Roman" w:hAnsi="Times New Roman" w:cs="Times New Roman"/>
          <w:lang w:val="en-IE"/>
        </w:rPr>
        <w:t xml:space="preserve">found to have a positive impact on the export performance of </w:t>
      </w:r>
      <w:r w:rsidR="0059370B" w:rsidRPr="00C73908">
        <w:rPr>
          <w:rFonts w:ascii="Times New Roman" w:hAnsi="Times New Roman" w:cs="Times New Roman"/>
          <w:lang w:val="en-IE"/>
        </w:rPr>
        <w:t>manufacturers</w:t>
      </w:r>
      <w:r w:rsidR="00DC1060" w:rsidRPr="00C73908">
        <w:rPr>
          <w:rFonts w:ascii="Times New Roman" w:hAnsi="Times New Roman" w:cs="Times New Roman"/>
          <w:lang w:val="en-IE"/>
        </w:rPr>
        <w:t xml:space="preserve">. </w:t>
      </w:r>
      <w:r w:rsidR="00052974" w:rsidRPr="00C73908">
        <w:rPr>
          <w:rFonts w:ascii="Times New Roman" w:hAnsi="Times New Roman" w:cs="Times New Roman"/>
          <w:lang w:val="en-IE"/>
        </w:rPr>
        <w:t xml:space="preserve">This includes </w:t>
      </w:r>
      <w:r w:rsidR="00A738A2" w:rsidRPr="00C73908">
        <w:rPr>
          <w:rFonts w:ascii="Times New Roman" w:hAnsi="Times New Roman" w:cs="Times New Roman"/>
          <w:lang w:val="en-IE"/>
        </w:rPr>
        <w:t>supports such as the Strategic Market</w:t>
      </w:r>
      <w:r w:rsidR="001D61F5" w:rsidRPr="00C73908">
        <w:rPr>
          <w:rFonts w:ascii="Times New Roman" w:hAnsi="Times New Roman" w:cs="Times New Roman"/>
          <w:lang w:val="en-IE"/>
        </w:rPr>
        <w:t>ing</w:t>
      </w:r>
      <w:r w:rsidR="00A738A2" w:rsidRPr="00C73908">
        <w:rPr>
          <w:rFonts w:ascii="Times New Roman" w:hAnsi="Times New Roman" w:cs="Times New Roman"/>
          <w:lang w:val="en-IE"/>
        </w:rPr>
        <w:t xml:space="preserve"> Review in which</w:t>
      </w:r>
      <w:r w:rsidR="00052974" w:rsidRPr="00C73908">
        <w:rPr>
          <w:rFonts w:ascii="Times New Roman" w:hAnsi="Times New Roman" w:cs="Times New Roman"/>
          <w:lang w:val="en-IE"/>
        </w:rPr>
        <w:t xml:space="preserve"> </w:t>
      </w:r>
      <w:r w:rsidR="00A738A2" w:rsidRPr="00C73908">
        <w:rPr>
          <w:rFonts w:ascii="Times New Roman" w:hAnsi="Times New Roman" w:cs="Times New Roman"/>
          <w:lang w:val="en-IE"/>
        </w:rPr>
        <w:t xml:space="preserve">companies carry out an extensive review of their export strategy to </w:t>
      </w:r>
      <w:r w:rsidR="00A425C7" w:rsidRPr="00C73908">
        <w:rPr>
          <w:rFonts w:ascii="Times New Roman" w:hAnsi="Times New Roman" w:cs="Times New Roman"/>
          <w:lang w:val="en-IE"/>
        </w:rPr>
        <w:t xml:space="preserve">identify persistent challenges and potential growth opportunities. </w:t>
      </w:r>
      <w:r w:rsidR="00DC1060" w:rsidRPr="00C73908">
        <w:rPr>
          <w:rFonts w:ascii="Times New Roman" w:hAnsi="Times New Roman" w:cs="Times New Roman"/>
          <w:lang w:val="en-IE"/>
        </w:rPr>
        <w:t>The effect is in</w:t>
      </w:r>
      <w:r w:rsidR="0059370B" w:rsidRPr="00C73908">
        <w:rPr>
          <w:rFonts w:ascii="Times New Roman" w:hAnsi="Times New Roman" w:cs="Times New Roman"/>
          <w:lang w:val="en-IE"/>
        </w:rPr>
        <w:t>significant for services companies</w:t>
      </w:r>
      <w:r w:rsidR="00DC1060" w:rsidRPr="00C73908">
        <w:rPr>
          <w:rFonts w:ascii="Times New Roman" w:hAnsi="Times New Roman" w:cs="Times New Roman"/>
          <w:lang w:val="en-IE"/>
        </w:rPr>
        <w:t xml:space="preserve"> </w:t>
      </w:r>
      <w:r w:rsidR="003640DE" w:rsidRPr="00C73908">
        <w:rPr>
          <w:rFonts w:ascii="Times New Roman" w:hAnsi="Times New Roman" w:cs="Times New Roman"/>
          <w:lang w:val="en-IE"/>
        </w:rPr>
        <w:t xml:space="preserve">although there is a weakly significant </w:t>
      </w:r>
      <w:r w:rsidR="00735D67" w:rsidRPr="00C73908">
        <w:rPr>
          <w:rFonts w:ascii="Times New Roman" w:hAnsi="Times New Roman" w:cs="Times New Roman"/>
          <w:lang w:val="en-IE"/>
        </w:rPr>
        <w:t xml:space="preserve">positive </w:t>
      </w:r>
      <w:r w:rsidR="003640DE" w:rsidRPr="00C73908">
        <w:rPr>
          <w:rFonts w:ascii="Times New Roman" w:hAnsi="Times New Roman" w:cs="Times New Roman"/>
          <w:lang w:val="en-IE"/>
        </w:rPr>
        <w:t>coefficient in the fixed effects model</w:t>
      </w:r>
      <w:r w:rsidR="0059370B" w:rsidRPr="00C73908">
        <w:rPr>
          <w:rFonts w:ascii="Times New Roman" w:hAnsi="Times New Roman" w:cs="Times New Roman"/>
          <w:lang w:val="en-IE"/>
        </w:rPr>
        <w:t>.</w:t>
      </w:r>
      <w:r w:rsidR="00D64932" w:rsidRPr="00C73908">
        <w:rPr>
          <w:rFonts w:ascii="Times New Roman" w:hAnsi="Times New Roman" w:cs="Times New Roman"/>
          <w:lang w:val="en-IE"/>
        </w:rPr>
        <w:t xml:space="preserve"> The findings here are broadly in line with the majority of international empirical studies which also identify positive effects of similar export promotion policies on firm-level exports (Van Biesebroeck et al., 2016).</w:t>
      </w:r>
    </w:p>
    <w:p w14:paraId="47991560" w14:textId="35371EDB" w:rsidR="008B219D" w:rsidRDefault="00486A2C" w:rsidP="00321FCF">
      <w:pPr>
        <w:spacing w:after="240" w:line="360" w:lineRule="auto"/>
        <w:jc w:val="both"/>
        <w:rPr>
          <w:rFonts w:ascii="Times New Roman" w:hAnsi="Times New Roman" w:cs="Times New Roman"/>
          <w:lang w:val="en-IE"/>
        </w:rPr>
      </w:pPr>
      <w:r>
        <w:rPr>
          <w:rFonts w:ascii="Times New Roman" w:hAnsi="Times New Roman" w:cs="Times New Roman"/>
          <w:b/>
          <w:bCs/>
          <w:color w:val="0070C0"/>
          <w:lang w:val="en-IE"/>
        </w:rPr>
        <w:t>Firm Age</w:t>
      </w:r>
      <w:r w:rsidRPr="00486A2C">
        <w:rPr>
          <w:rFonts w:ascii="Times New Roman" w:hAnsi="Times New Roman" w:cs="Times New Roman"/>
          <w:b/>
          <w:bCs/>
          <w:color w:val="0070C0"/>
          <w:lang w:val="en-IE"/>
        </w:rPr>
        <w:t>:</w:t>
      </w:r>
      <w:r>
        <w:rPr>
          <w:rFonts w:ascii="Times New Roman" w:hAnsi="Times New Roman" w:cs="Times New Roman"/>
          <w:lang w:val="en-IE"/>
        </w:rPr>
        <w:t xml:space="preserve"> </w:t>
      </w:r>
      <w:r w:rsidR="00EA7806" w:rsidRPr="00C73908">
        <w:rPr>
          <w:rFonts w:ascii="Times New Roman" w:hAnsi="Times New Roman" w:cs="Times New Roman"/>
          <w:lang w:val="en-IE"/>
        </w:rPr>
        <w:t>A negative relationship is observed between f</w:t>
      </w:r>
      <w:r w:rsidR="00C7726D" w:rsidRPr="00C73908">
        <w:rPr>
          <w:rFonts w:ascii="Times New Roman" w:hAnsi="Times New Roman" w:cs="Times New Roman"/>
          <w:lang w:val="en-IE"/>
        </w:rPr>
        <w:t xml:space="preserve">irm age </w:t>
      </w:r>
      <w:r w:rsidR="00EA7806" w:rsidRPr="00C73908">
        <w:rPr>
          <w:rFonts w:ascii="Times New Roman" w:hAnsi="Times New Roman" w:cs="Times New Roman"/>
          <w:lang w:val="en-IE"/>
        </w:rPr>
        <w:t xml:space="preserve">and </w:t>
      </w:r>
      <w:r w:rsidR="00CA6AC6" w:rsidRPr="00C73908">
        <w:rPr>
          <w:rFonts w:ascii="Times New Roman" w:hAnsi="Times New Roman" w:cs="Times New Roman"/>
          <w:lang w:val="en-IE"/>
        </w:rPr>
        <w:t>export</w:t>
      </w:r>
      <w:r w:rsidR="0083312C" w:rsidRPr="00C73908">
        <w:rPr>
          <w:rFonts w:ascii="Times New Roman" w:hAnsi="Times New Roman" w:cs="Times New Roman"/>
          <w:lang w:val="en-IE"/>
        </w:rPr>
        <w:t xml:space="preserve"> level</w:t>
      </w:r>
      <w:r w:rsidR="00CA6AC6" w:rsidRPr="00C73908">
        <w:rPr>
          <w:rFonts w:ascii="Times New Roman" w:hAnsi="Times New Roman" w:cs="Times New Roman"/>
          <w:lang w:val="en-IE"/>
        </w:rPr>
        <w:t>s</w:t>
      </w:r>
      <w:r w:rsidR="002B3175" w:rsidRPr="00C73908">
        <w:rPr>
          <w:rFonts w:ascii="Times New Roman" w:hAnsi="Times New Roman" w:cs="Times New Roman"/>
          <w:lang w:val="en-IE"/>
        </w:rPr>
        <w:t xml:space="preserve"> in both sectors</w:t>
      </w:r>
      <w:r w:rsidR="00CA6AC6" w:rsidRPr="00C73908">
        <w:rPr>
          <w:rFonts w:ascii="Times New Roman" w:hAnsi="Times New Roman" w:cs="Times New Roman"/>
          <w:lang w:val="en-IE"/>
        </w:rPr>
        <w:t xml:space="preserve"> after firm size and lagged export values are taken into account</w:t>
      </w:r>
      <w:r w:rsidR="00B320D5" w:rsidRPr="00C73908">
        <w:rPr>
          <w:rFonts w:ascii="Times New Roman" w:hAnsi="Times New Roman" w:cs="Times New Roman"/>
          <w:lang w:val="en-IE"/>
        </w:rPr>
        <w:t>.</w:t>
      </w:r>
      <w:r w:rsidR="002B3175" w:rsidRPr="00C73908">
        <w:rPr>
          <w:rFonts w:ascii="Times New Roman" w:hAnsi="Times New Roman" w:cs="Times New Roman"/>
          <w:lang w:val="en-IE"/>
        </w:rPr>
        <w:t xml:space="preserve"> </w:t>
      </w:r>
      <w:r w:rsidR="00E55FC6" w:rsidRPr="00C73908">
        <w:rPr>
          <w:rFonts w:ascii="Times New Roman" w:hAnsi="Times New Roman" w:cs="Times New Roman"/>
          <w:lang w:val="en-IE"/>
        </w:rPr>
        <w:t xml:space="preserve">This </w:t>
      </w:r>
      <w:r w:rsidR="007406D6" w:rsidRPr="00C73908">
        <w:rPr>
          <w:rFonts w:ascii="Times New Roman" w:hAnsi="Times New Roman" w:cs="Times New Roman"/>
          <w:lang w:val="en-IE"/>
        </w:rPr>
        <w:t>relationship</w:t>
      </w:r>
      <w:r w:rsidR="007E33DB" w:rsidRPr="00C73908">
        <w:rPr>
          <w:rFonts w:ascii="Times New Roman" w:hAnsi="Times New Roman" w:cs="Times New Roman"/>
          <w:lang w:val="en-IE"/>
        </w:rPr>
        <w:t xml:space="preserve"> is likely due to the presence of a large proportion of </w:t>
      </w:r>
      <w:r w:rsidR="00F0446F" w:rsidRPr="00C73908">
        <w:rPr>
          <w:rFonts w:ascii="Times New Roman" w:hAnsi="Times New Roman" w:cs="Times New Roman"/>
          <w:lang w:val="en-IE"/>
        </w:rPr>
        <w:t>start-up</w:t>
      </w:r>
      <w:r w:rsidR="005E2B56" w:rsidRPr="00C73908">
        <w:rPr>
          <w:rFonts w:ascii="Times New Roman" w:hAnsi="Times New Roman" w:cs="Times New Roman"/>
          <w:lang w:val="en-IE"/>
        </w:rPr>
        <w:t xml:space="preserve"> </w:t>
      </w:r>
      <w:r w:rsidR="00E87E2C" w:rsidRPr="00C73908">
        <w:rPr>
          <w:rFonts w:ascii="Times New Roman" w:hAnsi="Times New Roman" w:cs="Times New Roman"/>
          <w:lang w:val="en-IE"/>
        </w:rPr>
        <w:t>companies in the EI client base</w:t>
      </w:r>
      <w:r w:rsidR="005E2B56" w:rsidRPr="00C73908">
        <w:rPr>
          <w:rFonts w:ascii="Times New Roman" w:hAnsi="Times New Roman" w:cs="Times New Roman"/>
          <w:lang w:val="en-IE"/>
        </w:rPr>
        <w:t xml:space="preserve"> which</w:t>
      </w:r>
      <w:r w:rsidR="00A508FA" w:rsidRPr="00C73908">
        <w:rPr>
          <w:rFonts w:ascii="Times New Roman" w:hAnsi="Times New Roman" w:cs="Times New Roman"/>
          <w:lang w:val="en-IE"/>
        </w:rPr>
        <w:t xml:space="preserve"> tend to be</w:t>
      </w:r>
      <w:r w:rsidR="00E65E2C" w:rsidRPr="00C73908">
        <w:rPr>
          <w:rFonts w:ascii="Times New Roman" w:hAnsi="Times New Roman" w:cs="Times New Roman"/>
          <w:lang w:val="en-IE"/>
        </w:rPr>
        <w:t xml:space="preserve"> </w:t>
      </w:r>
      <w:r w:rsidR="00A508FA" w:rsidRPr="00C73908">
        <w:rPr>
          <w:rFonts w:ascii="Times New Roman" w:hAnsi="Times New Roman" w:cs="Times New Roman"/>
          <w:lang w:val="en-IE"/>
        </w:rPr>
        <w:t xml:space="preserve">heavily </w:t>
      </w:r>
      <w:r w:rsidR="00596062" w:rsidRPr="00C73908">
        <w:rPr>
          <w:rFonts w:ascii="Times New Roman" w:hAnsi="Times New Roman" w:cs="Times New Roman"/>
          <w:lang w:val="en-IE"/>
        </w:rPr>
        <w:t>export</w:t>
      </w:r>
      <w:r w:rsidR="009467CA" w:rsidRPr="00C73908">
        <w:rPr>
          <w:rFonts w:ascii="Times New Roman" w:hAnsi="Times New Roman" w:cs="Times New Roman"/>
          <w:lang w:val="en-IE"/>
        </w:rPr>
        <w:t>-orientated</w:t>
      </w:r>
      <w:r w:rsidR="00B17347" w:rsidRPr="00C73908">
        <w:rPr>
          <w:rFonts w:ascii="Times New Roman" w:hAnsi="Times New Roman" w:cs="Times New Roman"/>
          <w:lang w:val="en-IE"/>
        </w:rPr>
        <w:t xml:space="preserve"> </w:t>
      </w:r>
      <w:r w:rsidR="00E65E2C" w:rsidRPr="00C73908">
        <w:rPr>
          <w:rFonts w:ascii="Times New Roman" w:hAnsi="Times New Roman" w:cs="Times New Roman"/>
          <w:lang w:val="en-IE"/>
        </w:rPr>
        <w:t>from an early stage.</w:t>
      </w:r>
      <w:r w:rsidR="00111CC6" w:rsidRPr="00C73908">
        <w:rPr>
          <w:rFonts w:ascii="Times New Roman" w:hAnsi="Times New Roman" w:cs="Times New Roman"/>
          <w:lang w:val="en-IE"/>
        </w:rPr>
        <w:t xml:space="preserve"> </w:t>
      </w:r>
      <w:r w:rsidR="00F4707F" w:rsidRPr="00C73908">
        <w:rPr>
          <w:rFonts w:ascii="Times New Roman" w:hAnsi="Times New Roman" w:cs="Times New Roman"/>
          <w:lang w:val="en-IE"/>
        </w:rPr>
        <w:t>The sample includes over 600 companies which received equity funding</w:t>
      </w:r>
      <w:r w:rsidR="00DB3AA4" w:rsidRPr="00C73908">
        <w:rPr>
          <w:rFonts w:ascii="Times New Roman" w:hAnsi="Times New Roman" w:cs="Times New Roman"/>
          <w:lang w:val="en-IE"/>
        </w:rPr>
        <w:t xml:space="preserve"> from EI</w:t>
      </w:r>
      <w:r w:rsidR="00B17347" w:rsidRPr="00C73908">
        <w:rPr>
          <w:rFonts w:ascii="Times New Roman" w:hAnsi="Times New Roman" w:cs="Times New Roman"/>
          <w:lang w:val="en-IE"/>
        </w:rPr>
        <w:t xml:space="preserve"> </w:t>
      </w:r>
      <w:r w:rsidR="00DB3AA4" w:rsidRPr="00C73908">
        <w:rPr>
          <w:rFonts w:ascii="Times New Roman" w:hAnsi="Times New Roman" w:cs="Times New Roman"/>
          <w:lang w:val="en-IE"/>
        </w:rPr>
        <w:t>as part of the</w:t>
      </w:r>
      <w:r w:rsidR="008322D9" w:rsidRPr="00C73908">
        <w:rPr>
          <w:rFonts w:ascii="Times New Roman" w:hAnsi="Times New Roman" w:cs="Times New Roman"/>
          <w:lang w:val="en-IE"/>
        </w:rPr>
        <w:t xml:space="preserve"> High Potential Start-Up</w:t>
      </w:r>
      <w:r w:rsidR="001C26F5" w:rsidRPr="00C73908">
        <w:rPr>
          <w:rFonts w:ascii="Times New Roman" w:hAnsi="Times New Roman" w:cs="Times New Roman"/>
          <w:lang w:val="en-IE"/>
        </w:rPr>
        <w:t xml:space="preserve"> (HPSU)</w:t>
      </w:r>
      <w:r w:rsidR="00C216B9" w:rsidRPr="00C73908">
        <w:rPr>
          <w:rFonts w:ascii="Times New Roman" w:hAnsi="Times New Roman" w:cs="Times New Roman"/>
          <w:lang w:val="en-IE"/>
        </w:rPr>
        <w:t xml:space="preserve"> </w:t>
      </w:r>
      <w:r w:rsidR="001C26F5" w:rsidRPr="00C73908">
        <w:rPr>
          <w:rFonts w:ascii="Times New Roman" w:hAnsi="Times New Roman" w:cs="Times New Roman"/>
          <w:lang w:val="en-IE"/>
        </w:rPr>
        <w:t>fund.</w:t>
      </w:r>
      <w:r w:rsidR="00B472BF" w:rsidRPr="00C73908">
        <w:rPr>
          <w:rFonts w:ascii="Times New Roman" w:hAnsi="Times New Roman" w:cs="Times New Roman"/>
          <w:lang w:val="en-IE"/>
        </w:rPr>
        <w:t xml:space="preserve"> </w:t>
      </w:r>
      <w:r w:rsidR="009C722B" w:rsidRPr="00C73908">
        <w:rPr>
          <w:rFonts w:ascii="Times New Roman" w:hAnsi="Times New Roman" w:cs="Times New Roman"/>
          <w:lang w:val="en-IE"/>
        </w:rPr>
        <w:t xml:space="preserve">HPSU funding is provided to </w:t>
      </w:r>
      <w:r w:rsidR="00DA0D87" w:rsidRPr="00C73908">
        <w:rPr>
          <w:rFonts w:ascii="Times New Roman" w:hAnsi="Times New Roman" w:cs="Times New Roman"/>
          <w:lang w:val="en-IE"/>
        </w:rPr>
        <w:t xml:space="preserve">innovative start-ups </w:t>
      </w:r>
      <w:r w:rsidR="001C3C9A" w:rsidRPr="00C73908">
        <w:rPr>
          <w:rFonts w:ascii="Times New Roman" w:hAnsi="Times New Roman" w:cs="Times New Roman"/>
          <w:lang w:val="en-IE"/>
        </w:rPr>
        <w:t xml:space="preserve">no more than 5 years old </w:t>
      </w:r>
      <w:r w:rsidR="00DA0D87" w:rsidRPr="00C73908">
        <w:rPr>
          <w:rFonts w:ascii="Times New Roman" w:hAnsi="Times New Roman" w:cs="Times New Roman"/>
          <w:lang w:val="en-IE"/>
        </w:rPr>
        <w:t xml:space="preserve">that can develop new technologies, products or services </w:t>
      </w:r>
      <w:r w:rsidR="00AF11AB" w:rsidRPr="00C73908">
        <w:rPr>
          <w:rFonts w:ascii="Times New Roman" w:hAnsi="Times New Roman" w:cs="Times New Roman"/>
          <w:lang w:val="en-IE"/>
        </w:rPr>
        <w:t xml:space="preserve">and have the potential to </w:t>
      </w:r>
      <w:r w:rsidR="00A852FB" w:rsidRPr="00C73908">
        <w:rPr>
          <w:rFonts w:ascii="Times New Roman" w:hAnsi="Times New Roman" w:cs="Times New Roman"/>
          <w:lang w:val="en-IE"/>
        </w:rPr>
        <w:t>sell</w:t>
      </w:r>
      <w:r w:rsidR="00596062" w:rsidRPr="00C73908">
        <w:rPr>
          <w:rFonts w:ascii="Times New Roman" w:hAnsi="Times New Roman" w:cs="Times New Roman"/>
          <w:lang w:val="en-IE"/>
        </w:rPr>
        <w:t xml:space="preserve"> into international markets.</w:t>
      </w:r>
      <w:r w:rsidR="009467CA" w:rsidRPr="00C73908">
        <w:rPr>
          <w:rFonts w:ascii="Times New Roman" w:hAnsi="Times New Roman" w:cs="Times New Roman"/>
          <w:lang w:val="en-IE"/>
        </w:rPr>
        <w:t xml:space="preserve"> </w:t>
      </w:r>
      <w:r w:rsidR="00F0446F" w:rsidRPr="00C73908">
        <w:rPr>
          <w:rFonts w:ascii="Times New Roman" w:hAnsi="Times New Roman" w:cs="Times New Roman"/>
          <w:lang w:val="en-IE"/>
        </w:rPr>
        <w:t xml:space="preserve">These </w:t>
      </w:r>
      <w:r w:rsidR="00051122" w:rsidRPr="00C73908">
        <w:rPr>
          <w:rFonts w:ascii="Times New Roman" w:hAnsi="Times New Roman" w:cs="Times New Roman"/>
          <w:lang w:val="en-IE"/>
        </w:rPr>
        <w:t>start-ups</w:t>
      </w:r>
      <w:r w:rsidR="00F0446F" w:rsidRPr="00C73908">
        <w:rPr>
          <w:rFonts w:ascii="Times New Roman" w:hAnsi="Times New Roman" w:cs="Times New Roman"/>
          <w:lang w:val="en-IE"/>
        </w:rPr>
        <w:t xml:space="preserve"> generally fit the description of ‘born global’ </w:t>
      </w:r>
      <w:r w:rsidR="00051122" w:rsidRPr="00C73908">
        <w:rPr>
          <w:rFonts w:ascii="Times New Roman" w:hAnsi="Times New Roman" w:cs="Times New Roman"/>
          <w:lang w:val="en-IE"/>
        </w:rPr>
        <w:t xml:space="preserve">companies as outlined by </w:t>
      </w:r>
      <w:r w:rsidR="004B71AF" w:rsidRPr="00C73908">
        <w:rPr>
          <w:rFonts w:ascii="Times New Roman" w:hAnsi="Times New Roman" w:cs="Times New Roman"/>
          <w:lang w:val="en-IE"/>
        </w:rPr>
        <w:t>Oviatt &amp; McD</w:t>
      </w:r>
      <w:r w:rsidR="00021BC9" w:rsidRPr="00C73908">
        <w:rPr>
          <w:rFonts w:ascii="Times New Roman" w:hAnsi="Times New Roman" w:cs="Times New Roman"/>
          <w:lang w:val="en-IE"/>
        </w:rPr>
        <w:t>ougall</w:t>
      </w:r>
      <w:r w:rsidR="00051122" w:rsidRPr="00C73908">
        <w:rPr>
          <w:rFonts w:ascii="Times New Roman" w:hAnsi="Times New Roman" w:cs="Times New Roman"/>
          <w:lang w:val="en-IE"/>
        </w:rPr>
        <w:t xml:space="preserve"> (1994). </w:t>
      </w:r>
      <w:r w:rsidR="00566AA5" w:rsidRPr="00C73908">
        <w:rPr>
          <w:rFonts w:ascii="Times New Roman" w:hAnsi="Times New Roman" w:cs="Times New Roman"/>
          <w:lang w:val="en-IE"/>
        </w:rPr>
        <w:t xml:space="preserve">This cohort of companies </w:t>
      </w:r>
      <w:r w:rsidR="00984EAD" w:rsidRPr="00C73908">
        <w:rPr>
          <w:rFonts w:ascii="Times New Roman" w:hAnsi="Times New Roman" w:cs="Times New Roman"/>
          <w:lang w:val="en-IE"/>
        </w:rPr>
        <w:t>had</w:t>
      </w:r>
      <w:r w:rsidR="00566AA5" w:rsidRPr="00C73908">
        <w:rPr>
          <w:rFonts w:ascii="Times New Roman" w:hAnsi="Times New Roman" w:cs="Times New Roman"/>
          <w:lang w:val="en-IE"/>
        </w:rPr>
        <w:t xml:space="preserve"> a </w:t>
      </w:r>
      <w:r w:rsidR="00FB565F" w:rsidRPr="00C73908">
        <w:rPr>
          <w:rFonts w:ascii="Times New Roman" w:hAnsi="Times New Roman" w:cs="Times New Roman"/>
          <w:lang w:val="en-IE"/>
        </w:rPr>
        <w:t xml:space="preserve">median </w:t>
      </w:r>
      <w:r w:rsidR="00984EAD" w:rsidRPr="00C73908">
        <w:rPr>
          <w:rFonts w:ascii="Times New Roman" w:hAnsi="Times New Roman" w:cs="Times New Roman"/>
          <w:lang w:val="en-IE"/>
        </w:rPr>
        <w:t xml:space="preserve">export </w:t>
      </w:r>
      <w:r w:rsidR="005F5D97" w:rsidRPr="00C73908">
        <w:rPr>
          <w:rFonts w:ascii="Times New Roman" w:hAnsi="Times New Roman" w:cs="Times New Roman"/>
          <w:lang w:val="en-IE"/>
        </w:rPr>
        <w:t xml:space="preserve">intensity of </w:t>
      </w:r>
      <w:r w:rsidR="00FB565F" w:rsidRPr="00C73908">
        <w:rPr>
          <w:rFonts w:ascii="Times New Roman" w:hAnsi="Times New Roman" w:cs="Times New Roman"/>
          <w:lang w:val="en-IE"/>
        </w:rPr>
        <w:t>82</w:t>
      </w:r>
      <w:r w:rsidR="005F5D97" w:rsidRPr="00C73908">
        <w:rPr>
          <w:rFonts w:ascii="Times New Roman" w:hAnsi="Times New Roman" w:cs="Times New Roman"/>
          <w:lang w:val="en-IE"/>
        </w:rPr>
        <w:t xml:space="preserve">% </w:t>
      </w:r>
      <w:r w:rsidR="00984EAD" w:rsidRPr="00C73908">
        <w:rPr>
          <w:rFonts w:ascii="Times New Roman" w:hAnsi="Times New Roman" w:cs="Times New Roman"/>
          <w:lang w:val="en-IE"/>
        </w:rPr>
        <w:t xml:space="preserve">in 2019 </w:t>
      </w:r>
      <w:r w:rsidR="005F5D97" w:rsidRPr="00C73908">
        <w:rPr>
          <w:rFonts w:ascii="Times New Roman" w:hAnsi="Times New Roman" w:cs="Times New Roman"/>
          <w:lang w:val="en-IE"/>
        </w:rPr>
        <w:t xml:space="preserve">compared </w:t>
      </w:r>
      <w:r w:rsidR="00AF4B9A" w:rsidRPr="00C73908">
        <w:rPr>
          <w:rFonts w:ascii="Times New Roman" w:hAnsi="Times New Roman" w:cs="Times New Roman"/>
          <w:lang w:val="en-IE"/>
        </w:rPr>
        <w:t>with</w:t>
      </w:r>
      <w:r w:rsidR="005F5D97" w:rsidRPr="00C73908">
        <w:rPr>
          <w:rFonts w:ascii="Times New Roman" w:hAnsi="Times New Roman" w:cs="Times New Roman"/>
          <w:lang w:val="en-IE"/>
        </w:rPr>
        <w:t xml:space="preserve"> </w:t>
      </w:r>
      <w:r w:rsidR="00FB565F" w:rsidRPr="00C73908">
        <w:rPr>
          <w:rFonts w:ascii="Times New Roman" w:hAnsi="Times New Roman" w:cs="Times New Roman"/>
          <w:lang w:val="en-IE"/>
        </w:rPr>
        <w:t>28</w:t>
      </w:r>
      <w:r w:rsidR="005F5D97" w:rsidRPr="00C73908">
        <w:rPr>
          <w:rFonts w:ascii="Times New Roman" w:hAnsi="Times New Roman" w:cs="Times New Roman"/>
          <w:lang w:val="en-IE"/>
        </w:rPr>
        <w:t>% for all other companies in the sample.</w:t>
      </w:r>
    </w:p>
    <w:p w14:paraId="7E59D5A6" w14:textId="308DB658" w:rsidR="00C7726D" w:rsidRPr="00C73908" w:rsidRDefault="00984EAD" w:rsidP="00321FCF">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Previous</w:t>
      </w:r>
      <w:r w:rsidR="000B7501" w:rsidRPr="00C73908">
        <w:rPr>
          <w:rFonts w:ascii="Times New Roman" w:hAnsi="Times New Roman" w:cs="Times New Roman"/>
          <w:lang w:val="en-IE"/>
        </w:rPr>
        <w:t xml:space="preserve"> empirical</w:t>
      </w:r>
      <w:r w:rsidRPr="00C73908">
        <w:rPr>
          <w:rFonts w:ascii="Times New Roman" w:hAnsi="Times New Roman" w:cs="Times New Roman"/>
          <w:lang w:val="en-IE"/>
        </w:rPr>
        <w:t xml:space="preserve"> studies on firm-level </w:t>
      </w:r>
      <w:r w:rsidR="0004164A" w:rsidRPr="00C73908">
        <w:rPr>
          <w:rFonts w:ascii="Times New Roman" w:hAnsi="Times New Roman" w:cs="Times New Roman"/>
          <w:lang w:val="en-IE"/>
        </w:rPr>
        <w:t xml:space="preserve">export </w:t>
      </w:r>
      <w:r w:rsidR="00294576" w:rsidRPr="00C73908">
        <w:rPr>
          <w:rFonts w:ascii="Times New Roman" w:hAnsi="Times New Roman" w:cs="Times New Roman"/>
          <w:lang w:val="en-IE"/>
        </w:rPr>
        <w:t xml:space="preserve">determinants in Ireland </w:t>
      </w:r>
      <w:r w:rsidR="00300D79" w:rsidRPr="00C73908">
        <w:rPr>
          <w:rFonts w:ascii="Times New Roman" w:hAnsi="Times New Roman" w:cs="Times New Roman"/>
          <w:lang w:val="en-IE"/>
        </w:rPr>
        <w:t xml:space="preserve">also </w:t>
      </w:r>
      <w:r w:rsidR="006A2A3E" w:rsidRPr="00C73908">
        <w:rPr>
          <w:rFonts w:ascii="Times New Roman" w:hAnsi="Times New Roman" w:cs="Times New Roman"/>
          <w:lang w:val="en-IE"/>
        </w:rPr>
        <w:t>outline</w:t>
      </w:r>
      <w:r w:rsidR="00294576" w:rsidRPr="00C73908">
        <w:rPr>
          <w:rFonts w:ascii="Times New Roman" w:hAnsi="Times New Roman" w:cs="Times New Roman"/>
          <w:lang w:val="en-IE"/>
        </w:rPr>
        <w:t xml:space="preserve"> a </w:t>
      </w:r>
      <w:r w:rsidR="00300D79" w:rsidRPr="00C73908">
        <w:rPr>
          <w:rFonts w:ascii="Times New Roman" w:hAnsi="Times New Roman" w:cs="Times New Roman"/>
          <w:lang w:val="en-IE"/>
        </w:rPr>
        <w:t>similar</w:t>
      </w:r>
      <w:r w:rsidR="00294576" w:rsidRPr="00C73908">
        <w:rPr>
          <w:rFonts w:ascii="Times New Roman" w:hAnsi="Times New Roman" w:cs="Times New Roman"/>
          <w:lang w:val="en-IE"/>
        </w:rPr>
        <w:t xml:space="preserve"> relationship</w:t>
      </w:r>
      <w:r w:rsidR="006A2A3E" w:rsidRPr="00C73908">
        <w:rPr>
          <w:rFonts w:ascii="Times New Roman" w:hAnsi="Times New Roman" w:cs="Times New Roman"/>
          <w:lang w:val="en-IE"/>
        </w:rPr>
        <w:t xml:space="preserve"> between </w:t>
      </w:r>
      <w:r w:rsidR="00723018" w:rsidRPr="00C73908">
        <w:rPr>
          <w:rFonts w:ascii="Times New Roman" w:hAnsi="Times New Roman" w:cs="Times New Roman"/>
          <w:lang w:val="en-IE"/>
        </w:rPr>
        <w:t>age and exporting</w:t>
      </w:r>
      <w:r w:rsidR="0004164A" w:rsidRPr="00C73908">
        <w:rPr>
          <w:rFonts w:ascii="Times New Roman" w:hAnsi="Times New Roman" w:cs="Times New Roman"/>
          <w:lang w:val="en-IE"/>
        </w:rPr>
        <w:t xml:space="preserve">. Roper </w:t>
      </w:r>
      <w:r w:rsidR="00D4674B" w:rsidRPr="00C73908">
        <w:rPr>
          <w:rFonts w:ascii="Times New Roman" w:hAnsi="Times New Roman" w:cs="Times New Roman"/>
          <w:lang w:val="en-IE"/>
        </w:rPr>
        <w:t>et al.</w:t>
      </w:r>
      <w:r w:rsidR="0004164A" w:rsidRPr="00C73908">
        <w:rPr>
          <w:rFonts w:ascii="Times New Roman" w:hAnsi="Times New Roman" w:cs="Times New Roman"/>
          <w:lang w:val="en-IE"/>
        </w:rPr>
        <w:t xml:space="preserve"> </w:t>
      </w:r>
      <w:r w:rsidR="00203317" w:rsidRPr="00C73908">
        <w:rPr>
          <w:rFonts w:ascii="Times New Roman" w:hAnsi="Times New Roman" w:cs="Times New Roman"/>
          <w:lang w:val="en-IE"/>
        </w:rPr>
        <w:t>(200</w:t>
      </w:r>
      <w:r w:rsidR="00D4674B" w:rsidRPr="00C73908">
        <w:rPr>
          <w:rFonts w:ascii="Times New Roman" w:hAnsi="Times New Roman" w:cs="Times New Roman"/>
          <w:lang w:val="en-IE"/>
        </w:rPr>
        <w:t>6</w:t>
      </w:r>
      <w:r w:rsidR="00203317" w:rsidRPr="00C73908">
        <w:rPr>
          <w:rFonts w:ascii="Times New Roman" w:hAnsi="Times New Roman" w:cs="Times New Roman"/>
          <w:lang w:val="en-IE"/>
        </w:rPr>
        <w:t xml:space="preserve">) </w:t>
      </w:r>
      <w:r w:rsidR="00300D79" w:rsidRPr="00C73908">
        <w:rPr>
          <w:rFonts w:ascii="Times New Roman" w:hAnsi="Times New Roman" w:cs="Times New Roman"/>
          <w:lang w:val="en-IE"/>
        </w:rPr>
        <w:t xml:space="preserve">find that </w:t>
      </w:r>
      <w:r w:rsidR="00710D87" w:rsidRPr="00C73908">
        <w:rPr>
          <w:rFonts w:ascii="Times New Roman" w:hAnsi="Times New Roman" w:cs="Times New Roman"/>
          <w:lang w:val="en-IE"/>
        </w:rPr>
        <w:t xml:space="preserve">younger </w:t>
      </w:r>
      <w:r w:rsidR="00723018" w:rsidRPr="00C73908">
        <w:rPr>
          <w:rFonts w:ascii="Times New Roman" w:hAnsi="Times New Roman" w:cs="Times New Roman"/>
          <w:lang w:val="en-IE"/>
        </w:rPr>
        <w:t xml:space="preserve">indigenous </w:t>
      </w:r>
      <w:r w:rsidR="00710D87" w:rsidRPr="00C73908">
        <w:rPr>
          <w:rFonts w:ascii="Times New Roman" w:hAnsi="Times New Roman" w:cs="Times New Roman"/>
          <w:lang w:val="en-IE"/>
        </w:rPr>
        <w:t xml:space="preserve">manufacturing </w:t>
      </w:r>
      <w:r w:rsidR="00E15CA7" w:rsidRPr="00C73908">
        <w:rPr>
          <w:rFonts w:ascii="Times New Roman" w:hAnsi="Times New Roman" w:cs="Times New Roman"/>
          <w:lang w:val="en-IE"/>
        </w:rPr>
        <w:t>plant</w:t>
      </w:r>
      <w:r w:rsidR="00B22CAA" w:rsidRPr="00C73908">
        <w:rPr>
          <w:rFonts w:ascii="Times New Roman" w:hAnsi="Times New Roman" w:cs="Times New Roman"/>
          <w:lang w:val="en-IE"/>
        </w:rPr>
        <w:t xml:space="preserve">s </w:t>
      </w:r>
      <w:r w:rsidR="00723018" w:rsidRPr="00C73908">
        <w:rPr>
          <w:rFonts w:ascii="Times New Roman" w:hAnsi="Times New Roman" w:cs="Times New Roman"/>
          <w:lang w:val="en-IE"/>
        </w:rPr>
        <w:t xml:space="preserve">in the Republic of Ireland </w:t>
      </w:r>
      <w:r w:rsidR="00B22CAA" w:rsidRPr="00C73908">
        <w:rPr>
          <w:rFonts w:ascii="Times New Roman" w:hAnsi="Times New Roman" w:cs="Times New Roman"/>
          <w:lang w:val="en-IE"/>
        </w:rPr>
        <w:t>have a higher export propensity</w:t>
      </w:r>
      <w:r w:rsidR="00723018" w:rsidRPr="00C73908">
        <w:rPr>
          <w:rFonts w:ascii="Times New Roman" w:hAnsi="Times New Roman" w:cs="Times New Roman"/>
          <w:lang w:val="en-IE"/>
        </w:rPr>
        <w:t xml:space="preserve"> than older ones and this effect</w:t>
      </w:r>
      <w:r w:rsidR="009F66A5" w:rsidRPr="00C73908">
        <w:rPr>
          <w:rFonts w:ascii="Times New Roman" w:hAnsi="Times New Roman" w:cs="Times New Roman"/>
          <w:lang w:val="en-IE"/>
        </w:rPr>
        <w:t xml:space="preserve"> is consistent across different size categories: “</w:t>
      </w:r>
      <w:r w:rsidR="00321FCF" w:rsidRPr="00C73908">
        <w:rPr>
          <w:rFonts w:ascii="Times New Roman" w:hAnsi="Times New Roman" w:cs="Times New Roman"/>
          <w:lang w:val="en-IE"/>
        </w:rPr>
        <w:t>the consistency of this effect suggests that this is a population effect among Irish plants”</w:t>
      </w:r>
      <w:r w:rsidR="00270F08" w:rsidRPr="00C73908">
        <w:rPr>
          <w:rFonts w:ascii="Times New Roman" w:hAnsi="Times New Roman" w:cs="Times New Roman"/>
          <w:lang w:val="en-IE"/>
        </w:rPr>
        <w:t>.</w:t>
      </w:r>
      <w:r w:rsidR="00F42601" w:rsidRPr="00C73908">
        <w:rPr>
          <w:rFonts w:ascii="Times New Roman" w:hAnsi="Times New Roman" w:cs="Times New Roman"/>
          <w:lang w:val="en-IE"/>
        </w:rPr>
        <w:t xml:space="preserve"> </w:t>
      </w:r>
      <w:r w:rsidR="00AD3126" w:rsidRPr="00C73908">
        <w:rPr>
          <w:rFonts w:ascii="Times New Roman" w:hAnsi="Times New Roman" w:cs="Times New Roman"/>
          <w:lang w:val="en-IE"/>
        </w:rPr>
        <w:t>The results indicate that the process</w:t>
      </w:r>
      <w:r w:rsidR="00A43639" w:rsidRPr="00C73908">
        <w:rPr>
          <w:rFonts w:ascii="Times New Roman" w:hAnsi="Times New Roman" w:cs="Times New Roman"/>
          <w:lang w:val="en-IE"/>
        </w:rPr>
        <w:t xml:space="preserve"> </w:t>
      </w:r>
      <w:r w:rsidR="0022671B" w:rsidRPr="00C73908">
        <w:rPr>
          <w:rFonts w:ascii="Times New Roman" w:hAnsi="Times New Roman" w:cs="Times New Roman"/>
          <w:lang w:val="en-IE"/>
        </w:rPr>
        <w:t xml:space="preserve">or stages theory of internationalisation </w:t>
      </w:r>
      <w:r w:rsidR="0090159C" w:rsidRPr="00C73908">
        <w:rPr>
          <w:rFonts w:ascii="Times New Roman" w:hAnsi="Times New Roman" w:cs="Times New Roman"/>
          <w:lang w:val="en-IE"/>
        </w:rPr>
        <w:t xml:space="preserve">first </w:t>
      </w:r>
      <w:r w:rsidR="0022671B" w:rsidRPr="00C73908">
        <w:rPr>
          <w:rFonts w:ascii="Times New Roman" w:hAnsi="Times New Roman" w:cs="Times New Roman"/>
          <w:lang w:val="en-IE"/>
        </w:rPr>
        <w:t xml:space="preserve">proposed by </w:t>
      </w:r>
      <w:r w:rsidR="00487BCC" w:rsidRPr="00C73908">
        <w:rPr>
          <w:rFonts w:ascii="Times New Roman" w:hAnsi="Times New Roman" w:cs="Times New Roman"/>
          <w:lang w:val="en-IE"/>
        </w:rPr>
        <w:t xml:space="preserve">Johanson &amp; Vahlne (1977) is less relevant in an Irish context. </w:t>
      </w:r>
      <w:r w:rsidR="00C43FCF" w:rsidRPr="00C73908">
        <w:rPr>
          <w:rFonts w:ascii="Times New Roman" w:hAnsi="Times New Roman" w:cs="Times New Roman"/>
          <w:lang w:val="en-IE"/>
        </w:rPr>
        <w:t>T</w:t>
      </w:r>
      <w:r w:rsidR="003B1DAE" w:rsidRPr="00C73908">
        <w:rPr>
          <w:rFonts w:ascii="Times New Roman" w:hAnsi="Times New Roman" w:cs="Times New Roman"/>
          <w:lang w:val="en-IE"/>
        </w:rPr>
        <w:t>his theory outlines how</w:t>
      </w:r>
      <w:r w:rsidR="00487BCC" w:rsidRPr="00C73908">
        <w:rPr>
          <w:rFonts w:ascii="Times New Roman" w:hAnsi="Times New Roman" w:cs="Times New Roman"/>
          <w:lang w:val="en-IE"/>
        </w:rPr>
        <w:t xml:space="preserve"> companies first establish their position in the domestic market and then grow their international presence gradually, learning from their experience along the way.</w:t>
      </w:r>
      <w:r w:rsidR="003B1DAE" w:rsidRPr="00C73908">
        <w:rPr>
          <w:rFonts w:ascii="Times New Roman" w:hAnsi="Times New Roman" w:cs="Times New Roman"/>
          <w:lang w:val="en-IE"/>
        </w:rPr>
        <w:t xml:space="preserve"> However, </w:t>
      </w:r>
      <w:r w:rsidR="00D21354" w:rsidRPr="00C73908">
        <w:rPr>
          <w:rFonts w:ascii="Times New Roman" w:hAnsi="Times New Roman" w:cs="Times New Roman"/>
          <w:lang w:val="en-IE"/>
        </w:rPr>
        <w:t>several factors such as</w:t>
      </w:r>
      <w:r w:rsidR="003B1DAE" w:rsidRPr="00C73908">
        <w:rPr>
          <w:rFonts w:ascii="Times New Roman" w:hAnsi="Times New Roman" w:cs="Times New Roman"/>
          <w:lang w:val="en-IE"/>
        </w:rPr>
        <w:t xml:space="preserve"> the </w:t>
      </w:r>
      <w:r w:rsidR="00A71694" w:rsidRPr="00C73908">
        <w:rPr>
          <w:rFonts w:ascii="Times New Roman" w:hAnsi="Times New Roman" w:cs="Times New Roman"/>
          <w:lang w:val="en-IE"/>
        </w:rPr>
        <w:t>small size of the domestic market</w:t>
      </w:r>
      <w:r w:rsidR="00151CC8" w:rsidRPr="00C73908">
        <w:rPr>
          <w:rFonts w:ascii="Times New Roman" w:hAnsi="Times New Roman" w:cs="Times New Roman"/>
          <w:lang w:val="en-IE"/>
        </w:rPr>
        <w:t>,</w:t>
      </w:r>
      <w:r w:rsidR="00A71694" w:rsidRPr="00C73908">
        <w:rPr>
          <w:rFonts w:ascii="Times New Roman" w:hAnsi="Times New Roman" w:cs="Times New Roman"/>
          <w:lang w:val="en-IE"/>
        </w:rPr>
        <w:t xml:space="preserve"> the </w:t>
      </w:r>
      <w:r w:rsidR="00642CF5" w:rsidRPr="00C73908">
        <w:rPr>
          <w:rFonts w:ascii="Times New Roman" w:hAnsi="Times New Roman" w:cs="Times New Roman"/>
          <w:lang w:val="en-IE"/>
        </w:rPr>
        <w:t xml:space="preserve">relatively </w:t>
      </w:r>
      <w:r w:rsidR="00F6790F" w:rsidRPr="00C73908">
        <w:rPr>
          <w:rFonts w:ascii="Times New Roman" w:hAnsi="Times New Roman" w:cs="Times New Roman"/>
          <w:lang w:val="en-IE"/>
        </w:rPr>
        <w:t>easy access to</w:t>
      </w:r>
      <w:r w:rsidR="00642CF5" w:rsidRPr="00C73908">
        <w:rPr>
          <w:rFonts w:ascii="Times New Roman" w:hAnsi="Times New Roman" w:cs="Times New Roman"/>
          <w:lang w:val="en-IE"/>
        </w:rPr>
        <w:t xml:space="preserve"> neighbouring markets </w:t>
      </w:r>
      <w:r w:rsidR="00151CC8" w:rsidRPr="00C73908">
        <w:rPr>
          <w:rFonts w:ascii="Times New Roman" w:hAnsi="Times New Roman" w:cs="Times New Roman"/>
          <w:lang w:val="en-IE"/>
        </w:rPr>
        <w:t xml:space="preserve">and the supports provided by EI </w:t>
      </w:r>
      <w:r w:rsidR="00F6790F" w:rsidRPr="00C73908">
        <w:rPr>
          <w:rFonts w:ascii="Times New Roman" w:hAnsi="Times New Roman" w:cs="Times New Roman"/>
          <w:lang w:val="en-IE"/>
        </w:rPr>
        <w:t xml:space="preserve">to </w:t>
      </w:r>
      <w:r w:rsidR="00C675DF" w:rsidRPr="00C73908">
        <w:rPr>
          <w:rFonts w:ascii="Times New Roman" w:hAnsi="Times New Roman" w:cs="Times New Roman"/>
          <w:lang w:val="en-IE"/>
        </w:rPr>
        <w:t xml:space="preserve">help </w:t>
      </w:r>
      <w:r w:rsidR="00F6790F" w:rsidRPr="00C73908">
        <w:rPr>
          <w:rFonts w:ascii="Times New Roman" w:hAnsi="Times New Roman" w:cs="Times New Roman"/>
          <w:lang w:val="en-IE"/>
        </w:rPr>
        <w:t>overcome trade barriers</w:t>
      </w:r>
      <w:r w:rsidR="00D21354" w:rsidRPr="00C73908">
        <w:rPr>
          <w:rFonts w:ascii="Times New Roman" w:hAnsi="Times New Roman" w:cs="Times New Roman"/>
          <w:lang w:val="en-IE"/>
        </w:rPr>
        <w:t xml:space="preserve"> allow </w:t>
      </w:r>
      <w:r w:rsidR="00B8102F" w:rsidRPr="00C73908">
        <w:rPr>
          <w:rFonts w:ascii="Times New Roman" w:hAnsi="Times New Roman" w:cs="Times New Roman"/>
          <w:lang w:val="en-IE"/>
        </w:rPr>
        <w:t xml:space="preserve">Irish companies to be </w:t>
      </w:r>
      <w:r w:rsidR="00D21354" w:rsidRPr="00C73908">
        <w:rPr>
          <w:rFonts w:ascii="Times New Roman" w:hAnsi="Times New Roman" w:cs="Times New Roman"/>
          <w:lang w:val="en-IE"/>
        </w:rPr>
        <w:t xml:space="preserve">more </w:t>
      </w:r>
      <w:r w:rsidR="00C675DF" w:rsidRPr="00C73908">
        <w:rPr>
          <w:rFonts w:ascii="Times New Roman" w:hAnsi="Times New Roman" w:cs="Times New Roman"/>
          <w:lang w:val="en-IE"/>
        </w:rPr>
        <w:t>export focused</w:t>
      </w:r>
      <w:r w:rsidR="00D02740" w:rsidRPr="00C73908">
        <w:rPr>
          <w:rFonts w:ascii="Times New Roman" w:hAnsi="Times New Roman" w:cs="Times New Roman"/>
          <w:lang w:val="en-IE"/>
        </w:rPr>
        <w:t xml:space="preserve"> </w:t>
      </w:r>
      <w:r w:rsidR="00A70F9E" w:rsidRPr="00C73908">
        <w:rPr>
          <w:rFonts w:ascii="Times New Roman" w:hAnsi="Times New Roman" w:cs="Times New Roman"/>
          <w:lang w:val="en-IE"/>
        </w:rPr>
        <w:t xml:space="preserve">at an early stage </w:t>
      </w:r>
      <w:r w:rsidR="00D02740" w:rsidRPr="00C73908">
        <w:rPr>
          <w:rFonts w:ascii="Times New Roman" w:hAnsi="Times New Roman" w:cs="Times New Roman"/>
          <w:lang w:val="en-IE"/>
        </w:rPr>
        <w:t>compared with many other countries.</w:t>
      </w:r>
    </w:p>
    <w:p w14:paraId="53264D67" w14:textId="4D0D7A0B" w:rsidR="00F62A88" w:rsidRPr="00C73908" w:rsidRDefault="00F62A88">
      <w:pPr>
        <w:rPr>
          <w:rFonts w:ascii="Times New Roman" w:hAnsi="Times New Roman" w:cs="Times New Roman"/>
          <w:lang w:val="en-IE"/>
        </w:rPr>
      </w:pPr>
      <w:r w:rsidRPr="00C73908">
        <w:rPr>
          <w:rFonts w:ascii="Times New Roman" w:hAnsi="Times New Roman" w:cs="Times New Roman"/>
          <w:lang w:val="en-IE"/>
        </w:rPr>
        <w:br w:type="page"/>
      </w:r>
    </w:p>
    <w:p w14:paraId="6094624A" w14:textId="4CB38E18" w:rsidR="008210A4" w:rsidRPr="00C73908" w:rsidRDefault="008210A4" w:rsidP="008A6DF2">
      <w:pPr>
        <w:pStyle w:val="Heading1"/>
        <w:numPr>
          <w:ilvl w:val="1"/>
          <w:numId w:val="4"/>
        </w:numPr>
        <w:spacing w:after="240" w:line="360" w:lineRule="auto"/>
        <w:jc w:val="both"/>
        <w:rPr>
          <w:rFonts w:ascii="Times New Roman" w:hAnsi="Times New Roman" w:cs="Times New Roman"/>
          <w:b/>
          <w:bCs/>
          <w:color w:val="0070C0"/>
          <w:lang w:val="en-IE"/>
        </w:rPr>
      </w:pPr>
      <w:bookmarkStart w:id="33" w:name="_Toc67143567"/>
      <w:bookmarkStart w:id="34" w:name="_Toc69198808"/>
      <w:r w:rsidRPr="00C73908">
        <w:rPr>
          <w:rFonts w:ascii="Times New Roman" w:hAnsi="Times New Roman" w:cs="Times New Roman"/>
          <w:b/>
          <w:bCs/>
          <w:color w:val="0070C0"/>
          <w:lang w:val="en-IE"/>
        </w:rPr>
        <w:lastRenderedPageBreak/>
        <w:t>Extensive Margin</w:t>
      </w:r>
      <w:bookmarkEnd w:id="33"/>
      <w:bookmarkEnd w:id="34"/>
    </w:p>
    <w:p w14:paraId="5E4B976B" w14:textId="635F0359" w:rsidR="00003B34" w:rsidRPr="00C73908" w:rsidRDefault="00003B34" w:rsidP="005C36F0">
      <w:pPr>
        <w:widowControl w:val="0"/>
        <w:autoSpaceDE w:val="0"/>
        <w:autoSpaceDN w:val="0"/>
        <w:adjustRightInd w:val="0"/>
        <w:spacing w:after="0" w:line="240" w:lineRule="auto"/>
        <w:rPr>
          <w:rFonts w:ascii="Times New Roman" w:hAnsi="Times New Roman" w:cs="Times New Roman"/>
          <w:sz w:val="24"/>
          <w:szCs w:val="24"/>
        </w:rPr>
      </w:pPr>
      <w:r w:rsidRPr="00C73908">
        <w:rPr>
          <w:rFonts w:ascii="Times New Roman" w:hAnsi="Times New Roman" w:cs="Times New Roman"/>
          <w:b/>
          <w:bCs/>
        </w:rPr>
        <w:t xml:space="preserve">Table </w:t>
      </w:r>
      <w:r w:rsidR="009F2C5C" w:rsidRPr="00C73908">
        <w:rPr>
          <w:rFonts w:ascii="Times New Roman" w:hAnsi="Times New Roman" w:cs="Times New Roman"/>
          <w:b/>
          <w:bCs/>
        </w:rPr>
        <w:t>4</w:t>
      </w:r>
      <w:r w:rsidRPr="00C73908">
        <w:rPr>
          <w:rFonts w:ascii="Times New Roman" w:hAnsi="Times New Roman" w:cs="Times New Roman"/>
          <w:b/>
          <w:bCs/>
        </w:rPr>
        <w:t xml:space="preserve">: Regression Output – </w:t>
      </w:r>
      <w:bookmarkStart w:id="35" w:name="_Hlk69548876"/>
      <w:r w:rsidR="00E02E82">
        <w:rPr>
          <w:rFonts w:ascii="Times New Roman" w:hAnsi="Times New Roman" w:cs="Times New Roman"/>
          <w:b/>
          <w:bCs/>
        </w:rPr>
        <w:t xml:space="preserve">Dependent Variable is the </w:t>
      </w:r>
      <w:bookmarkEnd w:id="35"/>
      <w:r w:rsidR="00E02E82">
        <w:rPr>
          <w:rFonts w:ascii="Times New Roman" w:hAnsi="Times New Roman" w:cs="Times New Roman"/>
          <w:b/>
          <w:bCs/>
        </w:rPr>
        <w:t>No.</w:t>
      </w:r>
      <w:r w:rsidR="00DA67C4" w:rsidRPr="00C73908">
        <w:rPr>
          <w:rFonts w:ascii="Times New Roman" w:hAnsi="Times New Roman" w:cs="Times New Roman"/>
          <w:b/>
          <w:bCs/>
        </w:rPr>
        <w:t xml:space="preserve"> of </w:t>
      </w:r>
      <w:r w:rsidRPr="00C73908">
        <w:rPr>
          <w:rFonts w:ascii="Times New Roman" w:hAnsi="Times New Roman" w:cs="Times New Roman"/>
          <w:b/>
          <w:bCs/>
        </w:rPr>
        <w:t xml:space="preserve">Export </w:t>
      </w:r>
      <w:r w:rsidR="00DA67C4" w:rsidRPr="00C73908">
        <w:rPr>
          <w:rFonts w:ascii="Times New Roman" w:hAnsi="Times New Roman" w:cs="Times New Roman"/>
          <w:b/>
          <w:bCs/>
        </w:rPr>
        <w:t>Markets</w:t>
      </w:r>
    </w:p>
    <w:tbl>
      <w:tblPr>
        <w:tblW w:w="9493" w:type="dxa"/>
        <w:tblLayout w:type="fixed"/>
        <w:tblCellMar>
          <w:left w:w="57" w:type="dxa"/>
          <w:right w:w="57" w:type="dxa"/>
        </w:tblCellMar>
        <w:tblLook w:val="0000" w:firstRow="0" w:lastRow="0" w:firstColumn="0" w:lastColumn="0" w:noHBand="0" w:noVBand="0"/>
      </w:tblPr>
      <w:tblGrid>
        <w:gridCol w:w="1708"/>
        <w:gridCol w:w="1297"/>
        <w:gridCol w:w="1298"/>
        <w:gridCol w:w="1297"/>
        <w:gridCol w:w="1298"/>
        <w:gridCol w:w="1297"/>
        <w:gridCol w:w="1298"/>
      </w:tblGrid>
      <w:tr w:rsidR="00A36587" w:rsidRPr="00C73908" w14:paraId="77545019" w14:textId="77777777" w:rsidTr="007B38E2">
        <w:trPr>
          <w:trHeight w:val="283"/>
        </w:trPr>
        <w:tc>
          <w:tcPr>
            <w:tcW w:w="1708" w:type="dxa"/>
            <w:tcBorders>
              <w:top w:val="single" w:sz="4" w:space="0" w:color="auto"/>
              <w:left w:val="single" w:sz="4" w:space="0" w:color="auto"/>
              <w:right w:val="single" w:sz="4" w:space="0" w:color="auto"/>
            </w:tcBorders>
            <w:shd w:val="clear" w:color="auto" w:fill="0070C0"/>
            <w:vAlign w:val="center"/>
          </w:tcPr>
          <w:p w14:paraId="5C4CD81B" w14:textId="77777777" w:rsidR="00A36587" w:rsidRPr="00D7417D" w:rsidRDefault="00A36587" w:rsidP="004C5C29">
            <w:pPr>
              <w:widowControl w:val="0"/>
              <w:autoSpaceDE w:val="0"/>
              <w:autoSpaceDN w:val="0"/>
              <w:adjustRightInd w:val="0"/>
              <w:spacing w:after="0" w:line="240" w:lineRule="auto"/>
              <w:rPr>
                <w:rFonts w:ascii="Times New Roman" w:hAnsi="Times New Roman" w:cs="Times New Roman"/>
                <w:b/>
                <w:bCs/>
                <w:color w:val="FFFFFF" w:themeColor="background1"/>
              </w:rPr>
            </w:pPr>
            <w:r w:rsidRPr="00D7417D">
              <w:rPr>
                <w:rFonts w:ascii="Times New Roman" w:hAnsi="Times New Roman" w:cs="Times New Roman"/>
                <w:b/>
                <w:bCs/>
                <w:color w:val="FFFFFF" w:themeColor="background1"/>
              </w:rPr>
              <w:t>Dep Variable:</w:t>
            </w:r>
          </w:p>
        </w:tc>
        <w:tc>
          <w:tcPr>
            <w:tcW w:w="2595" w:type="dxa"/>
            <w:gridSpan w:val="2"/>
            <w:tcBorders>
              <w:top w:val="single" w:sz="4" w:space="0" w:color="auto"/>
              <w:left w:val="single" w:sz="4" w:space="0" w:color="auto"/>
              <w:right w:val="single" w:sz="4" w:space="0" w:color="auto"/>
            </w:tcBorders>
            <w:shd w:val="clear" w:color="auto" w:fill="0070C0"/>
            <w:vAlign w:val="center"/>
          </w:tcPr>
          <w:p w14:paraId="0B0B6F7C" w14:textId="77777777" w:rsidR="00A36587" w:rsidRPr="00D7417D" w:rsidRDefault="00A36587" w:rsidP="004C5C29">
            <w:pPr>
              <w:widowControl w:val="0"/>
              <w:autoSpaceDE w:val="0"/>
              <w:autoSpaceDN w:val="0"/>
              <w:adjustRightInd w:val="0"/>
              <w:spacing w:after="0" w:line="240" w:lineRule="auto"/>
              <w:jc w:val="center"/>
              <w:rPr>
                <w:rFonts w:ascii="Times New Roman" w:hAnsi="Times New Roman" w:cs="Times New Roman"/>
                <w:b/>
                <w:bCs/>
                <w:color w:val="FFFFFF" w:themeColor="background1"/>
              </w:rPr>
            </w:pPr>
            <w:r w:rsidRPr="00D7417D">
              <w:rPr>
                <w:rFonts w:ascii="Times New Roman" w:hAnsi="Times New Roman" w:cs="Times New Roman"/>
                <w:b/>
                <w:bCs/>
                <w:color w:val="FFFFFF" w:themeColor="background1"/>
              </w:rPr>
              <w:t>All Companies</w:t>
            </w:r>
          </w:p>
        </w:tc>
        <w:tc>
          <w:tcPr>
            <w:tcW w:w="2595" w:type="dxa"/>
            <w:gridSpan w:val="2"/>
            <w:tcBorders>
              <w:top w:val="single" w:sz="4" w:space="0" w:color="auto"/>
              <w:left w:val="single" w:sz="4" w:space="0" w:color="auto"/>
              <w:right w:val="single" w:sz="4" w:space="0" w:color="auto"/>
            </w:tcBorders>
            <w:shd w:val="clear" w:color="auto" w:fill="0070C0"/>
            <w:vAlign w:val="center"/>
          </w:tcPr>
          <w:p w14:paraId="50C09C32" w14:textId="77777777" w:rsidR="00A36587" w:rsidRPr="00D7417D" w:rsidRDefault="00A36587" w:rsidP="004C5C29">
            <w:pPr>
              <w:widowControl w:val="0"/>
              <w:autoSpaceDE w:val="0"/>
              <w:autoSpaceDN w:val="0"/>
              <w:adjustRightInd w:val="0"/>
              <w:spacing w:after="0" w:line="240" w:lineRule="auto"/>
              <w:jc w:val="center"/>
              <w:rPr>
                <w:rFonts w:ascii="Times New Roman" w:hAnsi="Times New Roman" w:cs="Times New Roman"/>
                <w:b/>
                <w:bCs/>
                <w:color w:val="FFFFFF" w:themeColor="background1"/>
              </w:rPr>
            </w:pPr>
            <w:r w:rsidRPr="00D7417D">
              <w:rPr>
                <w:rFonts w:ascii="Times New Roman" w:hAnsi="Times New Roman" w:cs="Times New Roman"/>
                <w:b/>
                <w:bCs/>
                <w:color w:val="FFFFFF" w:themeColor="background1"/>
              </w:rPr>
              <w:t>Manufacturing</w:t>
            </w:r>
          </w:p>
        </w:tc>
        <w:tc>
          <w:tcPr>
            <w:tcW w:w="2595" w:type="dxa"/>
            <w:gridSpan w:val="2"/>
            <w:tcBorders>
              <w:top w:val="single" w:sz="4" w:space="0" w:color="auto"/>
              <w:left w:val="single" w:sz="4" w:space="0" w:color="auto"/>
              <w:right w:val="single" w:sz="4" w:space="0" w:color="auto"/>
            </w:tcBorders>
            <w:shd w:val="clear" w:color="auto" w:fill="0070C0"/>
            <w:vAlign w:val="center"/>
          </w:tcPr>
          <w:p w14:paraId="08351431" w14:textId="77777777" w:rsidR="00A36587" w:rsidRPr="00D7417D" w:rsidRDefault="00A36587" w:rsidP="004C5C29">
            <w:pPr>
              <w:widowControl w:val="0"/>
              <w:autoSpaceDE w:val="0"/>
              <w:autoSpaceDN w:val="0"/>
              <w:adjustRightInd w:val="0"/>
              <w:spacing w:after="0" w:line="240" w:lineRule="auto"/>
              <w:jc w:val="center"/>
              <w:rPr>
                <w:rFonts w:ascii="Times New Roman" w:hAnsi="Times New Roman" w:cs="Times New Roman"/>
                <w:b/>
                <w:bCs/>
                <w:color w:val="FFFFFF" w:themeColor="background1"/>
              </w:rPr>
            </w:pPr>
            <w:r w:rsidRPr="00D7417D">
              <w:rPr>
                <w:rFonts w:ascii="Times New Roman" w:hAnsi="Times New Roman" w:cs="Times New Roman"/>
                <w:b/>
                <w:bCs/>
                <w:color w:val="FFFFFF" w:themeColor="background1"/>
              </w:rPr>
              <w:t>Services</w:t>
            </w:r>
          </w:p>
        </w:tc>
      </w:tr>
      <w:tr w:rsidR="00A36587" w:rsidRPr="00C73908" w14:paraId="151C6AFE" w14:textId="77777777" w:rsidTr="007B38E2">
        <w:trPr>
          <w:trHeight w:val="283"/>
        </w:trPr>
        <w:tc>
          <w:tcPr>
            <w:tcW w:w="1708" w:type="dxa"/>
            <w:tcBorders>
              <w:left w:val="single" w:sz="4" w:space="0" w:color="auto"/>
              <w:bottom w:val="single" w:sz="4" w:space="0" w:color="auto"/>
              <w:right w:val="single" w:sz="4" w:space="0" w:color="auto"/>
            </w:tcBorders>
            <w:shd w:val="clear" w:color="auto" w:fill="8EAADB" w:themeFill="accent1" w:themeFillTint="99"/>
            <w:vAlign w:val="center"/>
          </w:tcPr>
          <w:p w14:paraId="7891C70A" w14:textId="4ABD3F8B" w:rsidR="00A36587" w:rsidRPr="00C73908" w:rsidRDefault="00A36587" w:rsidP="004C5C29">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Ln_</w:t>
            </w:r>
            <w:r w:rsidR="001C5F6A" w:rsidRPr="00C73908">
              <w:rPr>
                <w:rFonts w:ascii="Times New Roman" w:hAnsi="Times New Roman" w:cs="Times New Roman"/>
                <w:b/>
                <w:bCs/>
                <w:sz w:val="20"/>
                <w:szCs w:val="20"/>
              </w:rPr>
              <w:t>Marke</w:t>
            </w:r>
            <w:r w:rsidRPr="00C73908">
              <w:rPr>
                <w:rFonts w:ascii="Times New Roman" w:hAnsi="Times New Roman" w:cs="Times New Roman"/>
                <w:b/>
                <w:bCs/>
                <w:sz w:val="20"/>
                <w:szCs w:val="20"/>
              </w:rPr>
              <w:t>ts</w:t>
            </w:r>
          </w:p>
        </w:tc>
        <w:tc>
          <w:tcPr>
            <w:tcW w:w="1297" w:type="dxa"/>
            <w:tcBorders>
              <w:left w:val="single" w:sz="4" w:space="0" w:color="auto"/>
              <w:bottom w:val="single" w:sz="4" w:space="0" w:color="auto"/>
            </w:tcBorders>
            <w:shd w:val="clear" w:color="auto" w:fill="8EAADB" w:themeFill="accent1" w:themeFillTint="99"/>
            <w:vAlign w:val="center"/>
          </w:tcPr>
          <w:p w14:paraId="0B8DC37F" w14:textId="77777777" w:rsidR="00A36587" w:rsidRPr="00C73908" w:rsidRDefault="00A36587" w:rsidP="004C5C29">
            <w:pPr>
              <w:widowControl w:val="0"/>
              <w:autoSpaceDE w:val="0"/>
              <w:autoSpaceDN w:val="0"/>
              <w:adjustRightInd w:val="0"/>
              <w:spacing w:after="0" w:line="240" w:lineRule="auto"/>
              <w:jc w:val="center"/>
              <w:rPr>
                <w:rFonts w:ascii="Times New Roman" w:hAnsi="Times New Roman" w:cs="Times New Roman"/>
                <w:b/>
                <w:bCs/>
                <w:sz w:val="20"/>
                <w:szCs w:val="20"/>
              </w:rPr>
            </w:pPr>
            <w:r w:rsidRPr="00C73908">
              <w:rPr>
                <w:rFonts w:ascii="Times New Roman" w:hAnsi="Times New Roman" w:cs="Times New Roman"/>
                <w:b/>
                <w:bCs/>
                <w:sz w:val="20"/>
                <w:szCs w:val="20"/>
              </w:rPr>
              <w:t>GMM</w:t>
            </w:r>
          </w:p>
        </w:tc>
        <w:tc>
          <w:tcPr>
            <w:tcW w:w="1298" w:type="dxa"/>
            <w:tcBorders>
              <w:bottom w:val="single" w:sz="4" w:space="0" w:color="auto"/>
              <w:right w:val="single" w:sz="4" w:space="0" w:color="auto"/>
            </w:tcBorders>
            <w:shd w:val="clear" w:color="auto" w:fill="8EAADB" w:themeFill="accent1" w:themeFillTint="99"/>
            <w:vAlign w:val="center"/>
          </w:tcPr>
          <w:p w14:paraId="58919229" w14:textId="77777777" w:rsidR="00A36587" w:rsidRPr="00C73908" w:rsidRDefault="00A36587" w:rsidP="004C5C29">
            <w:pPr>
              <w:widowControl w:val="0"/>
              <w:autoSpaceDE w:val="0"/>
              <w:autoSpaceDN w:val="0"/>
              <w:adjustRightInd w:val="0"/>
              <w:spacing w:after="0" w:line="240" w:lineRule="auto"/>
              <w:jc w:val="center"/>
              <w:rPr>
                <w:rFonts w:ascii="Times New Roman" w:hAnsi="Times New Roman" w:cs="Times New Roman"/>
                <w:b/>
                <w:bCs/>
                <w:sz w:val="20"/>
                <w:szCs w:val="20"/>
              </w:rPr>
            </w:pPr>
            <w:r w:rsidRPr="00C73908">
              <w:rPr>
                <w:rFonts w:ascii="Times New Roman" w:hAnsi="Times New Roman" w:cs="Times New Roman"/>
                <w:b/>
                <w:bCs/>
                <w:sz w:val="20"/>
                <w:szCs w:val="20"/>
              </w:rPr>
              <w:t>FE</w:t>
            </w:r>
          </w:p>
        </w:tc>
        <w:tc>
          <w:tcPr>
            <w:tcW w:w="1297" w:type="dxa"/>
            <w:tcBorders>
              <w:left w:val="single" w:sz="4" w:space="0" w:color="auto"/>
              <w:bottom w:val="single" w:sz="4" w:space="0" w:color="auto"/>
            </w:tcBorders>
            <w:shd w:val="clear" w:color="auto" w:fill="8EAADB" w:themeFill="accent1" w:themeFillTint="99"/>
          </w:tcPr>
          <w:p w14:paraId="63A1237B" w14:textId="77777777" w:rsidR="00A36587" w:rsidRPr="00C73908" w:rsidRDefault="00A36587" w:rsidP="004C5C29">
            <w:pPr>
              <w:widowControl w:val="0"/>
              <w:autoSpaceDE w:val="0"/>
              <w:autoSpaceDN w:val="0"/>
              <w:adjustRightInd w:val="0"/>
              <w:spacing w:after="0" w:line="240" w:lineRule="auto"/>
              <w:jc w:val="center"/>
              <w:rPr>
                <w:rFonts w:ascii="Times New Roman" w:hAnsi="Times New Roman" w:cs="Times New Roman"/>
                <w:b/>
                <w:bCs/>
                <w:sz w:val="20"/>
                <w:szCs w:val="20"/>
              </w:rPr>
            </w:pPr>
            <w:r w:rsidRPr="00C73908">
              <w:rPr>
                <w:rFonts w:ascii="Times New Roman" w:hAnsi="Times New Roman" w:cs="Times New Roman"/>
                <w:b/>
                <w:bCs/>
                <w:sz w:val="20"/>
                <w:szCs w:val="20"/>
              </w:rPr>
              <w:t>GMM</w:t>
            </w:r>
          </w:p>
        </w:tc>
        <w:tc>
          <w:tcPr>
            <w:tcW w:w="1298" w:type="dxa"/>
            <w:tcBorders>
              <w:bottom w:val="single" w:sz="4" w:space="0" w:color="auto"/>
              <w:right w:val="single" w:sz="4" w:space="0" w:color="auto"/>
            </w:tcBorders>
            <w:shd w:val="clear" w:color="auto" w:fill="8EAADB" w:themeFill="accent1" w:themeFillTint="99"/>
          </w:tcPr>
          <w:p w14:paraId="37DB17CD" w14:textId="77777777" w:rsidR="00A36587" w:rsidRPr="00C73908" w:rsidRDefault="00A36587" w:rsidP="004C5C29">
            <w:pPr>
              <w:widowControl w:val="0"/>
              <w:autoSpaceDE w:val="0"/>
              <w:autoSpaceDN w:val="0"/>
              <w:adjustRightInd w:val="0"/>
              <w:spacing w:after="0" w:line="240" w:lineRule="auto"/>
              <w:jc w:val="center"/>
              <w:rPr>
                <w:rFonts w:ascii="Times New Roman" w:hAnsi="Times New Roman" w:cs="Times New Roman"/>
                <w:b/>
                <w:bCs/>
                <w:sz w:val="20"/>
                <w:szCs w:val="20"/>
              </w:rPr>
            </w:pPr>
            <w:r w:rsidRPr="00C73908">
              <w:rPr>
                <w:rFonts w:ascii="Times New Roman" w:hAnsi="Times New Roman" w:cs="Times New Roman"/>
                <w:b/>
                <w:bCs/>
                <w:sz w:val="20"/>
                <w:szCs w:val="20"/>
              </w:rPr>
              <w:t>FE</w:t>
            </w:r>
          </w:p>
        </w:tc>
        <w:tc>
          <w:tcPr>
            <w:tcW w:w="1297" w:type="dxa"/>
            <w:tcBorders>
              <w:left w:val="single" w:sz="4" w:space="0" w:color="auto"/>
              <w:bottom w:val="single" w:sz="4" w:space="0" w:color="auto"/>
            </w:tcBorders>
            <w:shd w:val="clear" w:color="auto" w:fill="8EAADB" w:themeFill="accent1" w:themeFillTint="99"/>
          </w:tcPr>
          <w:p w14:paraId="6B2CDF73" w14:textId="77777777" w:rsidR="00A36587" w:rsidRPr="00C73908" w:rsidRDefault="00A36587" w:rsidP="004C5C29">
            <w:pPr>
              <w:widowControl w:val="0"/>
              <w:autoSpaceDE w:val="0"/>
              <w:autoSpaceDN w:val="0"/>
              <w:adjustRightInd w:val="0"/>
              <w:spacing w:after="0" w:line="240" w:lineRule="auto"/>
              <w:jc w:val="center"/>
              <w:rPr>
                <w:rFonts w:ascii="Times New Roman" w:hAnsi="Times New Roman" w:cs="Times New Roman"/>
                <w:b/>
                <w:bCs/>
                <w:sz w:val="20"/>
                <w:szCs w:val="20"/>
              </w:rPr>
            </w:pPr>
            <w:r w:rsidRPr="00C73908">
              <w:rPr>
                <w:rFonts w:ascii="Times New Roman" w:hAnsi="Times New Roman" w:cs="Times New Roman"/>
                <w:b/>
                <w:bCs/>
                <w:sz w:val="20"/>
                <w:szCs w:val="20"/>
              </w:rPr>
              <w:t>GMM</w:t>
            </w:r>
          </w:p>
        </w:tc>
        <w:tc>
          <w:tcPr>
            <w:tcW w:w="1298" w:type="dxa"/>
            <w:tcBorders>
              <w:bottom w:val="single" w:sz="4" w:space="0" w:color="auto"/>
              <w:right w:val="single" w:sz="4" w:space="0" w:color="auto"/>
            </w:tcBorders>
            <w:shd w:val="clear" w:color="auto" w:fill="8EAADB" w:themeFill="accent1" w:themeFillTint="99"/>
          </w:tcPr>
          <w:p w14:paraId="33851FA9" w14:textId="77777777" w:rsidR="00A36587" w:rsidRPr="00C73908" w:rsidRDefault="00A36587" w:rsidP="004C5C29">
            <w:pPr>
              <w:widowControl w:val="0"/>
              <w:autoSpaceDE w:val="0"/>
              <w:autoSpaceDN w:val="0"/>
              <w:adjustRightInd w:val="0"/>
              <w:spacing w:after="0" w:line="240" w:lineRule="auto"/>
              <w:jc w:val="center"/>
              <w:rPr>
                <w:rFonts w:ascii="Times New Roman" w:hAnsi="Times New Roman" w:cs="Times New Roman"/>
                <w:b/>
                <w:bCs/>
                <w:sz w:val="20"/>
                <w:szCs w:val="20"/>
              </w:rPr>
            </w:pPr>
            <w:r w:rsidRPr="00C73908">
              <w:rPr>
                <w:rFonts w:ascii="Times New Roman" w:hAnsi="Times New Roman" w:cs="Times New Roman"/>
                <w:b/>
                <w:bCs/>
                <w:sz w:val="20"/>
                <w:szCs w:val="20"/>
              </w:rPr>
              <w:t>FE</w:t>
            </w:r>
          </w:p>
        </w:tc>
      </w:tr>
      <w:tr w:rsidR="003B45BC" w:rsidRPr="00C73908" w14:paraId="0B4B1FEA" w14:textId="77777777" w:rsidTr="007B38E2">
        <w:tc>
          <w:tcPr>
            <w:tcW w:w="1708" w:type="dxa"/>
            <w:tcBorders>
              <w:top w:val="single" w:sz="4" w:space="0" w:color="auto"/>
              <w:left w:val="single" w:sz="4" w:space="0" w:color="auto"/>
              <w:bottom w:val="nil"/>
              <w:right w:val="single" w:sz="4" w:space="0" w:color="auto"/>
            </w:tcBorders>
            <w:vAlign w:val="center"/>
          </w:tcPr>
          <w:p w14:paraId="7E414885"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Ln_VAperEmp</w:t>
            </w:r>
          </w:p>
        </w:tc>
        <w:tc>
          <w:tcPr>
            <w:tcW w:w="1297" w:type="dxa"/>
            <w:tcBorders>
              <w:top w:val="single" w:sz="4" w:space="0" w:color="auto"/>
              <w:left w:val="single" w:sz="4" w:space="0" w:color="auto"/>
              <w:bottom w:val="nil"/>
            </w:tcBorders>
          </w:tcPr>
          <w:p w14:paraId="0BB20105"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-0.005</w:t>
            </w:r>
          </w:p>
          <w:p w14:paraId="62005EA7" w14:textId="47615559"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(0.057 *)</w:t>
            </w:r>
          </w:p>
        </w:tc>
        <w:tc>
          <w:tcPr>
            <w:tcW w:w="1298" w:type="dxa"/>
            <w:tcBorders>
              <w:top w:val="single" w:sz="4" w:space="0" w:color="auto"/>
              <w:bottom w:val="nil"/>
              <w:right w:val="single" w:sz="4" w:space="0" w:color="auto"/>
            </w:tcBorders>
          </w:tcPr>
          <w:p w14:paraId="681285BE"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w:t>
            </w:r>
          </w:p>
          <w:p w14:paraId="72340AFD" w14:textId="7324DBD6"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(0.966)</w:t>
            </w:r>
          </w:p>
        </w:tc>
        <w:tc>
          <w:tcPr>
            <w:tcW w:w="1297" w:type="dxa"/>
            <w:tcBorders>
              <w:top w:val="single" w:sz="4" w:space="0" w:color="auto"/>
              <w:left w:val="single" w:sz="4" w:space="0" w:color="auto"/>
              <w:bottom w:val="nil"/>
            </w:tcBorders>
          </w:tcPr>
          <w:p w14:paraId="7FE1A174"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-0.001</w:t>
            </w:r>
          </w:p>
          <w:p w14:paraId="163F7515" w14:textId="1CA4F898"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(0.676)</w:t>
            </w:r>
          </w:p>
        </w:tc>
        <w:tc>
          <w:tcPr>
            <w:tcW w:w="1298" w:type="dxa"/>
            <w:tcBorders>
              <w:top w:val="single" w:sz="4" w:space="0" w:color="auto"/>
              <w:bottom w:val="nil"/>
              <w:right w:val="single" w:sz="4" w:space="0" w:color="auto"/>
            </w:tcBorders>
          </w:tcPr>
          <w:p w14:paraId="07A86B9E"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0.001</w:t>
            </w:r>
          </w:p>
          <w:p w14:paraId="683398D9" w14:textId="61D37124"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(0.736)</w:t>
            </w:r>
          </w:p>
        </w:tc>
        <w:tc>
          <w:tcPr>
            <w:tcW w:w="1297" w:type="dxa"/>
            <w:tcBorders>
              <w:top w:val="single" w:sz="4" w:space="0" w:color="auto"/>
              <w:left w:val="single" w:sz="4" w:space="0" w:color="auto"/>
              <w:bottom w:val="nil"/>
            </w:tcBorders>
          </w:tcPr>
          <w:p w14:paraId="3C4BCBEF"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-0.001</w:t>
            </w:r>
          </w:p>
          <w:p w14:paraId="0766E99E" w14:textId="4DD6962B"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(0.697)</w:t>
            </w:r>
          </w:p>
        </w:tc>
        <w:tc>
          <w:tcPr>
            <w:tcW w:w="1298" w:type="dxa"/>
            <w:tcBorders>
              <w:top w:val="single" w:sz="4" w:space="0" w:color="auto"/>
              <w:bottom w:val="nil"/>
              <w:right w:val="single" w:sz="4" w:space="0" w:color="auto"/>
            </w:tcBorders>
          </w:tcPr>
          <w:p w14:paraId="22294023"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-0.001</w:t>
            </w:r>
          </w:p>
          <w:p w14:paraId="7BFBF0A0" w14:textId="4CEFAF69"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(0.736)</w:t>
            </w:r>
          </w:p>
        </w:tc>
      </w:tr>
      <w:tr w:rsidR="003B45BC" w:rsidRPr="00C73908" w14:paraId="12D6A4D2" w14:textId="77777777" w:rsidTr="007B38E2">
        <w:tc>
          <w:tcPr>
            <w:tcW w:w="1708" w:type="dxa"/>
            <w:tcBorders>
              <w:top w:val="nil"/>
              <w:left w:val="single" w:sz="4" w:space="0" w:color="auto"/>
              <w:bottom w:val="nil"/>
              <w:right w:val="single" w:sz="4" w:space="0" w:color="auto"/>
            </w:tcBorders>
            <w:shd w:val="clear" w:color="auto" w:fill="D9E2F3" w:themeFill="accent1" w:themeFillTint="33"/>
            <w:vAlign w:val="center"/>
          </w:tcPr>
          <w:p w14:paraId="5C141C2A"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Capital/LEAN</w:t>
            </w:r>
          </w:p>
        </w:tc>
        <w:tc>
          <w:tcPr>
            <w:tcW w:w="1297" w:type="dxa"/>
            <w:tcBorders>
              <w:top w:val="nil"/>
              <w:left w:val="single" w:sz="4" w:space="0" w:color="auto"/>
              <w:bottom w:val="nil"/>
            </w:tcBorders>
            <w:shd w:val="clear" w:color="auto" w:fill="D9E2F3" w:themeFill="accent1" w:themeFillTint="33"/>
          </w:tcPr>
          <w:p w14:paraId="5B97CA62"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0.069</w:t>
            </w:r>
          </w:p>
          <w:p w14:paraId="5083230E" w14:textId="291D1412"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(0.202)</w:t>
            </w:r>
          </w:p>
        </w:tc>
        <w:tc>
          <w:tcPr>
            <w:tcW w:w="1298" w:type="dxa"/>
            <w:tcBorders>
              <w:top w:val="nil"/>
              <w:bottom w:val="nil"/>
              <w:right w:val="single" w:sz="4" w:space="0" w:color="auto"/>
            </w:tcBorders>
            <w:shd w:val="clear" w:color="auto" w:fill="D9E2F3" w:themeFill="accent1" w:themeFillTint="33"/>
          </w:tcPr>
          <w:p w14:paraId="3E87B6B9"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0.019</w:t>
            </w:r>
          </w:p>
          <w:p w14:paraId="4E9980C6" w14:textId="3DFD6E92"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(.097 *)</w:t>
            </w:r>
          </w:p>
        </w:tc>
        <w:tc>
          <w:tcPr>
            <w:tcW w:w="1297" w:type="dxa"/>
            <w:tcBorders>
              <w:top w:val="nil"/>
              <w:left w:val="single" w:sz="4" w:space="0" w:color="auto"/>
              <w:bottom w:val="nil"/>
            </w:tcBorders>
            <w:shd w:val="clear" w:color="auto" w:fill="D9E2F3" w:themeFill="accent1" w:themeFillTint="33"/>
          </w:tcPr>
          <w:p w14:paraId="5AA2C0E4"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0.033</w:t>
            </w:r>
          </w:p>
          <w:p w14:paraId="55A7ADFC" w14:textId="103BA12C"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(0.441)</w:t>
            </w:r>
          </w:p>
        </w:tc>
        <w:tc>
          <w:tcPr>
            <w:tcW w:w="1298" w:type="dxa"/>
            <w:tcBorders>
              <w:top w:val="nil"/>
              <w:bottom w:val="nil"/>
              <w:right w:val="single" w:sz="4" w:space="0" w:color="auto"/>
            </w:tcBorders>
            <w:shd w:val="clear" w:color="auto" w:fill="D9E2F3" w:themeFill="accent1" w:themeFillTint="33"/>
          </w:tcPr>
          <w:p w14:paraId="018FD4F7"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0.015</w:t>
            </w:r>
          </w:p>
          <w:p w14:paraId="1F3AB97B" w14:textId="0AB29F24"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(0.23)</w:t>
            </w:r>
          </w:p>
        </w:tc>
        <w:tc>
          <w:tcPr>
            <w:tcW w:w="1297" w:type="dxa"/>
            <w:tcBorders>
              <w:top w:val="nil"/>
              <w:left w:val="single" w:sz="4" w:space="0" w:color="auto"/>
              <w:bottom w:val="nil"/>
            </w:tcBorders>
            <w:shd w:val="clear" w:color="auto" w:fill="D9E2F3" w:themeFill="accent1" w:themeFillTint="33"/>
          </w:tcPr>
          <w:p w14:paraId="3A24B199"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0.009</w:t>
            </w:r>
          </w:p>
          <w:p w14:paraId="003D5699" w14:textId="752F7EE9"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(0.935)</w:t>
            </w:r>
          </w:p>
        </w:tc>
        <w:tc>
          <w:tcPr>
            <w:tcW w:w="1298" w:type="dxa"/>
            <w:tcBorders>
              <w:top w:val="nil"/>
              <w:bottom w:val="nil"/>
              <w:right w:val="single" w:sz="4" w:space="0" w:color="auto"/>
            </w:tcBorders>
            <w:shd w:val="clear" w:color="auto" w:fill="D9E2F3" w:themeFill="accent1" w:themeFillTint="33"/>
          </w:tcPr>
          <w:p w14:paraId="3BD0B72D"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0.042</w:t>
            </w:r>
          </w:p>
          <w:p w14:paraId="6392D3DD" w14:textId="266996F3"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(0.239)</w:t>
            </w:r>
          </w:p>
        </w:tc>
      </w:tr>
      <w:tr w:rsidR="003B45BC" w:rsidRPr="00C73908" w14:paraId="4DB49A6E" w14:textId="77777777" w:rsidTr="007B38E2">
        <w:tc>
          <w:tcPr>
            <w:tcW w:w="1708" w:type="dxa"/>
            <w:tcBorders>
              <w:top w:val="nil"/>
              <w:left w:val="single" w:sz="4" w:space="0" w:color="auto"/>
              <w:bottom w:val="nil"/>
              <w:right w:val="single" w:sz="4" w:space="0" w:color="auto"/>
            </w:tcBorders>
            <w:vAlign w:val="center"/>
          </w:tcPr>
          <w:p w14:paraId="4F7DD678"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Ln_RDSpend</w:t>
            </w:r>
          </w:p>
        </w:tc>
        <w:tc>
          <w:tcPr>
            <w:tcW w:w="1297" w:type="dxa"/>
            <w:tcBorders>
              <w:top w:val="nil"/>
              <w:left w:val="single" w:sz="4" w:space="0" w:color="auto"/>
              <w:bottom w:val="nil"/>
            </w:tcBorders>
          </w:tcPr>
          <w:p w14:paraId="7F0A0545"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w:t>
            </w:r>
          </w:p>
          <w:p w14:paraId="02B726A4" w14:textId="3C3CAEC8"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(0.915)</w:t>
            </w:r>
          </w:p>
        </w:tc>
        <w:tc>
          <w:tcPr>
            <w:tcW w:w="1298" w:type="dxa"/>
            <w:tcBorders>
              <w:top w:val="nil"/>
              <w:bottom w:val="nil"/>
              <w:right w:val="single" w:sz="4" w:space="0" w:color="auto"/>
            </w:tcBorders>
          </w:tcPr>
          <w:p w14:paraId="67B6E7E2"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w:t>
            </w:r>
          </w:p>
          <w:p w14:paraId="3104A286" w14:textId="1247CE02"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(.002 ***)</w:t>
            </w:r>
          </w:p>
        </w:tc>
        <w:tc>
          <w:tcPr>
            <w:tcW w:w="1297" w:type="dxa"/>
            <w:tcBorders>
              <w:top w:val="nil"/>
              <w:left w:val="single" w:sz="4" w:space="0" w:color="auto"/>
              <w:bottom w:val="nil"/>
            </w:tcBorders>
          </w:tcPr>
          <w:p w14:paraId="3C1DB16D"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0.005</w:t>
            </w:r>
          </w:p>
          <w:p w14:paraId="1CBFE97C" w14:textId="09E54892"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(0.356)</w:t>
            </w:r>
          </w:p>
        </w:tc>
        <w:tc>
          <w:tcPr>
            <w:tcW w:w="1298" w:type="dxa"/>
            <w:tcBorders>
              <w:top w:val="nil"/>
              <w:bottom w:val="nil"/>
              <w:right w:val="single" w:sz="4" w:space="0" w:color="auto"/>
            </w:tcBorders>
          </w:tcPr>
          <w:p w14:paraId="3D51EF07"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w:t>
            </w:r>
          </w:p>
          <w:p w14:paraId="3789E9AF" w14:textId="719D5EFC"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(.029 **)</w:t>
            </w:r>
          </w:p>
        </w:tc>
        <w:tc>
          <w:tcPr>
            <w:tcW w:w="1297" w:type="dxa"/>
            <w:tcBorders>
              <w:top w:val="nil"/>
              <w:left w:val="single" w:sz="4" w:space="0" w:color="auto"/>
              <w:bottom w:val="nil"/>
            </w:tcBorders>
          </w:tcPr>
          <w:p w14:paraId="212AC3C2"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w:t>
            </w:r>
          </w:p>
          <w:p w14:paraId="0506935F" w14:textId="10DD9F09"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(0.993)</w:t>
            </w:r>
          </w:p>
        </w:tc>
        <w:tc>
          <w:tcPr>
            <w:tcW w:w="1298" w:type="dxa"/>
            <w:tcBorders>
              <w:top w:val="nil"/>
              <w:bottom w:val="nil"/>
              <w:right w:val="single" w:sz="4" w:space="0" w:color="auto"/>
            </w:tcBorders>
          </w:tcPr>
          <w:p w14:paraId="1E1CB896"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w:t>
            </w:r>
          </w:p>
          <w:p w14:paraId="6A7CB83B" w14:textId="7246B864"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(.026 **)</w:t>
            </w:r>
          </w:p>
        </w:tc>
      </w:tr>
      <w:tr w:rsidR="003B45BC" w:rsidRPr="00C73908" w14:paraId="6D726D21" w14:textId="77777777" w:rsidTr="007B38E2">
        <w:tc>
          <w:tcPr>
            <w:tcW w:w="1708" w:type="dxa"/>
            <w:tcBorders>
              <w:top w:val="nil"/>
              <w:left w:val="single" w:sz="4" w:space="0" w:color="auto"/>
              <w:bottom w:val="nil"/>
              <w:right w:val="single" w:sz="4" w:space="0" w:color="auto"/>
            </w:tcBorders>
            <w:shd w:val="clear" w:color="auto" w:fill="D9E2F3" w:themeFill="accent1" w:themeFillTint="33"/>
            <w:vAlign w:val="center"/>
          </w:tcPr>
          <w:p w14:paraId="2495567D"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NewProductSales</w:t>
            </w:r>
          </w:p>
        </w:tc>
        <w:tc>
          <w:tcPr>
            <w:tcW w:w="1297" w:type="dxa"/>
            <w:tcBorders>
              <w:top w:val="nil"/>
              <w:left w:val="single" w:sz="4" w:space="0" w:color="auto"/>
              <w:bottom w:val="nil"/>
            </w:tcBorders>
            <w:shd w:val="clear" w:color="auto" w:fill="D9E2F3" w:themeFill="accent1" w:themeFillTint="33"/>
          </w:tcPr>
          <w:p w14:paraId="0EE1053C"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0.035</w:t>
            </w:r>
          </w:p>
          <w:p w14:paraId="45E85867" w14:textId="375429CE"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(0.078 *)</w:t>
            </w:r>
          </w:p>
        </w:tc>
        <w:tc>
          <w:tcPr>
            <w:tcW w:w="1298" w:type="dxa"/>
            <w:tcBorders>
              <w:top w:val="nil"/>
              <w:bottom w:val="nil"/>
              <w:right w:val="single" w:sz="4" w:space="0" w:color="auto"/>
            </w:tcBorders>
            <w:shd w:val="clear" w:color="auto" w:fill="D9E2F3" w:themeFill="accent1" w:themeFillTint="33"/>
          </w:tcPr>
          <w:p w14:paraId="78276662"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0.019</w:t>
            </w:r>
          </w:p>
          <w:p w14:paraId="395C4C63" w14:textId="0A18E575"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(.036 **)</w:t>
            </w:r>
          </w:p>
        </w:tc>
        <w:tc>
          <w:tcPr>
            <w:tcW w:w="1297" w:type="dxa"/>
            <w:tcBorders>
              <w:top w:val="nil"/>
              <w:left w:val="single" w:sz="4" w:space="0" w:color="auto"/>
              <w:bottom w:val="nil"/>
            </w:tcBorders>
            <w:shd w:val="clear" w:color="auto" w:fill="D9E2F3" w:themeFill="accent1" w:themeFillTint="33"/>
          </w:tcPr>
          <w:p w14:paraId="66B6AC2B"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0.059</w:t>
            </w:r>
          </w:p>
          <w:p w14:paraId="6E249968" w14:textId="767D679D"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(0.006 ***)</w:t>
            </w:r>
          </w:p>
        </w:tc>
        <w:tc>
          <w:tcPr>
            <w:tcW w:w="1298" w:type="dxa"/>
            <w:tcBorders>
              <w:top w:val="nil"/>
              <w:bottom w:val="nil"/>
              <w:right w:val="single" w:sz="4" w:space="0" w:color="auto"/>
            </w:tcBorders>
            <w:shd w:val="clear" w:color="auto" w:fill="D9E2F3" w:themeFill="accent1" w:themeFillTint="33"/>
          </w:tcPr>
          <w:p w14:paraId="136A1EBA"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0.034</w:t>
            </w:r>
          </w:p>
          <w:p w14:paraId="58332500" w14:textId="72787D41"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(.005 ***)</w:t>
            </w:r>
          </w:p>
        </w:tc>
        <w:tc>
          <w:tcPr>
            <w:tcW w:w="1297" w:type="dxa"/>
            <w:tcBorders>
              <w:top w:val="nil"/>
              <w:left w:val="single" w:sz="4" w:space="0" w:color="auto"/>
              <w:bottom w:val="nil"/>
            </w:tcBorders>
            <w:shd w:val="clear" w:color="auto" w:fill="D9E2F3" w:themeFill="accent1" w:themeFillTint="33"/>
          </w:tcPr>
          <w:p w14:paraId="0D0B61E5"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0.003</w:t>
            </w:r>
          </w:p>
          <w:p w14:paraId="77BA26EB" w14:textId="4A507E55"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(0.905)</w:t>
            </w:r>
          </w:p>
        </w:tc>
        <w:tc>
          <w:tcPr>
            <w:tcW w:w="1298" w:type="dxa"/>
            <w:tcBorders>
              <w:top w:val="nil"/>
              <w:bottom w:val="nil"/>
              <w:right w:val="single" w:sz="4" w:space="0" w:color="auto"/>
            </w:tcBorders>
            <w:shd w:val="clear" w:color="auto" w:fill="D9E2F3" w:themeFill="accent1" w:themeFillTint="33"/>
          </w:tcPr>
          <w:p w14:paraId="0D3B9A69"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0.004</w:t>
            </w:r>
          </w:p>
          <w:p w14:paraId="696BF3BC" w14:textId="50454A2E"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(0.756)</w:t>
            </w:r>
          </w:p>
        </w:tc>
      </w:tr>
      <w:tr w:rsidR="003B45BC" w:rsidRPr="00C73908" w14:paraId="3B7E2A80" w14:textId="77777777" w:rsidTr="007B38E2">
        <w:tc>
          <w:tcPr>
            <w:tcW w:w="1708" w:type="dxa"/>
            <w:tcBorders>
              <w:top w:val="nil"/>
              <w:left w:val="single" w:sz="4" w:space="0" w:color="auto"/>
              <w:bottom w:val="nil"/>
              <w:right w:val="single" w:sz="4" w:space="0" w:color="auto"/>
            </w:tcBorders>
            <w:vAlign w:val="center"/>
          </w:tcPr>
          <w:p w14:paraId="59D1722A"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CollabRD</w:t>
            </w:r>
          </w:p>
        </w:tc>
        <w:tc>
          <w:tcPr>
            <w:tcW w:w="1297" w:type="dxa"/>
            <w:tcBorders>
              <w:top w:val="nil"/>
              <w:left w:val="single" w:sz="4" w:space="0" w:color="auto"/>
              <w:bottom w:val="nil"/>
            </w:tcBorders>
          </w:tcPr>
          <w:p w14:paraId="03266B26"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0.048</w:t>
            </w:r>
          </w:p>
          <w:p w14:paraId="7DD1BBBB" w14:textId="21A6480A"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(0.156)</w:t>
            </w:r>
          </w:p>
        </w:tc>
        <w:tc>
          <w:tcPr>
            <w:tcW w:w="1298" w:type="dxa"/>
            <w:tcBorders>
              <w:top w:val="nil"/>
              <w:bottom w:val="nil"/>
              <w:right w:val="single" w:sz="4" w:space="0" w:color="auto"/>
            </w:tcBorders>
          </w:tcPr>
          <w:p w14:paraId="70C1A266"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-0.005</w:t>
            </w:r>
          </w:p>
          <w:p w14:paraId="377AFBBC" w14:textId="164F06B9"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(0.696)</w:t>
            </w:r>
          </w:p>
        </w:tc>
        <w:tc>
          <w:tcPr>
            <w:tcW w:w="1297" w:type="dxa"/>
            <w:tcBorders>
              <w:top w:val="nil"/>
              <w:left w:val="single" w:sz="4" w:space="0" w:color="auto"/>
              <w:bottom w:val="nil"/>
            </w:tcBorders>
          </w:tcPr>
          <w:p w14:paraId="31698DDD"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0.052</w:t>
            </w:r>
          </w:p>
          <w:p w14:paraId="3073491C" w14:textId="463D1C0A"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(0.154)</w:t>
            </w:r>
          </w:p>
        </w:tc>
        <w:tc>
          <w:tcPr>
            <w:tcW w:w="1298" w:type="dxa"/>
            <w:tcBorders>
              <w:top w:val="nil"/>
              <w:bottom w:val="nil"/>
              <w:right w:val="single" w:sz="4" w:space="0" w:color="auto"/>
            </w:tcBorders>
          </w:tcPr>
          <w:p w14:paraId="79EAD9AC"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-0.007</w:t>
            </w:r>
          </w:p>
          <w:p w14:paraId="1716AA43" w14:textId="781287A6"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(0.65)</w:t>
            </w:r>
          </w:p>
        </w:tc>
        <w:tc>
          <w:tcPr>
            <w:tcW w:w="1297" w:type="dxa"/>
            <w:tcBorders>
              <w:top w:val="nil"/>
              <w:left w:val="single" w:sz="4" w:space="0" w:color="auto"/>
              <w:bottom w:val="nil"/>
            </w:tcBorders>
          </w:tcPr>
          <w:p w14:paraId="4F24B275"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0.03</w:t>
            </w:r>
          </w:p>
          <w:p w14:paraId="0925946C" w14:textId="772E8802"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(0.539)</w:t>
            </w:r>
          </w:p>
        </w:tc>
        <w:tc>
          <w:tcPr>
            <w:tcW w:w="1298" w:type="dxa"/>
            <w:tcBorders>
              <w:top w:val="nil"/>
              <w:bottom w:val="nil"/>
              <w:right w:val="single" w:sz="4" w:space="0" w:color="auto"/>
            </w:tcBorders>
          </w:tcPr>
          <w:p w14:paraId="0F8AD5BB"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-0.002</w:t>
            </w:r>
          </w:p>
          <w:p w14:paraId="18BD915C" w14:textId="76D2C98B"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(0.924)</w:t>
            </w:r>
          </w:p>
        </w:tc>
      </w:tr>
      <w:tr w:rsidR="003B45BC" w:rsidRPr="00C73908" w14:paraId="06F6218F" w14:textId="77777777" w:rsidTr="007B38E2">
        <w:tc>
          <w:tcPr>
            <w:tcW w:w="1708" w:type="dxa"/>
            <w:tcBorders>
              <w:top w:val="nil"/>
              <w:left w:val="single" w:sz="4" w:space="0" w:color="auto"/>
              <w:bottom w:val="nil"/>
              <w:right w:val="single" w:sz="4" w:space="0" w:color="auto"/>
            </w:tcBorders>
            <w:shd w:val="clear" w:color="auto" w:fill="D9E2F3" w:themeFill="accent1" w:themeFillTint="33"/>
            <w:vAlign w:val="center"/>
          </w:tcPr>
          <w:p w14:paraId="72314431"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Ln_Wages</w:t>
            </w:r>
          </w:p>
        </w:tc>
        <w:tc>
          <w:tcPr>
            <w:tcW w:w="1297" w:type="dxa"/>
            <w:tcBorders>
              <w:top w:val="nil"/>
              <w:left w:val="single" w:sz="4" w:space="0" w:color="auto"/>
              <w:bottom w:val="nil"/>
            </w:tcBorders>
            <w:shd w:val="clear" w:color="auto" w:fill="D9E2F3" w:themeFill="accent1" w:themeFillTint="33"/>
          </w:tcPr>
          <w:p w14:paraId="09E3FD37"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0.029</w:t>
            </w:r>
          </w:p>
          <w:p w14:paraId="39C53B26" w14:textId="3D7D459A"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(0.34)</w:t>
            </w:r>
          </w:p>
        </w:tc>
        <w:tc>
          <w:tcPr>
            <w:tcW w:w="1298" w:type="dxa"/>
            <w:tcBorders>
              <w:top w:val="nil"/>
              <w:bottom w:val="nil"/>
              <w:right w:val="single" w:sz="4" w:space="0" w:color="auto"/>
            </w:tcBorders>
            <w:shd w:val="clear" w:color="auto" w:fill="D9E2F3" w:themeFill="accent1" w:themeFillTint="33"/>
          </w:tcPr>
          <w:p w14:paraId="50C21DC6"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0.025</w:t>
            </w:r>
          </w:p>
          <w:p w14:paraId="2E560478" w14:textId="7EEFCE16"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(.097 *)</w:t>
            </w:r>
          </w:p>
        </w:tc>
        <w:tc>
          <w:tcPr>
            <w:tcW w:w="1297" w:type="dxa"/>
            <w:tcBorders>
              <w:top w:val="nil"/>
              <w:left w:val="single" w:sz="4" w:space="0" w:color="auto"/>
              <w:bottom w:val="nil"/>
            </w:tcBorders>
            <w:shd w:val="clear" w:color="auto" w:fill="D9E2F3" w:themeFill="accent1" w:themeFillTint="33"/>
          </w:tcPr>
          <w:p w14:paraId="5DA175AC"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-0.036</w:t>
            </w:r>
          </w:p>
          <w:p w14:paraId="65976E13" w14:textId="3A4E01A2"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(0.34)</w:t>
            </w:r>
          </w:p>
        </w:tc>
        <w:tc>
          <w:tcPr>
            <w:tcW w:w="1298" w:type="dxa"/>
            <w:tcBorders>
              <w:top w:val="nil"/>
              <w:bottom w:val="nil"/>
              <w:right w:val="single" w:sz="4" w:space="0" w:color="auto"/>
            </w:tcBorders>
            <w:shd w:val="clear" w:color="auto" w:fill="D9E2F3" w:themeFill="accent1" w:themeFillTint="33"/>
          </w:tcPr>
          <w:p w14:paraId="513E1EA4"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0.029</w:t>
            </w:r>
          </w:p>
          <w:p w14:paraId="694151B7" w14:textId="39B0DDEA"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(0.175)</w:t>
            </w:r>
          </w:p>
        </w:tc>
        <w:tc>
          <w:tcPr>
            <w:tcW w:w="1297" w:type="dxa"/>
            <w:tcBorders>
              <w:top w:val="nil"/>
              <w:left w:val="single" w:sz="4" w:space="0" w:color="auto"/>
              <w:bottom w:val="nil"/>
            </w:tcBorders>
            <w:shd w:val="clear" w:color="auto" w:fill="D9E2F3" w:themeFill="accent1" w:themeFillTint="33"/>
          </w:tcPr>
          <w:p w14:paraId="471F3157"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0.062</w:t>
            </w:r>
          </w:p>
          <w:p w14:paraId="42A3BAE3" w14:textId="7FBE6B16"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(0.114)</w:t>
            </w:r>
          </w:p>
        </w:tc>
        <w:tc>
          <w:tcPr>
            <w:tcW w:w="1298" w:type="dxa"/>
            <w:tcBorders>
              <w:top w:val="nil"/>
              <w:bottom w:val="nil"/>
              <w:right w:val="single" w:sz="4" w:space="0" w:color="auto"/>
            </w:tcBorders>
            <w:shd w:val="clear" w:color="auto" w:fill="D9E2F3" w:themeFill="accent1" w:themeFillTint="33"/>
          </w:tcPr>
          <w:p w14:paraId="1E408D22"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0.022</w:t>
            </w:r>
          </w:p>
          <w:p w14:paraId="699EAA3F" w14:textId="239174F4"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(0.293)</w:t>
            </w:r>
          </w:p>
        </w:tc>
      </w:tr>
      <w:tr w:rsidR="003B45BC" w:rsidRPr="00C73908" w14:paraId="461EE8EC" w14:textId="77777777" w:rsidTr="007B38E2">
        <w:tc>
          <w:tcPr>
            <w:tcW w:w="1708" w:type="dxa"/>
            <w:tcBorders>
              <w:top w:val="nil"/>
              <w:left w:val="single" w:sz="4" w:space="0" w:color="auto"/>
              <w:bottom w:val="nil"/>
              <w:right w:val="single" w:sz="4" w:space="0" w:color="auto"/>
            </w:tcBorders>
            <w:shd w:val="clear" w:color="auto" w:fill="auto"/>
            <w:vAlign w:val="center"/>
          </w:tcPr>
          <w:p w14:paraId="2B72294B"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Ln_Training</w:t>
            </w:r>
          </w:p>
        </w:tc>
        <w:tc>
          <w:tcPr>
            <w:tcW w:w="1297" w:type="dxa"/>
            <w:tcBorders>
              <w:top w:val="nil"/>
              <w:left w:val="single" w:sz="4" w:space="0" w:color="auto"/>
              <w:bottom w:val="nil"/>
            </w:tcBorders>
            <w:shd w:val="clear" w:color="auto" w:fill="auto"/>
          </w:tcPr>
          <w:p w14:paraId="4D16A944"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-0.007</w:t>
            </w:r>
          </w:p>
          <w:p w14:paraId="7D19E399" w14:textId="66224DFC"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(0.306)</w:t>
            </w:r>
          </w:p>
        </w:tc>
        <w:tc>
          <w:tcPr>
            <w:tcW w:w="1298" w:type="dxa"/>
            <w:tcBorders>
              <w:top w:val="nil"/>
              <w:bottom w:val="nil"/>
              <w:right w:val="single" w:sz="4" w:space="0" w:color="auto"/>
            </w:tcBorders>
            <w:shd w:val="clear" w:color="auto" w:fill="auto"/>
          </w:tcPr>
          <w:p w14:paraId="594E7A9D"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0.005</w:t>
            </w:r>
          </w:p>
          <w:p w14:paraId="7FF6FD43" w14:textId="2493E896"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(0.294)</w:t>
            </w:r>
          </w:p>
        </w:tc>
        <w:tc>
          <w:tcPr>
            <w:tcW w:w="1297" w:type="dxa"/>
            <w:tcBorders>
              <w:top w:val="nil"/>
              <w:left w:val="single" w:sz="4" w:space="0" w:color="auto"/>
              <w:bottom w:val="nil"/>
            </w:tcBorders>
            <w:shd w:val="clear" w:color="auto" w:fill="auto"/>
          </w:tcPr>
          <w:p w14:paraId="5884725C"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0.001</w:t>
            </w:r>
          </w:p>
          <w:p w14:paraId="7258D12D" w14:textId="380CA78C"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(0.941)</w:t>
            </w:r>
          </w:p>
        </w:tc>
        <w:tc>
          <w:tcPr>
            <w:tcW w:w="1298" w:type="dxa"/>
            <w:tcBorders>
              <w:top w:val="nil"/>
              <w:bottom w:val="nil"/>
              <w:right w:val="single" w:sz="4" w:space="0" w:color="auto"/>
            </w:tcBorders>
            <w:shd w:val="clear" w:color="auto" w:fill="auto"/>
          </w:tcPr>
          <w:p w14:paraId="47641D75"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0.002</w:t>
            </w:r>
          </w:p>
          <w:p w14:paraId="249FDF2E" w14:textId="10026833"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(0.668)</w:t>
            </w:r>
          </w:p>
        </w:tc>
        <w:tc>
          <w:tcPr>
            <w:tcW w:w="1297" w:type="dxa"/>
            <w:tcBorders>
              <w:top w:val="nil"/>
              <w:left w:val="single" w:sz="4" w:space="0" w:color="auto"/>
              <w:bottom w:val="nil"/>
            </w:tcBorders>
            <w:shd w:val="clear" w:color="auto" w:fill="auto"/>
          </w:tcPr>
          <w:p w14:paraId="02763E19"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0.001</w:t>
            </w:r>
          </w:p>
          <w:p w14:paraId="08C23A60" w14:textId="37102C0A"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(0.885)</w:t>
            </w:r>
          </w:p>
        </w:tc>
        <w:tc>
          <w:tcPr>
            <w:tcW w:w="1298" w:type="dxa"/>
            <w:tcBorders>
              <w:top w:val="nil"/>
              <w:bottom w:val="nil"/>
              <w:right w:val="single" w:sz="4" w:space="0" w:color="auto"/>
            </w:tcBorders>
          </w:tcPr>
          <w:p w14:paraId="54C3785A"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0.007</w:t>
            </w:r>
          </w:p>
          <w:p w14:paraId="02BDCAEF" w14:textId="3386C86B"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(0.298)</w:t>
            </w:r>
          </w:p>
        </w:tc>
      </w:tr>
      <w:tr w:rsidR="003B45BC" w:rsidRPr="00C73908" w14:paraId="3D06116E" w14:textId="77777777" w:rsidTr="007B38E2">
        <w:tc>
          <w:tcPr>
            <w:tcW w:w="1708" w:type="dxa"/>
            <w:tcBorders>
              <w:top w:val="nil"/>
              <w:left w:val="single" w:sz="4" w:space="0" w:color="auto"/>
              <w:bottom w:val="nil"/>
              <w:right w:val="single" w:sz="4" w:space="0" w:color="auto"/>
            </w:tcBorders>
            <w:shd w:val="clear" w:color="auto" w:fill="D9E2F3" w:themeFill="accent1" w:themeFillTint="33"/>
            <w:vAlign w:val="center"/>
          </w:tcPr>
          <w:p w14:paraId="2ADA851F"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ExportPromo</w:t>
            </w:r>
          </w:p>
        </w:tc>
        <w:tc>
          <w:tcPr>
            <w:tcW w:w="1297" w:type="dxa"/>
            <w:tcBorders>
              <w:top w:val="nil"/>
              <w:left w:val="single" w:sz="4" w:space="0" w:color="auto"/>
              <w:bottom w:val="nil"/>
            </w:tcBorders>
            <w:shd w:val="clear" w:color="auto" w:fill="D9E2F3" w:themeFill="accent1" w:themeFillTint="33"/>
          </w:tcPr>
          <w:p w14:paraId="53D376B4"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0.057</w:t>
            </w:r>
          </w:p>
          <w:p w14:paraId="3D0C5280" w14:textId="39C4F40D"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(0.229)</w:t>
            </w:r>
          </w:p>
        </w:tc>
        <w:tc>
          <w:tcPr>
            <w:tcW w:w="1298" w:type="dxa"/>
            <w:tcBorders>
              <w:top w:val="nil"/>
              <w:bottom w:val="nil"/>
              <w:right w:val="single" w:sz="4" w:space="0" w:color="auto"/>
            </w:tcBorders>
            <w:shd w:val="clear" w:color="auto" w:fill="D9E2F3" w:themeFill="accent1" w:themeFillTint="33"/>
          </w:tcPr>
          <w:p w14:paraId="08C2B605"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-0.002</w:t>
            </w:r>
          </w:p>
          <w:p w14:paraId="68ED0A43" w14:textId="729CE9D0"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(0.855)</w:t>
            </w:r>
          </w:p>
        </w:tc>
        <w:tc>
          <w:tcPr>
            <w:tcW w:w="1297" w:type="dxa"/>
            <w:tcBorders>
              <w:top w:val="nil"/>
              <w:left w:val="single" w:sz="4" w:space="0" w:color="auto"/>
              <w:bottom w:val="nil"/>
            </w:tcBorders>
            <w:shd w:val="clear" w:color="auto" w:fill="D9E2F3" w:themeFill="accent1" w:themeFillTint="33"/>
          </w:tcPr>
          <w:p w14:paraId="6E00CE14"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0.035</w:t>
            </w:r>
          </w:p>
          <w:p w14:paraId="34D1B54F" w14:textId="40BB56E1"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(0.479)</w:t>
            </w:r>
          </w:p>
        </w:tc>
        <w:tc>
          <w:tcPr>
            <w:tcW w:w="1298" w:type="dxa"/>
            <w:tcBorders>
              <w:top w:val="nil"/>
              <w:bottom w:val="nil"/>
              <w:right w:val="single" w:sz="4" w:space="0" w:color="auto"/>
            </w:tcBorders>
            <w:shd w:val="clear" w:color="auto" w:fill="D9E2F3" w:themeFill="accent1" w:themeFillTint="33"/>
          </w:tcPr>
          <w:p w14:paraId="70D2FCB9"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0.003</w:t>
            </w:r>
          </w:p>
          <w:p w14:paraId="72DAD44E" w14:textId="0F775A61"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(0.811)</w:t>
            </w:r>
          </w:p>
        </w:tc>
        <w:tc>
          <w:tcPr>
            <w:tcW w:w="1297" w:type="dxa"/>
            <w:tcBorders>
              <w:top w:val="nil"/>
              <w:left w:val="single" w:sz="4" w:space="0" w:color="auto"/>
              <w:bottom w:val="nil"/>
            </w:tcBorders>
            <w:shd w:val="clear" w:color="auto" w:fill="D9E2F3" w:themeFill="accent1" w:themeFillTint="33"/>
          </w:tcPr>
          <w:p w14:paraId="6EFCC6B1"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0.027</w:t>
            </w:r>
          </w:p>
          <w:p w14:paraId="0110179D" w14:textId="5E4DEFFE"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(0.566)</w:t>
            </w:r>
          </w:p>
        </w:tc>
        <w:tc>
          <w:tcPr>
            <w:tcW w:w="1298" w:type="dxa"/>
            <w:tcBorders>
              <w:top w:val="nil"/>
              <w:bottom w:val="nil"/>
              <w:right w:val="single" w:sz="4" w:space="0" w:color="auto"/>
            </w:tcBorders>
            <w:shd w:val="clear" w:color="auto" w:fill="D9E2F3" w:themeFill="accent1" w:themeFillTint="33"/>
          </w:tcPr>
          <w:p w14:paraId="76565F79"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-0.008</w:t>
            </w:r>
          </w:p>
          <w:p w14:paraId="384EAB15" w14:textId="432B7C8F"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(0.646)</w:t>
            </w:r>
          </w:p>
        </w:tc>
      </w:tr>
      <w:tr w:rsidR="003B45BC" w:rsidRPr="00C73908" w14:paraId="24D7B822" w14:textId="77777777" w:rsidTr="007B38E2">
        <w:tc>
          <w:tcPr>
            <w:tcW w:w="1708" w:type="dxa"/>
            <w:tcBorders>
              <w:top w:val="nil"/>
              <w:left w:val="single" w:sz="4" w:space="0" w:color="auto"/>
              <w:bottom w:val="nil"/>
              <w:right w:val="single" w:sz="4" w:space="0" w:color="auto"/>
            </w:tcBorders>
            <w:shd w:val="clear" w:color="auto" w:fill="FFFFFF" w:themeFill="background1"/>
            <w:vAlign w:val="center"/>
          </w:tcPr>
          <w:p w14:paraId="2CD789C5"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OverseasSupport</w:t>
            </w:r>
          </w:p>
        </w:tc>
        <w:tc>
          <w:tcPr>
            <w:tcW w:w="1297" w:type="dxa"/>
            <w:tcBorders>
              <w:top w:val="nil"/>
              <w:left w:val="single" w:sz="4" w:space="0" w:color="auto"/>
              <w:bottom w:val="nil"/>
            </w:tcBorders>
            <w:shd w:val="clear" w:color="auto" w:fill="FFFFFF" w:themeFill="background1"/>
          </w:tcPr>
          <w:p w14:paraId="3E609F1D"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0.083</w:t>
            </w:r>
          </w:p>
          <w:p w14:paraId="4E2310A9" w14:textId="63AB1448"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(0.005 ***)</w:t>
            </w:r>
          </w:p>
        </w:tc>
        <w:tc>
          <w:tcPr>
            <w:tcW w:w="1298" w:type="dxa"/>
            <w:tcBorders>
              <w:top w:val="nil"/>
              <w:bottom w:val="nil"/>
              <w:right w:val="single" w:sz="4" w:space="0" w:color="auto"/>
            </w:tcBorders>
            <w:shd w:val="clear" w:color="auto" w:fill="FFFFFF" w:themeFill="background1"/>
          </w:tcPr>
          <w:p w14:paraId="39C16AD3"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0.038</w:t>
            </w:r>
          </w:p>
          <w:p w14:paraId="5274D060" w14:textId="58FB3F8A"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 ***)</w:t>
            </w:r>
          </w:p>
        </w:tc>
        <w:tc>
          <w:tcPr>
            <w:tcW w:w="1297" w:type="dxa"/>
            <w:tcBorders>
              <w:top w:val="nil"/>
              <w:left w:val="single" w:sz="4" w:space="0" w:color="auto"/>
              <w:bottom w:val="nil"/>
            </w:tcBorders>
            <w:shd w:val="clear" w:color="auto" w:fill="FFFFFF" w:themeFill="background1"/>
          </w:tcPr>
          <w:p w14:paraId="6368652D"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0.13</w:t>
            </w:r>
          </w:p>
          <w:p w14:paraId="2E302CA2" w14:textId="583B844D"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 ***)</w:t>
            </w:r>
          </w:p>
        </w:tc>
        <w:tc>
          <w:tcPr>
            <w:tcW w:w="1298" w:type="dxa"/>
            <w:tcBorders>
              <w:top w:val="nil"/>
              <w:bottom w:val="nil"/>
              <w:right w:val="single" w:sz="4" w:space="0" w:color="auto"/>
            </w:tcBorders>
            <w:shd w:val="clear" w:color="auto" w:fill="FFFFFF" w:themeFill="background1"/>
          </w:tcPr>
          <w:p w14:paraId="126152F7"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0.036</w:t>
            </w:r>
          </w:p>
          <w:p w14:paraId="1DF57A8D" w14:textId="60A76F2F"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(.005 ***)</w:t>
            </w:r>
          </w:p>
        </w:tc>
        <w:tc>
          <w:tcPr>
            <w:tcW w:w="1297" w:type="dxa"/>
            <w:tcBorders>
              <w:top w:val="nil"/>
              <w:left w:val="single" w:sz="4" w:space="0" w:color="auto"/>
              <w:bottom w:val="nil"/>
            </w:tcBorders>
            <w:shd w:val="clear" w:color="auto" w:fill="FFFFFF" w:themeFill="background1"/>
          </w:tcPr>
          <w:p w14:paraId="5C2C7D34"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0.093</w:t>
            </w:r>
          </w:p>
          <w:p w14:paraId="448FDD7D" w14:textId="6F95280D"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(0.002</w:t>
            </w:r>
            <w:r w:rsidR="00C94130" w:rsidRPr="00C73908">
              <w:rPr>
                <w:rFonts w:ascii="Times New Roman" w:hAnsi="Times New Roman" w:cs="Times New Roman"/>
                <w:sz w:val="20"/>
                <w:szCs w:val="20"/>
              </w:rPr>
              <w:t xml:space="preserve"> ***</w:t>
            </w:r>
            <w:r w:rsidRPr="00C73908">
              <w:rPr>
                <w:rFonts w:ascii="Times New Roman" w:hAnsi="Times New Roman" w:cs="Times New Roman"/>
                <w:sz w:val="20"/>
                <w:szCs w:val="20"/>
              </w:rPr>
              <w:t>)</w:t>
            </w:r>
          </w:p>
        </w:tc>
        <w:tc>
          <w:tcPr>
            <w:tcW w:w="1298" w:type="dxa"/>
            <w:tcBorders>
              <w:top w:val="nil"/>
              <w:bottom w:val="nil"/>
              <w:right w:val="single" w:sz="4" w:space="0" w:color="auto"/>
            </w:tcBorders>
            <w:shd w:val="clear" w:color="auto" w:fill="FFFFFF" w:themeFill="background1"/>
          </w:tcPr>
          <w:p w14:paraId="21574DEC"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0.037</w:t>
            </w:r>
          </w:p>
          <w:p w14:paraId="15F2F618" w14:textId="2416FF92"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(.003 ***)</w:t>
            </w:r>
          </w:p>
        </w:tc>
      </w:tr>
      <w:tr w:rsidR="003B45BC" w:rsidRPr="00C73908" w14:paraId="6676564B" w14:textId="77777777" w:rsidTr="00A24B36">
        <w:trPr>
          <w:trHeight w:val="181"/>
        </w:trPr>
        <w:tc>
          <w:tcPr>
            <w:tcW w:w="1708" w:type="dxa"/>
            <w:tcBorders>
              <w:top w:val="nil"/>
              <w:left w:val="single" w:sz="4" w:space="0" w:color="auto"/>
              <w:right w:val="single" w:sz="4" w:space="0" w:color="auto"/>
            </w:tcBorders>
            <w:shd w:val="clear" w:color="auto" w:fill="D9E2F3" w:themeFill="accent1" w:themeFillTint="33"/>
            <w:vAlign w:val="center"/>
          </w:tcPr>
          <w:p w14:paraId="02BFB9C9"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Age</w:t>
            </w:r>
          </w:p>
        </w:tc>
        <w:tc>
          <w:tcPr>
            <w:tcW w:w="1297" w:type="dxa"/>
            <w:tcBorders>
              <w:top w:val="nil"/>
              <w:left w:val="single" w:sz="4" w:space="0" w:color="auto"/>
            </w:tcBorders>
            <w:shd w:val="clear" w:color="auto" w:fill="D9E2F3" w:themeFill="accent1" w:themeFillTint="33"/>
          </w:tcPr>
          <w:p w14:paraId="08D22B31"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-0.005</w:t>
            </w:r>
          </w:p>
          <w:p w14:paraId="1002E44C" w14:textId="39518E70"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 ***)</w:t>
            </w:r>
          </w:p>
        </w:tc>
        <w:tc>
          <w:tcPr>
            <w:tcW w:w="1298" w:type="dxa"/>
            <w:tcBorders>
              <w:top w:val="nil"/>
              <w:right w:val="single" w:sz="4" w:space="0" w:color="auto"/>
            </w:tcBorders>
            <w:shd w:val="clear" w:color="auto" w:fill="D9E2F3" w:themeFill="accent1" w:themeFillTint="33"/>
          </w:tcPr>
          <w:p w14:paraId="63293A0E"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0.014</w:t>
            </w:r>
          </w:p>
          <w:p w14:paraId="57BC5230" w14:textId="4AE58B99"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 ***)</w:t>
            </w:r>
          </w:p>
        </w:tc>
        <w:tc>
          <w:tcPr>
            <w:tcW w:w="1297" w:type="dxa"/>
            <w:tcBorders>
              <w:top w:val="nil"/>
              <w:left w:val="single" w:sz="4" w:space="0" w:color="auto"/>
            </w:tcBorders>
            <w:shd w:val="clear" w:color="auto" w:fill="D9E2F3" w:themeFill="accent1" w:themeFillTint="33"/>
          </w:tcPr>
          <w:p w14:paraId="62C24278"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-0.003</w:t>
            </w:r>
          </w:p>
          <w:p w14:paraId="060E6375" w14:textId="52A37312"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 ***)</w:t>
            </w:r>
          </w:p>
        </w:tc>
        <w:tc>
          <w:tcPr>
            <w:tcW w:w="1298" w:type="dxa"/>
            <w:tcBorders>
              <w:top w:val="nil"/>
              <w:right w:val="single" w:sz="4" w:space="0" w:color="auto"/>
            </w:tcBorders>
            <w:shd w:val="clear" w:color="auto" w:fill="D9E2F3" w:themeFill="accent1" w:themeFillTint="33"/>
          </w:tcPr>
          <w:p w14:paraId="5A3D3C5E"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0.015</w:t>
            </w:r>
          </w:p>
          <w:p w14:paraId="3077CBAA" w14:textId="55528821"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 ***)</w:t>
            </w:r>
          </w:p>
        </w:tc>
        <w:tc>
          <w:tcPr>
            <w:tcW w:w="1297" w:type="dxa"/>
            <w:tcBorders>
              <w:top w:val="nil"/>
              <w:left w:val="single" w:sz="4" w:space="0" w:color="auto"/>
            </w:tcBorders>
            <w:shd w:val="clear" w:color="auto" w:fill="D9E2F3" w:themeFill="accent1" w:themeFillTint="33"/>
          </w:tcPr>
          <w:p w14:paraId="089F31AF"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-0.008</w:t>
            </w:r>
          </w:p>
          <w:p w14:paraId="1C7D4730" w14:textId="1A31479E"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w:t>
            </w:r>
            <w:r w:rsidR="00C94130" w:rsidRPr="00C73908">
              <w:rPr>
                <w:rFonts w:ascii="Times New Roman" w:hAnsi="Times New Roman" w:cs="Times New Roman"/>
                <w:sz w:val="20"/>
                <w:szCs w:val="20"/>
              </w:rPr>
              <w:t xml:space="preserve"> ***</w:t>
            </w:r>
            <w:r w:rsidRPr="00C73908">
              <w:rPr>
                <w:rFonts w:ascii="Times New Roman" w:hAnsi="Times New Roman" w:cs="Times New Roman"/>
                <w:sz w:val="20"/>
                <w:szCs w:val="20"/>
              </w:rPr>
              <w:t>)</w:t>
            </w:r>
          </w:p>
        </w:tc>
        <w:tc>
          <w:tcPr>
            <w:tcW w:w="1298" w:type="dxa"/>
            <w:tcBorders>
              <w:top w:val="nil"/>
              <w:right w:val="single" w:sz="4" w:space="0" w:color="auto"/>
            </w:tcBorders>
            <w:shd w:val="clear" w:color="auto" w:fill="D9E2F3" w:themeFill="accent1" w:themeFillTint="33"/>
          </w:tcPr>
          <w:p w14:paraId="6C2E1DCE"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0.011</w:t>
            </w:r>
          </w:p>
          <w:p w14:paraId="3B9BE393" w14:textId="330544D3"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(.001 ***)</w:t>
            </w:r>
          </w:p>
        </w:tc>
      </w:tr>
      <w:tr w:rsidR="003B45BC" w:rsidRPr="00C73908" w14:paraId="3DBA9E63" w14:textId="77777777" w:rsidTr="007339F6">
        <w:tc>
          <w:tcPr>
            <w:tcW w:w="1708" w:type="dxa"/>
            <w:tcBorders>
              <w:top w:val="nil"/>
              <w:left w:val="single" w:sz="4" w:space="0" w:color="auto"/>
              <w:bottom w:val="single" w:sz="4" w:space="0" w:color="auto"/>
              <w:right w:val="single" w:sz="4" w:space="0" w:color="auto"/>
            </w:tcBorders>
            <w:shd w:val="clear" w:color="auto" w:fill="FFFFFF" w:themeFill="background1"/>
            <w:vAlign w:val="center"/>
          </w:tcPr>
          <w:p w14:paraId="64D9578E"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b/>
                <w:bCs/>
                <w:sz w:val="20"/>
                <w:szCs w:val="20"/>
              </w:rPr>
            </w:pPr>
            <w:r w:rsidRPr="00C73908">
              <w:rPr>
                <w:rFonts w:ascii="Times New Roman" w:hAnsi="Times New Roman" w:cs="Times New Roman"/>
                <w:b/>
                <w:bCs/>
                <w:sz w:val="20"/>
                <w:szCs w:val="20"/>
              </w:rPr>
              <w:t>Ln_Sales</w:t>
            </w:r>
          </w:p>
        </w:tc>
        <w:tc>
          <w:tcPr>
            <w:tcW w:w="1297" w:type="dxa"/>
            <w:tcBorders>
              <w:top w:val="nil"/>
              <w:left w:val="single" w:sz="4" w:space="0" w:color="auto"/>
              <w:bottom w:val="single" w:sz="4" w:space="0" w:color="auto"/>
            </w:tcBorders>
            <w:shd w:val="clear" w:color="auto" w:fill="FFFFFF" w:themeFill="background1"/>
          </w:tcPr>
          <w:p w14:paraId="5EA70A25"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0.055</w:t>
            </w:r>
          </w:p>
          <w:p w14:paraId="18C73F8B" w14:textId="18BE6B6B"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 ***)</w:t>
            </w:r>
          </w:p>
        </w:tc>
        <w:tc>
          <w:tcPr>
            <w:tcW w:w="1298" w:type="dxa"/>
            <w:tcBorders>
              <w:top w:val="nil"/>
              <w:bottom w:val="single" w:sz="4" w:space="0" w:color="auto"/>
              <w:right w:val="single" w:sz="4" w:space="0" w:color="auto"/>
            </w:tcBorders>
            <w:shd w:val="clear" w:color="auto" w:fill="FFFFFF" w:themeFill="background1"/>
          </w:tcPr>
          <w:p w14:paraId="7FD44A40"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0.242</w:t>
            </w:r>
          </w:p>
          <w:p w14:paraId="7F7A6E55" w14:textId="3D6C53B6"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 ***)</w:t>
            </w:r>
          </w:p>
        </w:tc>
        <w:tc>
          <w:tcPr>
            <w:tcW w:w="1297" w:type="dxa"/>
            <w:tcBorders>
              <w:top w:val="nil"/>
              <w:left w:val="single" w:sz="4" w:space="0" w:color="auto"/>
              <w:bottom w:val="single" w:sz="4" w:space="0" w:color="auto"/>
            </w:tcBorders>
            <w:shd w:val="clear" w:color="auto" w:fill="FFFFFF" w:themeFill="background1"/>
          </w:tcPr>
          <w:p w14:paraId="79B9EC97"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0.078</w:t>
            </w:r>
          </w:p>
          <w:p w14:paraId="53817AD2" w14:textId="4582B722"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 ***)</w:t>
            </w:r>
          </w:p>
        </w:tc>
        <w:tc>
          <w:tcPr>
            <w:tcW w:w="1298" w:type="dxa"/>
            <w:tcBorders>
              <w:top w:val="nil"/>
              <w:bottom w:val="single" w:sz="4" w:space="0" w:color="auto"/>
              <w:right w:val="single" w:sz="4" w:space="0" w:color="auto"/>
            </w:tcBorders>
            <w:shd w:val="clear" w:color="auto" w:fill="FFFFFF" w:themeFill="background1"/>
          </w:tcPr>
          <w:p w14:paraId="099495EF"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0.229</w:t>
            </w:r>
          </w:p>
          <w:p w14:paraId="3BFE3891" w14:textId="49ACE9DD"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 ***)</w:t>
            </w:r>
          </w:p>
        </w:tc>
        <w:tc>
          <w:tcPr>
            <w:tcW w:w="1297" w:type="dxa"/>
            <w:tcBorders>
              <w:top w:val="nil"/>
              <w:left w:val="single" w:sz="4" w:space="0" w:color="auto"/>
              <w:bottom w:val="single" w:sz="4" w:space="0" w:color="auto"/>
            </w:tcBorders>
            <w:shd w:val="clear" w:color="auto" w:fill="FFFFFF" w:themeFill="background1"/>
          </w:tcPr>
          <w:p w14:paraId="7C4AEAF4"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0.052</w:t>
            </w:r>
          </w:p>
          <w:p w14:paraId="291C06D4" w14:textId="169DF75E"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(0.002</w:t>
            </w:r>
            <w:r w:rsidR="00C94130" w:rsidRPr="00C73908">
              <w:rPr>
                <w:rFonts w:ascii="Times New Roman" w:hAnsi="Times New Roman" w:cs="Times New Roman"/>
                <w:sz w:val="20"/>
                <w:szCs w:val="20"/>
              </w:rPr>
              <w:t xml:space="preserve"> ***</w:t>
            </w:r>
            <w:r w:rsidRPr="00C73908">
              <w:rPr>
                <w:rFonts w:ascii="Times New Roman" w:hAnsi="Times New Roman" w:cs="Times New Roman"/>
                <w:sz w:val="20"/>
                <w:szCs w:val="20"/>
              </w:rPr>
              <w:t>)</w:t>
            </w:r>
          </w:p>
        </w:tc>
        <w:tc>
          <w:tcPr>
            <w:tcW w:w="1298" w:type="dxa"/>
            <w:tcBorders>
              <w:top w:val="nil"/>
              <w:bottom w:val="single" w:sz="4" w:space="0" w:color="auto"/>
              <w:right w:val="single" w:sz="4" w:space="0" w:color="auto"/>
            </w:tcBorders>
            <w:shd w:val="clear" w:color="auto" w:fill="FFFFFF" w:themeFill="background1"/>
          </w:tcPr>
          <w:p w14:paraId="1348E210" w14:textId="77777777"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0.252</w:t>
            </w:r>
          </w:p>
          <w:p w14:paraId="071B4F37" w14:textId="17076F63" w:rsidR="003B45BC" w:rsidRPr="00C73908" w:rsidRDefault="003B45BC" w:rsidP="003B45BC">
            <w:pPr>
              <w:widowControl w:val="0"/>
              <w:autoSpaceDE w:val="0"/>
              <w:autoSpaceDN w:val="0"/>
              <w:adjustRightInd w:val="0"/>
              <w:spacing w:after="0" w:line="240" w:lineRule="auto"/>
              <w:rPr>
                <w:rFonts w:ascii="Times New Roman" w:hAnsi="Times New Roman" w:cs="Times New Roman"/>
                <w:sz w:val="20"/>
                <w:szCs w:val="20"/>
              </w:rPr>
            </w:pPr>
            <w:r w:rsidRPr="00C73908">
              <w:rPr>
                <w:rFonts w:ascii="Times New Roman" w:hAnsi="Times New Roman" w:cs="Times New Roman"/>
                <w:sz w:val="20"/>
                <w:szCs w:val="20"/>
              </w:rPr>
              <w:t>(0 ***)</w:t>
            </w:r>
          </w:p>
        </w:tc>
      </w:tr>
      <w:tr w:rsidR="000E70F4" w:rsidRPr="00C73908" w14:paraId="44363024" w14:textId="77777777" w:rsidTr="007339F6">
        <w:tc>
          <w:tcPr>
            <w:tcW w:w="1708" w:type="dxa"/>
            <w:tcBorders>
              <w:top w:val="single" w:sz="4" w:space="0" w:color="auto"/>
              <w:left w:val="single" w:sz="4" w:space="0" w:color="auto"/>
              <w:bottom w:val="nil"/>
              <w:right w:val="single" w:sz="4" w:space="0" w:color="auto"/>
            </w:tcBorders>
            <w:shd w:val="clear" w:color="auto" w:fill="FFFFFF" w:themeFill="background1"/>
            <w:vAlign w:val="center"/>
          </w:tcPr>
          <w:p w14:paraId="037B0C55" w14:textId="25EB5EA0" w:rsidR="000E70F4" w:rsidRPr="00C73908" w:rsidRDefault="000E70F4" w:rsidP="000E70F4">
            <w:pPr>
              <w:widowControl w:val="0"/>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No. Observations</w:t>
            </w:r>
          </w:p>
        </w:tc>
        <w:tc>
          <w:tcPr>
            <w:tcW w:w="1297" w:type="dxa"/>
            <w:tcBorders>
              <w:top w:val="single" w:sz="4" w:space="0" w:color="auto"/>
              <w:left w:val="single" w:sz="4" w:space="0" w:color="auto"/>
              <w:bottom w:val="nil"/>
            </w:tcBorders>
            <w:shd w:val="clear" w:color="auto" w:fill="FFFFFF" w:themeFill="background1"/>
          </w:tcPr>
          <w:p w14:paraId="2294CDC8" w14:textId="2B68EB6F" w:rsidR="000E70F4" w:rsidRPr="000E70F4" w:rsidRDefault="000E70F4" w:rsidP="000E70F4">
            <w:pPr>
              <w:widowControl w:val="0"/>
              <w:autoSpaceDE w:val="0"/>
              <w:autoSpaceDN w:val="0"/>
              <w:adjustRightInd w:val="0"/>
              <w:spacing w:after="0" w:line="240" w:lineRule="auto"/>
              <w:rPr>
                <w:rFonts w:ascii="Times New Roman" w:hAnsi="Times New Roman" w:cs="Times New Roman"/>
                <w:sz w:val="20"/>
                <w:szCs w:val="20"/>
              </w:rPr>
            </w:pPr>
            <w:r w:rsidRPr="000E70F4">
              <w:rPr>
                <w:rFonts w:ascii="Times New Roman" w:hAnsi="Times New Roman" w:cs="Times New Roman"/>
                <w:sz w:val="20"/>
                <w:szCs w:val="20"/>
              </w:rPr>
              <w:t>13,036</w:t>
            </w:r>
          </w:p>
        </w:tc>
        <w:tc>
          <w:tcPr>
            <w:tcW w:w="1298" w:type="dxa"/>
            <w:tcBorders>
              <w:top w:val="single" w:sz="4" w:space="0" w:color="auto"/>
              <w:bottom w:val="nil"/>
              <w:right w:val="single" w:sz="4" w:space="0" w:color="auto"/>
            </w:tcBorders>
            <w:shd w:val="clear" w:color="auto" w:fill="FFFFFF" w:themeFill="background1"/>
          </w:tcPr>
          <w:p w14:paraId="41A72E46" w14:textId="2CD64E27" w:rsidR="000E70F4" w:rsidRPr="000E70F4" w:rsidRDefault="00204EA3" w:rsidP="000E70F4">
            <w:pPr>
              <w:widowControl w:val="0"/>
              <w:autoSpaceDE w:val="0"/>
              <w:autoSpaceDN w:val="0"/>
              <w:adjustRightInd w:val="0"/>
              <w:spacing w:after="0" w:line="240" w:lineRule="auto"/>
              <w:rPr>
                <w:rFonts w:ascii="Times New Roman" w:hAnsi="Times New Roman" w:cs="Times New Roman"/>
                <w:sz w:val="20"/>
                <w:szCs w:val="20"/>
              </w:rPr>
            </w:pPr>
            <w:r w:rsidRPr="00204EA3">
              <w:rPr>
                <w:rFonts w:ascii="Times New Roman" w:hAnsi="Times New Roman" w:cs="Times New Roman"/>
                <w:sz w:val="20"/>
                <w:szCs w:val="20"/>
              </w:rPr>
              <w:t>14</w:t>
            </w:r>
            <w:r>
              <w:rPr>
                <w:rFonts w:ascii="Times New Roman" w:hAnsi="Times New Roman" w:cs="Times New Roman"/>
                <w:sz w:val="20"/>
                <w:szCs w:val="20"/>
              </w:rPr>
              <w:t>,</w:t>
            </w:r>
            <w:r w:rsidRPr="00204EA3">
              <w:rPr>
                <w:rFonts w:ascii="Times New Roman" w:hAnsi="Times New Roman" w:cs="Times New Roman"/>
                <w:sz w:val="20"/>
                <w:szCs w:val="20"/>
              </w:rPr>
              <w:t>754</w:t>
            </w:r>
          </w:p>
        </w:tc>
        <w:tc>
          <w:tcPr>
            <w:tcW w:w="1297" w:type="dxa"/>
            <w:tcBorders>
              <w:top w:val="single" w:sz="4" w:space="0" w:color="auto"/>
              <w:left w:val="single" w:sz="4" w:space="0" w:color="auto"/>
              <w:bottom w:val="nil"/>
            </w:tcBorders>
            <w:shd w:val="clear" w:color="auto" w:fill="FFFFFF" w:themeFill="background1"/>
          </w:tcPr>
          <w:p w14:paraId="45A70B3F" w14:textId="52DD6705" w:rsidR="000E70F4" w:rsidRPr="000E70F4" w:rsidRDefault="000E70F4" w:rsidP="000E70F4">
            <w:pPr>
              <w:widowControl w:val="0"/>
              <w:autoSpaceDE w:val="0"/>
              <w:autoSpaceDN w:val="0"/>
              <w:adjustRightInd w:val="0"/>
              <w:spacing w:after="0" w:line="240" w:lineRule="auto"/>
              <w:rPr>
                <w:rFonts w:ascii="Times New Roman" w:hAnsi="Times New Roman" w:cs="Times New Roman"/>
                <w:sz w:val="20"/>
                <w:szCs w:val="20"/>
              </w:rPr>
            </w:pPr>
            <w:r w:rsidRPr="000E70F4">
              <w:rPr>
                <w:rFonts w:ascii="Times New Roman" w:hAnsi="Times New Roman" w:cs="Times New Roman"/>
                <w:sz w:val="20"/>
                <w:szCs w:val="20"/>
              </w:rPr>
              <w:t>7,16</w:t>
            </w:r>
            <w:r>
              <w:rPr>
                <w:rFonts w:ascii="Times New Roman" w:hAnsi="Times New Roman" w:cs="Times New Roman"/>
                <w:sz w:val="20"/>
                <w:szCs w:val="20"/>
              </w:rPr>
              <w:t>0</w:t>
            </w:r>
          </w:p>
        </w:tc>
        <w:tc>
          <w:tcPr>
            <w:tcW w:w="1298" w:type="dxa"/>
            <w:tcBorders>
              <w:top w:val="single" w:sz="4" w:space="0" w:color="auto"/>
              <w:bottom w:val="nil"/>
              <w:right w:val="single" w:sz="4" w:space="0" w:color="auto"/>
            </w:tcBorders>
            <w:shd w:val="clear" w:color="auto" w:fill="FFFFFF" w:themeFill="background1"/>
          </w:tcPr>
          <w:p w14:paraId="3467453B" w14:textId="067270E3" w:rsidR="000E70F4" w:rsidRPr="000E70F4" w:rsidRDefault="004B68F9" w:rsidP="000E70F4">
            <w:pPr>
              <w:widowControl w:val="0"/>
              <w:autoSpaceDE w:val="0"/>
              <w:autoSpaceDN w:val="0"/>
              <w:adjustRightInd w:val="0"/>
              <w:spacing w:after="0" w:line="240" w:lineRule="auto"/>
              <w:rPr>
                <w:rFonts w:ascii="Times New Roman" w:hAnsi="Times New Roman" w:cs="Times New Roman"/>
                <w:sz w:val="20"/>
                <w:szCs w:val="20"/>
              </w:rPr>
            </w:pPr>
            <w:r w:rsidRPr="004B68F9">
              <w:rPr>
                <w:rFonts w:ascii="Times New Roman" w:hAnsi="Times New Roman" w:cs="Times New Roman"/>
                <w:sz w:val="20"/>
                <w:szCs w:val="20"/>
              </w:rPr>
              <w:t>8</w:t>
            </w:r>
            <w:r>
              <w:rPr>
                <w:rFonts w:ascii="Times New Roman" w:hAnsi="Times New Roman" w:cs="Times New Roman"/>
                <w:sz w:val="20"/>
                <w:szCs w:val="20"/>
              </w:rPr>
              <w:t>,</w:t>
            </w:r>
            <w:r w:rsidRPr="004B68F9">
              <w:rPr>
                <w:rFonts w:ascii="Times New Roman" w:hAnsi="Times New Roman" w:cs="Times New Roman"/>
                <w:sz w:val="20"/>
                <w:szCs w:val="20"/>
              </w:rPr>
              <w:t>091</w:t>
            </w:r>
          </w:p>
        </w:tc>
        <w:tc>
          <w:tcPr>
            <w:tcW w:w="1297" w:type="dxa"/>
            <w:tcBorders>
              <w:top w:val="single" w:sz="4" w:space="0" w:color="auto"/>
              <w:left w:val="single" w:sz="4" w:space="0" w:color="auto"/>
              <w:bottom w:val="nil"/>
            </w:tcBorders>
            <w:shd w:val="clear" w:color="auto" w:fill="FFFFFF" w:themeFill="background1"/>
          </w:tcPr>
          <w:p w14:paraId="78D7BE00" w14:textId="0F462587" w:rsidR="000E70F4" w:rsidRPr="000E70F4" w:rsidRDefault="000E70F4" w:rsidP="000E70F4">
            <w:pPr>
              <w:widowControl w:val="0"/>
              <w:autoSpaceDE w:val="0"/>
              <w:autoSpaceDN w:val="0"/>
              <w:adjustRightInd w:val="0"/>
              <w:spacing w:after="0" w:line="240" w:lineRule="auto"/>
              <w:rPr>
                <w:rFonts w:ascii="Times New Roman" w:hAnsi="Times New Roman" w:cs="Times New Roman"/>
                <w:sz w:val="20"/>
                <w:szCs w:val="20"/>
              </w:rPr>
            </w:pPr>
            <w:r w:rsidRPr="000E70F4">
              <w:rPr>
                <w:rFonts w:ascii="Times New Roman" w:hAnsi="Times New Roman" w:cs="Times New Roman"/>
                <w:sz w:val="20"/>
                <w:szCs w:val="20"/>
              </w:rPr>
              <w:t>5,8</w:t>
            </w:r>
            <w:r>
              <w:rPr>
                <w:rFonts w:ascii="Times New Roman" w:hAnsi="Times New Roman" w:cs="Times New Roman"/>
                <w:sz w:val="20"/>
                <w:szCs w:val="20"/>
              </w:rPr>
              <w:t>76</w:t>
            </w:r>
          </w:p>
        </w:tc>
        <w:tc>
          <w:tcPr>
            <w:tcW w:w="1298" w:type="dxa"/>
            <w:tcBorders>
              <w:top w:val="single" w:sz="4" w:space="0" w:color="auto"/>
              <w:bottom w:val="nil"/>
              <w:right w:val="single" w:sz="4" w:space="0" w:color="auto"/>
            </w:tcBorders>
            <w:shd w:val="clear" w:color="auto" w:fill="FFFFFF" w:themeFill="background1"/>
          </w:tcPr>
          <w:p w14:paraId="07A0F07A" w14:textId="1154CABA" w:rsidR="000E70F4" w:rsidRPr="000E70F4" w:rsidRDefault="005D4A4B" w:rsidP="000E70F4">
            <w:pPr>
              <w:widowControl w:val="0"/>
              <w:autoSpaceDE w:val="0"/>
              <w:autoSpaceDN w:val="0"/>
              <w:adjustRightInd w:val="0"/>
              <w:spacing w:after="0" w:line="240" w:lineRule="auto"/>
              <w:rPr>
                <w:rFonts w:ascii="Times New Roman" w:hAnsi="Times New Roman" w:cs="Times New Roman"/>
                <w:sz w:val="20"/>
                <w:szCs w:val="20"/>
              </w:rPr>
            </w:pPr>
            <w:r w:rsidRPr="005D4A4B">
              <w:rPr>
                <w:rFonts w:ascii="Times New Roman" w:hAnsi="Times New Roman" w:cs="Times New Roman"/>
                <w:sz w:val="20"/>
                <w:szCs w:val="20"/>
              </w:rPr>
              <w:t>6</w:t>
            </w:r>
            <w:r>
              <w:rPr>
                <w:rFonts w:ascii="Times New Roman" w:hAnsi="Times New Roman" w:cs="Times New Roman"/>
                <w:sz w:val="20"/>
                <w:szCs w:val="20"/>
              </w:rPr>
              <w:t>,</w:t>
            </w:r>
            <w:r w:rsidRPr="005D4A4B">
              <w:rPr>
                <w:rFonts w:ascii="Times New Roman" w:hAnsi="Times New Roman" w:cs="Times New Roman"/>
                <w:sz w:val="20"/>
                <w:szCs w:val="20"/>
              </w:rPr>
              <w:t>663</w:t>
            </w:r>
          </w:p>
        </w:tc>
      </w:tr>
      <w:tr w:rsidR="007339F6" w:rsidRPr="00C73908" w14:paraId="3A35B64A" w14:textId="77777777" w:rsidTr="007339F6">
        <w:tc>
          <w:tcPr>
            <w:tcW w:w="1708" w:type="dxa"/>
            <w:tcBorders>
              <w:top w:val="nil"/>
              <w:left w:val="single" w:sz="4" w:space="0" w:color="auto"/>
              <w:bottom w:val="nil"/>
              <w:right w:val="single" w:sz="4" w:space="0" w:color="auto"/>
            </w:tcBorders>
            <w:shd w:val="clear" w:color="auto" w:fill="FFFFFF" w:themeFill="background1"/>
            <w:vAlign w:val="center"/>
          </w:tcPr>
          <w:p w14:paraId="446EC2E7" w14:textId="77777777" w:rsidR="007339F6" w:rsidRPr="00C73908" w:rsidRDefault="007339F6" w:rsidP="003B45BC">
            <w:pPr>
              <w:widowControl w:val="0"/>
              <w:autoSpaceDE w:val="0"/>
              <w:autoSpaceDN w:val="0"/>
              <w:adjustRightInd w:val="0"/>
              <w:spacing w:after="0" w:line="240" w:lineRule="auto"/>
              <w:rPr>
                <w:rFonts w:ascii="Times New Roman" w:hAnsi="Times New Roman" w:cs="Times New Roman"/>
                <w:b/>
                <w:bCs/>
                <w:sz w:val="20"/>
                <w:szCs w:val="20"/>
              </w:rPr>
            </w:pPr>
          </w:p>
        </w:tc>
        <w:tc>
          <w:tcPr>
            <w:tcW w:w="1297" w:type="dxa"/>
            <w:tcBorders>
              <w:top w:val="nil"/>
              <w:left w:val="single" w:sz="4" w:space="0" w:color="auto"/>
              <w:bottom w:val="nil"/>
            </w:tcBorders>
            <w:shd w:val="clear" w:color="auto" w:fill="FFFFFF" w:themeFill="background1"/>
          </w:tcPr>
          <w:p w14:paraId="6837EB03" w14:textId="77777777" w:rsidR="007339F6" w:rsidRPr="00C73908" w:rsidRDefault="007339F6" w:rsidP="003B45BC">
            <w:pPr>
              <w:widowControl w:val="0"/>
              <w:autoSpaceDE w:val="0"/>
              <w:autoSpaceDN w:val="0"/>
              <w:adjustRightInd w:val="0"/>
              <w:spacing w:after="0" w:line="240" w:lineRule="auto"/>
              <w:rPr>
                <w:rFonts w:ascii="Times New Roman" w:hAnsi="Times New Roman" w:cs="Times New Roman"/>
                <w:sz w:val="20"/>
                <w:szCs w:val="20"/>
              </w:rPr>
            </w:pPr>
          </w:p>
        </w:tc>
        <w:tc>
          <w:tcPr>
            <w:tcW w:w="1298" w:type="dxa"/>
            <w:tcBorders>
              <w:top w:val="nil"/>
              <w:bottom w:val="nil"/>
              <w:right w:val="single" w:sz="4" w:space="0" w:color="auto"/>
            </w:tcBorders>
            <w:shd w:val="clear" w:color="auto" w:fill="FFFFFF" w:themeFill="background1"/>
          </w:tcPr>
          <w:p w14:paraId="443FBCCA" w14:textId="77777777" w:rsidR="007339F6" w:rsidRPr="00C73908" w:rsidRDefault="007339F6" w:rsidP="003B45BC">
            <w:pPr>
              <w:widowControl w:val="0"/>
              <w:autoSpaceDE w:val="0"/>
              <w:autoSpaceDN w:val="0"/>
              <w:adjustRightInd w:val="0"/>
              <w:spacing w:after="0" w:line="240" w:lineRule="auto"/>
              <w:rPr>
                <w:rFonts w:ascii="Times New Roman" w:hAnsi="Times New Roman" w:cs="Times New Roman"/>
                <w:sz w:val="20"/>
                <w:szCs w:val="20"/>
              </w:rPr>
            </w:pPr>
          </w:p>
        </w:tc>
        <w:tc>
          <w:tcPr>
            <w:tcW w:w="1297" w:type="dxa"/>
            <w:tcBorders>
              <w:top w:val="nil"/>
              <w:left w:val="single" w:sz="4" w:space="0" w:color="auto"/>
              <w:bottom w:val="nil"/>
            </w:tcBorders>
            <w:shd w:val="clear" w:color="auto" w:fill="FFFFFF" w:themeFill="background1"/>
          </w:tcPr>
          <w:p w14:paraId="5C3A5E08" w14:textId="77777777" w:rsidR="007339F6" w:rsidRPr="00C73908" w:rsidRDefault="007339F6" w:rsidP="003B45BC">
            <w:pPr>
              <w:widowControl w:val="0"/>
              <w:autoSpaceDE w:val="0"/>
              <w:autoSpaceDN w:val="0"/>
              <w:adjustRightInd w:val="0"/>
              <w:spacing w:after="0" w:line="240" w:lineRule="auto"/>
              <w:rPr>
                <w:rFonts w:ascii="Times New Roman" w:hAnsi="Times New Roman" w:cs="Times New Roman"/>
                <w:sz w:val="20"/>
                <w:szCs w:val="20"/>
              </w:rPr>
            </w:pPr>
          </w:p>
        </w:tc>
        <w:tc>
          <w:tcPr>
            <w:tcW w:w="1298" w:type="dxa"/>
            <w:tcBorders>
              <w:top w:val="nil"/>
              <w:bottom w:val="nil"/>
              <w:right w:val="single" w:sz="4" w:space="0" w:color="auto"/>
            </w:tcBorders>
            <w:shd w:val="clear" w:color="auto" w:fill="FFFFFF" w:themeFill="background1"/>
          </w:tcPr>
          <w:p w14:paraId="46365224" w14:textId="77777777" w:rsidR="007339F6" w:rsidRPr="00C73908" w:rsidRDefault="007339F6" w:rsidP="003B45BC">
            <w:pPr>
              <w:widowControl w:val="0"/>
              <w:autoSpaceDE w:val="0"/>
              <w:autoSpaceDN w:val="0"/>
              <w:adjustRightInd w:val="0"/>
              <w:spacing w:after="0" w:line="240" w:lineRule="auto"/>
              <w:rPr>
                <w:rFonts w:ascii="Times New Roman" w:hAnsi="Times New Roman" w:cs="Times New Roman"/>
                <w:sz w:val="20"/>
                <w:szCs w:val="20"/>
              </w:rPr>
            </w:pPr>
          </w:p>
        </w:tc>
        <w:tc>
          <w:tcPr>
            <w:tcW w:w="1297" w:type="dxa"/>
            <w:tcBorders>
              <w:top w:val="nil"/>
              <w:left w:val="single" w:sz="4" w:space="0" w:color="auto"/>
              <w:bottom w:val="nil"/>
            </w:tcBorders>
            <w:shd w:val="clear" w:color="auto" w:fill="FFFFFF" w:themeFill="background1"/>
          </w:tcPr>
          <w:p w14:paraId="2CFA04DF" w14:textId="77777777" w:rsidR="007339F6" w:rsidRPr="00C73908" w:rsidRDefault="007339F6" w:rsidP="003B45BC">
            <w:pPr>
              <w:widowControl w:val="0"/>
              <w:autoSpaceDE w:val="0"/>
              <w:autoSpaceDN w:val="0"/>
              <w:adjustRightInd w:val="0"/>
              <w:spacing w:after="0" w:line="240" w:lineRule="auto"/>
              <w:rPr>
                <w:rFonts w:ascii="Times New Roman" w:hAnsi="Times New Roman" w:cs="Times New Roman"/>
                <w:sz w:val="20"/>
                <w:szCs w:val="20"/>
              </w:rPr>
            </w:pPr>
          </w:p>
        </w:tc>
        <w:tc>
          <w:tcPr>
            <w:tcW w:w="1298" w:type="dxa"/>
            <w:tcBorders>
              <w:top w:val="nil"/>
              <w:bottom w:val="nil"/>
              <w:right w:val="single" w:sz="4" w:space="0" w:color="auto"/>
            </w:tcBorders>
            <w:shd w:val="clear" w:color="auto" w:fill="FFFFFF" w:themeFill="background1"/>
          </w:tcPr>
          <w:p w14:paraId="0E99B808" w14:textId="77777777" w:rsidR="007339F6" w:rsidRPr="00C73908" w:rsidRDefault="007339F6" w:rsidP="003B45BC">
            <w:pPr>
              <w:widowControl w:val="0"/>
              <w:autoSpaceDE w:val="0"/>
              <w:autoSpaceDN w:val="0"/>
              <w:adjustRightInd w:val="0"/>
              <w:spacing w:after="0" w:line="240" w:lineRule="auto"/>
              <w:rPr>
                <w:rFonts w:ascii="Times New Roman" w:hAnsi="Times New Roman" w:cs="Times New Roman"/>
                <w:sz w:val="20"/>
                <w:szCs w:val="20"/>
              </w:rPr>
            </w:pPr>
          </w:p>
        </w:tc>
      </w:tr>
      <w:tr w:rsidR="007339F6" w:rsidRPr="00C73908" w14:paraId="6C06873A" w14:textId="77777777" w:rsidTr="007339F6">
        <w:tc>
          <w:tcPr>
            <w:tcW w:w="1708" w:type="dxa"/>
            <w:tcBorders>
              <w:top w:val="nil"/>
              <w:left w:val="single" w:sz="4" w:space="0" w:color="auto"/>
              <w:bottom w:val="nil"/>
              <w:right w:val="single" w:sz="4" w:space="0" w:color="auto"/>
            </w:tcBorders>
            <w:shd w:val="clear" w:color="auto" w:fill="FFFFFF" w:themeFill="background1"/>
            <w:vAlign w:val="center"/>
          </w:tcPr>
          <w:p w14:paraId="295E1DC4" w14:textId="1D6111F8" w:rsidR="007339F6" w:rsidRPr="00C73908" w:rsidRDefault="00C34D49" w:rsidP="003B45BC">
            <w:pPr>
              <w:widowControl w:val="0"/>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AR2 Test</w:t>
            </w:r>
          </w:p>
        </w:tc>
        <w:tc>
          <w:tcPr>
            <w:tcW w:w="1297" w:type="dxa"/>
            <w:tcBorders>
              <w:top w:val="nil"/>
              <w:left w:val="single" w:sz="4" w:space="0" w:color="auto"/>
              <w:bottom w:val="nil"/>
            </w:tcBorders>
            <w:shd w:val="clear" w:color="auto" w:fill="FFFFFF" w:themeFill="background1"/>
          </w:tcPr>
          <w:p w14:paraId="1AA8A114" w14:textId="6431A42D" w:rsidR="007339F6" w:rsidRPr="00C73908" w:rsidRDefault="00A26E4E" w:rsidP="003B45BC">
            <w:pPr>
              <w:widowControl w:val="0"/>
              <w:autoSpaceDE w:val="0"/>
              <w:autoSpaceDN w:val="0"/>
              <w:adjustRightInd w:val="0"/>
              <w:spacing w:after="0" w:line="240" w:lineRule="auto"/>
              <w:rPr>
                <w:rFonts w:ascii="Times New Roman" w:hAnsi="Times New Roman" w:cs="Times New Roman"/>
                <w:sz w:val="20"/>
                <w:szCs w:val="20"/>
              </w:rPr>
            </w:pPr>
            <w:r w:rsidRPr="00A26E4E">
              <w:rPr>
                <w:rFonts w:ascii="Times New Roman" w:hAnsi="Times New Roman" w:cs="Times New Roman"/>
                <w:sz w:val="20"/>
                <w:szCs w:val="20"/>
              </w:rPr>
              <w:t>0.313</w:t>
            </w:r>
          </w:p>
        </w:tc>
        <w:tc>
          <w:tcPr>
            <w:tcW w:w="1298" w:type="dxa"/>
            <w:tcBorders>
              <w:top w:val="nil"/>
              <w:bottom w:val="nil"/>
              <w:right w:val="single" w:sz="4" w:space="0" w:color="auto"/>
            </w:tcBorders>
            <w:shd w:val="clear" w:color="auto" w:fill="FFFFFF" w:themeFill="background1"/>
          </w:tcPr>
          <w:p w14:paraId="52382A92" w14:textId="77777777" w:rsidR="007339F6" w:rsidRPr="00C73908" w:rsidRDefault="007339F6" w:rsidP="003B45BC">
            <w:pPr>
              <w:widowControl w:val="0"/>
              <w:autoSpaceDE w:val="0"/>
              <w:autoSpaceDN w:val="0"/>
              <w:adjustRightInd w:val="0"/>
              <w:spacing w:after="0" w:line="240" w:lineRule="auto"/>
              <w:rPr>
                <w:rFonts w:ascii="Times New Roman" w:hAnsi="Times New Roman" w:cs="Times New Roman"/>
                <w:sz w:val="20"/>
                <w:szCs w:val="20"/>
              </w:rPr>
            </w:pPr>
          </w:p>
        </w:tc>
        <w:tc>
          <w:tcPr>
            <w:tcW w:w="1297" w:type="dxa"/>
            <w:tcBorders>
              <w:top w:val="nil"/>
              <w:left w:val="single" w:sz="4" w:space="0" w:color="auto"/>
              <w:bottom w:val="nil"/>
            </w:tcBorders>
            <w:shd w:val="clear" w:color="auto" w:fill="FFFFFF" w:themeFill="background1"/>
          </w:tcPr>
          <w:p w14:paraId="4FC6069E" w14:textId="0FFAB402" w:rsidR="007339F6" w:rsidRPr="00C73908" w:rsidRDefault="005E425D" w:rsidP="003B45BC">
            <w:pPr>
              <w:widowControl w:val="0"/>
              <w:autoSpaceDE w:val="0"/>
              <w:autoSpaceDN w:val="0"/>
              <w:adjustRightInd w:val="0"/>
              <w:spacing w:after="0" w:line="240" w:lineRule="auto"/>
              <w:rPr>
                <w:rFonts w:ascii="Times New Roman" w:hAnsi="Times New Roman" w:cs="Times New Roman"/>
                <w:sz w:val="20"/>
                <w:szCs w:val="20"/>
              </w:rPr>
            </w:pPr>
            <w:r w:rsidRPr="005E425D">
              <w:rPr>
                <w:rFonts w:ascii="Times New Roman" w:hAnsi="Times New Roman" w:cs="Times New Roman"/>
                <w:sz w:val="20"/>
                <w:szCs w:val="20"/>
              </w:rPr>
              <w:t>0.776</w:t>
            </w:r>
          </w:p>
        </w:tc>
        <w:tc>
          <w:tcPr>
            <w:tcW w:w="1298" w:type="dxa"/>
            <w:tcBorders>
              <w:top w:val="nil"/>
              <w:bottom w:val="nil"/>
              <w:right w:val="single" w:sz="4" w:space="0" w:color="auto"/>
            </w:tcBorders>
            <w:shd w:val="clear" w:color="auto" w:fill="FFFFFF" w:themeFill="background1"/>
          </w:tcPr>
          <w:p w14:paraId="7AF8C498" w14:textId="77777777" w:rsidR="007339F6" w:rsidRPr="00C73908" w:rsidRDefault="007339F6" w:rsidP="003B45BC">
            <w:pPr>
              <w:widowControl w:val="0"/>
              <w:autoSpaceDE w:val="0"/>
              <w:autoSpaceDN w:val="0"/>
              <w:adjustRightInd w:val="0"/>
              <w:spacing w:after="0" w:line="240" w:lineRule="auto"/>
              <w:rPr>
                <w:rFonts w:ascii="Times New Roman" w:hAnsi="Times New Roman" w:cs="Times New Roman"/>
                <w:sz w:val="20"/>
                <w:szCs w:val="20"/>
              </w:rPr>
            </w:pPr>
          </w:p>
        </w:tc>
        <w:tc>
          <w:tcPr>
            <w:tcW w:w="1297" w:type="dxa"/>
            <w:tcBorders>
              <w:top w:val="nil"/>
              <w:left w:val="single" w:sz="4" w:space="0" w:color="auto"/>
              <w:bottom w:val="nil"/>
            </w:tcBorders>
            <w:shd w:val="clear" w:color="auto" w:fill="FFFFFF" w:themeFill="background1"/>
          </w:tcPr>
          <w:p w14:paraId="349AFC52" w14:textId="7E9AD1B1" w:rsidR="007339F6" w:rsidRPr="00C73908" w:rsidRDefault="00FA52BE" w:rsidP="003B45BC">
            <w:pPr>
              <w:widowControl w:val="0"/>
              <w:autoSpaceDE w:val="0"/>
              <w:autoSpaceDN w:val="0"/>
              <w:adjustRightInd w:val="0"/>
              <w:spacing w:after="0" w:line="240" w:lineRule="auto"/>
              <w:rPr>
                <w:rFonts w:ascii="Times New Roman" w:hAnsi="Times New Roman" w:cs="Times New Roman"/>
                <w:sz w:val="20"/>
                <w:szCs w:val="20"/>
              </w:rPr>
            </w:pPr>
            <w:r w:rsidRPr="00FA52BE">
              <w:rPr>
                <w:rFonts w:ascii="Times New Roman" w:hAnsi="Times New Roman" w:cs="Times New Roman"/>
                <w:sz w:val="20"/>
                <w:szCs w:val="20"/>
              </w:rPr>
              <w:t>0.343</w:t>
            </w:r>
          </w:p>
        </w:tc>
        <w:tc>
          <w:tcPr>
            <w:tcW w:w="1298" w:type="dxa"/>
            <w:tcBorders>
              <w:top w:val="nil"/>
              <w:bottom w:val="nil"/>
              <w:right w:val="single" w:sz="4" w:space="0" w:color="auto"/>
            </w:tcBorders>
            <w:shd w:val="clear" w:color="auto" w:fill="FFFFFF" w:themeFill="background1"/>
          </w:tcPr>
          <w:p w14:paraId="38CEAE6E" w14:textId="77777777" w:rsidR="007339F6" w:rsidRPr="00C73908" w:rsidRDefault="007339F6" w:rsidP="003B45BC">
            <w:pPr>
              <w:widowControl w:val="0"/>
              <w:autoSpaceDE w:val="0"/>
              <w:autoSpaceDN w:val="0"/>
              <w:adjustRightInd w:val="0"/>
              <w:spacing w:after="0" w:line="240" w:lineRule="auto"/>
              <w:rPr>
                <w:rFonts w:ascii="Times New Roman" w:hAnsi="Times New Roman" w:cs="Times New Roman"/>
                <w:sz w:val="20"/>
                <w:szCs w:val="20"/>
              </w:rPr>
            </w:pPr>
          </w:p>
        </w:tc>
      </w:tr>
      <w:tr w:rsidR="007339F6" w:rsidRPr="00C73908" w14:paraId="67F19275" w14:textId="77777777" w:rsidTr="007B38E2">
        <w:tc>
          <w:tcPr>
            <w:tcW w:w="1708" w:type="dxa"/>
            <w:tcBorders>
              <w:top w:val="nil"/>
              <w:left w:val="single" w:sz="4" w:space="0" w:color="auto"/>
              <w:bottom w:val="single" w:sz="4" w:space="0" w:color="auto"/>
              <w:right w:val="single" w:sz="4" w:space="0" w:color="auto"/>
            </w:tcBorders>
            <w:shd w:val="clear" w:color="auto" w:fill="FFFFFF" w:themeFill="background1"/>
            <w:vAlign w:val="center"/>
          </w:tcPr>
          <w:p w14:paraId="7E54A6D5" w14:textId="6D912B3F" w:rsidR="007339F6" w:rsidRPr="00C73908" w:rsidRDefault="00C34D49" w:rsidP="003B45BC">
            <w:pPr>
              <w:widowControl w:val="0"/>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Hansen Test</w:t>
            </w:r>
          </w:p>
        </w:tc>
        <w:tc>
          <w:tcPr>
            <w:tcW w:w="1297" w:type="dxa"/>
            <w:tcBorders>
              <w:top w:val="nil"/>
              <w:left w:val="single" w:sz="4" w:space="0" w:color="auto"/>
              <w:bottom w:val="single" w:sz="4" w:space="0" w:color="auto"/>
            </w:tcBorders>
            <w:shd w:val="clear" w:color="auto" w:fill="FFFFFF" w:themeFill="background1"/>
          </w:tcPr>
          <w:p w14:paraId="109143B3" w14:textId="0D9F3CAF" w:rsidR="007339F6" w:rsidRPr="00C73908" w:rsidRDefault="005E425D" w:rsidP="003B45BC">
            <w:pPr>
              <w:widowControl w:val="0"/>
              <w:autoSpaceDE w:val="0"/>
              <w:autoSpaceDN w:val="0"/>
              <w:adjustRightInd w:val="0"/>
              <w:spacing w:after="0" w:line="240" w:lineRule="auto"/>
              <w:rPr>
                <w:rFonts w:ascii="Times New Roman" w:hAnsi="Times New Roman" w:cs="Times New Roman"/>
                <w:sz w:val="20"/>
                <w:szCs w:val="20"/>
              </w:rPr>
            </w:pPr>
            <w:r w:rsidRPr="005E425D">
              <w:rPr>
                <w:rFonts w:ascii="Times New Roman" w:hAnsi="Times New Roman" w:cs="Times New Roman"/>
                <w:sz w:val="20"/>
                <w:szCs w:val="20"/>
              </w:rPr>
              <w:t>0.294</w:t>
            </w:r>
          </w:p>
        </w:tc>
        <w:tc>
          <w:tcPr>
            <w:tcW w:w="1298" w:type="dxa"/>
            <w:tcBorders>
              <w:top w:val="nil"/>
              <w:bottom w:val="single" w:sz="4" w:space="0" w:color="auto"/>
              <w:right w:val="single" w:sz="4" w:space="0" w:color="auto"/>
            </w:tcBorders>
            <w:shd w:val="clear" w:color="auto" w:fill="FFFFFF" w:themeFill="background1"/>
          </w:tcPr>
          <w:p w14:paraId="2FDEE97E" w14:textId="77777777" w:rsidR="007339F6" w:rsidRPr="00C73908" w:rsidRDefault="007339F6" w:rsidP="003B45BC">
            <w:pPr>
              <w:widowControl w:val="0"/>
              <w:autoSpaceDE w:val="0"/>
              <w:autoSpaceDN w:val="0"/>
              <w:adjustRightInd w:val="0"/>
              <w:spacing w:after="0" w:line="240" w:lineRule="auto"/>
              <w:rPr>
                <w:rFonts w:ascii="Times New Roman" w:hAnsi="Times New Roman" w:cs="Times New Roman"/>
                <w:sz w:val="20"/>
                <w:szCs w:val="20"/>
              </w:rPr>
            </w:pPr>
          </w:p>
        </w:tc>
        <w:tc>
          <w:tcPr>
            <w:tcW w:w="1297" w:type="dxa"/>
            <w:tcBorders>
              <w:top w:val="nil"/>
              <w:left w:val="single" w:sz="4" w:space="0" w:color="auto"/>
              <w:bottom w:val="single" w:sz="4" w:space="0" w:color="auto"/>
            </w:tcBorders>
            <w:shd w:val="clear" w:color="auto" w:fill="FFFFFF" w:themeFill="background1"/>
          </w:tcPr>
          <w:p w14:paraId="15B05AD9" w14:textId="13002E9B" w:rsidR="007339F6" w:rsidRPr="00C73908" w:rsidRDefault="005E425D" w:rsidP="003B45BC">
            <w:pPr>
              <w:widowControl w:val="0"/>
              <w:autoSpaceDE w:val="0"/>
              <w:autoSpaceDN w:val="0"/>
              <w:adjustRightInd w:val="0"/>
              <w:spacing w:after="0" w:line="240" w:lineRule="auto"/>
              <w:rPr>
                <w:rFonts w:ascii="Times New Roman" w:hAnsi="Times New Roman" w:cs="Times New Roman"/>
                <w:sz w:val="20"/>
                <w:szCs w:val="20"/>
              </w:rPr>
            </w:pPr>
            <w:r w:rsidRPr="005E425D">
              <w:rPr>
                <w:rFonts w:ascii="Times New Roman" w:hAnsi="Times New Roman" w:cs="Times New Roman"/>
                <w:sz w:val="20"/>
                <w:szCs w:val="20"/>
              </w:rPr>
              <w:t>0.384</w:t>
            </w:r>
          </w:p>
        </w:tc>
        <w:tc>
          <w:tcPr>
            <w:tcW w:w="1298" w:type="dxa"/>
            <w:tcBorders>
              <w:top w:val="nil"/>
              <w:bottom w:val="single" w:sz="4" w:space="0" w:color="auto"/>
              <w:right w:val="single" w:sz="4" w:space="0" w:color="auto"/>
            </w:tcBorders>
            <w:shd w:val="clear" w:color="auto" w:fill="FFFFFF" w:themeFill="background1"/>
          </w:tcPr>
          <w:p w14:paraId="2999E2AB" w14:textId="77777777" w:rsidR="007339F6" w:rsidRPr="00C73908" w:rsidRDefault="007339F6" w:rsidP="003B45BC">
            <w:pPr>
              <w:widowControl w:val="0"/>
              <w:autoSpaceDE w:val="0"/>
              <w:autoSpaceDN w:val="0"/>
              <w:adjustRightInd w:val="0"/>
              <w:spacing w:after="0" w:line="240" w:lineRule="auto"/>
              <w:rPr>
                <w:rFonts w:ascii="Times New Roman" w:hAnsi="Times New Roman" w:cs="Times New Roman"/>
                <w:sz w:val="20"/>
                <w:szCs w:val="20"/>
              </w:rPr>
            </w:pPr>
          </w:p>
        </w:tc>
        <w:tc>
          <w:tcPr>
            <w:tcW w:w="1297" w:type="dxa"/>
            <w:tcBorders>
              <w:top w:val="nil"/>
              <w:left w:val="single" w:sz="4" w:space="0" w:color="auto"/>
              <w:bottom w:val="single" w:sz="4" w:space="0" w:color="auto"/>
            </w:tcBorders>
            <w:shd w:val="clear" w:color="auto" w:fill="FFFFFF" w:themeFill="background1"/>
          </w:tcPr>
          <w:p w14:paraId="0F997791" w14:textId="0C0F2D88" w:rsidR="007339F6" w:rsidRPr="00C73908" w:rsidRDefault="00FA52BE" w:rsidP="003B45BC">
            <w:pPr>
              <w:widowControl w:val="0"/>
              <w:autoSpaceDE w:val="0"/>
              <w:autoSpaceDN w:val="0"/>
              <w:adjustRightInd w:val="0"/>
              <w:spacing w:after="0" w:line="240" w:lineRule="auto"/>
              <w:rPr>
                <w:rFonts w:ascii="Times New Roman" w:hAnsi="Times New Roman" w:cs="Times New Roman"/>
                <w:sz w:val="20"/>
                <w:szCs w:val="20"/>
              </w:rPr>
            </w:pPr>
            <w:r w:rsidRPr="00FA52BE">
              <w:rPr>
                <w:rFonts w:ascii="Times New Roman" w:hAnsi="Times New Roman" w:cs="Times New Roman"/>
                <w:sz w:val="20"/>
                <w:szCs w:val="20"/>
              </w:rPr>
              <w:t>0.251</w:t>
            </w:r>
          </w:p>
        </w:tc>
        <w:tc>
          <w:tcPr>
            <w:tcW w:w="1298" w:type="dxa"/>
            <w:tcBorders>
              <w:top w:val="nil"/>
              <w:bottom w:val="single" w:sz="4" w:space="0" w:color="auto"/>
              <w:right w:val="single" w:sz="4" w:space="0" w:color="auto"/>
            </w:tcBorders>
            <w:shd w:val="clear" w:color="auto" w:fill="FFFFFF" w:themeFill="background1"/>
          </w:tcPr>
          <w:p w14:paraId="0D8CA70F" w14:textId="77777777" w:rsidR="007339F6" w:rsidRPr="00C73908" w:rsidRDefault="007339F6" w:rsidP="003B45BC">
            <w:pPr>
              <w:widowControl w:val="0"/>
              <w:autoSpaceDE w:val="0"/>
              <w:autoSpaceDN w:val="0"/>
              <w:adjustRightInd w:val="0"/>
              <w:spacing w:after="0" w:line="240" w:lineRule="auto"/>
              <w:rPr>
                <w:rFonts w:ascii="Times New Roman" w:hAnsi="Times New Roman" w:cs="Times New Roman"/>
                <w:sz w:val="20"/>
                <w:szCs w:val="20"/>
              </w:rPr>
            </w:pPr>
          </w:p>
        </w:tc>
      </w:tr>
    </w:tbl>
    <w:p w14:paraId="543DB5C5" w14:textId="0660AC8F" w:rsidR="00EB55E0" w:rsidRPr="00C73908" w:rsidRDefault="00EB55E0" w:rsidP="00EB55E0">
      <w:pPr>
        <w:widowControl w:val="0"/>
        <w:autoSpaceDE w:val="0"/>
        <w:autoSpaceDN w:val="0"/>
        <w:adjustRightInd w:val="0"/>
        <w:spacing w:after="0" w:line="240" w:lineRule="auto"/>
        <w:rPr>
          <w:rFonts w:ascii="Times New Roman" w:hAnsi="Times New Roman" w:cs="Times New Roman"/>
          <w:i/>
          <w:iCs/>
          <w:sz w:val="20"/>
          <w:szCs w:val="20"/>
        </w:rPr>
      </w:pPr>
      <w:r w:rsidRPr="00C73908">
        <w:rPr>
          <w:rFonts w:ascii="Times New Roman" w:hAnsi="Times New Roman" w:cs="Times New Roman"/>
          <w:i/>
          <w:iCs/>
          <w:sz w:val="20"/>
          <w:szCs w:val="20"/>
        </w:rPr>
        <w:t>Notes: The dependent variable is the natural logarithm of the number of export markets.</w:t>
      </w:r>
    </w:p>
    <w:p w14:paraId="5EA2FB3B" w14:textId="0A83CCB1" w:rsidR="006F0443" w:rsidRPr="00C73908" w:rsidRDefault="006F0443" w:rsidP="006F0443">
      <w:pPr>
        <w:widowControl w:val="0"/>
        <w:autoSpaceDE w:val="0"/>
        <w:autoSpaceDN w:val="0"/>
        <w:adjustRightInd w:val="0"/>
        <w:spacing w:after="0" w:line="240" w:lineRule="auto"/>
        <w:rPr>
          <w:rFonts w:ascii="Times New Roman" w:hAnsi="Times New Roman" w:cs="Times New Roman"/>
          <w:i/>
          <w:iCs/>
          <w:sz w:val="20"/>
          <w:szCs w:val="20"/>
        </w:rPr>
      </w:pPr>
      <w:r w:rsidRPr="00C73908">
        <w:rPr>
          <w:rFonts w:ascii="Times New Roman" w:hAnsi="Times New Roman" w:cs="Times New Roman"/>
          <w:i/>
          <w:iCs/>
          <w:sz w:val="20"/>
          <w:szCs w:val="20"/>
        </w:rPr>
        <w:t xml:space="preserve">Columns under the heading ‘GMM’ show the output of the preferred </w:t>
      </w:r>
      <w:r w:rsidR="00907EF2" w:rsidRPr="00C73908">
        <w:rPr>
          <w:rFonts w:ascii="Times New Roman" w:hAnsi="Times New Roman" w:cs="Times New Roman"/>
          <w:i/>
          <w:iCs/>
          <w:sz w:val="20"/>
          <w:szCs w:val="20"/>
        </w:rPr>
        <w:t>s</w:t>
      </w:r>
      <w:r w:rsidRPr="00C73908">
        <w:rPr>
          <w:rFonts w:ascii="Times New Roman" w:hAnsi="Times New Roman" w:cs="Times New Roman"/>
          <w:i/>
          <w:iCs/>
          <w:sz w:val="20"/>
          <w:szCs w:val="20"/>
        </w:rPr>
        <w:t xml:space="preserve">ystem GMM model. </w:t>
      </w:r>
      <w:r w:rsidR="007A216E" w:rsidRPr="00C73908">
        <w:rPr>
          <w:rFonts w:ascii="Times New Roman" w:hAnsi="Times New Roman" w:cs="Times New Roman"/>
          <w:i/>
          <w:iCs/>
          <w:sz w:val="20"/>
          <w:szCs w:val="20"/>
        </w:rPr>
        <w:t>‘</w:t>
      </w:r>
      <w:r w:rsidRPr="00C73908">
        <w:rPr>
          <w:rFonts w:ascii="Times New Roman" w:hAnsi="Times New Roman" w:cs="Times New Roman"/>
          <w:i/>
          <w:iCs/>
          <w:sz w:val="20"/>
          <w:szCs w:val="20"/>
        </w:rPr>
        <w:t>FE</w:t>
      </w:r>
      <w:r w:rsidR="007A216E" w:rsidRPr="00C73908">
        <w:rPr>
          <w:rFonts w:ascii="Times New Roman" w:hAnsi="Times New Roman" w:cs="Times New Roman"/>
          <w:i/>
          <w:iCs/>
          <w:sz w:val="20"/>
          <w:szCs w:val="20"/>
        </w:rPr>
        <w:t>’</w:t>
      </w:r>
      <w:r w:rsidRPr="00C73908">
        <w:rPr>
          <w:rFonts w:ascii="Times New Roman" w:hAnsi="Times New Roman" w:cs="Times New Roman"/>
          <w:i/>
          <w:iCs/>
          <w:sz w:val="20"/>
          <w:szCs w:val="20"/>
        </w:rPr>
        <w:t xml:space="preserve"> </w:t>
      </w:r>
      <w:r w:rsidR="007A216E" w:rsidRPr="00C73908">
        <w:rPr>
          <w:rFonts w:ascii="Times New Roman" w:hAnsi="Times New Roman" w:cs="Times New Roman"/>
          <w:i/>
          <w:iCs/>
          <w:sz w:val="20"/>
          <w:szCs w:val="20"/>
        </w:rPr>
        <w:t>column</w:t>
      </w:r>
      <w:r w:rsidRPr="00C73908">
        <w:rPr>
          <w:rFonts w:ascii="Times New Roman" w:hAnsi="Times New Roman" w:cs="Times New Roman"/>
          <w:i/>
          <w:iCs/>
          <w:sz w:val="20"/>
          <w:szCs w:val="20"/>
        </w:rPr>
        <w:t xml:space="preserve">s </w:t>
      </w:r>
      <w:r w:rsidR="007A216E" w:rsidRPr="00C73908">
        <w:rPr>
          <w:rFonts w:ascii="Times New Roman" w:hAnsi="Times New Roman" w:cs="Times New Roman"/>
          <w:i/>
          <w:iCs/>
          <w:sz w:val="20"/>
          <w:szCs w:val="20"/>
        </w:rPr>
        <w:t xml:space="preserve">show </w:t>
      </w:r>
      <w:r w:rsidRPr="00C73908">
        <w:rPr>
          <w:rFonts w:ascii="Times New Roman" w:hAnsi="Times New Roman" w:cs="Times New Roman"/>
          <w:i/>
          <w:iCs/>
          <w:sz w:val="20"/>
          <w:szCs w:val="20"/>
        </w:rPr>
        <w:t>the output of the fixed effects model.</w:t>
      </w:r>
    </w:p>
    <w:p w14:paraId="45C8A8BD" w14:textId="2D8CE239" w:rsidR="006F0443" w:rsidRPr="00C73908" w:rsidRDefault="006F0443" w:rsidP="006F0443">
      <w:pPr>
        <w:widowControl w:val="0"/>
        <w:autoSpaceDE w:val="0"/>
        <w:autoSpaceDN w:val="0"/>
        <w:adjustRightInd w:val="0"/>
        <w:spacing w:after="0" w:line="240" w:lineRule="auto"/>
        <w:rPr>
          <w:rFonts w:ascii="Times New Roman" w:hAnsi="Times New Roman" w:cs="Times New Roman"/>
          <w:i/>
          <w:iCs/>
          <w:sz w:val="20"/>
          <w:szCs w:val="20"/>
        </w:rPr>
      </w:pPr>
      <w:r w:rsidRPr="00C73908">
        <w:rPr>
          <w:rFonts w:ascii="Times New Roman" w:hAnsi="Times New Roman" w:cs="Times New Roman"/>
          <w:i/>
          <w:iCs/>
          <w:sz w:val="20"/>
          <w:szCs w:val="20"/>
        </w:rPr>
        <w:t>Coefficients for each variable are reported with corresponding p values in brackets below.</w:t>
      </w:r>
    </w:p>
    <w:p w14:paraId="5E73238D" w14:textId="77777777" w:rsidR="00EB55E0" w:rsidRPr="00C73908" w:rsidRDefault="00EB55E0" w:rsidP="00EB55E0">
      <w:pPr>
        <w:spacing w:after="240" w:line="360" w:lineRule="auto"/>
        <w:jc w:val="both"/>
        <w:rPr>
          <w:rFonts w:ascii="Times New Roman" w:hAnsi="Times New Roman" w:cs="Times New Roman"/>
          <w:lang w:val="en-IE"/>
        </w:rPr>
      </w:pPr>
      <w:r w:rsidRPr="00C73908">
        <w:rPr>
          <w:rFonts w:ascii="Times New Roman" w:hAnsi="Times New Roman" w:cs="Times New Roman"/>
          <w:i/>
          <w:iCs/>
          <w:sz w:val="20"/>
          <w:szCs w:val="20"/>
        </w:rPr>
        <w:t>***, ** and * denote statistical significance at p&lt;.01, p&lt;.05 and p&lt;.1 levels respectively.</w:t>
      </w:r>
    </w:p>
    <w:p w14:paraId="28E37CC1" w14:textId="1DD747FF" w:rsidR="00B821D3" w:rsidRPr="00C73908" w:rsidRDefault="009F2C5C"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 xml:space="preserve">Table 4 above shows the outputs of the system GMM and fixed effects models where the dependent variable is the </w:t>
      </w:r>
      <w:r w:rsidR="00645E63" w:rsidRPr="00C73908">
        <w:rPr>
          <w:rFonts w:ascii="Times New Roman" w:hAnsi="Times New Roman" w:cs="Times New Roman"/>
          <w:lang w:val="en-IE"/>
        </w:rPr>
        <w:t xml:space="preserve">natural logarithm of the number of markets which a company sells </w:t>
      </w:r>
      <w:r w:rsidR="00736335" w:rsidRPr="00C73908">
        <w:rPr>
          <w:rFonts w:ascii="Times New Roman" w:hAnsi="Times New Roman" w:cs="Times New Roman"/>
          <w:lang w:val="en-IE"/>
        </w:rPr>
        <w:t>in</w:t>
      </w:r>
      <w:r w:rsidR="00645E63" w:rsidRPr="00C73908">
        <w:rPr>
          <w:rFonts w:ascii="Times New Roman" w:hAnsi="Times New Roman" w:cs="Times New Roman"/>
          <w:lang w:val="en-IE"/>
        </w:rPr>
        <w:t xml:space="preserve">to in a given </w:t>
      </w:r>
      <w:r w:rsidR="00736335" w:rsidRPr="00C73908">
        <w:rPr>
          <w:rFonts w:ascii="Times New Roman" w:hAnsi="Times New Roman" w:cs="Times New Roman"/>
          <w:lang w:val="en-IE"/>
        </w:rPr>
        <w:t>year.</w:t>
      </w:r>
      <w:r w:rsidR="007C74C3" w:rsidRPr="00C73908">
        <w:rPr>
          <w:rFonts w:ascii="Times New Roman" w:hAnsi="Times New Roman" w:cs="Times New Roman"/>
          <w:lang w:val="en-IE"/>
        </w:rPr>
        <w:t xml:space="preserve"> The coefficients, therefore, represent the estimated effects of each </w:t>
      </w:r>
      <w:r w:rsidR="00BF2898" w:rsidRPr="00C73908">
        <w:rPr>
          <w:rFonts w:ascii="Times New Roman" w:hAnsi="Times New Roman" w:cs="Times New Roman"/>
          <w:lang w:val="en-IE"/>
        </w:rPr>
        <w:t xml:space="preserve">of the </w:t>
      </w:r>
      <w:r w:rsidR="007C74C3" w:rsidRPr="00C73908">
        <w:rPr>
          <w:rFonts w:ascii="Times New Roman" w:hAnsi="Times New Roman" w:cs="Times New Roman"/>
          <w:lang w:val="en-IE"/>
        </w:rPr>
        <w:t>regressor</w:t>
      </w:r>
      <w:r w:rsidR="00BF2898" w:rsidRPr="00C73908">
        <w:rPr>
          <w:rFonts w:ascii="Times New Roman" w:hAnsi="Times New Roman" w:cs="Times New Roman"/>
          <w:lang w:val="en-IE"/>
        </w:rPr>
        <w:t>s</w:t>
      </w:r>
      <w:r w:rsidR="007C74C3" w:rsidRPr="00C73908">
        <w:rPr>
          <w:rFonts w:ascii="Times New Roman" w:hAnsi="Times New Roman" w:cs="Times New Roman"/>
          <w:lang w:val="en-IE"/>
        </w:rPr>
        <w:t xml:space="preserve"> on a company’s level of export diversification.</w:t>
      </w:r>
      <w:r w:rsidR="00736335" w:rsidRPr="00C73908">
        <w:rPr>
          <w:rFonts w:ascii="Times New Roman" w:hAnsi="Times New Roman" w:cs="Times New Roman"/>
          <w:lang w:val="en-IE"/>
        </w:rPr>
        <w:t xml:space="preserve"> </w:t>
      </w:r>
      <w:r w:rsidR="002B3473" w:rsidRPr="00C73908">
        <w:rPr>
          <w:rFonts w:ascii="Times New Roman" w:hAnsi="Times New Roman" w:cs="Times New Roman"/>
          <w:lang w:val="en-IE"/>
        </w:rPr>
        <w:t xml:space="preserve">Overall, the </w:t>
      </w:r>
      <w:r w:rsidR="00B72E8A" w:rsidRPr="00C73908">
        <w:rPr>
          <w:rFonts w:ascii="Times New Roman" w:hAnsi="Times New Roman" w:cs="Times New Roman"/>
          <w:lang w:val="en-IE"/>
        </w:rPr>
        <w:t xml:space="preserve">p values are much larger </w:t>
      </w:r>
      <w:r w:rsidR="005F3E8C" w:rsidRPr="00C73908">
        <w:rPr>
          <w:rFonts w:ascii="Times New Roman" w:hAnsi="Times New Roman" w:cs="Times New Roman"/>
          <w:lang w:val="en-IE"/>
        </w:rPr>
        <w:t xml:space="preserve">and there are </w:t>
      </w:r>
      <w:r w:rsidR="00BB7B28" w:rsidRPr="00C73908">
        <w:rPr>
          <w:rFonts w:ascii="Times New Roman" w:hAnsi="Times New Roman" w:cs="Times New Roman"/>
          <w:lang w:val="en-IE"/>
        </w:rPr>
        <w:t>less</w:t>
      </w:r>
      <w:r w:rsidR="006D5B58" w:rsidRPr="00C73908">
        <w:rPr>
          <w:rFonts w:ascii="Times New Roman" w:hAnsi="Times New Roman" w:cs="Times New Roman"/>
          <w:lang w:val="en-IE"/>
        </w:rPr>
        <w:t xml:space="preserve"> significan</w:t>
      </w:r>
      <w:r w:rsidR="00BB7B28" w:rsidRPr="00C73908">
        <w:rPr>
          <w:rFonts w:ascii="Times New Roman" w:hAnsi="Times New Roman" w:cs="Times New Roman"/>
          <w:lang w:val="en-IE"/>
        </w:rPr>
        <w:t xml:space="preserve">t </w:t>
      </w:r>
      <w:r w:rsidR="00DD23C9" w:rsidRPr="00C73908">
        <w:rPr>
          <w:rFonts w:ascii="Times New Roman" w:hAnsi="Times New Roman" w:cs="Times New Roman"/>
          <w:lang w:val="en-IE"/>
        </w:rPr>
        <w:t>coefficients</w:t>
      </w:r>
      <w:r w:rsidR="005F3E8C" w:rsidRPr="00C73908">
        <w:rPr>
          <w:rFonts w:ascii="Times New Roman" w:hAnsi="Times New Roman" w:cs="Times New Roman"/>
          <w:lang w:val="en-IE"/>
        </w:rPr>
        <w:t xml:space="preserve"> </w:t>
      </w:r>
      <w:r w:rsidR="00B72E8A" w:rsidRPr="00C73908">
        <w:rPr>
          <w:rFonts w:ascii="Times New Roman" w:hAnsi="Times New Roman" w:cs="Times New Roman"/>
          <w:lang w:val="en-IE"/>
        </w:rPr>
        <w:t xml:space="preserve">when compared with </w:t>
      </w:r>
      <w:r w:rsidR="00831756" w:rsidRPr="00C73908">
        <w:rPr>
          <w:rFonts w:ascii="Times New Roman" w:hAnsi="Times New Roman" w:cs="Times New Roman"/>
          <w:lang w:val="en-IE"/>
        </w:rPr>
        <w:t xml:space="preserve">the previous regression </w:t>
      </w:r>
      <w:r w:rsidR="00B50E54" w:rsidRPr="00C73908">
        <w:rPr>
          <w:rFonts w:ascii="Times New Roman" w:hAnsi="Times New Roman" w:cs="Times New Roman"/>
          <w:lang w:val="en-IE"/>
        </w:rPr>
        <w:t>with export values as the dependent variable</w:t>
      </w:r>
      <w:r w:rsidR="00794715" w:rsidRPr="00C73908">
        <w:rPr>
          <w:rFonts w:ascii="Times New Roman" w:hAnsi="Times New Roman" w:cs="Times New Roman"/>
          <w:lang w:val="en-IE"/>
        </w:rPr>
        <w:t xml:space="preserve">. </w:t>
      </w:r>
      <w:r w:rsidR="0009731B" w:rsidRPr="00C73908">
        <w:rPr>
          <w:rFonts w:ascii="Times New Roman" w:hAnsi="Times New Roman" w:cs="Times New Roman"/>
          <w:lang w:val="en-IE"/>
        </w:rPr>
        <w:t>This is likely due, in large part, to</w:t>
      </w:r>
      <w:r w:rsidR="000F74E7" w:rsidRPr="00C73908">
        <w:rPr>
          <w:rFonts w:ascii="Times New Roman" w:hAnsi="Times New Roman" w:cs="Times New Roman"/>
          <w:lang w:val="en-IE"/>
        </w:rPr>
        <w:t xml:space="preserve"> the </w:t>
      </w:r>
      <w:r w:rsidR="00794715" w:rsidRPr="00C73908">
        <w:rPr>
          <w:rFonts w:ascii="Times New Roman" w:hAnsi="Times New Roman" w:cs="Times New Roman"/>
          <w:lang w:val="en-IE"/>
        </w:rPr>
        <w:t xml:space="preserve">lower levels of variance in the </w:t>
      </w:r>
      <w:r w:rsidR="000F74E7" w:rsidRPr="00C73908">
        <w:rPr>
          <w:rFonts w:ascii="Times New Roman" w:hAnsi="Times New Roman" w:cs="Times New Roman"/>
          <w:lang w:val="en-IE"/>
        </w:rPr>
        <w:t>dependent variable</w:t>
      </w:r>
      <w:r w:rsidR="00533BF0" w:rsidRPr="00C73908">
        <w:rPr>
          <w:rFonts w:ascii="Times New Roman" w:hAnsi="Times New Roman" w:cs="Times New Roman"/>
          <w:lang w:val="en-IE"/>
        </w:rPr>
        <w:t xml:space="preserve"> as</w:t>
      </w:r>
      <w:r w:rsidR="00074334" w:rsidRPr="00C73908">
        <w:rPr>
          <w:rFonts w:ascii="Times New Roman" w:hAnsi="Times New Roman" w:cs="Times New Roman"/>
          <w:lang w:val="en-IE"/>
        </w:rPr>
        <w:t xml:space="preserve"> the </w:t>
      </w:r>
      <w:r w:rsidR="007A7B21" w:rsidRPr="00C73908">
        <w:rPr>
          <w:rFonts w:ascii="Times New Roman" w:hAnsi="Times New Roman" w:cs="Times New Roman"/>
          <w:lang w:val="en-IE"/>
        </w:rPr>
        <w:t xml:space="preserve">majority of companies export to a </w:t>
      </w:r>
      <w:r w:rsidR="00135185" w:rsidRPr="00C73908">
        <w:rPr>
          <w:rFonts w:ascii="Times New Roman" w:hAnsi="Times New Roman" w:cs="Times New Roman"/>
          <w:lang w:val="en-IE"/>
        </w:rPr>
        <w:t>handful</w:t>
      </w:r>
      <w:r w:rsidR="007A7B21" w:rsidRPr="00C73908">
        <w:rPr>
          <w:rFonts w:ascii="Times New Roman" w:hAnsi="Times New Roman" w:cs="Times New Roman"/>
          <w:lang w:val="en-IE"/>
        </w:rPr>
        <w:t xml:space="preserve"> of markets and the </w:t>
      </w:r>
      <w:r w:rsidR="000F74E7" w:rsidRPr="00C73908">
        <w:rPr>
          <w:rFonts w:ascii="Times New Roman" w:hAnsi="Times New Roman" w:cs="Times New Roman"/>
          <w:lang w:val="en-IE"/>
        </w:rPr>
        <w:t xml:space="preserve">number </w:t>
      </w:r>
      <w:r w:rsidR="00074334" w:rsidRPr="00C73908">
        <w:rPr>
          <w:rFonts w:ascii="Times New Roman" w:hAnsi="Times New Roman" w:cs="Times New Roman"/>
          <w:lang w:val="en-IE"/>
        </w:rPr>
        <w:t xml:space="preserve">of </w:t>
      </w:r>
      <w:r w:rsidR="000F74E7" w:rsidRPr="00C73908">
        <w:rPr>
          <w:rFonts w:ascii="Times New Roman" w:hAnsi="Times New Roman" w:cs="Times New Roman"/>
          <w:lang w:val="en-IE"/>
        </w:rPr>
        <w:t xml:space="preserve">markets </w:t>
      </w:r>
      <w:r w:rsidR="00074334" w:rsidRPr="00C73908">
        <w:rPr>
          <w:rFonts w:ascii="Times New Roman" w:hAnsi="Times New Roman" w:cs="Times New Roman"/>
          <w:lang w:val="en-IE"/>
        </w:rPr>
        <w:t xml:space="preserve">does not tend to fluctuate </w:t>
      </w:r>
      <w:r w:rsidR="00CD19E3" w:rsidRPr="00C73908">
        <w:rPr>
          <w:rFonts w:ascii="Times New Roman" w:hAnsi="Times New Roman" w:cs="Times New Roman"/>
          <w:lang w:val="en-IE"/>
        </w:rPr>
        <w:t xml:space="preserve">greatly </w:t>
      </w:r>
      <w:r w:rsidR="000F74E7" w:rsidRPr="00C73908">
        <w:rPr>
          <w:rFonts w:ascii="Times New Roman" w:hAnsi="Times New Roman" w:cs="Times New Roman"/>
          <w:lang w:val="en-IE"/>
        </w:rPr>
        <w:t>from year to year</w:t>
      </w:r>
      <w:r w:rsidR="001E43F8" w:rsidRPr="00C73908">
        <w:rPr>
          <w:rFonts w:ascii="Times New Roman" w:hAnsi="Times New Roman" w:cs="Times New Roman"/>
          <w:lang w:val="en-IE"/>
        </w:rPr>
        <w:t xml:space="preserve"> at the firm level</w:t>
      </w:r>
      <w:r w:rsidR="00533BF0" w:rsidRPr="00C73908">
        <w:rPr>
          <w:rFonts w:ascii="Times New Roman" w:hAnsi="Times New Roman" w:cs="Times New Roman"/>
          <w:lang w:val="en-IE"/>
        </w:rPr>
        <w:t xml:space="preserve">. </w:t>
      </w:r>
      <w:r w:rsidR="00E01823" w:rsidRPr="00C73908">
        <w:rPr>
          <w:rFonts w:ascii="Times New Roman" w:hAnsi="Times New Roman" w:cs="Times New Roman"/>
          <w:lang w:val="en-IE"/>
        </w:rPr>
        <w:t xml:space="preserve">In 2019, 33% of companies exported to </w:t>
      </w:r>
      <w:r w:rsidR="00027B9A" w:rsidRPr="00C73908">
        <w:rPr>
          <w:rFonts w:ascii="Times New Roman" w:hAnsi="Times New Roman" w:cs="Times New Roman"/>
          <w:lang w:val="en-IE"/>
        </w:rPr>
        <w:t xml:space="preserve">just one overseas market while </w:t>
      </w:r>
      <w:r w:rsidR="002C74A1" w:rsidRPr="00C73908">
        <w:rPr>
          <w:rFonts w:ascii="Times New Roman" w:hAnsi="Times New Roman" w:cs="Times New Roman"/>
          <w:lang w:val="en-IE"/>
        </w:rPr>
        <w:t xml:space="preserve">73% </w:t>
      </w:r>
      <w:r w:rsidR="00027B9A" w:rsidRPr="00C73908">
        <w:rPr>
          <w:rFonts w:ascii="Times New Roman" w:hAnsi="Times New Roman" w:cs="Times New Roman"/>
          <w:lang w:val="en-IE"/>
        </w:rPr>
        <w:t>sold into 5 markets</w:t>
      </w:r>
      <w:r w:rsidR="00371016" w:rsidRPr="00C73908">
        <w:rPr>
          <w:rFonts w:ascii="Times New Roman" w:hAnsi="Times New Roman" w:cs="Times New Roman"/>
          <w:lang w:val="en-IE"/>
        </w:rPr>
        <w:t xml:space="preserve"> or less</w:t>
      </w:r>
      <w:r w:rsidR="008E3C93" w:rsidRPr="00C73908">
        <w:rPr>
          <w:rFonts w:ascii="Times New Roman" w:hAnsi="Times New Roman" w:cs="Times New Roman"/>
          <w:lang w:val="en-IE"/>
        </w:rPr>
        <w:t>.</w:t>
      </w:r>
      <w:r w:rsidR="00970C2E" w:rsidRPr="00C73908">
        <w:rPr>
          <w:rFonts w:ascii="Times New Roman" w:hAnsi="Times New Roman" w:cs="Times New Roman"/>
          <w:lang w:val="en-IE"/>
        </w:rPr>
        <w:t xml:space="preserve"> Despite the </w:t>
      </w:r>
      <w:r w:rsidR="00DB5A3E" w:rsidRPr="00C73908">
        <w:rPr>
          <w:rFonts w:ascii="Times New Roman" w:hAnsi="Times New Roman" w:cs="Times New Roman"/>
          <w:lang w:val="en-IE"/>
        </w:rPr>
        <w:t xml:space="preserve">lower </w:t>
      </w:r>
      <w:r w:rsidR="00000AEF" w:rsidRPr="00C73908">
        <w:rPr>
          <w:rFonts w:ascii="Times New Roman" w:hAnsi="Times New Roman" w:cs="Times New Roman"/>
          <w:lang w:val="en-IE"/>
        </w:rPr>
        <w:t xml:space="preserve">overall </w:t>
      </w:r>
      <w:r w:rsidR="00DB5A3E" w:rsidRPr="00C73908">
        <w:rPr>
          <w:rFonts w:ascii="Times New Roman" w:hAnsi="Times New Roman" w:cs="Times New Roman"/>
          <w:lang w:val="en-IE"/>
        </w:rPr>
        <w:t xml:space="preserve">levels of significance, the model does identify </w:t>
      </w:r>
      <w:r w:rsidR="00625BAD" w:rsidRPr="00C73908">
        <w:rPr>
          <w:rFonts w:ascii="Times New Roman" w:hAnsi="Times New Roman" w:cs="Times New Roman"/>
          <w:lang w:val="en-IE"/>
        </w:rPr>
        <w:t>several variables</w:t>
      </w:r>
      <w:r w:rsidR="00DB5A3E" w:rsidRPr="00C73908">
        <w:rPr>
          <w:rFonts w:ascii="Times New Roman" w:hAnsi="Times New Roman" w:cs="Times New Roman"/>
          <w:lang w:val="en-IE"/>
        </w:rPr>
        <w:t xml:space="preserve"> </w:t>
      </w:r>
      <w:r w:rsidR="00625BAD" w:rsidRPr="00C73908">
        <w:rPr>
          <w:rFonts w:ascii="Times New Roman" w:hAnsi="Times New Roman" w:cs="Times New Roman"/>
          <w:lang w:val="en-IE"/>
        </w:rPr>
        <w:t xml:space="preserve">that have a </w:t>
      </w:r>
      <w:r w:rsidR="00EF4C74" w:rsidRPr="00C73908">
        <w:rPr>
          <w:rFonts w:ascii="Times New Roman" w:hAnsi="Times New Roman" w:cs="Times New Roman"/>
          <w:lang w:val="en-IE"/>
        </w:rPr>
        <w:t xml:space="preserve">strong influence on </w:t>
      </w:r>
      <w:r w:rsidR="005B0894" w:rsidRPr="00C73908">
        <w:rPr>
          <w:rFonts w:ascii="Times New Roman" w:hAnsi="Times New Roman" w:cs="Times New Roman"/>
          <w:lang w:val="en-IE"/>
        </w:rPr>
        <w:t>export diversification</w:t>
      </w:r>
      <w:r w:rsidR="00625BAD" w:rsidRPr="00C73908">
        <w:rPr>
          <w:rFonts w:ascii="Times New Roman" w:hAnsi="Times New Roman" w:cs="Times New Roman"/>
          <w:lang w:val="en-IE"/>
        </w:rPr>
        <w:t>.</w:t>
      </w:r>
    </w:p>
    <w:p w14:paraId="05A799F1" w14:textId="79B62E86" w:rsidR="00195906" w:rsidRDefault="00486A2C" w:rsidP="008A6DF2">
      <w:pPr>
        <w:spacing w:after="240" w:line="360" w:lineRule="auto"/>
        <w:jc w:val="both"/>
        <w:rPr>
          <w:rFonts w:ascii="Times New Roman" w:hAnsi="Times New Roman" w:cs="Times New Roman"/>
          <w:lang w:val="en-IE"/>
        </w:rPr>
      </w:pPr>
      <w:r>
        <w:rPr>
          <w:rFonts w:ascii="Times New Roman" w:hAnsi="Times New Roman" w:cs="Times New Roman"/>
          <w:b/>
          <w:bCs/>
          <w:color w:val="0070C0"/>
          <w:lang w:val="en-IE"/>
        </w:rPr>
        <w:lastRenderedPageBreak/>
        <w:t>Company Size</w:t>
      </w:r>
      <w:r w:rsidRPr="00486A2C">
        <w:rPr>
          <w:rFonts w:ascii="Times New Roman" w:hAnsi="Times New Roman" w:cs="Times New Roman"/>
          <w:b/>
          <w:bCs/>
          <w:color w:val="0070C0"/>
          <w:lang w:val="en-IE"/>
        </w:rPr>
        <w:t>:</w:t>
      </w:r>
      <w:r>
        <w:rPr>
          <w:rFonts w:ascii="Times New Roman" w:hAnsi="Times New Roman" w:cs="Times New Roman"/>
          <w:lang w:val="en-IE"/>
        </w:rPr>
        <w:t xml:space="preserve"> S</w:t>
      </w:r>
      <w:r w:rsidR="00EF4C74" w:rsidRPr="00C73908">
        <w:rPr>
          <w:rFonts w:ascii="Times New Roman" w:hAnsi="Times New Roman" w:cs="Times New Roman"/>
          <w:lang w:val="en-IE"/>
        </w:rPr>
        <w:t xml:space="preserve">ize, </w:t>
      </w:r>
      <w:r>
        <w:rPr>
          <w:rFonts w:ascii="Times New Roman" w:hAnsi="Times New Roman" w:cs="Times New Roman"/>
          <w:lang w:val="en-IE"/>
        </w:rPr>
        <w:t xml:space="preserve">which is </w:t>
      </w:r>
      <w:r w:rsidR="00EF4C74" w:rsidRPr="00C73908">
        <w:rPr>
          <w:rFonts w:ascii="Times New Roman" w:hAnsi="Times New Roman" w:cs="Times New Roman"/>
          <w:lang w:val="en-IE"/>
        </w:rPr>
        <w:t xml:space="preserve">measured by annual turnover, is </w:t>
      </w:r>
      <w:r w:rsidR="006A4B10" w:rsidRPr="00C73908">
        <w:rPr>
          <w:rFonts w:ascii="Times New Roman" w:hAnsi="Times New Roman" w:cs="Times New Roman"/>
          <w:lang w:val="en-IE"/>
        </w:rPr>
        <w:t>shown</w:t>
      </w:r>
      <w:r w:rsidR="00EF4C74" w:rsidRPr="00C73908">
        <w:rPr>
          <w:rFonts w:ascii="Times New Roman" w:hAnsi="Times New Roman" w:cs="Times New Roman"/>
          <w:lang w:val="en-IE"/>
        </w:rPr>
        <w:t xml:space="preserve"> to </w:t>
      </w:r>
      <w:r w:rsidR="006A4B10" w:rsidRPr="00C73908">
        <w:rPr>
          <w:rFonts w:ascii="Times New Roman" w:hAnsi="Times New Roman" w:cs="Times New Roman"/>
          <w:lang w:val="en-IE"/>
        </w:rPr>
        <w:t>have</w:t>
      </w:r>
      <w:r w:rsidR="00A703CC" w:rsidRPr="00C73908">
        <w:rPr>
          <w:rFonts w:ascii="Times New Roman" w:hAnsi="Times New Roman" w:cs="Times New Roman"/>
          <w:lang w:val="en-IE"/>
        </w:rPr>
        <w:t xml:space="preserve"> a </w:t>
      </w:r>
      <w:r w:rsidR="006A4B10" w:rsidRPr="00C73908">
        <w:rPr>
          <w:rFonts w:ascii="Times New Roman" w:hAnsi="Times New Roman" w:cs="Times New Roman"/>
          <w:lang w:val="en-IE"/>
        </w:rPr>
        <w:t xml:space="preserve">significant, positive influence on </w:t>
      </w:r>
      <w:r w:rsidR="00A703CC" w:rsidRPr="00C73908">
        <w:rPr>
          <w:rFonts w:ascii="Times New Roman" w:hAnsi="Times New Roman" w:cs="Times New Roman"/>
          <w:lang w:val="en-IE"/>
        </w:rPr>
        <w:t>diversification</w:t>
      </w:r>
      <w:r w:rsidR="007927A2" w:rsidRPr="00C73908">
        <w:rPr>
          <w:rFonts w:ascii="Times New Roman" w:hAnsi="Times New Roman" w:cs="Times New Roman"/>
          <w:lang w:val="en-IE"/>
        </w:rPr>
        <w:t xml:space="preserve"> </w:t>
      </w:r>
      <w:r w:rsidR="00915F6E" w:rsidRPr="00C73908">
        <w:rPr>
          <w:rFonts w:ascii="Times New Roman" w:hAnsi="Times New Roman" w:cs="Times New Roman"/>
          <w:lang w:val="en-IE"/>
        </w:rPr>
        <w:t xml:space="preserve">levels </w:t>
      </w:r>
      <w:r w:rsidR="007927A2" w:rsidRPr="00C73908">
        <w:rPr>
          <w:rFonts w:ascii="Times New Roman" w:hAnsi="Times New Roman" w:cs="Times New Roman"/>
          <w:lang w:val="en-IE"/>
        </w:rPr>
        <w:t>in both manufacturing and services</w:t>
      </w:r>
      <w:r w:rsidR="009A0647" w:rsidRPr="00C73908">
        <w:rPr>
          <w:rFonts w:ascii="Times New Roman" w:hAnsi="Times New Roman" w:cs="Times New Roman"/>
          <w:lang w:val="en-IE"/>
        </w:rPr>
        <w:t xml:space="preserve"> companies</w:t>
      </w:r>
      <w:r w:rsidR="007927A2" w:rsidRPr="00C73908">
        <w:rPr>
          <w:rFonts w:ascii="Times New Roman" w:hAnsi="Times New Roman" w:cs="Times New Roman"/>
          <w:lang w:val="en-IE"/>
        </w:rPr>
        <w:t xml:space="preserve">. This </w:t>
      </w:r>
      <w:r w:rsidR="00404BFA">
        <w:rPr>
          <w:rFonts w:ascii="Times New Roman" w:hAnsi="Times New Roman" w:cs="Times New Roman"/>
          <w:lang w:val="en-IE"/>
        </w:rPr>
        <w:t>may be as a result of</w:t>
      </w:r>
      <w:r w:rsidR="004C6384" w:rsidRPr="00C73908">
        <w:rPr>
          <w:rFonts w:ascii="Times New Roman" w:hAnsi="Times New Roman" w:cs="Times New Roman"/>
          <w:lang w:val="en-IE"/>
        </w:rPr>
        <w:t xml:space="preserve"> </w:t>
      </w:r>
      <w:r w:rsidR="00155483" w:rsidRPr="00C73908">
        <w:rPr>
          <w:rFonts w:ascii="Times New Roman" w:hAnsi="Times New Roman" w:cs="Times New Roman"/>
          <w:lang w:val="en-IE"/>
        </w:rPr>
        <w:t xml:space="preserve">growth opportunities </w:t>
      </w:r>
      <w:r w:rsidR="00B971D6" w:rsidRPr="00C73908">
        <w:rPr>
          <w:rFonts w:ascii="Times New Roman" w:hAnsi="Times New Roman" w:cs="Times New Roman"/>
          <w:lang w:val="en-IE"/>
        </w:rPr>
        <w:t>becom</w:t>
      </w:r>
      <w:r w:rsidR="00AD0965">
        <w:rPr>
          <w:rFonts w:ascii="Times New Roman" w:hAnsi="Times New Roman" w:cs="Times New Roman"/>
          <w:lang w:val="en-IE"/>
        </w:rPr>
        <w:t>ing</w:t>
      </w:r>
      <w:r w:rsidR="00B971D6" w:rsidRPr="00C73908">
        <w:rPr>
          <w:rFonts w:ascii="Times New Roman" w:hAnsi="Times New Roman" w:cs="Times New Roman"/>
          <w:lang w:val="en-IE"/>
        </w:rPr>
        <w:t xml:space="preserve"> more limited in markets where a company has already</w:t>
      </w:r>
      <w:r w:rsidR="00C71A46" w:rsidRPr="00C73908">
        <w:rPr>
          <w:rFonts w:ascii="Times New Roman" w:hAnsi="Times New Roman" w:cs="Times New Roman"/>
          <w:lang w:val="en-IE"/>
        </w:rPr>
        <w:t xml:space="preserve"> develop</w:t>
      </w:r>
      <w:r w:rsidR="00B971D6" w:rsidRPr="00C73908">
        <w:rPr>
          <w:rFonts w:ascii="Times New Roman" w:hAnsi="Times New Roman" w:cs="Times New Roman"/>
          <w:lang w:val="en-IE"/>
        </w:rPr>
        <w:t>ed</w:t>
      </w:r>
      <w:r w:rsidR="00C71A46" w:rsidRPr="00C73908">
        <w:rPr>
          <w:rFonts w:ascii="Times New Roman" w:hAnsi="Times New Roman" w:cs="Times New Roman"/>
          <w:lang w:val="en-IE"/>
        </w:rPr>
        <w:t xml:space="preserve"> a strong presence </w:t>
      </w:r>
      <w:r w:rsidR="00261C3F" w:rsidRPr="00C73908">
        <w:rPr>
          <w:rFonts w:ascii="Times New Roman" w:hAnsi="Times New Roman" w:cs="Times New Roman"/>
          <w:lang w:val="en-IE"/>
        </w:rPr>
        <w:t xml:space="preserve">and </w:t>
      </w:r>
      <w:r w:rsidR="002F7117" w:rsidRPr="00C73908">
        <w:rPr>
          <w:rFonts w:ascii="Times New Roman" w:hAnsi="Times New Roman" w:cs="Times New Roman"/>
          <w:lang w:val="en-IE"/>
        </w:rPr>
        <w:t>generated</w:t>
      </w:r>
      <w:r w:rsidR="00261C3F" w:rsidRPr="00C73908">
        <w:rPr>
          <w:rFonts w:ascii="Times New Roman" w:hAnsi="Times New Roman" w:cs="Times New Roman"/>
          <w:lang w:val="en-IE"/>
        </w:rPr>
        <w:t xml:space="preserve"> high levels of sales</w:t>
      </w:r>
      <w:r w:rsidR="00B72E82" w:rsidRPr="00C73908">
        <w:rPr>
          <w:rFonts w:ascii="Times New Roman" w:hAnsi="Times New Roman" w:cs="Times New Roman"/>
          <w:lang w:val="en-IE"/>
        </w:rPr>
        <w:t xml:space="preserve"> over many years</w:t>
      </w:r>
      <w:r w:rsidR="004523B9" w:rsidRPr="00C73908">
        <w:rPr>
          <w:rFonts w:ascii="Times New Roman" w:hAnsi="Times New Roman" w:cs="Times New Roman"/>
          <w:lang w:val="en-IE"/>
        </w:rPr>
        <w:t xml:space="preserve">. These companies </w:t>
      </w:r>
      <w:r w:rsidR="008E3815" w:rsidRPr="00C73908">
        <w:rPr>
          <w:rFonts w:ascii="Times New Roman" w:hAnsi="Times New Roman" w:cs="Times New Roman"/>
          <w:lang w:val="en-IE"/>
        </w:rPr>
        <w:t>would</w:t>
      </w:r>
      <w:r w:rsidR="004523B9" w:rsidRPr="00C73908">
        <w:rPr>
          <w:rFonts w:ascii="Times New Roman" w:hAnsi="Times New Roman" w:cs="Times New Roman"/>
          <w:lang w:val="en-IE"/>
        </w:rPr>
        <w:t xml:space="preserve">, therefore, </w:t>
      </w:r>
      <w:r w:rsidR="00706D94" w:rsidRPr="00C73908">
        <w:rPr>
          <w:rFonts w:ascii="Times New Roman" w:hAnsi="Times New Roman" w:cs="Times New Roman"/>
          <w:lang w:val="en-IE"/>
        </w:rPr>
        <w:t xml:space="preserve">have a stronger incentive </w:t>
      </w:r>
      <w:r w:rsidR="0099608A" w:rsidRPr="00C73908">
        <w:rPr>
          <w:rFonts w:ascii="Times New Roman" w:hAnsi="Times New Roman" w:cs="Times New Roman"/>
          <w:lang w:val="en-IE"/>
        </w:rPr>
        <w:t xml:space="preserve">and capability </w:t>
      </w:r>
      <w:r w:rsidR="00706D94" w:rsidRPr="00C73908">
        <w:rPr>
          <w:rFonts w:ascii="Times New Roman" w:hAnsi="Times New Roman" w:cs="Times New Roman"/>
          <w:lang w:val="en-IE"/>
        </w:rPr>
        <w:t>to</w:t>
      </w:r>
      <w:r w:rsidR="000347FC" w:rsidRPr="00C73908">
        <w:rPr>
          <w:rFonts w:ascii="Times New Roman" w:hAnsi="Times New Roman" w:cs="Times New Roman"/>
          <w:lang w:val="en-IE"/>
        </w:rPr>
        <w:t xml:space="preserve"> look further </w:t>
      </w:r>
      <w:r w:rsidR="000A512B" w:rsidRPr="00C73908">
        <w:rPr>
          <w:rFonts w:ascii="Times New Roman" w:hAnsi="Times New Roman" w:cs="Times New Roman"/>
          <w:lang w:val="en-IE"/>
        </w:rPr>
        <w:t>afield and</w:t>
      </w:r>
      <w:r w:rsidR="00706D94" w:rsidRPr="00C73908">
        <w:rPr>
          <w:rFonts w:ascii="Times New Roman" w:hAnsi="Times New Roman" w:cs="Times New Roman"/>
          <w:lang w:val="en-IE"/>
        </w:rPr>
        <w:t xml:space="preserve"> </w:t>
      </w:r>
      <w:r w:rsidR="005F2797" w:rsidRPr="00C73908">
        <w:rPr>
          <w:rFonts w:ascii="Times New Roman" w:hAnsi="Times New Roman" w:cs="Times New Roman"/>
          <w:lang w:val="en-IE"/>
        </w:rPr>
        <w:t xml:space="preserve">expand into new territories as they </w:t>
      </w:r>
      <w:r w:rsidR="00E51130" w:rsidRPr="00C73908">
        <w:rPr>
          <w:rFonts w:ascii="Times New Roman" w:hAnsi="Times New Roman" w:cs="Times New Roman"/>
          <w:lang w:val="en-IE"/>
        </w:rPr>
        <w:t>represent the best avenue to fu</w:t>
      </w:r>
      <w:r w:rsidR="00706D94" w:rsidRPr="00C73908">
        <w:rPr>
          <w:rFonts w:ascii="Times New Roman" w:hAnsi="Times New Roman" w:cs="Times New Roman"/>
          <w:lang w:val="en-IE"/>
        </w:rPr>
        <w:t>ture</w:t>
      </w:r>
      <w:r w:rsidR="00E51130" w:rsidRPr="00C73908">
        <w:rPr>
          <w:rFonts w:ascii="Times New Roman" w:hAnsi="Times New Roman" w:cs="Times New Roman"/>
          <w:lang w:val="en-IE"/>
        </w:rPr>
        <w:t xml:space="preserve"> </w:t>
      </w:r>
      <w:r w:rsidR="005971A9" w:rsidRPr="00C73908">
        <w:rPr>
          <w:rFonts w:ascii="Times New Roman" w:hAnsi="Times New Roman" w:cs="Times New Roman"/>
          <w:lang w:val="en-IE"/>
        </w:rPr>
        <w:t>revenue</w:t>
      </w:r>
      <w:r w:rsidR="00E51130" w:rsidRPr="00C73908">
        <w:rPr>
          <w:rFonts w:ascii="Times New Roman" w:hAnsi="Times New Roman" w:cs="Times New Roman"/>
          <w:lang w:val="en-IE"/>
        </w:rPr>
        <w:t xml:space="preserve"> growth. </w:t>
      </w:r>
      <w:r w:rsidR="002160B8" w:rsidRPr="00C73908">
        <w:rPr>
          <w:rFonts w:ascii="Times New Roman" w:hAnsi="Times New Roman" w:cs="Times New Roman"/>
          <w:lang w:val="en-IE"/>
        </w:rPr>
        <w:t>Achieving</w:t>
      </w:r>
      <w:r w:rsidR="002F7117" w:rsidRPr="00C73908">
        <w:rPr>
          <w:rFonts w:ascii="Times New Roman" w:hAnsi="Times New Roman" w:cs="Times New Roman"/>
          <w:lang w:val="en-IE"/>
        </w:rPr>
        <w:t xml:space="preserve"> </w:t>
      </w:r>
      <w:r w:rsidR="00FD231A" w:rsidRPr="00C73908">
        <w:rPr>
          <w:rFonts w:ascii="Times New Roman" w:hAnsi="Times New Roman" w:cs="Times New Roman"/>
          <w:lang w:val="en-IE"/>
        </w:rPr>
        <w:t xml:space="preserve">initial </w:t>
      </w:r>
      <w:r w:rsidR="002F7117" w:rsidRPr="00C73908">
        <w:rPr>
          <w:rFonts w:ascii="Times New Roman" w:hAnsi="Times New Roman" w:cs="Times New Roman"/>
          <w:lang w:val="en-IE"/>
        </w:rPr>
        <w:t xml:space="preserve">growth </w:t>
      </w:r>
      <w:r w:rsidR="00C01247" w:rsidRPr="00C73908">
        <w:rPr>
          <w:rFonts w:ascii="Times New Roman" w:hAnsi="Times New Roman" w:cs="Times New Roman"/>
          <w:lang w:val="en-IE"/>
        </w:rPr>
        <w:t xml:space="preserve">in a small number of </w:t>
      </w:r>
      <w:r w:rsidR="005B08D6" w:rsidRPr="00C73908">
        <w:rPr>
          <w:rFonts w:ascii="Times New Roman" w:hAnsi="Times New Roman" w:cs="Times New Roman"/>
          <w:lang w:val="en-IE"/>
        </w:rPr>
        <w:t xml:space="preserve">local </w:t>
      </w:r>
      <w:r w:rsidR="00C01247" w:rsidRPr="00C73908">
        <w:rPr>
          <w:rFonts w:ascii="Times New Roman" w:hAnsi="Times New Roman" w:cs="Times New Roman"/>
          <w:lang w:val="en-IE"/>
        </w:rPr>
        <w:t xml:space="preserve">export markets </w:t>
      </w:r>
      <w:r w:rsidR="007A18ED" w:rsidRPr="00C73908">
        <w:rPr>
          <w:rFonts w:ascii="Times New Roman" w:hAnsi="Times New Roman" w:cs="Times New Roman"/>
          <w:lang w:val="en-IE"/>
        </w:rPr>
        <w:t>also allow</w:t>
      </w:r>
      <w:r w:rsidR="00633279" w:rsidRPr="00C73908">
        <w:rPr>
          <w:rFonts w:ascii="Times New Roman" w:hAnsi="Times New Roman" w:cs="Times New Roman"/>
          <w:lang w:val="en-IE"/>
        </w:rPr>
        <w:t>s</w:t>
      </w:r>
      <w:r w:rsidR="007A18ED" w:rsidRPr="00C73908">
        <w:rPr>
          <w:rFonts w:ascii="Times New Roman" w:hAnsi="Times New Roman" w:cs="Times New Roman"/>
          <w:lang w:val="en-IE"/>
        </w:rPr>
        <w:t xml:space="preserve"> companies to develop</w:t>
      </w:r>
      <w:r w:rsidR="00425E9B" w:rsidRPr="00C73908">
        <w:rPr>
          <w:rFonts w:ascii="Times New Roman" w:hAnsi="Times New Roman" w:cs="Times New Roman"/>
          <w:lang w:val="en-IE"/>
        </w:rPr>
        <w:t xml:space="preserve"> </w:t>
      </w:r>
      <w:r w:rsidR="005400F1" w:rsidRPr="00C73908">
        <w:rPr>
          <w:rFonts w:ascii="Times New Roman" w:hAnsi="Times New Roman" w:cs="Times New Roman"/>
          <w:lang w:val="en-IE"/>
        </w:rPr>
        <w:t>organisa</w:t>
      </w:r>
      <w:r w:rsidR="00002DE7" w:rsidRPr="00C73908">
        <w:rPr>
          <w:rFonts w:ascii="Times New Roman" w:hAnsi="Times New Roman" w:cs="Times New Roman"/>
          <w:lang w:val="en-IE"/>
        </w:rPr>
        <w:t>tional</w:t>
      </w:r>
      <w:r w:rsidR="00425E9B" w:rsidRPr="00C73908">
        <w:rPr>
          <w:rFonts w:ascii="Times New Roman" w:hAnsi="Times New Roman" w:cs="Times New Roman"/>
          <w:lang w:val="en-IE"/>
        </w:rPr>
        <w:t xml:space="preserve"> capabilit</w:t>
      </w:r>
      <w:r w:rsidR="00633279" w:rsidRPr="00C73908">
        <w:rPr>
          <w:rFonts w:ascii="Times New Roman" w:hAnsi="Times New Roman" w:cs="Times New Roman"/>
          <w:lang w:val="en-IE"/>
        </w:rPr>
        <w:t>ies</w:t>
      </w:r>
      <w:r w:rsidR="00F208E1" w:rsidRPr="00C73908">
        <w:rPr>
          <w:rFonts w:ascii="Times New Roman" w:hAnsi="Times New Roman" w:cs="Times New Roman"/>
          <w:lang w:val="en-IE"/>
        </w:rPr>
        <w:t xml:space="preserve"> which</w:t>
      </w:r>
      <w:r w:rsidR="00FF1A9D" w:rsidRPr="00C73908">
        <w:rPr>
          <w:rFonts w:ascii="Times New Roman" w:hAnsi="Times New Roman" w:cs="Times New Roman"/>
          <w:lang w:val="en-IE"/>
        </w:rPr>
        <w:t>, in turn,</w:t>
      </w:r>
      <w:r w:rsidR="00F208E1" w:rsidRPr="00C73908">
        <w:rPr>
          <w:rFonts w:ascii="Times New Roman" w:hAnsi="Times New Roman" w:cs="Times New Roman"/>
          <w:lang w:val="en-IE"/>
        </w:rPr>
        <w:t xml:space="preserve"> </w:t>
      </w:r>
      <w:r w:rsidR="007C52AC" w:rsidRPr="00C73908">
        <w:rPr>
          <w:rFonts w:ascii="Times New Roman" w:hAnsi="Times New Roman" w:cs="Times New Roman"/>
          <w:lang w:val="en-IE"/>
        </w:rPr>
        <w:t>reduces the resources required and the level</w:t>
      </w:r>
      <w:r w:rsidR="00F208E1" w:rsidRPr="00C73908">
        <w:rPr>
          <w:rFonts w:ascii="Times New Roman" w:hAnsi="Times New Roman" w:cs="Times New Roman"/>
          <w:lang w:val="en-IE"/>
        </w:rPr>
        <w:t xml:space="preserve"> </w:t>
      </w:r>
      <w:r w:rsidR="007C52AC" w:rsidRPr="00C73908">
        <w:rPr>
          <w:rFonts w:ascii="Times New Roman" w:hAnsi="Times New Roman" w:cs="Times New Roman"/>
          <w:lang w:val="en-IE"/>
        </w:rPr>
        <w:t xml:space="preserve">of risk involved in </w:t>
      </w:r>
      <w:r w:rsidR="00F208E1" w:rsidRPr="00C73908">
        <w:rPr>
          <w:rFonts w:ascii="Times New Roman" w:hAnsi="Times New Roman" w:cs="Times New Roman"/>
          <w:lang w:val="en-IE"/>
        </w:rPr>
        <w:t>further expansion</w:t>
      </w:r>
      <w:r w:rsidR="00633279" w:rsidRPr="00C73908">
        <w:rPr>
          <w:rFonts w:ascii="Times New Roman" w:hAnsi="Times New Roman" w:cs="Times New Roman"/>
          <w:lang w:val="en-IE"/>
        </w:rPr>
        <w:t xml:space="preserve"> into new markets. </w:t>
      </w:r>
      <w:r w:rsidR="009563AC" w:rsidRPr="00C73908">
        <w:rPr>
          <w:rFonts w:ascii="Times New Roman" w:hAnsi="Times New Roman" w:cs="Times New Roman"/>
          <w:lang w:val="en-IE"/>
        </w:rPr>
        <w:t>Th</w:t>
      </w:r>
      <w:r w:rsidR="00395234" w:rsidRPr="00C73908">
        <w:rPr>
          <w:rFonts w:ascii="Times New Roman" w:hAnsi="Times New Roman" w:cs="Times New Roman"/>
          <w:lang w:val="en-IE"/>
        </w:rPr>
        <w:t>is i</w:t>
      </w:r>
      <w:r w:rsidR="009563AC" w:rsidRPr="00C73908">
        <w:rPr>
          <w:rFonts w:ascii="Times New Roman" w:hAnsi="Times New Roman" w:cs="Times New Roman"/>
          <w:lang w:val="en-IE"/>
        </w:rPr>
        <w:t>nclude</w:t>
      </w:r>
      <w:r w:rsidR="00395234" w:rsidRPr="00C73908">
        <w:rPr>
          <w:rFonts w:ascii="Times New Roman" w:hAnsi="Times New Roman" w:cs="Times New Roman"/>
          <w:lang w:val="en-IE"/>
        </w:rPr>
        <w:t>s</w:t>
      </w:r>
      <w:r w:rsidR="009563AC" w:rsidRPr="00C73908">
        <w:rPr>
          <w:rFonts w:ascii="Times New Roman" w:hAnsi="Times New Roman" w:cs="Times New Roman"/>
          <w:lang w:val="en-IE"/>
        </w:rPr>
        <w:t xml:space="preserve"> </w:t>
      </w:r>
      <w:r w:rsidR="007D6176" w:rsidRPr="00C73908">
        <w:rPr>
          <w:rFonts w:ascii="Times New Roman" w:hAnsi="Times New Roman" w:cs="Times New Roman"/>
          <w:lang w:val="en-IE"/>
        </w:rPr>
        <w:t xml:space="preserve">building up </w:t>
      </w:r>
      <w:r w:rsidR="00395234" w:rsidRPr="00C73908">
        <w:rPr>
          <w:rFonts w:ascii="Times New Roman" w:hAnsi="Times New Roman" w:cs="Times New Roman"/>
          <w:lang w:val="en-IE"/>
        </w:rPr>
        <w:t xml:space="preserve">in-house </w:t>
      </w:r>
      <w:r w:rsidR="007D6176" w:rsidRPr="00C73908">
        <w:rPr>
          <w:rFonts w:ascii="Times New Roman" w:hAnsi="Times New Roman" w:cs="Times New Roman"/>
          <w:lang w:val="en-IE"/>
        </w:rPr>
        <w:t xml:space="preserve">skills and </w:t>
      </w:r>
      <w:r w:rsidR="00395234" w:rsidRPr="00C73908">
        <w:rPr>
          <w:rFonts w:ascii="Times New Roman" w:hAnsi="Times New Roman" w:cs="Times New Roman"/>
          <w:lang w:val="en-IE"/>
        </w:rPr>
        <w:t>expertise</w:t>
      </w:r>
      <w:r w:rsidR="00DE406E" w:rsidRPr="00C73908">
        <w:rPr>
          <w:rFonts w:ascii="Times New Roman" w:hAnsi="Times New Roman" w:cs="Times New Roman"/>
          <w:lang w:val="en-IE"/>
        </w:rPr>
        <w:t xml:space="preserve"> which </w:t>
      </w:r>
      <w:r w:rsidR="004227D2" w:rsidRPr="00C73908">
        <w:rPr>
          <w:rFonts w:ascii="Times New Roman" w:hAnsi="Times New Roman" w:cs="Times New Roman"/>
          <w:lang w:val="en-IE"/>
        </w:rPr>
        <w:t xml:space="preserve">would be less prevalent among </w:t>
      </w:r>
      <w:r w:rsidR="00DE406E" w:rsidRPr="00C73908">
        <w:rPr>
          <w:rFonts w:ascii="Times New Roman" w:hAnsi="Times New Roman" w:cs="Times New Roman"/>
          <w:lang w:val="en-IE"/>
        </w:rPr>
        <w:t>smaller</w:t>
      </w:r>
      <w:r w:rsidR="00B226DC" w:rsidRPr="00C73908">
        <w:rPr>
          <w:rFonts w:ascii="Times New Roman" w:hAnsi="Times New Roman" w:cs="Times New Roman"/>
          <w:lang w:val="en-IE"/>
        </w:rPr>
        <w:t>,</w:t>
      </w:r>
      <w:r w:rsidR="00DE406E" w:rsidRPr="00C73908">
        <w:rPr>
          <w:rFonts w:ascii="Times New Roman" w:hAnsi="Times New Roman" w:cs="Times New Roman"/>
          <w:lang w:val="en-IE"/>
        </w:rPr>
        <w:t xml:space="preserve"> </w:t>
      </w:r>
      <w:r w:rsidR="00B226DC" w:rsidRPr="00C73908">
        <w:rPr>
          <w:rFonts w:ascii="Times New Roman" w:hAnsi="Times New Roman" w:cs="Times New Roman"/>
          <w:lang w:val="en-IE"/>
        </w:rPr>
        <w:t>first</w:t>
      </w:r>
      <w:r w:rsidR="007801B4" w:rsidRPr="00C73908">
        <w:rPr>
          <w:rFonts w:ascii="Times New Roman" w:hAnsi="Times New Roman" w:cs="Times New Roman"/>
          <w:lang w:val="en-IE"/>
        </w:rPr>
        <w:t>-</w:t>
      </w:r>
      <w:r w:rsidR="00B226DC" w:rsidRPr="00C73908">
        <w:rPr>
          <w:rFonts w:ascii="Times New Roman" w:hAnsi="Times New Roman" w:cs="Times New Roman"/>
          <w:lang w:val="en-IE"/>
        </w:rPr>
        <w:t>time</w:t>
      </w:r>
      <w:r w:rsidR="004227D2" w:rsidRPr="00C73908">
        <w:rPr>
          <w:rFonts w:ascii="Times New Roman" w:hAnsi="Times New Roman" w:cs="Times New Roman"/>
          <w:lang w:val="en-IE"/>
        </w:rPr>
        <w:t xml:space="preserve"> </w:t>
      </w:r>
      <w:r w:rsidR="00B226DC" w:rsidRPr="00C73908">
        <w:rPr>
          <w:rFonts w:ascii="Times New Roman" w:hAnsi="Times New Roman" w:cs="Times New Roman"/>
          <w:lang w:val="en-IE"/>
        </w:rPr>
        <w:t xml:space="preserve">exporters </w:t>
      </w:r>
      <w:r w:rsidR="00395234" w:rsidRPr="00C73908">
        <w:rPr>
          <w:rFonts w:ascii="Times New Roman" w:hAnsi="Times New Roman" w:cs="Times New Roman"/>
          <w:lang w:val="en-IE"/>
        </w:rPr>
        <w:t xml:space="preserve">in areas such as </w:t>
      </w:r>
      <w:r w:rsidR="009563AC" w:rsidRPr="00C73908">
        <w:rPr>
          <w:rFonts w:ascii="Times New Roman" w:hAnsi="Times New Roman" w:cs="Times New Roman"/>
          <w:lang w:val="en-IE"/>
        </w:rPr>
        <w:t xml:space="preserve">international </w:t>
      </w:r>
      <w:r w:rsidR="00EF6E15" w:rsidRPr="00C73908">
        <w:rPr>
          <w:rFonts w:ascii="Times New Roman" w:hAnsi="Times New Roman" w:cs="Times New Roman"/>
          <w:lang w:val="en-IE"/>
        </w:rPr>
        <w:t>regulatory requirements</w:t>
      </w:r>
      <w:r w:rsidR="00002DE7" w:rsidRPr="00C73908">
        <w:rPr>
          <w:rFonts w:ascii="Times New Roman" w:hAnsi="Times New Roman" w:cs="Times New Roman"/>
          <w:lang w:val="en-IE"/>
        </w:rPr>
        <w:t xml:space="preserve"> </w:t>
      </w:r>
      <w:r w:rsidR="002A42B7" w:rsidRPr="00C73908">
        <w:rPr>
          <w:rFonts w:ascii="Times New Roman" w:hAnsi="Times New Roman" w:cs="Times New Roman"/>
          <w:lang w:val="en-IE"/>
        </w:rPr>
        <w:t xml:space="preserve">and </w:t>
      </w:r>
      <w:r w:rsidR="00002DE7" w:rsidRPr="00C73908">
        <w:rPr>
          <w:rFonts w:ascii="Times New Roman" w:hAnsi="Times New Roman" w:cs="Times New Roman"/>
          <w:lang w:val="en-IE"/>
        </w:rPr>
        <w:t>customs and logistics.</w:t>
      </w:r>
    </w:p>
    <w:p w14:paraId="4B5547DA" w14:textId="5D23C2A3" w:rsidR="00D67336" w:rsidRPr="00C73908" w:rsidRDefault="002A42B7"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t xml:space="preserve">In addition, </w:t>
      </w:r>
      <w:r w:rsidR="00721AE8" w:rsidRPr="00C73908">
        <w:rPr>
          <w:rFonts w:ascii="Times New Roman" w:hAnsi="Times New Roman" w:cs="Times New Roman"/>
          <w:lang w:val="en-IE"/>
        </w:rPr>
        <w:t>developing</w:t>
      </w:r>
      <w:r w:rsidR="00A70659" w:rsidRPr="00C73908">
        <w:rPr>
          <w:rFonts w:ascii="Times New Roman" w:hAnsi="Times New Roman" w:cs="Times New Roman"/>
          <w:lang w:val="en-IE"/>
        </w:rPr>
        <w:t xml:space="preserve"> </w:t>
      </w:r>
      <w:r w:rsidR="00306194" w:rsidRPr="00C73908">
        <w:rPr>
          <w:rFonts w:ascii="Times New Roman" w:hAnsi="Times New Roman" w:cs="Times New Roman"/>
          <w:lang w:val="en-IE"/>
        </w:rPr>
        <w:t xml:space="preserve">and sustaining </w:t>
      </w:r>
      <w:r w:rsidR="00A70659" w:rsidRPr="00C73908">
        <w:rPr>
          <w:rFonts w:ascii="Times New Roman" w:hAnsi="Times New Roman" w:cs="Times New Roman"/>
          <w:lang w:val="en-IE"/>
        </w:rPr>
        <w:t>relationship</w:t>
      </w:r>
      <w:r w:rsidR="00D13204" w:rsidRPr="00C73908">
        <w:rPr>
          <w:rFonts w:ascii="Times New Roman" w:hAnsi="Times New Roman" w:cs="Times New Roman"/>
          <w:lang w:val="en-IE"/>
        </w:rPr>
        <w:t>s</w:t>
      </w:r>
      <w:r w:rsidR="00A70659" w:rsidRPr="00C73908">
        <w:rPr>
          <w:rFonts w:ascii="Times New Roman" w:hAnsi="Times New Roman" w:cs="Times New Roman"/>
          <w:lang w:val="en-IE"/>
        </w:rPr>
        <w:t xml:space="preserve"> with large multinational buyer</w:t>
      </w:r>
      <w:r w:rsidR="00FC4B83" w:rsidRPr="00C73908">
        <w:rPr>
          <w:rFonts w:ascii="Times New Roman" w:hAnsi="Times New Roman" w:cs="Times New Roman"/>
          <w:lang w:val="en-IE"/>
        </w:rPr>
        <w:t>s</w:t>
      </w:r>
      <w:r w:rsidR="00A70659" w:rsidRPr="00C73908">
        <w:rPr>
          <w:rFonts w:ascii="Times New Roman" w:hAnsi="Times New Roman" w:cs="Times New Roman"/>
          <w:lang w:val="en-IE"/>
        </w:rPr>
        <w:t xml:space="preserve"> in a particular market </w:t>
      </w:r>
      <w:r w:rsidR="00721AE8" w:rsidRPr="00C73908">
        <w:rPr>
          <w:rFonts w:ascii="Times New Roman" w:hAnsi="Times New Roman" w:cs="Times New Roman"/>
          <w:lang w:val="en-IE"/>
        </w:rPr>
        <w:t>may allow companies to</w:t>
      </w:r>
      <w:r w:rsidR="00F631D2" w:rsidRPr="00C73908">
        <w:rPr>
          <w:rFonts w:ascii="Times New Roman" w:hAnsi="Times New Roman" w:cs="Times New Roman"/>
          <w:lang w:val="en-IE"/>
        </w:rPr>
        <w:t xml:space="preserve"> expand more easily into other markets where th</w:t>
      </w:r>
      <w:r w:rsidR="00FC4B83" w:rsidRPr="00C73908">
        <w:rPr>
          <w:rFonts w:ascii="Times New Roman" w:hAnsi="Times New Roman" w:cs="Times New Roman"/>
          <w:lang w:val="en-IE"/>
        </w:rPr>
        <w:t>ose</w:t>
      </w:r>
      <w:r w:rsidR="00F631D2" w:rsidRPr="00C73908">
        <w:rPr>
          <w:rFonts w:ascii="Times New Roman" w:hAnsi="Times New Roman" w:cs="Times New Roman"/>
          <w:lang w:val="en-IE"/>
        </w:rPr>
        <w:t xml:space="preserve"> buyer</w:t>
      </w:r>
      <w:r w:rsidR="00FC4B83" w:rsidRPr="00C73908">
        <w:rPr>
          <w:rFonts w:ascii="Times New Roman" w:hAnsi="Times New Roman" w:cs="Times New Roman"/>
          <w:lang w:val="en-IE"/>
        </w:rPr>
        <w:t>s</w:t>
      </w:r>
      <w:r w:rsidR="00F631D2" w:rsidRPr="00C73908">
        <w:rPr>
          <w:rFonts w:ascii="Times New Roman" w:hAnsi="Times New Roman" w:cs="Times New Roman"/>
          <w:lang w:val="en-IE"/>
        </w:rPr>
        <w:t xml:space="preserve"> also ha</w:t>
      </w:r>
      <w:r w:rsidR="00FC4B83" w:rsidRPr="00C73908">
        <w:rPr>
          <w:rFonts w:ascii="Times New Roman" w:hAnsi="Times New Roman" w:cs="Times New Roman"/>
          <w:lang w:val="en-IE"/>
        </w:rPr>
        <w:t>ve</w:t>
      </w:r>
      <w:r w:rsidR="00F631D2" w:rsidRPr="00C73908">
        <w:rPr>
          <w:rFonts w:ascii="Times New Roman" w:hAnsi="Times New Roman" w:cs="Times New Roman"/>
          <w:lang w:val="en-IE"/>
        </w:rPr>
        <w:t xml:space="preserve"> a presence.</w:t>
      </w:r>
      <w:r w:rsidR="006C6F3C" w:rsidRPr="00C73908">
        <w:rPr>
          <w:rFonts w:ascii="Times New Roman" w:hAnsi="Times New Roman" w:cs="Times New Roman"/>
          <w:lang w:val="en-IE"/>
        </w:rPr>
        <w:t xml:space="preserve"> </w:t>
      </w:r>
      <w:r w:rsidR="00764B35" w:rsidRPr="00C73908">
        <w:rPr>
          <w:rFonts w:ascii="Times New Roman" w:hAnsi="Times New Roman" w:cs="Times New Roman"/>
          <w:lang w:val="en-IE"/>
        </w:rPr>
        <w:t xml:space="preserve">It may also allow companies to </w:t>
      </w:r>
      <w:r w:rsidR="00E15B54" w:rsidRPr="00C73908">
        <w:rPr>
          <w:rFonts w:ascii="Times New Roman" w:hAnsi="Times New Roman" w:cs="Times New Roman"/>
          <w:lang w:val="en-IE"/>
        </w:rPr>
        <w:t xml:space="preserve">build brand recognition in key markets which facilitates further expansion. </w:t>
      </w:r>
      <w:r w:rsidR="006C6F3C" w:rsidRPr="00C73908">
        <w:rPr>
          <w:rFonts w:ascii="Times New Roman" w:hAnsi="Times New Roman" w:cs="Times New Roman"/>
          <w:lang w:val="en-IE"/>
        </w:rPr>
        <w:t xml:space="preserve">The effect of </w:t>
      </w:r>
      <w:r w:rsidR="00C2513F" w:rsidRPr="00C73908">
        <w:rPr>
          <w:rFonts w:ascii="Times New Roman" w:hAnsi="Times New Roman" w:cs="Times New Roman"/>
          <w:lang w:val="en-IE"/>
        </w:rPr>
        <w:t xml:space="preserve">company size on diversification levels is </w:t>
      </w:r>
      <w:r w:rsidR="009E23EB" w:rsidRPr="00C73908">
        <w:rPr>
          <w:rFonts w:ascii="Times New Roman" w:hAnsi="Times New Roman" w:cs="Times New Roman"/>
          <w:lang w:val="en-IE"/>
        </w:rPr>
        <w:t xml:space="preserve">slightly </w:t>
      </w:r>
      <w:r w:rsidR="00C2513F" w:rsidRPr="00C73908">
        <w:rPr>
          <w:rFonts w:ascii="Times New Roman" w:hAnsi="Times New Roman" w:cs="Times New Roman"/>
          <w:lang w:val="en-IE"/>
        </w:rPr>
        <w:t xml:space="preserve">larger </w:t>
      </w:r>
      <w:r w:rsidR="002155A5" w:rsidRPr="00C73908">
        <w:rPr>
          <w:rFonts w:ascii="Times New Roman" w:hAnsi="Times New Roman" w:cs="Times New Roman"/>
          <w:lang w:val="en-IE"/>
        </w:rPr>
        <w:t>among</w:t>
      </w:r>
      <w:r w:rsidR="00C2513F" w:rsidRPr="00C73908">
        <w:rPr>
          <w:rFonts w:ascii="Times New Roman" w:hAnsi="Times New Roman" w:cs="Times New Roman"/>
          <w:lang w:val="en-IE"/>
        </w:rPr>
        <w:t xml:space="preserve"> manufactur</w:t>
      </w:r>
      <w:r w:rsidR="002155A5" w:rsidRPr="00C73908">
        <w:rPr>
          <w:rFonts w:ascii="Times New Roman" w:hAnsi="Times New Roman" w:cs="Times New Roman"/>
          <w:lang w:val="en-IE"/>
        </w:rPr>
        <w:t xml:space="preserve">ers which reflects the </w:t>
      </w:r>
      <w:r w:rsidR="009E23EB" w:rsidRPr="00C73908">
        <w:rPr>
          <w:rFonts w:ascii="Times New Roman" w:hAnsi="Times New Roman" w:cs="Times New Roman"/>
          <w:lang w:val="en-IE"/>
        </w:rPr>
        <w:t xml:space="preserve">fact that </w:t>
      </w:r>
      <w:r w:rsidR="00C14B76" w:rsidRPr="00C73908">
        <w:rPr>
          <w:rFonts w:ascii="Times New Roman" w:hAnsi="Times New Roman" w:cs="Times New Roman"/>
          <w:lang w:val="en-IE"/>
        </w:rPr>
        <w:t>it is generally</w:t>
      </w:r>
      <w:r w:rsidR="00027FA7" w:rsidRPr="00C73908">
        <w:rPr>
          <w:rFonts w:ascii="Times New Roman" w:hAnsi="Times New Roman" w:cs="Times New Roman"/>
          <w:lang w:val="en-IE"/>
        </w:rPr>
        <w:t xml:space="preserve"> </w:t>
      </w:r>
      <w:r w:rsidR="00C14B76" w:rsidRPr="00C73908">
        <w:rPr>
          <w:rFonts w:ascii="Times New Roman" w:hAnsi="Times New Roman" w:cs="Times New Roman"/>
          <w:lang w:val="en-IE"/>
        </w:rPr>
        <w:t xml:space="preserve">less resource intensive </w:t>
      </w:r>
      <w:r w:rsidR="00223EAF" w:rsidRPr="00C73908">
        <w:rPr>
          <w:rFonts w:ascii="Times New Roman" w:hAnsi="Times New Roman" w:cs="Times New Roman"/>
          <w:lang w:val="en-IE"/>
        </w:rPr>
        <w:t xml:space="preserve">for </w:t>
      </w:r>
      <w:r w:rsidR="009E23EB" w:rsidRPr="00C73908">
        <w:rPr>
          <w:rFonts w:ascii="Times New Roman" w:hAnsi="Times New Roman" w:cs="Times New Roman"/>
          <w:lang w:val="en-IE"/>
        </w:rPr>
        <w:t xml:space="preserve">services companies </w:t>
      </w:r>
      <w:r w:rsidR="00C14B76" w:rsidRPr="00C73908">
        <w:rPr>
          <w:rFonts w:ascii="Times New Roman" w:hAnsi="Times New Roman" w:cs="Times New Roman"/>
          <w:lang w:val="en-IE"/>
        </w:rPr>
        <w:t xml:space="preserve">to </w:t>
      </w:r>
      <w:r w:rsidR="00B07FE5" w:rsidRPr="00C73908">
        <w:rPr>
          <w:rFonts w:ascii="Times New Roman" w:hAnsi="Times New Roman" w:cs="Times New Roman"/>
          <w:lang w:val="en-IE"/>
        </w:rPr>
        <w:t>sell</w:t>
      </w:r>
      <w:r w:rsidR="00C14B76" w:rsidRPr="00C73908">
        <w:rPr>
          <w:rFonts w:ascii="Times New Roman" w:hAnsi="Times New Roman" w:cs="Times New Roman"/>
          <w:lang w:val="en-IE"/>
        </w:rPr>
        <w:t xml:space="preserve"> into multiple markets </w:t>
      </w:r>
      <w:r w:rsidR="00223EAF" w:rsidRPr="00C73908">
        <w:rPr>
          <w:rFonts w:ascii="Times New Roman" w:hAnsi="Times New Roman" w:cs="Times New Roman"/>
          <w:lang w:val="en-IE"/>
        </w:rPr>
        <w:t>as they are</w:t>
      </w:r>
      <w:r w:rsidR="00C14B76" w:rsidRPr="00C73908">
        <w:rPr>
          <w:rFonts w:ascii="Times New Roman" w:hAnsi="Times New Roman" w:cs="Times New Roman"/>
          <w:lang w:val="en-IE"/>
        </w:rPr>
        <w:t xml:space="preserve"> </w:t>
      </w:r>
      <w:r w:rsidR="009E23EB" w:rsidRPr="00C73908">
        <w:rPr>
          <w:rFonts w:ascii="Times New Roman" w:hAnsi="Times New Roman" w:cs="Times New Roman"/>
          <w:lang w:val="en-IE"/>
        </w:rPr>
        <w:t xml:space="preserve">faced with </w:t>
      </w:r>
      <w:r w:rsidR="00223EAF" w:rsidRPr="00C73908">
        <w:rPr>
          <w:rFonts w:ascii="Times New Roman" w:hAnsi="Times New Roman" w:cs="Times New Roman"/>
          <w:lang w:val="en-IE"/>
        </w:rPr>
        <w:t>relatively lower</w:t>
      </w:r>
      <w:r w:rsidR="009E23EB" w:rsidRPr="00C73908">
        <w:rPr>
          <w:rFonts w:ascii="Times New Roman" w:hAnsi="Times New Roman" w:cs="Times New Roman"/>
          <w:lang w:val="en-IE"/>
        </w:rPr>
        <w:t xml:space="preserve"> trade barriers</w:t>
      </w:r>
      <w:r w:rsidR="006F503D" w:rsidRPr="00C73908">
        <w:rPr>
          <w:rFonts w:ascii="Times New Roman" w:hAnsi="Times New Roman" w:cs="Times New Roman"/>
          <w:lang w:val="en-IE"/>
        </w:rPr>
        <w:t>, particularly around</w:t>
      </w:r>
      <w:r w:rsidR="009E23EB" w:rsidRPr="00C73908">
        <w:rPr>
          <w:rFonts w:ascii="Times New Roman" w:hAnsi="Times New Roman" w:cs="Times New Roman"/>
          <w:lang w:val="en-IE"/>
        </w:rPr>
        <w:t xml:space="preserve"> </w:t>
      </w:r>
      <w:r w:rsidR="006F503D" w:rsidRPr="00C73908">
        <w:rPr>
          <w:rFonts w:ascii="Times New Roman" w:hAnsi="Times New Roman" w:cs="Times New Roman"/>
          <w:lang w:val="en-IE"/>
        </w:rPr>
        <w:t>logistics and tariffs</w:t>
      </w:r>
      <w:r w:rsidR="00592826" w:rsidRPr="00C73908">
        <w:rPr>
          <w:rFonts w:ascii="Times New Roman" w:hAnsi="Times New Roman" w:cs="Times New Roman"/>
          <w:lang w:val="en-IE"/>
        </w:rPr>
        <w:t>.</w:t>
      </w:r>
      <w:r w:rsidR="007466C7" w:rsidRPr="00C73908">
        <w:rPr>
          <w:rFonts w:ascii="Times New Roman" w:hAnsi="Times New Roman" w:cs="Times New Roman"/>
          <w:lang w:val="en-IE"/>
        </w:rPr>
        <w:t xml:space="preserve"> </w:t>
      </w:r>
      <w:r w:rsidR="00772B54" w:rsidRPr="00C73908">
        <w:rPr>
          <w:rFonts w:ascii="Times New Roman" w:hAnsi="Times New Roman" w:cs="Times New Roman"/>
          <w:lang w:val="en-IE"/>
        </w:rPr>
        <w:t xml:space="preserve">Beyond company size, productivity </w:t>
      </w:r>
      <w:r w:rsidR="0001772A" w:rsidRPr="00C73908">
        <w:rPr>
          <w:rFonts w:ascii="Times New Roman" w:hAnsi="Times New Roman" w:cs="Times New Roman"/>
          <w:lang w:val="en-IE"/>
        </w:rPr>
        <w:t xml:space="preserve">levels </w:t>
      </w:r>
      <w:r w:rsidR="00772B54" w:rsidRPr="00C73908">
        <w:rPr>
          <w:rFonts w:ascii="Times New Roman" w:hAnsi="Times New Roman" w:cs="Times New Roman"/>
          <w:lang w:val="en-IE"/>
        </w:rPr>
        <w:t xml:space="preserve">are found to have little </w:t>
      </w:r>
      <w:r w:rsidR="00820236">
        <w:rPr>
          <w:rFonts w:ascii="Times New Roman" w:hAnsi="Times New Roman" w:cs="Times New Roman"/>
          <w:lang w:val="en-IE"/>
        </w:rPr>
        <w:t>effect</w:t>
      </w:r>
      <w:r w:rsidR="00772B54" w:rsidRPr="00C73908">
        <w:rPr>
          <w:rFonts w:ascii="Times New Roman" w:hAnsi="Times New Roman" w:cs="Times New Roman"/>
          <w:lang w:val="en-IE"/>
        </w:rPr>
        <w:t xml:space="preserve"> on </w:t>
      </w:r>
      <w:r w:rsidR="00D2367E" w:rsidRPr="00C73908">
        <w:rPr>
          <w:rFonts w:ascii="Times New Roman" w:hAnsi="Times New Roman" w:cs="Times New Roman"/>
          <w:lang w:val="en-IE"/>
        </w:rPr>
        <w:t xml:space="preserve">the number of markets which a company </w:t>
      </w:r>
      <w:r w:rsidR="00D64884" w:rsidRPr="00C73908">
        <w:rPr>
          <w:rFonts w:ascii="Times New Roman" w:hAnsi="Times New Roman" w:cs="Times New Roman"/>
          <w:lang w:val="en-IE"/>
        </w:rPr>
        <w:t>sell</w:t>
      </w:r>
      <w:r w:rsidR="00D2367E" w:rsidRPr="00C73908">
        <w:rPr>
          <w:rFonts w:ascii="Times New Roman" w:hAnsi="Times New Roman" w:cs="Times New Roman"/>
          <w:lang w:val="en-IE"/>
        </w:rPr>
        <w:t>s to</w:t>
      </w:r>
      <w:r w:rsidR="00FE536A" w:rsidRPr="00C73908">
        <w:rPr>
          <w:rFonts w:ascii="Times New Roman" w:hAnsi="Times New Roman" w:cs="Times New Roman"/>
          <w:lang w:val="en-IE"/>
        </w:rPr>
        <w:t>.</w:t>
      </w:r>
      <w:r w:rsidR="009F0428" w:rsidRPr="00C73908">
        <w:rPr>
          <w:rFonts w:ascii="Times New Roman" w:hAnsi="Times New Roman" w:cs="Times New Roman"/>
          <w:lang w:val="en-IE"/>
        </w:rPr>
        <w:t xml:space="preserve"> </w:t>
      </w:r>
      <w:r w:rsidR="007276B7" w:rsidRPr="00C73908">
        <w:rPr>
          <w:rFonts w:ascii="Times New Roman" w:hAnsi="Times New Roman" w:cs="Times New Roman"/>
          <w:lang w:val="en-IE"/>
        </w:rPr>
        <w:t xml:space="preserve">Value added per employee has a small negative </w:t>
      </w:r>
      <w:r w:rsidR="00530318" w:rsidRPr="00C73908">
        <w:rPr>
          <w:rFonts w:ascii="Times New Roman" w:hAnsi="Times New Roman" w:cs="Times New Roman"/>
          <w:lang w:val="en-IE"/>
        </w:rPr>
        <w:t>impact on</w:t>
      </w:r>
      <w:r w:rsidR="002B31DD" w:rsidRPr="00C73908">
        <w:rPr>
          <w:rFonts w:ascii="Times New Roman" w:hAnsi="Times New Roman" w:cs="Times New Roman"/>
          <w:lang w:val="en-IE"/>
        </w:rPr>
        <w:t xml:space="preserve"> diversification levels</w:t>
      </w:r>
      <w:r w:rsidR="00214CD0" w:rsidRPr="00C73908">
        <w:rPr>
          <w:rFonts w:ascii="Times New Roman" w:hAnsi="Times New Roman" w:cs="Times New Roman"/>
          <w:lang w:val="en-IE"/>
        </w:rPr>
        <w:t xml:space="preserve"> </w:t>
      </w:r>
      <w:r w:rsidR="005774F7" w:rsidRPr="00C73908">
        <w:rPr>
          <w:rFonts w:ascii="Times New Roman" w:hAnsi="Times New Roman" w:cs="Times New Roman"/>
          <w:lang w:val="en-IE"/>
        </w:rPr>
        <w:t>in t</w:t>
      </w:r>
      <w:r w:rsidR="00E12D2E" w:rsidRPr="00C73908">
        <w:rPr>
          <w:rFonts w:ascii="Times New Roman" w:hAnsi="Times New Roman" w:cs="Times New Roman"/>
          <w:lang w:val="en-IE"/>
        </w:rPr>
        <w:t xml:space="preserve">he system GMM </w:t>
      </w:r>
      <w:r w:rsidR="00C23DAB" w:rsidRPr="00C73908">
        <w:rPr>
          <w:rFonts w:ascii="Times New Roman" w:hAnsi="Times New Roman" w:cs="Times New Roman"/>
          <w:lang w:val="en-IE"/>
        </w:rPr>
        <w:t>model,</w:t>
      </w:r>
      <w:r w:rsidR="00E12D2E" w:rsidRPr="00C73908">
        <w:rPr>
          <w:rFonts w:ascii="Times New Roman" w:hAnsi="Times New Roman" w:cs="Times New Roman"/>
          <w:lang w:val="en-IE"/>
        </w:rPr>
        <w:t xml:space="preserve"> </w:t>
      </w:r>
      <w:r w:rsidR="005774F7" w:rsidRPr="00C73908">
        <w:rPr>
          <w:rFonts w:ascii="Times New Roman" w:hAnsi="Times New Roman" w:cs="Times New Roman"/>
          <w:lang w:val="en-IE"/>
        </w:rPr>
        <w:t xml:space="preserve">but this is only significant at the 10% confidence interval and </w:t>
      </w:r>
      <w:r w:rsidR="00C23DAB" w:rsidRPr="00C73908">
        <w:rPr>
          <w:rFonts w:ascii="Times New Roman" w:hAnsi="Times New Roman" w:cs="Times New Roman"/>
          <w:lang w:val="en-IE"/>
        </w:rPr>
        <w:t xml:space="preserve">the effect </w:t>
      </w:r>
      <w:r w:rsidR="005774F7" w:rsidRPr="00C73908">
        <w:rPr>
          <w:rFonts w:ascii="Times New Roman" w:hAnsi="Times New Roman" w:cs="Times New Roman"/>
          <w:lang w:val="en-IE"/>
        </w:rPr>
        <w:t xml:space="preserve">is not observed at the sectoral </w:t>
      </w:r>
      <w:r w:rsidR="00C23DAB" w:rsidRPr="00C73908">
        <w:rPr>
          <w:rFonts w:ascii="Times New Roman" w:hAnsi="Times New Roman" w:cs="Times New Roman"/>
          <w:lang w:val="en-IE"/>
        </w:rPr>
        <w:t>level</w:t>
      </w:r>
      <w:r w:rsidR="00DB1048" w:rsidRPr="00C73908">
        <w:rPr>
          <w:rFonts w:ascii="Times New Roman" w:hAnsi="Times New Roman" w:cs="Times New Roman"/>
          <w:lang w:val="en-IE"/>
        </w:rPr>
        <w:t>.</w:t>
      </w:r>
      <w:r w:rsidR="00240B2D" w:rsidRPr="00C73908">
        <w:rPr>
          <w:rFonts w:ascii="Times New Roman" w:hAnsi="Times New Roman" w:cs="Times New Roman"/>
          <w:lang w:val="en-IE"/>
        </w:rPr>
        <w:t xml:space="preserve"> Similarly, </w:t>
      </w:r>
      <w:r w:rsidR="00736AA7" w:rsidRPr="00C73908">
        <w:rPr>
          <w:rFonts w:ascii="Times New Roman" w:hAnsi="Times New Roman" w:cs="Times New Roman"/>
          <w:lang w:val="en-IE"/>
        </w:rPr>
        <w:t>funding for capital investment</w:t>
      </w:r>
      <w:r w:rsidR="00552D18" w:rsidRPr="00C73908">
        <w:rPr>
          <w:rFonts w:ascii="Times New Roman" w:hAnsi="Times New Roman" w:cs="Times New Roman"/>
          <w:lang w:val="en-IE"/>
        </w:rPr>
        <w:t xml:space="preserve"> or LEAN projects aimed at improving efficiency </w:t>
      </w:r>
      <w:r w:rsidR="00FD41CD">
        <w:rPr>
          <w:rFonts w:ascii="Times New Roman" w:hAnsi="Times New Roman" w:cs="Times New Roman"/>
          <w:lang w:val="en-IE"/>
        </w:rPr>
        <w:t>are not found to</w:t>
      </w:r>
      <w:r w:rsidR="000D6EE3" w:rsidRPr="00C73908">
        <w:rPr>
          <w:rFonts w:ascii="Times New Roman" w:hAnsi="Times New Roman" w:cs="Times New Roman"/>
          <w:lang w:val="en-IE"/>
        </w:rPr>
        <w:t xml:space="preserve"> have a significant effect on </w:t>
      </w:r>
      <w:r w:rsidR="007C3701" w:rsidRPr="00C73908">
        <w:rPr>
          <w:rFonts w:ascii="Times New Roman" w:hAnsi="Times New Roman" w:cs="Times New Roman"/>
          <w:lang w:val="en-IE"/>
        </w:rPr>
        <w:t>exports at the extensive margin.</w:t>
      </w:r>
    </w:p>
    <w:p w14:paraId="227DE19E" w14:textId="77777777" w:rsidR="004278EE" w:rsidRDefault="003B4A2C" w:rsidP="008A6DF2">
      <w:pPr>
        <w:spacing w:after="240" w:line="360" w:lineRule="auto"/>
        <w:jc w:val="both"/>
        <w:rPr>
          <w:rFonts w:ascii="Times New Roman" w:hAnsi="Times New Roman" w:cs="Times New Roman"/>
          <w:lang w:val="en-IE"/>
        </w:rPr>
      </w:pPr>
      <w:r w:rsidRPr="003B4A2C">
        <w:rPr>
          <w:rFonts w:ascii="Times New Roman" w:hAnsi="Times New Roman" w:cs="Times New Roman"/>
          <w:b/>
          <w:bCs/>
          <w:color w:val="0070C0"/>
          <w:lang w:val="en-IE"/>
        </w:rPr>
        <w:t xml:space="preserve">Innovation: </w:t>
      </w:r>
      <w:r w:rsidR="00EE6D68" w:rsidRPr="00C73908">
        <w:rPr>
          <w:rFonts w:ascii="Times New Roman" w:hAnsi="Times New Roman" w:cs="Times New Roman"/>
          <w:lang w:val="en-IE"/>
        </w:rPr>
        <w:t xml:space="preserve">The effects of </w:t>
      </w:r>
      <w:r w:rsidR="00CB1E6F" w:rsidRPr="00C73908">
        <w:rPr>
          <w:rFonts w:ascii="Times New Roman" w:hAnsi="Times New Roman" w:cs="Times New Roman"/>
          <w:lang w:val="en-IE"/>
        </w:rPr>
        <w:t xml:space="preserve">R&amp;D expenditure </w:t>
      </w:r>
      <w:r w:rsidR="00EE6D68" w:rsidRPr="00C73908">
        <w:rPr>
          <w:rFonts w:ascii="Times New Roman" w:hAnsi="Times New Roman" w:cs="Times New Roman"/>
          <w:lang w:val="en-IE"/>
        </w:rPr>
        <w:t xml:space="preserve">on </w:t>
      </w:r>
      <w:r w:rsidR="009607F0" w:rsidRPr="00C73908">
        <w:rPr>
          <w:rFonts w:ascii="Times New Roman" w:hAnsi="Times New Roman" w:cs="Times New Roman"/>
          <w:lang w:val="en-IE"/>
        </w:rPr>
        <w:t>the extensive margin of exports</w:t>
      </w:r>
      <w:r w:rsidR="00EE6D68" w:rsidRPr="00C73908">
        <w:rPr>
          <w:rFonts w:ascii="Times New Roman" w:hAnsi="Times New Roman" w:cs="Times New Roman"/>
          <w:lang w:val="en-IE"/>
        </w:rPr>
        <w:t xml:space="preserve"> </w:t>
      </w:r>
      <w:r w:rsidR="009607F0" w:rsidRPr="00C73908">
        <w:rPr>
          <w:rFonts w:ascii="Times New Roman" w:hAnsi="Times New Roman" w:cs="Times New Roman"/>
          <w:lang w:val="en-IE"/>
        </w:rPr>
        <w:t xml:space="preserve">are somewhat mixed. The fixed effects model identifies a </w:t>
      </w:r>
      <w:r w:rsidR="00D2574F" w:rsidRPr="00C73908">
        <w:rPr>
          <w:rFonts w:ascii="Times New Roman" w:hAnsi="Times New Roman" w:cs="Times New Roman"/>
          <w:lang w:val="en-IE"/>
        </w:rPr>
        <w:t>positive relationship</w:t>
      </w:r>
      <w:r w:rsidR="00EB60ED" w:rsidRPr="00C73908">
        <w:rPr>
          <w:rFonts w:ascii="Times New Roman" w:hAnsi="Times New Roman" w:cs="Times New Roman"/>
          <w:lang w:val="en-IE"/>
        </w:rPr>
        <w:t xml:space="preserve"> which is statistically significant in both sectors at the 5% confidence level. However, this effect is not observed </w:t>
      </w:r>
      <w:r w:rsidR="006240B2" w:rsidRPr="00C73908">
        <w:rPr>
          <w:rFonts w:ascii="Times New Roman" w:hAnsi="Times New Roman" w:cs="Times New Roman"/>
          <w:lang w:val="en-IE"/>
        </w:rPr>
        <w:t>in the system GMM model whe</w:t>
      </w:r>
      <w:r w:rsidR="0075324B" w:rsidRPr="00C73908">
        <w:rPr>
          <w:rFonts w:ascii="Times New Roman" w:hAnsi="Times New Roman" w:cs="Times New Roman"/>
          <w:lang w:val="en-IE"/>
        </w:rPr>
        <w:t xml:space="preserve">re lagged values of the variables are taken into account. </w:t>
      </w:r>
      <w:r w:rsidR="00EF577A" w:rsidRPr="00C73908">
        <w:rPr>
          <w:rFonts w:ascii="Times New Roman" w:hAnsi="Times New Roman" w:cs="Times New Roman"/>
          <w:lang w:val="en-IE"/>
        </w:rPr>
        <w:t xml:space="preserve">A potential cause of this </w:t>
      </w:r>
      <w:r w:rsidR="00CE246B" w:rsidRPr="00C73908">
        <w:rPr>
          <w:rFonts w:ascii="Times New Roman" w:hAnsi="Times New Roman" w:cs="Times New Roman"/>
          <w:lang w:val="en-IE"/>
        </w:rPr>
        <w:t xml:space="preserve">difference between the two models </w:t>
      </w:r>
      <w:r w:rsidR="00EF577A" w:rsidRPr="00C73908">
        <w:rPr>
          <w:rFonts w:ascii="Times New Roman" w:hAnsi="Times New Roman" w:cs="Times New Roman"/>
          <w:lang w:val="en-IE"/>
        </w:rPr>
        <w:t>is</w:t>
      </w:r>
      <w:r w:rsidR="0075324B" w:rsidRPr="00C73908">
        <w:rPr>
          <w:rFonts w:ascii="Times New Roman" w:hAnsi="Times New Roman" w:cs="Times New Roman"/>
          <w:lang w:val="en-IE"/>
        </w:rPr>
        <w:t xml:space="preserve"> that</w:t>
      </w:r>
      <w:r w:rsidR="007F096F" w:rsidRPr="00C73908">
        <w:rPr>
          <w:rFonts w:ascii="Times New Roman" w:hAnsi="Times New Roman" w:cs="Times New Roman"/>
          <w:lang w:val="en-IE"/>
        </w:rPr>
        <w:t>,</w:t>
      </w:r>
      <w:r w:rsidR="0075324B" w:rsidRPr="00C73908">
        <w:rPr>
          <w:rFonts w:ascii="Times New Roman" w:hAnsi="Times New Roman" w:cs="Times New Roman"/>
          <w:lang w:val="en-IE"/>
        </w:rPr>
        <w:t xml:space="preserve"> </w:t>
      </w:r>
      <w:r w:rsidR="003964F0" w:rsidRPr="00C73908">
        <w:rPr>
          <w:rFonts w:ascii="Times New Roman" w:hAnsi="Times New Roman" w:cs="Times New Roman"/>
          <w:lang w:val="en-IE"/>
        </w:rPr>
        <w:t xml:space="preserve">while </w:t>
      </w:r>
      <w:r w:rsidR="00644374" w:rsidRPr="00C73908">
        <w:rPr>
          <w:rFonts w:ascii="Times New Roman" w:hAnsi="Times New Roman" w:cs="Times New Roman"/>
          <w:lang w:val="en-IE"/>
        </w:rPr>
        <w:t>R&amp;D expenditure is positively linked with export diversification</w:t>
      </w:r>
      <w:r w:rsidR="007F096F" w:rsidRPr="00C73908">
        <w:rPr>
          <w:rFonts w:ascii="Times New Roman" w:hAnsi="Times New Roman" w:cs="Times New Roman"/>
          <w:lang w:val="en-IE"/>
        </w:rPr>
        <w:t>,</w:t>
      </w:r>
      <w:r w:rsidR="00644374" w:rsidRPr="00C73908">
        <w:rPr>
          <w:rFonts w:ascii="Times New Roman" w:hAnsi="Times New Roman" w:cs="Times New Roman"/>
          <w:lang w:val="en-IE"/>
        </w:rPr>
        <w:t xml:space="preserve"> the relationship may not be causal</w:t>
      </w:r>
      <w:r w:rsidR="00092478" w:rsidRPr="00C73908">
        <w:rPr>
          <w:rFonts w:ascii="Times New Roman" w:hAnsi="Times New Roman" w:cs="Times New Roman"/>
          <w:lang w:val="en-IE"/>
        </w:rPr>
        <w:t>.</w:t>
      </w:r>
      <w:r w:rsidR="00D64A71" w:rsidRPr="00C73908">
        <w:rPr>
          <w:rFonts w:ascii="Times New Roman" w:hAnsi="Times New Roman" w:cs="Times New Roman"/>
          <w:lang w:val="en-IE"/>
        </w:rPr>
        <w:t xml:space="preserve"> </w:t>
      </w:r>
      <w:r w:rsidR="00580600" w:rsidRPr="00C73908">
        <w:rPr>
          <w:rFonts w:ascii="Times New Roman" w:hAnsi="Times New Roman" w:cs="Times New Roman"/>
          <w:lang w:val="en-IE"/>
        </w:rPr>
        <w:t>New product development, on the other hand</w:t>
      </w:r>
      <w:r w:rsidR="00C54CCA" w:rsidRPr="00C73908">
        <w:rPr>
          <w:rFonts w:ascii="Times New Roman" w:hAnsi="Times New Roman" w:cs="Times New Roman"/>
          <w:lang w:val="en-IE"/>
        </w:rPr>
        <w:t xml:space="preserve">, </w:t>
      </w:r>
      <w:bookmarkStart w:id="36" w:name="_Hlk68532695"/>
      <w:r w:rsidR="00C54CCA" w:rsidRPr="00C73908">
        <w:rPr>
          <w:rFonts w:ascii="Times New Roman" w:hAnsi="Times New Roman" w:cs="Times New Roman"/>
          <w:lang w:val="en-IE"/>
        </w:rPr>
        <w:t xml:space="preserve">is found to have a positive effect on </w:t>
      </w:r>
      <w:r w:rsidR="002F2FD4" w:rsidRPr="00C73908">
        <w:rPr>
          <w:rFonts w:ascii="Times New Roman" w:hAnsi="Times New Roman" w:cs="Times New Roman"/>
          <w:lang w:val="en-IE"/>
        </w:rPr>
        <w:t>the level of export diversification among manufacturers</w:t>
      </w:r>
      <w:bookmarkEnd w:id="36"/>
      <w:r w:rsidR="00DD4A78" w:rsidRPr="00C73908">
        <w:rPr>
          <w:rFonts w:ascii="Times New Roman" w:hAnsi="Times New Roman" w:cs="Times New Roman"/>
          <w:lang w:val="en-IE"/>
        </w:rPr>
        <w:t xml:space="preserve">, significant at the </w:t>
      </w:r>
      <w:r w:rsidR="006A7872" w:rsidRPr="00C73908">
        <w:rPr>
          <w:rFonts w:ascii="Times New Roman" w:hAnsi="Times New Roman" w:cs="Times New Roman"/>
          <w:lang w:val="en-IE"/>
        </w:rPr>
        <w:t>1</w:t>
      </w:r>
      <w:r w:rsidR="00DD4A78" w:rsidRPr="00C73908">
        <w:rPr>
          <w:rFonts w:ascii="Times New Roman" w:hAnsi="Times New Roman" w:cs="Times New Roman"/>
          <w:lang w:val="en-IE"/>
        </w:rPr>
        <w:t>% level</w:t>
      </w:r>
      <w:r w:rsidR="006A7872" w:rsidRPr="00C73908">
        <w:rPr>
          <w:rFonts w:ascii="Times New Roman" w:hAnsi="Times New Roman" w:cs="Times New Roman"/>
          <w:lang w:val="en-IE"/>
        </w:rPr>
        <w:t xml:space="preserve"> in both models</w:t>
      </w:r>
      <w:r w:rsidR="00DD4A78" w:rsidRPr="00C73908">
        <w:rPr>
          <w:rFonts w:ascii="Times New Roman" w:hAnsi="Times New Roman" w:cs="Times New Roman"/>
          <w:lang w:val="en-IE"/>
        </w:rPr>
        <w:t>.</w:t>
      </w:r>
      <w:r w:rsidR="00CB00E5" w:rsidRPr="00C73908">
        <w:rPr>
          <w:rFonts w:ascii="Times New Roman" w:hAnsi="Times New Roman" w:cs="Times New Roman"/>
          <w:lang w:val="en-IE"/>
        </w:rPr>
        <w:t xml:space="preserve"> This indicates that</w:t>
      </w:r>
      <w:r w:rsidR="00D47957" w:rsidRPr="00C73908">
        <w:rPr>
          <w:rFonts w:ascii="Times New Roman" w:hAnsi="Times New Roman" w:cs="Times New Roman"/>
          <w:lang w:val="en-IE"/>
        </w:rPr>
        <w:t>,</w:t>
      </w:r>
      <w:r w:rsidR="00CB00E5" w:rsidRPr="00C73908">
        <w:rPr>
          <w:rFonts w:ascii="Times New Roman" w:hAnsi="Times New Roman" w:cs="Times New Roman"/>
          <w:lang w:val="en-IE"/>
        </w:rPr>
        <w:t xml:space="preserve"> </w:t>
      </w:r>
      <w:r w:rsidR="00466BB9" w:rsidRPr="00C73908">
        <w:rPr>
          <w:rFonts w:ascii="Times New Roman" w:hAnsi="Times New Roman" w:cs="Times New Roman"/>
          <w:lang w:val="en-IE"/>
        </w:rPr>
        <w:t xml:space="preserve">for </w:t>
      </w:r>
      <w:r w:rsidR="00271013" w:rsidRPr="00C73908">
        <w:rPr>
          <w:rFonts w:ascii="Times New Roman" w:hAnsi="Times New Roman" w:cs="Times New Roman"/>
          <w:lang w:val="en-IE"/>
        </w:rPr>
        <w:t>manufacturer</w:t>
      </w:r>
      <w:r w:rsidR="00FB0C81" w:rsidRPr="00C73908">
        <w:rPr>
          <w:rFonts w:ascii="Times New Roman" w:hAnsi="Times New Roman" w:cs="Times New Roman"/>
          <w:lang w:val="en-IE"/>
        </w:rPr>
        <w:t>s</w:t>
      </w:r>
      <w:r w:rsidR="00D47957" w:rsidRPr="00C73908">
        <w:rPr>
          <w:rFonts w:ascii="Times New Roman" w:hAnsi="Times New Roman" w:cs="Times New Roman"/>
          <w:lang w:val="en-IE"/>
        </w:rPr>
        <w:t>, the</w:t>
      </w:r>
      <w:r w:rsidR="00CB00E5" w:rsidRPr="00C73908">
        <w:rPr>
          <w:rFonts w:ascii="Times New Roman" w:hAnsi="Times New Roman" w:cs="Times New Roman"/>
          <w:lang w:val="en-IE"/>
        </w:rPr>
        <w:t xml:space="preserve"> ability to develo</w:t>
      </w:r>
      <w:r w:rsidR="00AB1D52" w:rsidRPr="00C73908">
        <w:rPr>
          <w:rFonts w:ascii="Times New Roman" w:hAnsi="Times New Roman" w:cs="Times New Roman"/>
          <w:lang w:val="en-IE"/>
        </w:rPr>
        <w:t>p differentiated, high quality products is</w:t>
      </w:r>
      <w:r w:rsidR="00306ABB" w:rsidRPr="00C73908">
        <w:rPr>
          <w:rFonts w:ascii="Times New Roman" w:hAnsi="Times New Roman" w:cs="Times New Roman"/>
          <w:lang w:val="en-IE"/>
        </w:rPr>
        <w:t xml:space="preserve"> an important</w:t>
      </w:r>
      <w:r w:rsidR="00866043" w:rsidRPr="00C73908">
        <w:rPr>
          <w:rFonts w:ascii="Times New Roman" w:hAnsi="Times New Roman" w:cs="Times New Roman"/>
          <w:lang w:val="en-IE"/>
        </w:rPr>
        <w:t xml:space="preserve"> </w:t>
      </w:r>
      <w:r w:rsidR="00306ABB" w:rsidRPr="00C73908">
        <w:rPr>
          <w:rFonts w:ascii="Times New Roman" w:hAnsi="Times New Roman" w:cs="Times New Roman"/>
          <w:lang w:val="en-IE"/>
        </w:rPr>
        <w:t xml:space="preserve">factor </w:t>
      </w:r>
      <w:r w:rsidR="00271013" w:rsidRPr="00C73908">
        <w:rPr>
          <w:rFonts w:ascii="Times New Roman" w:hAnsi="Times New Roman" w:cs="Times New Roman"/>
          <w:lang w:val="en-IE"/>
        </w:rPr>
        <w:t>when entering</w:t>
      </w:r>
      <w:r w:rsidR="00697F5E" w:rsidRPr="00C73908">
        <w:rPr>
          <w:rFonts w:ascii="Times New Roman" w:hAnsi="Times New Roman" w:cs="Times New Roman"/>
          <w:lang w:val="en-IE"/>
        </w:rPr>
        <w:t xml:space="preserve"> into</w:t>
      </w:r>
      <w:r w:rsidR="00866043" w:rsidRPr="00C73908">
        <w:rPr>
          <w:rFonts w:ascii="Times New Roman" w:hAnsi="Times New Roman" w:cs="Times New Roman"/>
          <w:lang w:val="en-IE"/>
        </w:rPr>
        <w:t xml:space="preserve"> new markets.</w:t>
      </w:r>
      <w:r w:rsidR="00F173CF" w:rsidRPr="00C73908">
        <w:rPr>
          <w:rFonts w:ascii="Times New Roman" w:hAnsi="Times New Roman" w:cs="Times New Roman"/>
          <w:lang w:val="en-IE"/>
        </w:rPr>
        <w:t xml:space="preserve"> </w:t>
      </w:r>
      <w:r w:rsidR="004615E9" w:rsidRPr="00C73908">
        <w:rPr>
          <w:rFonts w:ascii="Times New Roman" w:hAnsi="Times New Roman" w:cs="Times New Roman"/>
          <w:lang w:val="en-IE"/>
        </w:rPr>
        <w:t>The results are in line</w:t>
      </w:r>
      <w:r w:rsidR="00F173CF" w:rsidRPr="00C73908">
        <w:rPr>
          <w:rFonts w:ascii="Times New Roman" w:hAnsi="Times New Roman" w:cs="Times New Roman"/>
          <w:lang w:val="en-IE"/>
        </w:rPr>
        <w:t xml:space="preserve"> with the findings of Lawless et al. (2017) on the importance of continually adjusting product portfolios </w:t>
      </w:r>
      <w:r w:rsidR="00976E21" w:rsidRPr="00C73908">
        <w:rPr>
          <w:rFonts w:ascii="Times New Roman" w:hAnsi="Times New Roman" w:cs="Times New Roman"/>
          <w:lang w:val="en-IE"/>
        </w:rPr>
        <w:t>for indigenous manufacturers to</w:t>
      </w:r>
      <w:r w:rsidR="00F173CF" w:rsidRPr="00C73908">
        <w:rPr>
          <w:rFonts w:ascii="Times New Roman" w:hAnsi="Times New Roman" w:cs="Times New Roman"/>
          <w:lang w:val="en-IE"/>
        </w:rPr>
        <w:t xml:space="preserve"> su</w:t>
      </w:r>
      <w:r w:rsidR="007119B8" w:rsidRPr="00C73908">
        <w:rPr>
          <w:rFonts w:ascii="Times New Roman" w:hAnsi="Times New Roman" w:cs="Times New Roman"/>
          <w:lang w:val="en-IE"/>
        </w:rPr>
        <w:t xml:space="preserve">stain and grow </w:t>
      </w:r>
      <w:r w:rsidR="007E44DB" w:rsidRPr="00C73908">
        <w:rPr>
          <w:rFonts w:ascii="Times New Roman" w:hAnsi="Times New Roman" w:cs="Times New Roman"/>
          <w:lang w:val="en-IE"/>
        </w:rPr>
        <w:t xml:space="preserve">their </w:t>
      </w:r>
      <w:r w:rsidR="00976E21" w:rsidRPr="00C73908">
        <w:rPr>
          <w:rFonts w:ascii="Times New Roman" w:hAnsi="Times New Roman" w:cs="Times New Roman"/>
          <w:lang w:val="en-IE"/>
        </w:rPr>
        <w:t>exports</w:t>
      </w:r>
      <w:r w:rsidR="004615E9" w:rsidRPr="00C73908">
        <w:rPr>
          <w:rFonts w:ascii="Times New Roman" w:hAnsi="Times New Roman" w:cs="Times New Roman"/>
          <w:lang w:val="en-IE"/>
        </w:rPr>
        <w:t>.</w:t>
      </w:r>
      <w:r w:rsidR="00DD4A78" w:rsidRPr="00C73908">
        <w:rPr>
          <w:rFonts w:ascii="Times New Roman" w:hAnsi="Times New Roman" w:cs="Times New Roman"/>
          <w:lang w:val="en-IE"/>
        </w:rPr>
        <w:t xml:space="preserve"> </w:t>
      </w:r>
      <w:r w:rsidR="00146077" w:rsidRPr="00C73908">
        <w:rPr>
          <w:rFonts w:ascii="Times New Roman" w:hAnsi="Times New Roman" w:cs="Times New Roman"/>
          <w:lang w:val="en-IE"/>
        </w:rPr>
        <w:t>This effect is not observed among services companies which may be</w:t>
      </w:r>
      <w:r w:rsidR="00EC5187" w:rsidRPr="00C73908">
        <w:rPr>
          <w:rFonts w:ascii="Times New Roman" w:hAnsi="Times New Roman" w:cs="Times New Roman"/>
          <w:lang w:val="en-IE"/>
        </w:rPr>
        <w:t xml:space="preserve"> partly</w:t>
      </w:r>
      <w:r w:rsidR="00146077" w:rsidRPr="00C73908">
        <w:rPr>
          <w:rFonts w:ascii="Times New Roman" w:hAnsi="Times New Roman" w:cs="Times New Roman"/>
          <w:lang w:val="en-IE"/>
        </w:rPr>
        <w:t xml:space="preserve"> due to the presence of certain services sectors which are not characterised by product cycles as outlined in section 4.1.</w:t>
      </w:r>
    </w:p>
    <w:p w14:paraId="5ADE9010" w14:textId="7D27D095" w:rsidR="00FA7067" w:rsidRPr="00C73908" w:rsidRDefault="004F0CE7" w:rsidP="008A6DF2">
      <w:pPr>
        <w:spacing w:after="240" w:line="360" w:lineRule="auto"/>
        <w:jc w:val="both"/>
        <w:rPr>
          <w:rFonts w:ascii="Times New Roman" w:hAnsi="Times New Roman" w:cs="Times New Roman"/>
          <w:lang w:val="en-IE"/>
        </w:rPr>
      </w:pPr>
      <w:r w:rsidRPr="00C73908">
        <w:rPr>
          <w:rFonts w:ascii="Times New Roman" w:hAnsi="Times New Roman" w:cs="Times New Roman"/>
          <w:lang w:val="en-IE"/>
        </w:rPr>
        <w:lastRenderedPageBreak/>
        <w:t xml:space="preserve">A </w:t>
      </w:r>
      <w:r w:rsidR="00A01134" w:rsidRPr="00C73908">
        <w:rPr>
          <w:rFonts w:ascii="Times New Roman" w:hAnsi="Times New Roman" w:cs="Times New Roman"/>
          <w:lang w:val="en-IE"/>
        </w:rPr>
        <w:t xml:space="preserve">recent </w:t>
      </w:r>
      <w:r w:rsidR="002D1094" w:rsidRPr="00C73908">
        <w:rPr>
          <w:rFonts w:ascii="Times New Roman" w:hAnsi="Times New Roman" w:cs="Times New Roman"/>
          <w:lang w:val="en-IE"/>
        </w:rPr>
        <w:t>study</w:t>
      </w:r>
      <w:r w:rsidR="00A01134" w:rsidRPr="00C73908">
        <w:rPr>
          <w:rFonts w:ascii="Times New Roman" w:hAnsi="Times New Roman" w:cs="Times New Roman"/>
          <w:lang w:val="en-IE"/>
        </w:rPr>
        <w:t xml:space="preserve"> </w:t>
      </w:r>
      <w:r w:rsidR="000E302E" w:rsidRPr="00C73908">
        <w:rPr>
          <w:rFonts w:ascii="Times New Roman" w:hAnsi="Times New Roman" w:cs="Times New Roman"/>
          <w:lang w:val="en-IE"/>
        </w:rPr>
        <w:t xml:space="preserve">by Elliott et al. (2020) </w:t>
      </w:r>
      <w:r w:rsidR="00A01134" w:rsidRPr="00C73908">
        <w:rPr>
          <w:rFonts w:ascii="Times New Roman" w:hAnsi="Times New Roman" w:cs="Times New Roman"/>
          <w:lang w:val="en-IE"/>
        </w:rPr>
        <w:t xml:space="preserve">on the </w:t>
      </w:r>
      <w:r w:rsidR="002536D6" w:rsidRPr="00C73908">
        <w:rPr>
          <w:rFonts w:ascii="Times New Roman" w:hAnsi="Times New Roman" w:cs="Times New Roman"/>
          <w:lang w:val="en-IE"/>
        </w:rPr>
        <w:t xml:space="preserve">relationship between </w:t>
      </w:r>
      <w:r w:rsidR="00A01134" w:rsidRPr="00C73908">
        <w:rPr>
          <w:rFonts w:ascii="Times New Roman" w:hAnsi="Times New Roman" w:cs="Times New Roman"/>
          <w:lang w:val="en-IE"/>
        </w:rPr>
        <w:t xml:space="preserve">innovation </w:t>
      </w:r>
      <w:r w:rsidR="002536D6" w:rsidRPr="00C73908">
        <w:rPr>
          <w:rFonts w:ascii="Times New Roman" w:hAnsi="Times New Roman" w:cs="Times New Roman"/>
          <w:lang w:val="en-IE"/>
        </w:rPr>
        <w:t>and</w:t>
      </w:r>
      <w:r w:rsidR="002F3068" w:rsidRPr="00C73908">
        <w:rPr>
          <w:rFonts w:ascii="Times New Roman" w:hAnsi="Times New Roman" w:cs="Times New Roman"/>
          <w:lang w:val="en-IE"/>
        </w:rPr>
        <w:t xml:space="preserve"> </w:t>
      </w:r>
      <w:r w:rsidR="00A01134" w:rsidRPr="00C73908">
        <w:rPr>
          <w:rFonts w:ascii="Times New Roman" w:hAnsi="Times New Roman" w:cs="Times New Roman"/>
          <w:lang w:val="en-IE"/>
        </w:rPr>
        <w:t xml:space="preserve">export performance </w:t>
      </w:r>
      <w:r w:rsidR="002536D6" w:rsidRPr="00C73908">
        <w:rPr>
          <w:rFonts w:ascii="Times New Roman" w:hAnsi="Times New Roman" w:cs="Times New Roman"/>
          <w:lang w:val="en-IE"/>
        </w:rPr>
        <w:t>for</w:t>
      </w:r>
      <w:r w:rsidR="002F3068" w:rsidRPr="00C73908">
        <w:rPr>
          <w:rFonts w:ascii="Times New Roman" w:hAnsi="Times New Roman" w:cs="Times New Roman"/>
          <w:lang w:val="en-IE"/>
        </w:rPr>
        <w:t xml:space="preserve"> a large sample of French manufacturing firms</w:t>
      </w:r>
      <w:r w:rsidR="004A375F" w:rsidRPr="00C73908">
        <w:rPr>
          <w:rFonts w:ascii="Times New Roman" w:hAnsi="Times New Roman" w:cs="Times New Roman"/>
          <w:lang w:val="en-IE"/>
        </w:rPr>
        <w:t xml:space="preserve"> also</w:t>
      </w:r>
      <w:r w:rsidR="000E302E" w:rsidRPr="00C73908">
        <w:rPr>
          <w:rFonts w:ascii="Times New Roman" w:hAnsi="Times New Roman" w:cs="Times New Roman"/>
          <w:lang w:val="en-IE"/>
        </w:rPr>
        <w:t xml:space="preserve"> produces similar </w:t>
      </w:r>
      <w:r w:rsidR="00504386" w:rsidRPr="00C73908">
        <w:rPr>
          <w:rFonts w:ascii="Times New Roman" w:hAnsi="Times New Roman" w:cs="Times New Roman"/>
          <w:lang w:val="en-IE"/>
        </w:rPr>
        <w:t>findings</w:t>
      </w:r>
      <w:r w:rsidR="005C18A9" w:rsidRPr="00C73908">
        <w:rPr>
          <w:rFonts w:ascii="Times New Roman" w:hAnsi="Times New Roman" w:cs="Times New Roman"/>
          <w:lang w:val="en-IE"/>
        </w:rPr>
        <w:t>.</w:t>
      </w:r>
      <w:r w:rsidR="002D1094" w:rsidRPr="00C73908">
        <w:rPr>
          <w:rFonts w:ascii="Times New Roman" w:hAnsi="Times New Roman" w:cs="Times New Roman"/>
          <w:lang w:val="en-IE"/>
        </w:rPr>
        <w:t xml:space="preserve"> </w:t>
      </w:r>
      <w:r w:rsidR="00DE7089" w:rsidRPr="00C73908">
        <w:rPr>
          <w:rFonts w:ascii="Times New Roman" w:hAnsi="Times New Roman" w:cs="Times New Roman"/>
          <w:lang w:val="en-IE"/>
        </w:rPr>
        <w:t xml:space="preserve">They find that </w:t>
      </w:r>
      <w:r w:rsidR="001569B8" w:rsidRPr="00C73908">
        <w:rPr>
          <w:rFonts w:ascii="Times New Roman" w:hAnsi="Times New Roman" w:cs="Times New Roman"/>
          <w:lang w:val="en-IE"/>
        </w:rPr>
        <w:t xml:space="preserve">overall </w:t>
      </w:r>
      <w:r w:rsidR="00E40672" w:rsidRPr="00C73908">
        <w:rPr>
          <w:rFonts w:ascii="Times New Roman" w:hAnsi="Times New Roman" w:cs="Times New Roman"/>
          <w:lang w:val="en-IE"/>
        </w:rPr>
        <w:t xml:space="preserve">expenditure </w:t>
      </w:r>
      <w:r w:rsidR="001569B8" w:rsidRPr="00C73908">
        <w:rPr>
          <w:rFonts w:ascii="Times New Roman" w:hAnsi="Times New Roman" w:cs="Times New Roman"/>
          <w:lang w:val="en-IE"/>
        </w:rPr>
        <w:t xml:space="preserve">on R&amp;D </w:t>
      </w:r>
      <w:r w:rsidR="00E40672" w:rsidRPr="00C73908">
        <w:rPr>
          <w:rFonts w:ascii="Times New Roman" w:hAnsi="Times New Roman" w:cs="Times New Roman"/>
          <w:lang w:val="en-IE"/>
        </w:rPr>
        <w:t xml:space="preserve">does not have a statistically significant effect on the number of </w:t>
      </w:r>
      <w:r w:rsidR="00091BA0" w:rsidRPr="00C73908">
        <w:rPr>
          <w:rFonts w:ascii="Times New Roman" w:hAnsi="Times New Roman" w:cs="Times New Roman"/>
          <w:lang w:val="en-IE"/>
        </w:rPr>
        <w:t>markets</w:t>
      </w:r>
      <w:r w:rsidR="00474215" w:rsidRPr="00C73908">
        <w:rPr>
          <w:rFonts w:ascii="Times New Roman" w:hAnsi="Times New Roman" w:cs="Times New Roman"/>
          <w:lang w:val="en-IE"/>
        </w:rPr>
        <w:t xml:space="preserve"> which a company sells to</w:t>
      </w:r>
      <w:r w:rsidR="00091BA0" w:rsidRPr="00C73908">
        <w:rPr>
          <w:rFonts w:ascii="Times New Roman" w:hAnsi="Times New Roman" w:cs="Times New Roman"/>
          <w:lang w:val="en-IE"/>
        </w:rPr>
        <w:t>.</w:t>
      </w:r>
      <w:r w:rsidR="00B21306" w:rsidRPr="00C73908">
        <w:rPr>
          <w:rFonts w:ascii="Times New Roman" w:hAnsi="Times New Roman" w:cs="Times New Roman"/>
          <w:lang w:val="en-IE"/>
        </w:rPr>
        <w:t xml:space="preserve"> However, product</w:t>
      </w:r>
      <w:r w:rsidR="001569B8" w:rsidRPr="00C73908">
        <w:rPr>
          <w:rFonts w:ascii="Times New Roman" w:hAnsi="Times New Roman" w:cs="Times New Roman"/>
          <w:lang w:val="en-IE"/>
        </w:rPr>
        <w:t xml:space="preserve"> </w:t>
      </w:r>
      <w:r w:rsidR="00503FA2" w:rsidRPr="00C73908">
        <w:rPr>
          <w:rFonts w:ascii="Times New Roman" w:hAnsi="Times New Roman" w:cs="Times New Roman"/>
          <w:lang w:val="en-IE"/>
        </w:rPr>
        <w:t>innovations, where compan</w:t>
      </w:r>
      <w:r w:rsidR="00822CD2" w:rsidRPr="00C73908">
        <w:rPr>
          <w:rFonts w:ascii="Times New Roman" w:hAnsi="Times New Roman" w:cs="Times New Roman"/>
          <w:lang w:val="en-IE"/>
        </w:rPr>
        <w:t>ies</w:t>
      </w:r>
      <w:r w:rsidR="00503FA2" w:rsidRPr="00C73908">
        <w:rPr>
          <w:rFonts w:ascii="Times New Roman" w:hAnsi="Times New Roman" w:cs="Times New Roman"/>
          <w:lang w:val="en-IE"/>
        </w:rPr>
        <w:t xml:space="preserve"> introduce</w:t>
      </w:r>
      <w:r w:rsidR="00822CD2" w:rsidRPr="00C73908">
        <w:rPr>
          <w:rFonts w:ascii="Times New Roman" w:hAnsi="Times New Roman" w:cs="Times New Roman"/>
          <w:lang w:val="en-IE"/>
        </w:rPr>
        <w:t xml:space="preserve"> new or improved </w:t>
      </w:r>
      <w:r w:rsidR="008A7F73" w:rsidRPr="00C73908">
        <w:rPr>
          <w:rFonts w:ascii="Times New Roman" w:hAnsi="Times New Roman" w:cs="Times New Roman"/>
          <w:lang w:val="en-IE"/>
        </w:rPr>
        <w:t>products or services generated through R&amp;D activity,</w:t>
      </w:r>
      <w:r w:rsidR="00503FA2" w:rsidRPr="00C73908">
        <w:rPr>
          <w:rFonts w:ascii="Times New Roman" w:hAnsi="Times New Roman" w:cs="Times New Roman"/>
          <w:lang w:val="en-IE"/>
        </w:rPr>
        <w:t xml:space="preserve"> </w:t>
      </w:r>
      <w:r w:rsidR="008A7F73" w:rsidRPr="00C73908">
        <w:rPr>
          <w:rFonts w:ascii="Times New Roman" w:hAnsi="Times New Roman" w:cs="Times New Roman"/>
          <w:lang w:val="en-IE"/>
        </w:rPr>
        <w:t xml:space="preserve">are found to have </w:t>
      </w:r>
      <w:r w:rsidR="006C2ED4" w:rsidRPr="00C73908">
        <w:rPr>
          <w:rFonts w:ascii="Times New Roman" w:hAnsi="Times New Roman" w:cs="Times New Roman"/>
          <w:lang w:val="en-IE"/>
        </w:rPr>
        <w:t xml:space="preserve">a </w:t>
      </w:r>
      <w:r w:rsidR="00D84E27" w:rsidRPr="00C73908">
        <w:rPr>
          <w:rFonts w:ascii="Times New Roman" w:hAnsi="Times New Roman" w:cs="Times New Roman"/>
          <w:lang w:val="en-IE"/>
        </w:rPr>
        <w:t xml:space="preserve">significant positive impact on the number of markets which companies export to in </w:t>
      </w:r>
      <w:r w:rsidR="008F6196" w:rsidRPr="00C73908">
        <w:rPr>
          <w:rFonts w:ascii="Times New Roman" w:hAnsi="Times New Roman" w:cs="Times New Roman"/>
          <w:lang w:val="en-IE"/>
        </w:rPr>
        <w:t>subsequent</w:t>
      </w:r>
      <w:r w:rsidR="00D84E27" w:rsidRPr="00C73908">
        <w:rPr>
          <w:rFonts w:ascii="Times New Roman" w:hAnsi="Times New Roman" w:cs="Times New Roman"/>
          <w:lang w:val="en-IE"/>
        </w:rPr>
        <w:t xml:space="preserve"> years.</w:t>
      </w:r>
      <w:r w:rsidR="00625136" w:rsidRPr="00C73908">
        <w:rPr>
          <w:rFonts w:ascii="Times New Roman" w:hAnsi="Times New Roman" w:cs="Times New Roman"/>
          <w:lang w:val="en-IE"/>
        </w:rPr>
        <w:t xml:space="preserve"> As with export values, engagement in collaborative R&amp;D </w:t>
      </w:r>
      <w:r w:rsidR="000A5F62" w:rsidRPr="00C73908">
        <w:rPr>
          <w:rFonts w:ascii="Times New Roman" w:hAnsi="Times New Roman" w:cs="Times New Roman"/>
          <w:lang w:val="en-IE"/>
        </w:rPr>
        <w:t xml:space="preserve">projects is not found to have </w:t>
      </w:r>
      <w:r w:rsidR="003F4BC4" w:rsidRPr="00C73908">
        <w:rPr>
          <w:rFonts w:ascii="Times New Roman" w:hAnsi="Times New Roman" w:cs="Times New Roman"/>
          <w:lang w:val="en-IE"/>
        </w:rPr>
        <w:t>a significant influence on diversification at the firm level</w:t>
      </w:r>
      <w:r w:rsidR="00020A0F" w:rsidRPr="00C73908">
        <w:rPr>
          <w:rFonts w:ascii="Times New Roman" w:hAnsi="Times New Roman" w:cs="Times New Roman"/>
          <w:lang w:val="en-IE"/>
        </w:rPr>
        <w:t xml:space="preserve"> but, again, this may be due to the relatively recent </w:t>
      </w:r>
      <w:r w:rsidR="00FC6EBC" w:rsidRPr="00C73908">
        <w:rPr>
          <w:rFonts w:ascii="Times New Roman" w:hAnsi="Times New Roman" w:cs="Times New Roman"/>
          <w:lang w:val="en-IE"/>
        </w:rPr>
        <w:t>growth in collaborative R&amp;D in an Irish context.</w:t>
      </w:r>
    </w:p>
    <w:p w14:paraId="3EC966FA" w14:textId="6E2F12B9" w:rsidR="003B4A2C" w:rsidRDefault="003B4A2C" w:rsidP="00D025EE">
      <w:pPr>
        <w:spacing w:after="240" w:line="360" w:lineRule="auto"/>
        <w:jc w:val="both"/>
        <w:rPr>
          <w:rFonts w:ascii="Times New Roman" w:hAnsi="Times New Roman" w:cs="Times New Roman"/>
          <w:lang w:val="en-IE"/>
        </w:rPr>
      </w:pPr>
      <w:r w:rsidRPr="003B4A2C">
        <w:rPr>
          <w:rFonts w:ascii="Times New Roman" w:hAnsi="Times New Roman" w:cs="Times New Roman"/>
          <w:b/>
          <w:bCs/>
          <w:color w:val="0070C0"/>
          <w:lang w:val="en-IE"/>
        </w:rPr>
        <w:t>Export Promotion Policies:</w:t>
      </w:r>
      <w:r>
        <w:rPr>
          <w:rFonts w:ascii="Times New Roman" w:hAnsi="Times New Roman" w:cs="Times New Roman"/>
          <w:lang w:val="en-IE"/>
        </w:rPr>
        <w:t xml:space="preserve"> </w:t>
      </w:r>
      <w:r w:rsidR="00161313" w:rsidRPr="00C73908">
        <w:rPr>
          <w:rFonts w:ascii="Times New Roman" w:hAnsi="Times New Roman" w:cs="Times New Roman"/>
          <w:lang w:val="en-IE"/>
        </w:rPr>
        <w:t xml:space="preserve">Support from the overseas office network </w:t>
      </w:r>
      <w:r w:rsidR="00311CD7" w:rsidRPr="00C73908">
        <w:rPr>
          <w:rFonts w:ascii="Times New Roman" w:hAnsi="Times New Roman" w:cs="Times New Roman"/>
          <w:lang w:val="en-IE"/>
        </w:rPr>
        <w:t>is found to have</w:t>
      </w:r>
      <w:r w:rsidR="00C2796C" w:rsidRPr="00C73908">
        <w:rPr>
          <w:rFonts w:ascii="Times New Roman" w:hAnsi="Times New Roman" w:cs="Times New Roman"/>
          <w:lang w:val="en-IE"/>
        </w:rPr>
        <w:t xml:space="preserve"> a </w:t>
      </w:r>
      <w:r w:rsidR="00CF1A7E">
        <w:rPr>
          <w:rFonts w:ascii="Times New Roman" w:hAnsi="Times New Roman" w:cs="Times New Roman"/>
          <w:lang w:val="en-IE"/>
        </w:rPr>
        <w:t>large</w:t>
      </w:r>
      <w:r w:rsidR="006B10A8" w:rsidRPr="00C73908">
        <w:rPr>
          <w:rFonts w:ascii="Times New Roman" w:hAnsi="Times New Roman" w:cs="Times New Roman"/>
          <w:lang w:val="en-IE"/>
        </w:rPr>
        <w:t xml:space="preserve"> </w:t>
      </w:r>
      <w:r w:rsidR="00C2796C" w:rsidRPr="00C73908">
        <w:rPr>
          <w:rFonts w:ascii="Times New Roman" w:hAnsi="Times New Roman" w:cs="Times New Roman"/>
          <w:lang w:val="en-IE"/>
        </w:rPr>
        <w:t>po</w:t>
      </w:r>
      <w:r w:rsidR="00580120" w:rsidRPr="00C73908">
        <w:rPr>
          <w:rFonts w:ascii="Times New Roman" w:hAnsi="Times New Roman" w:cs="Times New Roman"/>
          <w:lang w:val="en-IE"/>
        </w:rPr>
        <w:t>sit</w:t>
      </w:r>
      <w:r w:rsidR="00C2796C" w:rsidRPr="00C73908">
        <w:rPr>
          <w:rFonts w:ascii="Times New Roman" w:hAnsi="Times New Roman" w:cs="Times New Roman"/>
          <w:lang w:val="en-IE"/>
        </w:rPr>
        <w:t xml:space="preserve">ive </w:t>
      </w:r>
      <w:r w:rsidR="009A2507">
        <w:rPr>
          <w:rFonts w:ascii="Times New Roman" w:hAnsi="Times New Roman" w:cs="Times New Roman"/>
          <w:lang w:val="en-IE"/>
        </w:rPr>
        <w:t>relationship with</w:t>
      </w:r>
      <w:r w:rsidR="00C2796C" w:rsidRPr="00C73908">
        <w:rPr>
          <w:rFonts w:ascii="Times New Roman" w:hAnsi="Times New Roman" w:cs="Times New Roman"/>
          <w:lang w:val="en-IE"/>
        </w:rPr>
        <w:t xml:space="preserve"> </w:t>
      </w:r>
      <w:r w:rsidR="006B10A8" w:rsidRPr="00C73908">
        <w:rPr>
          <w:rFonts w:ascii="Times New Roman" w:hAnsi="Times New Roman" w:cs="Times New Roman"/>
          <w:lang w:val="en-IE"/>
        </w:rPr>
        <w:t xml:space="preserve">firm level </w:t>
      </w:r>
      <w:r w:rsidR="00BB135E" w:rsidRPr="00C73908">
        <w:rPr>
          <w:rFonts w:ascii="Times New Roman" w:hAnsi="Times New Roman" w:cs="Times New Roman"/>
          <w:lang w:val="en-IE"/>
        </w:rPr>
        <w:t>diversification</w:t>
      </w:r>
      <w:r w:rsidR="006B10A8" w:rsidRPr="00C73908">
        <w:rPr>
          <w:rFonts w:ascii="Times New Roman" w:hAnsi="Times New Roman" w:cs="Times New Roman"/>
          <w:lang w:val="en-IE"/>
        </w:rPr>
        <w:t>.</w:t>
      </w:r>
      <w:r w:rsidR="00E314BC" w:rsidRPr="00C73908">
        <w:rPr>
          <w:rFonts w:ascii="Times New Roman" w:hAnsi="Times New Roman" w:cs="Times New Roman"/>
          <w:lang w:val="en-IE"/>
        </w:rPr>
        <w:t xml:space="preserve"> Th</w:t>
      </w:r>
      <w:r w:rsidR="00624552" w:rsidRPr="00C73908">
        <w:rPr>
          <w:rFonts w:ascii="Times New Roman" w:hAnsi="Times New Roman" w:cs="Times New Roman"/>
          <w:lang w:val="en-IE"/>
        </w:rPr>
        <w:t>e</w:t>
      </w:r>
      <w:r w:rsidR="00E314BC" w:rsidRPr="00C73908">
        <w:rPr>
          <w:rFonts w:ascii="Times New Roman" w:hAnsi="Times New Roman" w:cs="Times New Roman"/>
          <w:lang w:val="en-IE"/>
        </w:rPr>
        <w:t xml:space="preserve"> effect is strongly significant in both sectors at the 1% confidence interval and is slightly larger among manufac</w:t>
      </w:r>
      <w:r w:rsidR="00664051" w:rsidRPr="00C73908">
        <w:rPr>
          <w:rFonts w:ascii="Times New Roman" w:hAnsi="Times New Roman" w:cs="Times New Roman"/>
          <w:lang w:val="en-IE"/>
        </w:rPr>
        <w:t>t</w:t>
      </w:r>
      <w:r w:rsidR="00E314BC" w:rsidRPr="00C73908">
        <w:rPr>
          <w:rFonts w:ascii="Times New Roman" w:hAnsi="Times New Roman" w:cs="Times New Roman"/>
          <w:lang w:val="en-IE"/>
        </w:rPr>
        <w:t>urers</w:t>
      </w:r>
      <w:r w:rsidR="009968B9" w:rsidRPr="00C73908">
        <w:rPr>
          <w:rFonts w:ascii="Times New Roman" w:hAnsi="Times New Roman" w:cs="Times New Roman"/>
          <w:lang w:val="en-IE"/>
        </w:rPr>
        <w:t>.</w:t>
      </w:r>
      <w:r w:rsidR="001D06F7" w:rsidRPr="00C73908">
        <w:rPr>
          <w:rFonts w:ascii="Times New Roman" w:hAnsi="Times New Roman" w:cs="Times New Roman"/>
          <w:lang w:val="en-IE"/>
        </w:rPr>
        <w:t xml:space="preserve"> </w:t>
      </w:r>
      <w:r w:rsidR="00F6440A" w:rsidRPr="00C73908">
        <w:rPr>
          <w:rFonts w:ascii="Times New Roman" w:hAnsi="Times New Roman" w:cs="Times New Roman"/>
          <w:lang w:val="en-IE"/>
        </w:rPr>
        <w:t xml:space="preserve">Many of the services provided </w:t>
      </w:r>
      <w:r w:rsidR="0010505F" w:rsidRPr="00C73908">
        <w:rPr>
          <w:rFonts w:ascii="Times New Roman" w:hAnsi="Times New Roman" w:cs="Times New Roman"/>
          <w:lang w:val="en-IE"/>
        </w:rPr>
        <w:t xml:space="preserve">by the OON are </w:t>
      </w:r>
      <w:r w:rsidR="00801BB5">
        <w:rPr>
          <w:rFonts w:ascii="Times New Roman" w:hAnsi="Times New Roman" w:cs="Times New Roman"/>
          <w:lang w:val="en-IE"/>
        </w:rPr>
        <w:t>primar</w:t>
      </w:r>
      <w:r w:rsidR="00B675A7" w:rsidRPr="00C73908">
        <w:rPr>
          <w:rFonts w:ascii="Times New Roman" w:hAnsi="Times New Roman" w:cs="Times New Roman"/>
          <w:lang w:val="en-IE"/>
        </w:rPr>
        <w:t>ily</w:t>
      </w:r>
      <w:r w:rsidR="0010505F" w:rsidRPr="00C73908">
        <w:rPr>
          <w:rFonts w:ascii="Times New Roman" w:hAnsi="Times New Roman" w:cs="Times New Roman"/>
          <w:lang w:val="en-IE"/>
        </w:rPr>
        <w:t xml:space="preserve"> </w:t>
      </w:r>
      <w:r w:rsidR="00647BF1">
        <w:rPr>
          <w:rFonts w:ascii="Times New Roman" w:hAnsi="Times New Roman" w:cs="Times New Roman"/>
          <w:lang w:val="en-IE"/>
        </w:rPr>
        <w:t>aimed at</w:t>
      </w:r>
      <w:r w:rsidR="0010505F" w:rsidRPr="00C73908">
        <w:rPr>
          <w:rFonts w:ascii="Times New Roman" w:hAnsi="Times New Roman" w:cs="Times New Roman"/>
          <w:lang w:val="en-IE"/>
        </w:rPr>
        <w:t xml:space="preserve"> helping companies to enter new markets</w:t>
      </w:r>
      <w:r w:rsidR="00E20FC3" w:rsidRPr="00C73908">
        <w:rPr>
          <w:rFonts w:ascii="Times New Roman" w:hAnsi="Times New Roman" w:cs="Times New Roman"/>
          <w:lang w:val="en-IE"/>
        </w:rPr>
        <w:t xml:space="preserve"> such as </w:t>
      </w:r>
      <w:r w:rsidR="005B339F" w:rsidRPr="00C73908">
        <w:rPr>
          <w:rFonts w:ascii="Times New Roman" w:hAnsi="Times New Roman" w:cs="Times New Roman"/>
          <w:lang w:val="en-IE"/>
        </w:rPr>
        <w:t>facilitating client visits to markets</w:t>
      </w:r>
      <w:r w:rsidR="00295D7B" w:rsidRPr="00C73908">
        <w:rPr>
          <w:rFonts w:ascii="Times New Roman" w:hAnsi="Times New Roman" w:cs="Times New Roman"/>
          <w:lang w:val="en-IE"/>
        </w:rPr>
        <w:t xml:space="preserve"> and providing detailed market information on potential export markets.</w:t>
      </w:r>
      <w:r w:rsidR="00665887" w:rsidRPr="00C73908">
        <w:rPr>
          <w:rFonts w:ascii="Times New Roman" w:hAnsi="Times New Roman" w:cs="Times New Roman"/>
          <w:lang w:val="en-IE"/>
        </w:rPr>
        <w:t xml:space="preserve"> The findings further </w:t>
      </w:r>
      <w:r w:rsidR="00975C64" w:rsidRPr="00C73908">
        <w:rPr>
          <w:rFonts w:ascii="Times New Roman" w:hAnsi="Times New Roman" w:cs="Times New Roman"/>
          <w:lang w:val="en-IE"/>
        </w:rPr>
        <w:t xml:space="preserve">highlight the critical role played </w:t>
      </w:r>
      <w:r w:rsidR="00405D99" w:rsidRPr="00C73908">
        <w:rPr>
          <w:rFonts w:ascii="Times New Roman" w:hAnsi="Times New Roman" w:cs="Times New Roman"/>
          <w:lang w:val="en-IE"/>
        </w:rPr>
        <w:t>by the overseas offices</w:t>
      </w:r>
      <w:r w:rsidR="004B08FC" w:rsidRPr="00C73908">
        <w:rPr>
          <w:rFonts w:ascii="Times New Roman" w:hAnsi="Times New Roman" w:cs="Times New Roman"/>
          <w:lang w:val="en-IE"/>
        </w:rPr>
        <w:t xml:space="preserve"> in supporting companies to overcome </w:t>
      </w:r>
      <w:r w:rsidR="00B840CF" w:rsidRPr="00C73908">
        <w:rPr>
          <w:rFonts w:ascii="Times New Roman" w:hAnsi="Times New Roman" w:cs="Times New Roman"/>
          <w:lang w:val="en-IE"/>
        </w:rPr>
        <w:t xml:space="preserve">various barriers to exporting </w:t>
      </w:r>
      <w:r w:rsidR="00665887" w:rsidRPr="00C73908">
        <w:rPr>
          <w:rFonts w:ascii="Times New Roman" w:hAnsi="Times New Roman" w:cs="Times New Roman"/>
          <w:lang w:val="en-IE"/>
        </w:rPr>
        <w:t>such as language/cultural barriers, costs of acquiring foreign market information and time taken to develop a network of contacts in market</w:t>
      </w:r>
      <w:r w:rsidR="00B840CF" w:rsidRPr="00C73908">
        <w:rPr>
          <w:rFonts w:ascii="Times New Roman" w:hAnsi="Times New Roman" w:cs="Times New Roman"/>
          <w:lang w:val="en-IE"/>
        </w:rPr>
        <w:t xml:space="preserve">. </w:t>
      </w:r>
      <w:r w:rsidR="007413D2" w:rsidRPr="00C73908">
        <w:rPr>
          <w:rFonts w:ascii="Times New Roman" w:hAnsi="Times New Roman" w:cs="Times New Roman"/>
          <w:lang w:val="en-IE"/>
        </w:rPr>
        <w:t>T</w:t>
      </w:r>
      <w:r w:rsidR="00B840CF" w:rsidRPr="00C73908">
        <w:rPr>
          <w:rFonts w:ascii="Times New Roman" w:hAnsi="Times New Roman" w:cs="Times New Roman"/>
          <w:lang w:val="en-IE"/>
        </w:rPr>
        <w:t>hese barriers</w:t>
      </w:r>
      <w:r w:rsidR="007E6CC2" w:rsidRPr="00C73908">
        <w:rPr>
          <w:rFonts w:ascii="Times New Roman" w:hAnsi="Times New Roman" w:cs="Times New Roman"/>
          <w:lang w:val="en-IE"/>
        </w:rPr>
        <w:t xml:space="preserve"> are likely to become </w:t>
      </w:r>
      <w:r w:rsidR="00B949CE" w:rsidRPr="00C73908">
        <w:rPr>
          <w:rFonts w:ascii="Times New Roman" w:hAnsi="Times New Roman" w:cs="Times New Roman"/>
          <w:lang w:val="en-IE"/>
        </w:rPr>
        <w:t xml:space="preserve">greater </w:t>
      </w:r>
      <w:r w:rsidR="007413D2" w:rsidRPr="00C73908">
        <w:rPr>
          <w:rFonts w:ascii="Times New Roman" w:hAnsi="Times New Roman" w:cs="Times New Roman"/>
          <w:lang w:val="en-IE"/>
        </w:rPr>
        <w:t xml:space="preserve">as companies </w:t>
      </w:r>
      <w:r w:rsidR="00445D83" w:rsidRPr="00C73908">
        <w:rPr>
          <w:rFonts w:ascii="Times New Roman" w:hAnsi="Times New Roman" w:cs="Times New Roman"/>
          <w:lang w:val="en-IE"/>
        </w:rPr>
        <w:t xml:space="preserve">expand their export base and </w:t>
      </w:r>
      <w:r w:rsidR="00354B65" w:rsidRPr="00C73908">
        <w:rPr>
          <w:rFonts w:ascii="Times New Roman" w:hAnsi="Times New Roman" w:cs="Times New Roman"/>
          <w:lang w:val="en-IE"/>
        </w:rPr>
        <w:t xml:space="preserve">attempt to </w:t>
      </w:r>
      <w:r w:rsidR="00445D83" w:rsidRPr="00C73908">
        <w:rPr>
          <w:rFonts w:ascii="Times New Roman" w:hAnsi="Times New Roman" w:cs="Times New Roman"/>
          <w:lang w:val="en-IE"/>
        </w:rPr>
        <w:t xml:space="preserve">enter </w:t>
      </w:r>
      <w:r w:rsidR="007413D2" w:rsidRPr="00C73908">
        <w:rPr>
          <w:rFonts w:ascii="Times New Roman" w:hAnsi="Times New Roman" w:cs="Times New Roman"/>
          <w:lang w:val="en-IE"/>
        </w:rPr>
        <w:t xml:space="preserve">into </w:t>
      </w:r>
      <w:r w:rsidR="009F32EF" w:rsidRPr="00C73908">
        <w:rPr>
          <w:rFonts w:ascii="Times New Roman" w:hAnsi="Times New Roman" w:cs="Times New Roman"/>
          <w:lang w:val="en-IE"/>
        </w:rPr>
        <w:t>other</w:t>
      </w:r>
      <w:r w:rsidR="007D661D" w:rsidRPr="00C73908">
        <w:rPr>
          <w:rFonts w:ascii="Times New Roman" w:hAnsi="Times New Roman" w:cs="Times New Roman"/>
          <w:lang w:val="en-IE"/>
        </w:rPr>
        <w:t xml:space="preserve"> markets with high </w:t>
      </w:r>
      <w:r w:rsidR="00A5290B" w:rsidRPr="00C73908">
        <w:rPr>
          <w:rFonts w:ascii="Times New Roman" w:hAnsi="Times New Roman" w:cs="Times New Roman"/>
          <w:lang w:val="en-IE"/>
        </w:rPr>
        <w:t xml:space="preserve">levels of </w:t>
      </w:r>
      <w:r w:rsidR="00B949CE" w:rsidRPr="00C73908">
        <w:rPr>
          <w:rFonts w:ascii="Times New Roman" w:hAnsi="Times New Roman" w:cs="Times New Roman"/>
          <w:lang w:val="en-IE"/>
        </w:rPr>
        <w:t xml:space="preserve">divergence </w:t>
      </w:r>
      <w:r w:rsidR="00A5290B" w:rsidRPr="00C73908">
        <w:rPr>
          <w:rFonts w:ascii="Times New Roman" w:hAnsi="Times New Roman" w:cs="Times New Roman"/>
          <w:lang w:val="en-IE"/>
        </w:rPr>
        <w:t>from local markets in</w:t>
      </w:r>
      <w:r w:rsidR="004A72AF" w:rsidRPr="00C73908">
        <w:rPr>
          <w:rFonts w:ascii="Times New Roman" w:hAnsi="Times New Roman" w:cs="Times New Roman"/>
          <w:lang w:val="en-IE"/>
        </w:rPr>
        <w:t xml:space="preserve"> areas like</w:t>
      </w:r>
      <w:r w:rsidR="00A5290B" w:rsidRPr="00C73908">
        <w:rPr>
          <w:rFonts w:ascii="Times New Roman" w:hAnsi="Times New Roman" w:cs="Times New Roman"/>
          <w:lang w:val="en-IE"/>
        </w:rPr>
        <w:t xml:space="preserve"> product standards, legal and tax </w:t>
      </w:r>
      <w:r w:rsidR="003845DA" w:rsidRPr="00C73908">
        <w:rPr>
          <w:rFonts w:ascii="Times New Roman" w:hAnsi="Times New Roman" w:cs="Times New Roman"/>
          <w:lang w:val="en-IE"/>
        </w:rPr>
        <w:t>requirements,</w:t>
      </w:r>
      <w:r w:rsidR="00A5290B" w:rsidRPr="00C73908">
        <w:rPr>
          <w:rFonts w:ascii="Times New Roman" w:hAnsi="Times New Roman" w:cs="Times New Roman"/>
          <w:lang w:val="en-IE"/>
        </w:rPr>
        <w:t xml:space="preserve"> and </w:t>
      </w:r>
      <w:r w:rsidR="00400AE8" w:rsidRPr="00C73908">
        <w:rPr>
          <w:rFonts w:ascii="Times New Roman" w:hAnsi="Times New Roman" w:cs="Times New Roman"/>
          <w:lang w:val="en-IE"/>
        </w:rPr>
        <w:t>business practices</w:t>
      </w:r>
      <w:r w:rsidR="003845DA" w:rsidRPr="00C73908">
        <w:rPr>
          <w:rFonts w:ascii="Times New Roman" w:hAnsi="Times New Roman" w:cs="Times New Roman"/>
          <w:lang w:val="en-IE"/>
        </w:rPr>
        <w:t>. Th</w:t>
      </w:r>
      <w:r w:rsidR="00183FB8" w:rsidRPr="00C73908">
        <w:rPr>
          <w:rFonts w:ascii="Times New Roman" w:hAnsi="Times New Roman" w:cs="Times New Roman"/>
          <w:lang w:val="en-IE"/>
        </w:rPr>
        <w:t>is suggests that the</w:t>
      </w:r>
      <w:r w:rsidR="003845DA" w:rsidRPr="00C73908">
        <w:rPr>
          <w:rFonts w:ascii="Times New Roman" w:hAnsi="Times New Roman" w:cs="Times New Roman"/>
          <w:lang w:val="en-IE"/>
        </w:rPr>
        <w:t xml:space="preserve"> services provided by the OON </w:t>
      </w:r>
      <w:r w:rsidR="008C4817" w:rsidRPr="00C73908">
        <w:rPr>
          <w:rFonts w:ascii="Times New Roman" w:hAnsi="Times New Roman" w:cs="Times New Roman"/>
          <w:lang w:val="en-IE"/>
        </w:rPr>
        <w:t>are particularly important</w:t>
      </w:r>
      <w:r w:rsidR="00DC5F9E" w:rsidRPr="00C73908">
        <w:rPr>
          <w:rFonts w:ascii="Times New Roman" w:hAnsi="Times New Roman" w:cs="Times New Roman"/>
          <w:lang w:val="en-IE"/>
        </w:rPr>
        <w:t xml:space="preserve"> for companies </w:t>
      </w:r>
      <w:r w:rsidR="00C43B04" w:rsidRPr="00C73908">
        <w:rPr>
          <w:rFonts w:ascii="Times New Roman" w:hAnsi="Times New Roman" w:cs="Times New Roman"/>
          <w:lang w:val="en-IE"/>
        </w:rPr>
        <w:t xml:space="preserve">looking to diversify their exports beyond </w:t>
      </w:r>
      <w:r w:rsidR="00A81C15" w:rsidRPr="00C73908">
        <w:rPr>
          <w:rFonts w:ascii="Times New Roman" w:hAnsi="Times New Roman" w:cs="Times New Roman"/>
          <w:lang w:val="en-IE"/>
        </w:rPr>
        <w:t>a handful of local markets with relatively lower trade barriers.</w:t>
      </w:r>
      <w:r w:rsidR="008C4817" w:rsidRPr="00C73908">
        <w:rPr>
          <w:rFonts w:ascii="Times New Roman" w:hAnsi="Times New Roman" w:cs="Times New Roman"/>
          <w:lang w:val="en-IE"/>
        </w:rPr>
        <w:t xml:space="preserve"> Th</w:t>
      </w:r>
      <w:r w:rsidR="00192FD8" w:rsidRPr="00C73908">
        <w:rPr>
          <w:rFonts w:ascii="Times New Roman" w:hAnsi="Times New Roman" w:cs="Times New Roman"/>
          <w:lang w:val="en-IE"/>
        </w:rPr>
        <w:t xml:space="preserve">is is consistent with the findings of the </w:t>
      </w:r>
      <w:r w:rsidR="008C4817" w:rsidRPr="00C73908">
        <w:rPr>
          <w:rFonts w:ascii="Times New Roman" w:hAnsi="Times New Roman" w:cs="Times New Roman"/>
          <w:lang w:val="en-IE"/>
        </w:rPr>
        <w:t xml:space="preserve">2017 evaluation of the overseas office network by DBEI </w:t>
      </w:r>
      <w:r w:rsidR="00192FD8" w:rsidRPr="00C73908">
        <w:rPr>
          <w:rFonts w:ascii="Times New Roman" w:hAnsi="Times New Roman" w:cs="Times New Roman"/>
          <w:lang w:val="en-IE"/>
        </w:rPr>
        <w:t>which outlined how companies entering into developing/emerging markets required more ‘hands-on’ support.</w:t>
      </w:r>
      <w:r w:rsidR="00C75999" w:rsidRPr="00C73908">
        <w:rPr>
          <w:rFonts w:ascii="Times New Roman" w:hAnsi="Times New Roman" w:cs="Times New Roman"/>
          <w:lang w:val="en-IE"/>
        </w:rPr>
        <w:t xml:space="preserve"> </w:t>
      </w:r>
      <w:r w:rsidR="00AF4687">
        <w:rPr>
          <w:rFonts w:ascii="Times New Roman" w:hAnsi="Times New Roman" w:cs="Times New Roman"/>
          <w:lang w:val="en-IE"/>
        </w:rPr>
        <w:t>On the other hand, the analysis finds no significant relationship between f</w:t>
      </w:r>
      <w:r w:rsidR="00C75999" w:rsidRPr="00C73908">
        <w:rPr>
          <w:rFonts w:ascii="Times New Roman" w:hAnsi="Times New Roman" w:cs="Times New Roman"/>
          <w:lang w:val="en-IE"/>
        </w:rPr>
        <w:t>unding supports for internationalisation</w:t>
      </w:r>
      <w:r w:rsidR="001F58B2">
        <w:rPr>
          <w:rFonts w:ascii="Times New Roman" w:hAnsi="Times New Roman" w:cs="Times New Roman"/>
          <w:lang w:val="en-IE"/>
        </w:rPr>
        <w:t xml:space="preserve"> </w:t>
      </w:r>
      <w:r w:rsidR="00AF4687">
        <w:rPr>
          <w:rFonts w:ascii="Times New Roman" w:hAnsi="Times New Roman" w:cs="Times New Roman"/>
          <w:lang w:val="en-IE"/>
        </w:rPr>
        <w:t>and</w:t>
      </w:r>
      <w:r w:rsidR="001F58B2">
        <w:rPr>
          <w:rFonts w:ascii="Times New Roman" w:hAnsi="Times New Roman" w:cs="Times New Roman"/>
          <w:lang w:val="en-IE"/>
        </w:rPr>
        <w:t xml:space="preserve"> </w:t>
      </w:r>
      <w:r w:rsidR="00BF104C" w:rsidRPr="00C73908">
        <w:rPr>
          <w:rFonts w:ascii="Times New Roman" w:hAnsi="Times New Roman" w:cs="Times New Roman"/>
          <w:lang w:val="en-IE"/>
        </w:rPr>
        <w:t>diversification</w:t>
      </w:r>
      <w:r w:rsidR="001F58B2">
        <w:rPr>
          <w:rFonts w:ascii="Times New Roman" w:hAnsi="Times New Roman" w:cs="Times New Roman"/>
          <w:lang w:val="en-IE"/>
        </w:rPr>
        <w:t xml:space="preserve"> levels</w:t>
      </w:r>
      <w:r w:rsidR="00BF104C" w:rsidRPr="00C73908">
        <w:rPr>
          <w:rFonts w:ascii="Times New Roman" w:hAnsi="Times New Roman" w:cs="Times New Roman"/>
          <w:lang w:val="en-IE"/>
        </w:rPr>
        <w:t>.</w:t>
      </w:r>
      <w:r w:rsidR="00C75999" w:rsidRPr="00C73908">
        <w:rPr>
          <w:rFonts w:ascii="Times New Roman" w:hAnsi="Times New Roman" w:cs="Times New Roman"/>
          <w:lang w:val="en-IE"/>
        </w:rPr>
        <w:t xml:space="preserve"> </w:t>
      </w:r>
    </w:p>
    <w:p w14:paraId="04B4FC75" w14:textId="017BDDF0" w:rsidR="00F13EB1" w:rsidRDefault="003B4A2C" w:rsidP="00D025EE">
      <w:pPr>
        <w:spacing w:after="240" w:line="360" w:lineRule="auto"/>
        <w:jc w:val="both"/>
        <w:rPr>
          <w:rFonts w:ascii="Times New Roman" w:hAnsi="Times New Roman" w:cs="Times New Roman"/>
          <w:lang w:val="en-IE"/>
        </w:rPr>
      </w:pPr>
      <w:r w:rsidRPr="003B4A2C">
        <w:rPr>
          <w:rFonts w:ascii="Times New Roman" w:hAnsi="Times New Roman" w:cs="Times New Roman"/>
          <w:b/>
          <w:bCs/>
          <w:color w:val="0070C0"/>
          <w:lang w:val="en-IE"/>
        </w:rPr>
        <w:t>Skill Levels</w:t>
      </w:r>
      <w:r w:rsidR="00FE3F3D">
        <w:rPr>
          <w:rFonts w:ascii="Times New Roman" w:hAnsi="Times New Roman" w:cs="Times New Roman"/>
          <w:b/>
          <w:bCs/>
          <w:color w:val="0070C0"/>
          <w:lang w:val="en-IE"/>
        </w:rPr>
        <w:t xml:space="preserve"> and Firm Age</w:t>
      </w:r>
      <w:r w:rsidRPr="003B4A2C">
        <w:rPr>
          <w:rFonts w:ascii="Times New Roman" w:hAnsi="Times New Roman" w:cs="Times New Roman"/>
          <w:b/>
          <w:bCs/>
          <w:color w:val="0070C0"/>
          <w:lang w:val="en-IE"/>
        </w:rPr>
        <w:t>:</w:t>
      </w:r>
      <w:r>
        <w:rPr>
          <w:rFonts w:ascii="Times New Roman" w:hAnsi="Times New Roman" w:cs="Times New Roman"/>
          <w:lang w:val="en-IE"/>
        </w:rPr>
        <w:t xml:space="preserve"> </w:t>
      </w:r>
      <w:r w:rsidR="008B4C3C" w:rsidRPr="00C73908">
        <w:rPr>
          <w:rFonts w:ascii="Times New Roman" w:hAnsi="Times New Roman" w:cs="Times New Roman"/>
          <w:lang w:val="en-IE"/>
        </w:rPr>
        <w:t xml:space="preserve">In terms of skill levels, </w:t>
      </w:r>
      <w:r w:rsidR="00C61A40" w:rsidRPr="00C73908">
        <w:rPr>
          <w:rFonts w:ascii="Times New Roman" w:hAnsi="Times New Roman" w:cs="Times New Roman"/>
          <w:lang w:val="en-IE"/>
        </w:rPr>
        <w:t>the</w:t>
      </w:r>
      <w:r w:rsidR="00D26DB3" w:rsidRPr="00C73908">
        <w:rPr>
          <w:rFonts w:ascii="Times New Roman" w:hAnsi="Times New Roman" w:cs="Times New Roman"/>
          <w:lang w:val="en-IE"/>
        </w:rPr>
        <w:t xml:space="preserve">re is no </w:t>
      </w:r>
      <w:r w:rsidR="00C61A40" w:rsidRPr="00C73908">
        <w:rPr>
          <w:rFonts w:ascii="Times New Roman" w:hAnsi="Times New Roman" w:cs="Times New Roman"/>
          <w:lang w:val="en-IE"/>
        </w:rPr>
        <w:t>indicat</w:t>
      </w:r>
      <w:r w:rsidR="00D26DB3" w:rsidRPr="00C73908">
        <w:rPr>
          <w:rFonts w:ascii="Times New Roman" w:hAnsi="Times New Roman" w:cs="Times New Roman"/>
          <w:lang w:val="en-IE"/>
        </w:rPr>
        <w:t>ion</w:t>
      </w:r>
      <w:r w:rsidR="00C61A40" w:rsidRPr="00C73908">
        <w:rPr>
          <w:rFonts w:ascii="Times New Roman" w:hAnsi="Times New Roman" w:cs="Times New Roman"/>
          <w:lang w:val="en-IE"/>
        </w:rPr>
        <w:t xml:space="preserve"> that either</w:t>
      </w:r>
      <w:r w:rsidR="00D025EE" w:rsidRPr="00C73908">
        <w:rPr>
          <w:rFonts w:ascii="Times New Roman" w:hAnsi="Times New Roman" w:cs="Times New Roman"/>
          <w:lang w:val="en-IE"/>
        </w:rPr>
        <w:t xml:space="preserve"> </w:t>
      </w:r>
      <w:r w:rsidR="00EC6C21" w:rsidRPr="00C73908">
        <w:rPr>
          <w:rFonts w:ascii="Times New Roman" w:hAnsi="Times New Roman" w:cs="Times New Roman"/>
          <w:lang w:val="en-IE"/>
        </w:rPr>
        <w:t>average wages</w:t>
      </w:r>
      <w:r w:rsidR="003F6BD7" w:rsidRPr="00C73908">
        <w:rPr>
          <w:rFonts w:ascii="Times New Roman" w:hAnsi="Times New Roman" w:cs="Times New Roman"/>
          <w:lang w:val="en-IE"/>
        </w:rPr>
        <w:t xml:space="preserve"> </w:t>
      </w:r>
      <w:r w:rsidR="00C61A40" w:rsidRPr="00C73908">
        <w:rPr>
          <w:rFonts w:ascii="Times New Roman" w:hAnsi="Times New Roman" w:cs="Times New Roman"/>
          <w:lang w:val="en-IE"/>
        </w:rPr>
        <w:t>or</w:t>
      </w:r>
      <w:r w:rsidR="003F6BD7" w:rsidRPr="00C73908">
        <w:rPr>
          <w:rFonts w:ascii="Times New Roman" w:hAnsi="Times New Roman" w:cs="Times New Roman"/>
          <w:lang w:val="en-IE"/>
        </w:rPr>
        <w:t xml:space="preserve"> annual expenditure on </w:t>
      </w:r>
      <w:r w:rsidR="00EC5DBC" w:rsidRPr="00C73908">
        <w:rPr>
          <w:rFonts w:ascii="Times New Roman" w:hAnsi="Times New Roman" w:cs="Times New Roman"/>
          <w:lang w:val="en-IE"/>
        </w:rPr>
        <w:t xml:space="preserve">staff </w:t>
      </w:r>
      <w:r w:rsidR="003F6BD7" w:rsidRPr="00C73908">
        <w:rPr>
          <w:rFonts w:ascii="Times New Roman" w:hAnsi="Times New Roman" w:cs="Times New Roman"/>
          <w:lang w:val="en-IE"/>
        </w:rPr>
        <w:t xml:space="preserve">training </w:t>
      </w:r>
      <w:r w:rsidR="00C61A40" w:rsidRPr="00C73908">
        <w:rPr>
          <w:rFonts w:ascii="Times New Roman" w:hAnsi="Times New Roman" w:cs="Times New Roman"/>
          <w:lang w:val="en-IE"/>
        </w:rPr>
        <w:t>have a significant</w:t>
      </w:r>
      <w:r w:rsidR="003F6BD7" w:rsidRPr="00C73908">
        <w:rPr>
          <w:rFonts w:ascii="Times New Roman" w:hAnsi="Times New Roman" w:cs="Times New Roman"/>
          <w:lang w:val="en-IE"/>
        </w:rPr>
        <w:t xml:space="preserve"> impact </w:t>
      </w:r>
      <w:r w:rsidR="00B66D42" w:rsidRPr="00C73908">
        <w:rPr>
          <w:rFonts w:ascii="Times New Roman" w:hAnsi="Times New Roman" w:cs="Times New Roman"/>
          <w:lang w:val="en-IE"/>
        </w:rPr>
        <w:t xml:space="preserve">on </w:t>
      </w:r>
      <w:r w:rsidR="00EC6C21" w:rsidRPr="00C73908">
        <w:rPr>
          <w:rFonts w:ascii="Times New Roman" w:hAnsi="Times New Roman" w:cs="Times New Roman"/>
          <w:lang w:val="en-IE"/>
        </w:rPr>
        <w:t>divers</w:t>
      </w:r>
      <w:r w:rsidR="00E238DD" w:rsidRPr="00C73908">
        <w:rPr>
          <w:rFonts w:ascii="Times New Roman" w:hAnsi="Times New Roman" w:cs="Times New Roman"/>
          <w:lang w:val="en-IE"/>
        </w:rPr>
        <w:t xml:space="preserve">ification </w:t>
      </w:r>
      <w:r w:rsidR="00890ECD" w:rsidRPr="00C73908">
        <w:rPr>
          <w:rFonts w:ascii="Times New Roman" w:hAnsi="Times New Roman" w:cs="Times New Roman"/>
          <w:lang w:val="en-IE"/>
        </w:rPr>
        <w:t>levels</w:t>
      </w:r>
      <w:r w:rsidR="00E238DD" w:rsidRPr="00C73908">
        <w:rPr>
          <w:rFonts w:ascii="Times New Roman" w:hAnsi="Times New Roman" w:cs="Times New Roman"/>
          <w:lang w:val="en-IE"/>
        </w:rPr>
        <w:t>.</w:t>
      </w:r>
      <w:r w:rsidR="00351C0D" w:rsidRPr="00C73908">
        <w:rPr>
          <w:rFonts w:ascii="Times New Roman" w:hAnsi="Times New Roman" w:cs="Times New Roman"/>
          <w:lang w:val="en-IE"/>
        </w:rPr>
        <w:t xml:space="preserve"> </w:t>
      </w:r>
      <w:r w:rsidR="002B4A3C" w:rsidRPr="00C73908">
        <w:rPr>
          <w:rFonts w:ascii="Times New Roman" w:hAnsi="Times New Roman" w:cs="Times New Roman"/>
          <w:lang w:val="en-IE"/>
        </w:rPr>
        <w:t>T</w:t>
      </w:r>
      <w:r w:rsidR="006610CC" w:rsidRPr="00C73908">
        <w:rPr>
          <w:rFonts w:ascii="Times New Roman" w:hAnsi="Times New Roman" w:cs="Times New Roman"/>
          <w:lang w:val="en-IE"/>
        </w:rPr>
        <w:t>o date, t</w:t>
      </w:r>
      <w:r w:rsidR="002B4A3C" w:rsidRPr="00C73908">
        <w:rPr>
          <w:rFonts w:ascii="Times New Roman" w:hAnsi="Times New Roman" w:cs="Times New Roman"/>
          <w:lang w:val="en-IE"/>
        </w:rPr>
        <w:t xml:space="preserve">here </w:t>
      </w:r>
      <w:r w:rsidR="006610CC" w:rsidRPr="00C73908">
        <w:rPr>
          <w:rFonts w:ascii="Times New Roman" w:hAnsi="Times New Roman" w:cs="Times New Roman"/>
          <w:lang w:val="en-IE"/>
        </w:rPr>
        <w:t>has been</w:t>
      </w:r>
      <w:r w:rsidR="002B4A3C" w:rsidRPr="00C73908">
        <w:rPr>
          <w:rFonts w:ascii="Times New Roman" w:hAnsi="Times New Roman" w:cs="Times New Roman"/>
          <w:lang w:val="en-IE"/>
        </w:rPr>
        <w:t xml:space="preserve"> very little </w:t>
      </w:r>
      <w:r w:rsidR="006610CC" w:rsidRPr="00C73908">
        <w:rPr>
          <w:rFonts w:ascii="Times New Roman" w:hAnsi="Times New Roman" w:cs="Times New Roman"/>
          <w:lang w:val="en-IE"/>
        </w:rPr>
        <w:t>empirical</w:t>
      </w:r>
      <w:r w:rsidR="00937A8B" w:rsidRPr="00C73908">
        <w:rPr>
          <w:rFonts w:ascii="Times New Roman" w:hAnsi="Times New Roman" w:cs="Times New Roman"/>
          <w:lang w:val="en-IE"/>
        </w:rPr>
        <w:t xml:space="preserve"> analysis of this relationship</w:t>
      </w:r>
      <w:r w:rsidR="00DD28E5" w:rsidRPr="00C73908">
        <w:rPr>
          <w:rFonts w:ascii="Times New Roman" w:hAnsi="Times New Roman" w:cs="Times New Roman"/>
          <w:lang w:val="en-IE"/>
        </w:rPr>
        <w:t xml:space="preserve"> and so </w:t>
      </w:r>
      <w:r w:rsidR="00522C17" w:rsidRPr="00C73908">
        <w:rPr>
          <w:rFonts w:ascii="Times New Roman" w:hAnsi="Times New Roman" w:cs="Times New Roman"/>
          <w:lang w:val="en-IE"/>
        </w:rPr>
        <w:t>it is not possible to compare and contrast these results with other studies</w:t>
      </w:r>
      <w:r w:rsidR="001A7C55" w:rsidRPr="00C73908">
        <w:rPr>
          <w:rFonts w:ascii="Times New Roman" w:hAnsi="Times New Roman" w:cs="Times New Roman"/>
          <w:lang w:val="en-IE"/>
        </w:rPr>
        <w:t>.</w:t>
      </w:r>
      <w:r w:rsidR="00522C17" w:rsidRPr="00C73908">
        <w:rPr>
          <w:rFonts w:ascii="Times New Roman" w:hAnsi="Times New Roman" w:cs="Times New Roman"/>
          <w:lang w:val="en-IE"/>
        </w:rPr>
        <w:t xml:space="preserve"> </w:t>
      </w:r>
      <w:r w:rsidR="00435B3D" w:rsidRPr="00C73908">
        <w:rPr>
          <w:rFonts w:ascii="Times New Roman" w:hAnsi="Times New Roman" w:cs="Times New Roman"/>
          <w:lang w:val="en-IE"/>
        </w:rPr>
        <w:t>The effect</w:t>
      </w:r>
      <w:r w:rsidR="00926C25" w:rsidRPr="00C73908">
        <w:rPr>
          <w:rFonts w:ascii="Times New Roman" w:hAnsi="Times New Roman" w:cs="Times New Roman"/>
          <w:lang w:val="en-IE"/>
        </w:rPr>
        <w:t xml:space="preserve">s of firm age </w:t>
      </w:r>
      <w:r w:rsidR="006E60CE" w:rsidRPr="00C73908">
        <w:rPr>
          <w:rFonts w:ascii="Times New Roman" w:hAnsi="Times New Roman" w:cs="Times New Roman"/>
          <w:lang w:val="en-IE"/>
        </w:rPr>
        <w:t xml:space="preserve">on diversification levels </w:t>
      </w:r>
      <w:r w:rsidR="00926C25" w:rsidRPr="00C73908">
        <w:rPr>
          <w:rFonts w:ascii="Times New Roman" w:hAnsi="Times New Roman" w:cs="Times New Roman"/>
          <w:lang w:val="en-IE"/>
        </w:rPr>
        <w:t>are similar to th</w:t>
      </w:r>
      <w:r w:rsidR="000221F1" w:rsidRPr="00C73908">
        <w:rPr>
          <w:rFonts w:ascii="Times New Roman" w:hAnsi="Times New Roman" w:cs="Times New Roman"/>
          <w:lang w:val="en-IE"/>
        </w:rPr>
        <w:t xml:space="preserve">ose </w:t>
      </w:r>
      <w:r w:rsidR="006E60CE" w:rsidRPr="00C73908">
        <w:rPr>
          <w:rFonts w:ascii="Times New Roman" w:hAnsi="Times New Roman" w:cs="Times New Roman"/>
          <w:lang w:val="en-IE"/>
        </w:rPr>
        <w:t xml:space="preserve">observed </w:t>
      </w:r>
      <w:r w:rsidR="00B77C7D" w:rsidRPr="00C73908">
        <w:rPr>
          <w:rFonts w:ascii="Times New Roman" w:hAnsi="Times New Roman" w:cs="Times New Roman"/>
          <w:lang w:val="en-IE"/>
        </w:rPr>
        <w:t xml:space="preserve">in section 4.1 with a small negative </w:t>
      </w:r>
      <w:r w:rsidR="00240E88" w:rsidRPr="00C73908">
        <w:rPr>
          <w:rFonts w:ascii="Times New Roman" w:hAnsi="Times New Roman" w:cs="Times New Roman"/>
          <w:lang w:val="en-IE"/>
        </w:rPr>
        <w:t xml:space="preserve">coefficient, statistically significant in both sectors. Again, this is likely due to the </w:t>
      </w:r>
      <w:r w:rsidR="009621B5" w:rsidRPr="00C73908">
        <w:rPr>
          <w:rFonts w:ascii="Times New Roman" w:hAnsi="Times New Roman" w:cs="Times New Roman"/>
          <w:lang w:val="en-IE"/>
        </w:rPr>
        <w:t xml:space="preserve">high proportion of young, export-orientated companies with high levels </w:t>
      </w:r>
      <w:r w:rsidR="0043577A" w:rsidRPr="00C73908">
        <w:rPr>
          <w:rFonts w:ascii="Times New Roman" w:hAnsi="Times New Roman" w:cs="Times New Roman"/>
          <w:lang w:val="en-IE"/>
        </w:rPr>
        <w:t xml:space="preserve">of export intensity </w:t>
      </w:r>
      <w:r w:rsidR="00254B4F" w:rsidRPr="00C73908">
        <w:rPr>
          <w:rFonts w:ascii="Times New Roman" w:hAnsi="Times New Roman" w:cs="Times New Roman"/>
          <w:lang w:val="en-IE"/>
        </w:rPr>
        <w:t>in the EI client base</w:t>
      </w:r>
      <w:r w:rsidR="0043577A" w:rsidRPr="00C73908">
        <w:rPr>
          <w:rFonts w:ascii="Times New Roman" w:hAnsi="Times New Roman" w:cs="Times New Roman"/>
          <w:lang w:val="en-IE"/>
        </w:rPr>
        <w:t>.</w:t>
      </w:r>
    </w:p>
    <w:p w14:paraId="216050A4" w14:textId="37BDFEB4" w:rsidR="0031310D" w:rsidRPr="00C73908" w:rsidRDefault="0031310D" w:rsidP="0031310D">
      <w:pPr>
        <w:rPr>
          <w:rFonts w:ascii="Times New Roman" w:hAnsi="Times New Roman" w:cs="Times New Roman"/>
          <w:lang w:val="en-IE"/>
        </w:rPr>
      </w:pPr>
      <w:r>
        <w:rPr>
          <w:rFonts w:ascii="Times New Roman" w:hAnsi="Times New Roman" w:cs="Times New Roman"/>
          <w:lang w:val="en-IE"/>
        </w:rPr>
        <w:br w:type="page"/>
      </w:r>
    </w:p>
    <w:p w14:paraId="0A03B441" w14:textId="017F6C35" w:rsidR="005036CD" w:rsidRPr="00C73908" w:rsidRDefault="000C4E65" w:rsidP="00501DF4">
      <w:pPr>
        <w:pStyle w:val="Heading1"/>
        <w:numPr>
          <w:ilvl w:val="0"/>
          <w:numId w:val="4"/>
        </w:numPr>
        <w:spacing w:after="240" w:line="360" w:lineRule="auto"/>
        <w:jc w:val="both"/>
        <w:rPr>
          <w:rFonts w:ascii="Times New Roman" w:hAnsi="Times New Roman" w:cs="Times New Roman"/>
          <w:b/>
          <w:bCs/>
          <w:color w:val="0070C0"/>
          <w:lang w:val="en-IE"/>
        </w:rPr>
      </w:pPr>
      <w:bookmarkStart w:id="37" w:name="_Toc67143568"/>
      <w:bookmarkStart w:id="38" w:name="_Toc69198809"/>
      <w:r w:rsidRPr="00C73908">
        <w:rPr>
          <w:rFonts w:ascii="Times New Roman" w:hAnsi="Times New Roman" w:cs="Times New Roman"/>
          <w:b/>
          <w:bCs/>
          <w:color w:val="0070C0"/>
          <w:lang w:val="en-IE"/>
        </w:rPr>
        <w:lastRenderedPageBreak/>
        <w:t>Conclusions</w:t>
      </w:r>
      <w:bookmarkEnd w:id="37"/>
      <w:bookmarkEnd w:id="38"/>
    </w:p>
    <w:p w14:paraId="669DF816" w14:textId="735AEE78" w:rsidR="005C16F2" w:rsidRDefault="004A5A51" w:rsidP="000A7D1F">
      <w:pPr>
        <w:spacing w:after="240" w:line="360" w:lineRule="auto"/>
        <w:jc w:val="both"/>
        <w:rPr>
          <w:rFonts w:ascii="Times New Roman" w:hAnsi="Times New Roman" w:cs="Times New Roman"/>
          <w:lang w:val="en-IE"/>
        </w:rPr>
      </w:pPr>
      <w:r w:rsidRPr="006C4869">
        <w:rPr>
          <w:rFonts w:ascii="Times New Roman" w:hAnsi="Times New Roman" w:cs="Times New Roman"/>
          <w:lang w:val="en-IE"/>
        </w:rPr>
        <w:t xml:space="preserve">This </w:t>
      </w:r>
      <w:r w:rsidR="008300B1">
        <w:rPr>
          <w:rFonts w:ascii="Times New Roman" w:hAnsi="Times New Roman" w:cs="Times New Roman"/>
          <w:lang w:val="en-IE"/>
        </w:rPr>
        <w:t>paper</w:t>
      </w:r>
      <w:r w:rsidRPr="006C4869">
        <w:rPr>
          <w:rFonts w:ascii="Times New Roman" w:hAnsi="Times New Roman" w:cs="Times New Roman"/>
          <w:lang w:val="en-IE"/>
        </w:rPr>
        <w:t xml:space="preserve"> provides novel empirical evidence on the drivers of export performance </w:t>
      </w:r>
      <w:r w:rsidR="0014185B">
        <w:rPr>
          <w:rFonts w:ascii="Times New Roman" w:hAnsi="Times New Roman" w:cs="Times New Roman"/>
          <w:lang w:val="en-IE"/>
        </w:rPr>
        <w:t>among indigenous Irish companies</w:t>
      </w:r>
      <w:r w:rsidRPr="006C4869">
        <w:rPr>
          <w:rFonts w:ascii="Times New Roman" w:hAnsi="Times New Roman" w:cs="Times New Roman"/>
          <w:lang w:val="en-IE"/>
        </w:rPr>
        <w:t xml:space="preserve">. </w:t>
      </w:r>
      <w:r w:rsidR="00C063A5">
        <w:rPr>
          <w:rFonts w:ascii="Times New Roman" w:hAnsi="Times New Roman" w:cs="Times New Roman"/>
          <w:lang w:val="en-IE"/>
        </w:rPr>
        <w:t xml:space="preserve">A key feature of the analysis is that it </w:t>
      </w:r>
      <w:r w:rsidR="00975754">
        <w:rPr>
          <w:rFonts w:ascii="Times New Roman" w:hAnsi="Times New Roman" w:cs="Times New Roman"/>
          <w:lang w:val="en-IE"/>
        </w:rPr>
        <w:t>examines two distinct</w:t>
      </w:r>
      <w:r w:rsidR="005C512B">
        <w:rPr>
          <w:rFonts w:ascii="Times New Roman" w:hAnsi="Times New Roman" w:cs="Times New Roman"/>
          <w:lang w:val="en-IE"/>
        </w:rPr>
        <w:t xml:space="preserve"> aspects of export performance</w:t>
      </w:r>
      <w:r w:rsidR="00762CA3">
        <w:rPr>
          <w:rFonts w:ascii="Times New Roman" w:hAnsi="Times New Roman" w:cs="Times New Roman"/>
          <w:lang w:val="en-IE"/>
        </w:rPr>
        <w:t xml:space="preserve">: the </w:t>
      </w:r>
      <w:r w:rsidR="00762CA3" w:rsidRPr="00C73908">
        <w:rPr>
          <w:rFonts w:ascii="Times New Roman" w:hAnsi="Times New Roman" w:cs="Times New Roman"/>
          <w:lang w:val="en-IE"/>
        </w:rPr>
        <w:t>scale of exports and the level of market diversification</w:t>
      </w:r>
      <w:r w:rsidR="00762CA3">
        <w:rPr>
          <w:rFonts w:ascii="Times New Roman" w:hAnsi="Times New Roman" w:cs="Times New Roman"/>
          <w:lang w:val="en-IE"/>
        </w:rPr>
        <w:t>.</w:t>
      </w:r>
      <w:r w:rsidR="00DE19BC">
        <w:rPr>
          <w:rFonts w:ascii="Times New Roman" w:hAnsi="Times New Roman" w:cs="Times New Roman"/>
          <w:lang w:val="en-IE"/>
        </w:rPr>
        <w:t xml:space="preserve"> </w:t>
      </w:r>
      <w:r w:rsidR="00146CEC">
        <w:rPr>
          <w:rFonts w:ascii="Times New Roman" w:hAnsi="Times New Roman" w:cs="Times New Roman"/>
          <w:lang w:val="en-IE"/>
        </w:rPr>
        <w:t xml:space="preserve">The granularity and size of the dataset allows </w:t>
      </w:r>
      <w:r w:rsidR="00590CAA">
        <w:rPr>
          <w:rFonts w:ascii="Times New Roman" w:hAnsi="Times New Roman" w:cs="Times New Roman"/>
          <w:lang w:val="en-IE"/>
        </w:rPr>
        <w:t xml:space="preserve">for a wide range of variables to </w:t>
      </w:r>
      <w:r w:rsidR="00656AB9">
        <w:rPr>
          <w:rFonts w:ascii="Times New Roman" w:hAnsi="Times New Roman" w:cs="Times New Roman"/>
          <w:lang w:val="en-IE"/>
        </w:rPr>
        <w:t xml:space="preserve">be </w:t>
      </w:r>
      <w:r w:rsidR="006610E7">
        <w:rPr>
          <w:rFonts w:ascii="Times New Roman" w:hAnsi="Times New Roman" w:cs="Times New Roman"/>
          <w:lang w:val="en-IE"/>
        </w:rPr>
        <w:t>analysed with multiple variables for each of the five key factors</w:t>
      </w:r>
      <w:r w:rsidR="00794C79">
        <w:rPr>
          <w:rFonts w:ascii="Times New Roman" w:hAnsi="Times New Roman" w:cs="Times New Roman"/>
          <w:lang w:val="en-IE"/>
        </w:rPr>
        <w:t>: productivity, innovation, skill levels, export promotion policies and firm age</w:t>
      </w:r>
      <w:r w:rsidR="005C16F2">
        <w:rPr>
          <w:rFonts w:ascii="Times New Roman" w:hAnsi="Times New Roman" w:cs="Times New Roman"/>
          <w:lang w:val="en-IE"/>
        </w:rPr>
        <w:t>.</w:t>
      </w:r>
    </w:p>
    <w:p w14:paraId="4F04D0E6" w14:textId="24B15123" w:rsidR="001306F3" w:rsidRDefault="004635A9" w:rsidP="001306F3">
      <w:pPr>
        <w:spacing w:after="240" w:line="360" w:lineRule="auto"/>
        <w:jc w:val="both"/>
        <w:rPr>
          <w:rFonts w:ascii="Times New Roman" w:hAnsi="Times New Roman" w:cs="Times New Roman"/>
          <w:lang w:val="en-IE"/>
        </w:rPr>
      </w:pPr>
      <w:r>
        <w:rPr>
          <w:rFonts w:ascii="Times New Roman" w:hAnsi="Times New Roman" w:cs="Times New Roman"/>
          <w:lang w:val="en-IE"/>
        </w:rPr>
        <w:t>Th</w:t>
      </w:r>
      <w:r w:rsidR="008300B1">
        <w:rPr>
          <w:rFonts w:ascii="Times New Roman" w:hAnsi="Times New Roman" w:cs="Times New Roman"/>
          <w:lang w:val="en-IE"/>
        </w:rPr>
        <w:t>e</w:t>
      </w:r>
      <w:r>
        <w:rPr>
          <w:rFonts w:ascii="Times New Roman" w:hAnsi="Times New Roman" w:cs="Times New Roman"/>
          <w:lang w:val="en-IE"/>
        </w:rPr>
        <w:t xml:space="preserve"> research</w:t>
      </w:r>
      <w:r w:rsidR="00026651">
        <w:rPr>
          <w:rFonts w:ascii="Times New Roman" w:hAnsi="Times New Roman" w:cs="Times New Roman"/>
          <w:lang w:val="en-IE"/>
        </w:rPr>
        <w:t xml:space="preserve"> provides further evidence of the </w:t>
      </w:r>
      <w:r w:rsidR="003A02B0">
        <w:rPr>
          <w:rFonts w:ascii="Times New Roman" w:hAnsi="Times New Roman" w:cs="Times New Roman"/>
          <w:lang w:val="en-IE"/>
        </w:rPr>
        <w:t>critical importance</w:t>
      </w:r>
      <w:r w:rsidR="00026651">
        <w:rPr>
          <w:rFonts w:ascii="Times New Roman" w:hAnsi="Times New Roman" w:cs="Times New Roman"/>
          <w:lang w:val="en-IE"/>
        </w:rPr>
        <w:t xml:space="preserve"> of innovation in driving export growth</w:t>
      </w:r>
      <w:r w:rsidR="00C83B98">
        <w:rPr>
          <w:rFonts w:ascii="Times New Roman" w:hAnsi="Times New Roman" w:cs="Times New Roman"/>
          <w:lang w:val="en-IE"/>
        </w:rPr>
        <w:t xml:space="preserve">. </w:t>
      </w:r>
      <w:r w:rsidR="006D27A2">
        <w:rPr>
          <w:rFonts w:ascii="Times New Roman" w:hAnsi="Times New Roman" w:cs="Times New Roman"/>
          <w:lang w:val="en-IE"/>
        </w:rPr>
        <w:t>The s</w:t>
      </w:r>
      <w:r w:rsidR="00CA10D8" w:rsidRPr="00C73908">
        <w:rPr>
          <w:rFonts w:ascii="Times New Roman" w:hAnsi="Times New Roman" w:cs="Times New Roman"/>
          <w:lang w:val="en-IE"/>
        </w:rPr>
        <w:t xml:space="preserve">ignificant </w:t>
      </w:r>
      <w:r w:rsidR="00B60254" w:rsidRPr="00C73908">
        <w:rPr>
          <w:rFonts w:ascii="Times New Roman" w:hAnsi="Times New Roman" w:cs="Times New Roman"/>
          <w:lang w:val="en-IE"/>
        </w:rPr>
        <w:t xml:space="preserve">positive </w:t>
      </w:r>
      <w:r w:rsidR="00BB4444">
        <w:rPr>
          <w:rFonts w:ascii="Times New Roman" w:hAnsi="Times New Roman" w:cs="Times New Roman"/>
          <w:lang w:val="en-IE"/>
        </w:rPr>
        <w:t>effects of</w:t>
      </w:r>
      <w:r w:rsidR="00FC709B" w:rsidRPr="00C73908">
        <w:rPr>
          <w:rFonts w:ascii="Times New Roman" w:hAnsi="Times New Roman" w:cs="Times New Roman"/>
          <w:lang w:val="en-IE"/>
        </w:rPr>
        <w:t xml:space="preserve"> R&amp;D</w:t>
      </w:r>
      <w:r w:rsidR="006D27A2">
        <w:rPr>
          <w:rFonts w:ascii="Times New Roman" w:hAnsi="Times New Roman" w:cs="Times New Roman"/>
          <w:lang w:val="en-IE"/>
        </w:rPr>
        <w:t xml:space="preserve"> expenditure</w:t>
      </w:r>
      <w:r w:rsidR="00945C07" w:rsidRPr="00C73908">
        <w:rPr>
          <w:rFonts w:ascii="Times New Roman" w:hAnsi="Times New Roman" w:cs="Times New Roman"/>
          <w:lang w:val="en-IE"/>
        </w:rPr>
        <w:t xml:space="preserve"> </w:t>
      </w:r>
      <w:r w:rsidR="0050417A" w:rsidRPr="00C73908">
        <w:rPr>
          <w:rFonts w:ascii="Times New Roman" w:hAnsi="Times New Roman" w:cs="Times New Roman"/>
          <w:lang w:val="en-IE"/>
        </w:rPr>
        <w:t xml:space="preserve">and </w:t>
      </w:r>
      <w:r w:rsidR="00B60254" w:rsidRPr="00C73908">
        <w:rPr>
          <w:rFonts w:ascii="Times New Roman" w:hAnsi="Times New Roman" w:cs="Times New Roman"/>
          <w:lang w:val="en-IE"/>
        </w:rPr>
        <w:t xml:space="preserve">new product development </w:t>
      </w:r>
      <w:r w:rsidR="00BB4444">
        <w:rPr>
          <w:rFonts w:ascii="Times New Roman" w:hAnsi="Times New Roman" w:cs="Times New Roman"/>
          <w:lang w:val="en-IE"/>
        </w:rPr>
        <w:t>on</w:t>
      </w:r>
      <w:r w:rsidR="006D27A2">
        <w:rPr>
          <w:rFonts w:ascii="Times New Roman" w:hAnsi="Times New Roman" w:cs="Times New Roman"/>
          <w:lang w:val="en-IE"/>
        </w:rPr>
        <w:t xml:space="preserve"> </w:t>
      </w:r>
      <w:r w:rsidR="00945C07" w:rsidRPr="00C73908">
        <w:rPr>
          <w:rFonts w:ascii="Times New Roman" w:hAnsi="Times New Roman" w:cs="Times New Roman"/>
          <w:lang w:val="en-IE"/>
        </w:rPr>
        <w:t>export performance</w:t>
      </w:r>
      <w:r w:rsidR="00A27C34" w:rsidRPr="00C73908">
        <w:rPr>
          <w:rFonts w:ascii="Times New Roman" w:hAnsi="Times New Roman" w:cs="Times New Roman"/>
          <w:lang w:val="en-IE"/>
        </w:rPr>
        <w:t xml:space="preserve"> </w:t>
      </w:r>
      <w:r w:rsidR="00B60254" w:rsidRPr="00C73908">
        <w:rPr>
          <w:rFonts w:ascii="Times New Roman" w:hAnsi="Times New Roman" w:cs="Times New Roman"/>
          <w:lang w:val="en-IE"/>
        </w:rPr>
        <w:t xml:space="preserve">suggest that developing </w:t>
      </w:r>
      <w:r w:rsidR="006D27A2">
        <w:rPr>
          <w:rFonts w:ascii="Times New Roman" w:hAnsi="Times New Roman" w:cs="Times New Roman"/>
          <w:lang w:val="en-IE"/>
        </w:rPr>
        <w:t xml:space="preserve">the </w:t>
      </w:r>
      <w:r w:rsidR="00491D37" w:rsidRPr="00C73908">
        <w:rPr>
          <w:rFonts w:ascii="Times New Roman" w:hAnsi="Times New Roman" w:cs="Times New Roman"/>
          <w:lang w:val="en-IE"/>
        </w:rPr>
        <w:t>in-house</w:t>
      </w:r>
      <w:r w:rsidR="00B60254" w:rsidRPr="00C73908">
        <w:rPr>
          <w:rFonts w:ascii="Times New Roman" w:hAnsi="Times New Roman" w:cs="Times New Roman"/>
          <w:lang w:val="en-IE"/>
        </w:rPr>
        <w:t xml:space="preserve"> </w:t>
      </w:r>
      <w:r w:rsidR="00491D37" w:rsidRPr="00C73908">
        <w:rPr>
          <w:rFonts w:ascii="Times New Roman" w:hAnsi="Times New Roman" w:cs="Times New Roman"/>
          <w:lang w:val="en-IE"/>
        </w:rPr>
        <w:t xml:space="preserve">innovation capabilities of Irish companies </w:t>
      </w:r>
      <w:r w:rsidR="00FC709B" w:rsidRPr="00C73908">
        <w:rPr>
          <w:rFonts w:ascii="Times New Roman" w:hAnsi="Times New Roman" w:cs="Times New Roman"/>
          <w:lang w:val="en-IE"/>
        </w:rPr>
        <w:t xml:space="preserve">can </w:t>
      </w:r>
      <w:r w:rsidR="00022498">
        <w:rPr>
          <w:rFonts w:ascii="Times New Roman" w:hAnsi="Times New Roman" w:cs="Times New Roman"/>
          <w:lang w:val="en-IE"/>
        </w:rPr>
        <w:t>contribute</w:t>
      </w:r>
      <w:r w:rsidR="00FC709B" w:rsidRPr="00C73908">
        <w:rPr>
          <w:rFonts w:ascii="Times New Roman" w:hAnsi="Times New Roman" w:cs="Times New Roman"/>
          <w:lang w:val="en-IE"/>
        </w:rPr>
        <w:t xml:space="preserve"> to </w:t>
      </w:r>
      <w:r w:rsidR="006D27A2">
        <w:rPr>
          <w:rFonts w:ascii="Times New Roman" w:hAnsi="Times New Roman" w:cs="Times New Roman"/>
          <w:lang w:val="en-IE"/>
        </w:rPr>
        <w:t xml:space="preserve">their </w:t>
      </w:r>
      <w:r w:rsidR="00FC709B" w:rsidRPr="00C73908">
        <w:rPr>
          <w:rFonts w:ascii="Times New Roman" w:hAnsi="Times New Roman" w:cs="Times New Roman"/>
          <w:lang w:val="en-IE"/>
        </w:rPr>
        <w:t>future export growth.</w:t>
      </w:r>
      <w:r w:rsidR="00137171">
        <w:rPr>
          <w:rFonts w:ascii="Times New Roman" w:hAnsi="Times New Roman" w:cs="Times New Roman"/>
          <w:lang w:val="en-IE"/>
        </w:rPr>
        <w:t xml:space="preserve"> </w:t>
      </w:r>
      <w:r w:rsidR="00D9620B">
        <w:rPr>
          <w:rFonts w:ascii="Times New Roman" w:hAnsi="Times New Roman" w:cs="Times New Roman"/>
          <w:lang w:val="en-IE"/>
        </w:rPr>
        <w:t>During the financial crisis</w:t>
      </w:r>
      <w:r w:rsidR="00A91FE6">
        <w:rPr>
          <w:rFonts w:ascii="Times New Roman" w:hAnsi="Times New Roman" w:cs="Times New Roman"/>
          <w:lang w:val="en-IE"/>
        </w:rPr>
        <w:t xml:space="preserve"> </w:t>
      </w:r>
      <w:r w:rsidR="002654CB">
        <w:rPr>
          <w:rFonts w:ascii="Times New Roman" w:hAnsi="Times New Roman" w:cs="Times New Roman"/>
          <w:lang w:val="en-IE"/>
        </w:rPr>
        <w:t xml:space="preserve">from 2008 to 2010 </w:t>
      </w:r>
      <w:r w:rsidR="008E1E4A">
        <w:rPr>
          <w:rFonts w:ascii="Times New Roman" w:hAnsi="Times New Roman" w:cs="Times New Roman"/>
          <w:lang w:val="en-IE"/>
        </w:rPr>
        <w:t xml:space="preserve">the level of </w:t>
      </w:r>
      <w:r w:rsidR="00A91FE6">
        <w:rPr>
          <w:rFonts w:ascii="Times New Roman" w:hAnsi="Times New Roman" w:cs="Times New Roman"/>
          <w:lang w:val="en-IE"/>
        </w:rPr>
        <w:t>investment in R&amp;D</w:t>
      </w:r>
      <w:r w:rsidR="00533D6C">
        <w:rPr>
          <w:rFonts w:ascii="Times New Roman" w:hAnsi="Times New Roman" w:cs="Times New Roman"/>
          <w:lang w:val="en-IE"/>
        </w:rPr>
        <w:t xml:space="preserve"> among EI client</w:t>
      </w:r>
      <w:r w:rsidR="00F25CB9">
        <w:rPr>
          <w:rFonts w:ascii="Times New Roman" w:hAnsi="Times New Roman" w:cs="Times New Roman"/>
          <w:lang w:val="en-IE"/>
        </w:rPr>
        <w:t xml:space="preserve"> companies</w:t>
      </w:r>
      <w:r w:rsidR="00A91FE6">
        <w:rPr>
          <w:rFonts w:ascii="Times New Roman" w:hAnsi="Times New Roman" w:cs="Times New Roman"/>
          <w:lang w:val="en-IE"/>
        </w:rPr>
        <w:t xml:space="preserve"> </w:t>
      </w:r>
      <w:r w:rsidR="00727C41">
        <w:rPr>
          <w:rFonts w:ascii="Times New Roman" w:hAnsi="Times New Roman" w:cs="Times New Roman"/>
          <w:lang w:val="en-IE"/>
        </w:rPr>
        <w:t xml:space="preserve">remained stable and </w:t>
      </w:r>
      <w:r w:rsidR="00A91FE6">
        <w:rPr>
          <w:rFonts w:ascii="Times New Roman" w:hAnsi="Times New Roman" w:cs="Times New Roman"/>
          <w:lang w:val="en-IE"/>
        </w:rPr>
        <w:t xml:space="preserve">actually increased for many companies and this </w:t>
      </w:r>
      <w:r w:rsidR="00C9197E">
        <w:rPr>
          <w:rFonts w:ascii="Times New Roman" w:hAnsi="Times New Roman" w:cs="Times New Roman"/>
          <w:lang w:val="en-IE"/>
        </w:rPr>
        <w:t xml:space="preserve">contributed to </w:t>
      </w:r>
      <w:r w:rsidR="00F25CB9">
        <w:rPr>
          <w:rFonts w:ascii="Times New Roman" w:hAnsi="Times New Roman" w:cs="Times New Roman"/>
          <w:lang w:val="en-IE"/>
        </w:rPr>
        <w:t xml:space="preserve">their </w:t>
      </w:r>
      <w:r w:rsidR="00FB2F85">
        <w:rPr>
          <w:rFonts w:ascii="Times New Roman" w:hAnsi="Times New Roman" w:cs="Times New Roman"/>
          <w:lang w:val="en-IE"/>
        </w:rPr>
        <w:t>strong export growth in the following decade.</w:t>
      </w:r>
      <w:r w:rsidR="00A91FE6">
        <w:rPr>
          <w:rFonts w:ascii="Times New Roman" w:hAnsi="Times New Roman" w:cs="Times New Roman"/>
          <w:lang w:val="en-IE"/>
        </w:rPr>
        <w:t xml:space="preserve"> </w:t>
      </w:r>
      <w:r w:rsidR="00C458AA">
        <w:rPr>
          <w:rFonts w:ascii="Times New Roman" w:hAnsi="Times New Roman" w:cs="Times New Roman"/>
          <w:lang w:val="en-IE"/>
        </w:rPr>
        <w:t xml:space="preserve">This </w:t>
      </w:r>
      <w:r w:rsidR="00394CB5">
        <w:rPr>
          <w:rFonts w:ascii="Times New Roman" w:hAnsi="Times New Roman" w:cs="Times New Roman"/>
          <w:lang w:val="en-IE"/>
        </w:rPr>
        <w:t xml:space="preserve">indicates an </w:t>
      </w:r>
      <w:r w:rsidR="002B63B8">
        <w:rPr>
          <w:rFonts w:ascii="Times New Roman" w:hAnsi="Times New Roman" w:cs="Times New Roman"/>
          <w:lang w:val="en-IE"/>
        </w:rPr>
        <w:t>important</w:t>
      </w:r>
      <w:r w:rsidR="00C458AA">
        <w:rPr>
          <w:rFonts w:ascii="Times New Roman" w:hAnsi="Times New Roman" w:cs="Times New Roman"/>
          <w:lang w:val="en-IE"/>
        </w:rPr>
        <w:t xml:space="preserve"> role for p</w:t>
      </w:r>
      <w:r w:rsidR="001252A8">
        <w:rPr>
          <w:rFonts w:ascii="Times New Roman" w:hAnsi="Times New Roman" w:cs="Times New Roman"/>
          <w:lang w:val="en-IE"/>
        </w:rPr>
        <w:t xml:space="preserve">ublic policy </w:t>
      </w:r>
      <w:r w:rsidR="002B63B8">
        <w:rPr>
          <w:rFonts w:ascii="Times New Roman" w:hAnsi="Times New Roman" w:cs="Times New Roman"/>
          <w:lang w:val="en-IE"/>
        </w:rPr>
        <w:t xml:space="preserve">in </w:t>
      </w:r>
      <w:r w:rsidR="000C27CA">
        <w:rPr>
          <w:rFonts w:ascii="Times New Roman" w:hAnsi="Times New Roman" w:cs="Times New Roman"/>
          <w:lang w:val="en-IE"/>
        </w:rPr>
        <w:t>incentivis</w:t>
      </w:r>
      <w:r w:rsidR="002B63B8">
        <w:rPr>
          <w:rFonts w:ascii="Times New Roman" w:hAnsi="Times New Roman" w:cs="Times New Roman"/>
          <w:lang w:val="en-IE"/>
        </w:rPr>
        <w:t>ing</w:t>
      </w:r>
      <w:r w:rsidR="000C27CA">
        <w:rPr>
          <w:rFonts w:ascii="Times New Roman" w:hAnsi="Times New Roman" w:cs="Times New Roman"/>
          <w:lang w:val="en-IE"/>
        </w:rPr>
        <w:t xml:space="preserve"> and </w:t>
      </w:r>
      <w:r w:rsidR="00204C25">
        <w:rPr>
          <w:rFonts w:ascii="Times New Roman" w:hAnsi="Times New Roman" w:cs="Times New Roman"/>
          <w:lang w:val="en-IE"/>
        </w:rPr>
        <w:t>support</w:t>
      </w:r>
      <w:r w:rsidR="002B63B8">
        <w:rPr>
          <w:rFonts w:ascii="Times New Roman" w:hAnsi="Times New Roman" w:cs="Times New Roman"/>
          <w:lang w:val="en-IE"/>
        </w:rPr>
        <w:t>ing</w:t>
      </w:r>
      <w:r w:rsidR="00204C25">
        <w:rPr>
          <w:rFonts w:ascii="Times New Roman" w:hAnsi="Times New Roman" w:cs="Times New Roman"/>
          <w:lang w:val="en-IE"/>
        </w:rPr>
        <w:t xml:space="preserve"> companies to engage in</w:t>
      </w:r>
      <w:r w:rsidR="005F7FAF">
        <w:rPr>
          <w:rFonts w:ascii="Times New Roman" w:hAnsi="Times New Roman" w:cs="Times New Roman"/>
          <w:lang w:val="en-IE"/>
        </w:rPr>
        <w:t xml:space="preserve"> innovation </w:t>
      </w:r>
      <w:r w:rsidR="00AD5451">
        <w:rPr>
          <w:rFonts w:ascii="Times New Roman" w:hAnsi="Times New Roman" w:cs="Times New Roman"/>
          <w:lang w:val="en-IE"/>
        </w:rPr>
        <w:t xml:space="preserve">in order </w:t>
      </w:r>
      <w:r w:rsidR="005F7FAF">
        <w:rPr>
          <w:rFonts w:ascii="Times New Roman" w:hAnsi="Times New Roman" w:cs="Times New Roman"/>
          <w:lang w:val="en-IE"/>
        </w:rPr>
        <w:t xml:space="preserve">to </w:t>
      </w:r>
      <w:r w:rsidR="00437E97">
        <w:rPr>
          <w:rFonts w:ascii="Times New Roman" w:hAnsi="Times New Roman" w:cs="Times New Roman"/>
          <w:lang w:val="en-IE"/>
        </w:rPr>
        <w:t xml:space="preserve">generate export growth in the coming years and </w:t>
      </w:r>
      <w:r w:rsidR="005F7FAF">
        <w:rPr>
          <w:rFonts w:ascii="Times New Roman" w:hAnsi="Times New Roman" w:cs="Times New Roman"/>
          <w:lang w:val="en-IE"/>
        </w:rPr>
        <w:t xml:space="preserve">recover from the </w:t>
      </w:r>
      <w:r w:rsidR="00DC64D0">
        <w:rPr>
          <w:rFonts w:ascii="Times New Roman" w:hAnsi="Times New Roman" w:cs="Times New Roman"/>
          <w:lang w:val="en-IE"/>
        </w:rPr>
        <w:t xml:space="preserve">economic damage </w:t>
      </w:r>
      <w:r w:rsidR="00C91D0E">
        <w:rPr>
          <w:rFonts w:ascii="Times New Roman" w:hAnsi="Times New Roman" w:cs="Times New Roman"/>
          <w:lang w:val="en-IE"/>
        </w:rPr>
        <w:t>caused</w:t>
      </w:r>
      <w:r w:rsidR="00FF4BEB">
        <w:rPr>
          <w:rFonts w:ascii="Times New Roman" w:hAnsi="Times New Roman" w:cs="Times New Roman"/>
          <w:lang w:val="en-IE"/>
        </w:rPr>
        <w:t xml:space="preserve"> by the pandemic</w:t>
      </w:r>
      <w:r w:rsidR="005435F7">
        <w:rPr>
          <w:rFonts w:ascii="Times New Roman" w:hAnsi="Times New Roman" w:cs="Times New Roman"/>
          <w:lang w:val="en-IE"/>
        </w:rPr>
        <w:t>. T</w:t>
      </w:r>
      <w:r w:rsidR="00137171" w:rsidRPr="001252A8">
        <w:rPr>
          <w:rFonts w:ascii="Times New Roman" w:hAnsi="Times New Roman" w:cs="Times New Roman"/>
          <w:lang w:val="en-IE"/>
        </w:rPr>
        <w:t xml:space="preserve">his is particularly </w:t>
      </w:r>
      <w:r w:rsidR="007C6E1F">
        <w:rPr>
          <w:rFonts w:ascii="Times New Roman" w:hAnsi="Times New Roman" w:cs="Times New Roman"/>
          <w:lang w:val="en-IE"/>
        </w:rPr>
        <w:t xml:space="preserve">important </w:t>
      </w:r>
      <w:r w:rsidR="00137171" w:rsidRPr="001252A8">
        <w:rPr>
          <w:rFonts w:ascii="Times New Roman" w:hAnsi="Times New Roman" w:cs="Times New Roman"/>
          <w:lang w:val="en-IE"/>
        </w:rPr>
        <w:t>given the</w:t>
      </w:r>
      <w:r w:rsidR="00ED4F13">
        <w:rPr>
          <w:rFonts w:ascii="Times New Roman" w:hAnsi="Times New Roman" w:cs="Times New Roman"/>
          <w:lang w:val="en-IE"/>
        </w:rPr>
        <w:t xml:space="preserve"> general</w:t>
      </w:r>
      <w:r w:rsidR="00137171" w:rsidRPr="001252A8">
        <w:rPr>
          <w:rFonts w:ascii="Times New Roman" w:hAnsi="Times New Roman" w:cs="Times New Roman"/>
          <w:lang w:val="en-IE"/>
        </w:rPr>
        <w:t xml:space="preserve"> declines in both R&amp;D intensit</w:t>
      </w:r>
      <w:r w:rsidR="009940DD">
        <w:rPr>
          <w:rFonts w:ascii="Times New Roman" w:hAnsi="Times New Roman" w:cs="Times New Roman"/>
          <w:lang w:val="en-IE"/>
        </w:rPr>
        <w:t>y</w:t>
      </w:r>
      <w:r w:rsidR="00137171" w:rsidRPr="001252A8">
        <w:rPr>
          <w:rFonts w:ascii="Times New Roman" w:hAnsi="Times New Roman" w:cs="Times New Roman"/>
          <w:lang w:val="en-IE"/>
        </w:rPr>
        <w:t xml:space="preserve"> and the proportion of sales generated </w:t>
      </w:r>
      <w:r w:rsidR="00E046F6" w:rsidRPr="001252A8">
        <w:rPr>
          <w:rFonts w:ascii="Times New Roman" w:hAnsi="Times New Roman" w:cs="Times New Roman"/>
          <w:lang w:val="en-IE"/>
        </w:rPr>
        <w:t>from new products over the past decade.</w:t>
      </w:r>
      <w:r w:rsidR="006D02DB">
        <w:rPr>
          <w:rFonts w:ascii="Times New Roman" w:hAnsi="Times New Roman" w:cs="Times New Roman"/>
          <w:lang w:val="en-IE"/>
        </w:rPr>
        <w:t xml:space="preserve"> The analysis finds no significant relationship between </w:t>
      </w:r>
      <w:r w:rsidR="002236CD">
        <w:rPr>
          <w:rFonts w:ascii="Times New Roman" w:hAnsi="Times New Roman" w:cs="Times New Roman"/>
          <w:lang w:val="en-IE"/>
        </w:rPr>
        <w:t xml:space="preserve">engagement in </w:t>
      </w:r>
      <w:r w:rsidR="006D02DB">
        <w:rPr>
          <w:rFonts w:ascii="Times New Roman" w:hAnsi="Times New Roman" w:cs="Times New Roman"/>
          <w:lang w:val="en-IE"/>
        </w:rPr>
        <w:t xml:space="preserve">collaborative R&amp;D and export performance. However, </w:t>
      </w:r>
      <w:r w:rsidR="00813E7C">
        <w:rPr>
          <w:rFonts w:ascii="Times New Roman" w:hAnsi="Times New Roman" w:cs="Times New Roman"/>
          <w:lang w:val="en-IE"/>
        </w:rPr>
        <w:t xml:space="preserve">given the </w:t>
      </w:r>
      <w:r w:rsidR="001D2E4B">
        <w:rPr>
          <w:rFonts w:ascii="Times New Roman" w:hAnsi="Times New Roman" w:cs="Times New Roman"/>
          <w:lang w:val="en-IE"/>
        </w:rPr>
        <w:t xml:space="preserve">possible </w:t>
      </w:r>
      <w:r w:rsidR="00E230B3">
        <w:rPr>
          <w:rFonts w:ascii="Times New Roman" w:hAnsi="Times New Roman" w:cs="Times New Roman"/>
          <w:lang w:val="en-IE"/>
        </w:rPr>
        <w:t xml:space="preserve">limitations in the indicator </w:t>
      </w:r>
      <w:r w:rsidR="001D2E4B">
        <w:rPr>
          <w:rFonts w:ascii="Times New Roman" w:hAnsi="Times New Roman" w:cs="Times New Roman"/>
          <w:lang w:val="en-IE"/>
        </w:rPr>
        <w:t xml:space="preserve">used, there </w:t>
      </w:r>
      <w:r w:rsidR="00712C4B">
        <w:rPr>
          <w:rFonts w:ascii="Times New Roman" w:hAnsi="Times New Roman" w:cs="Times New Roman"/>
          <w:lang w:val="en-IE"/>
        </w:rPr>
        <w:t>may be</w:t>
      </w:r>
      <w:r w:rsidR="001D2E4B">
        <w:rPr>
          <w:rFonts w:ascii="Times New Roman" w:hAnsi="Times New Roman" w:cs="Times New Roman"/>
          <w:lang w:val="en-IE"/>
        </w:rPr>
        <w:t xml:space="preserve"> scope for further research in</w:t>
      </w:r>
      <w:r w:rsidR="00DA1E8D">
        <w:rPr>
          <w:rFonts w:ascii="Times New Roman" w:hAnsi="Times New Roman" w:cs="Times New Roman"/>
          <w:lang w:val="en-IE"/>
        </w:rPr>
        <w:t>to the benefits of engaging in collaborative innovation.</w:t>
      </w:r>
    </w:p>
    <w:p w14:paraId="2BBFEE34" w14:textId="7361E1BD" w:rsidR="00171BCA" w:rsidRDefault="000A0A5F" w:rsidP="001306F3">
      <w:pPr>
        <w:spacing w:after="240" w:line="360" w:lineRule="auto"/>
        <w:jc w:val="both"/>
        <w:rPr>
          <w:rFonts w:ascii="Times New Roman" w:hAnsi="Times New Roman" w:cs="Times New Roman"/>
          <w:lang w:val="en-IE"/>
        </w:rPr>
      </w:pPr>
      <w:r>
        <w:rPr>
          <w:rFonts w:ascii="Times New Roman" w:hAnsi="Times New Roman" w:cs="Times New Roman"/>
          <w:lang w:val="en-IE"/>
        </w:rPr>
        <w:t xml:space="preserve">The </w:t>
      </w:r>
      <w:r w:rsidR="00E02F4D">
        <w:rPr>
          <w:rFonts w:ascii="Times New Roman" w:hAnsi="Times New Roman" w:cs="Times New Roman"/>
          <w:lang w:val="en-IE"/>
        </w:rPr>
        <w:t>analysis finds</w:t>
      </w:r>
      <w:r w:rsidR="00A6393B" w:rsidRPr="00A6393B">
        <w:rPr>
          <w:rFonts w:ascii="Times New Roman" w:hAnsi="Times New Roman" w:cs="Times New Roman"/>
          <w:lang w:val="en-IE"/>
        </w:rPr>
        <w:t xml:space="preserve"> no </w:t>
      </w:r>
      <w:r w:rsidR="00F56013">
        <w:rPr>
          <w:rFonts w:ascii="Times New Roman" w:hAnsi="Times New Roman" w:cs="Times New Roman"/>
          <w:lang w:val="en-IE"/>
        </w:rPr>
        <w:t xml:space="preserve">significant relationship between </w:t>
      </w:r>
      <w:r w:rsidR="00D8793C">
        <w:rPr>
          <w:rFonts w:ascii="Times New Roman" w:hAnsi="Times New Roman" w:cs="Times New Roman"/>
          <w:lang w:val="en-IE"/>
        </w:rPr>
        <w:t xml:space="preserve">productivity levels, measured as </w:t>
      </w:r>
      <w:r w:rsidR="00A6393B" w:rsidRPr="00A6393B">
        <w:rPr>
          <w:rFonts w:ascii="Times New Roman" w:hAnsi="Times New Roman" w:cs="Times New Roman"/>
          <w:lang w:val="en-IE"/>
        </w:rPr>
        <w:t>value added per employee</w:t>
      </w:r>
      <w:r w:rsidR="00D8793C">
        <w:rPr>
          <w:rFonts w:ascii="Times New Roman" w:hAnsi="Times New Roman" w:cs="Times New Roman"/>
          <w:lang w:val="en-IE"/>
        </w:rPr>
        <w:t>,</w:t>
      </w:r>
      <w:r w:rsidR="00A6393B" w:rsidRPr="00A6393B">
        <w:rPr>
          <w:rFonts w:ascii="Times New Roman" w:hAnsi="Times New Roman" w:cs="Times New Roman"/>
          <w:lang w:val="en-IE"/>
        </w:rPr>
        <w:t xml:space="preserve"> </w:t>
      </w:r>
      <w:r w:rsidR="00D8793C">
        <w:rPr>
          <w:rFonts w:ascii="Times New Roman" w:hAnsi="Times New Roman" w:cs="Times New Roman"/>
          <w:lang w:val="en-IE"/>
        </w:rPr>
        <w:t xml:space="preserve">and </w:t>
      </w:r>
      <w:r w:rsidR="00A6393B" w:rsidRPr="00A6393B">
        <w:rPr>
          <w:rFonts w:ascii="Times New Roman" w:hAnsi="Times New Roman" w:cs="Times New Roman"/>
          <w:lang w:val="en-IE"/>
        </w:rPr>
        <w:t xml:space="preserve">export performance </w:t>
      </w:r>
      <w:r w:rsidR="00D8793C">
        <w:rPr>
          <w:rFonts w:ascii="Times New Roman" w:hAnsi="Times New Roman" w:cs="Times New Roman"/>
          <w:lang w:val="en-IE"/>
        </w:rPr>
        <w:t>among manufacturing companies</w:t>
      </w:r>
      <w:r w:rsidR="00A6393B" w:rsidRPr="00A6393B">
        <w:rPr>
          <w:rFonts w:ascii="Times New Roman" w:hAnsi="Times New Roman" w:cs="Times New Roman"/>
          <w:lang w:val="en-IE"/>
        </w:rPr>
        <w:t>.</w:t>
      </w:r>
      <w:r w:rsidR="002E5632">
        <w:rPr>
          <w:rFonts w:ascii="Times New Roman" w:hAnsi="Times New Roman" w:cs="Times New Roman"/>
          <w:lang w:val="en-IE"/>
        </w:rPr>
        <w:t xml:space="preserve"> </w:t>
      </w:r>
      <w:r w:rsidR="00CE2FD6">
        <w:rPr>
          <w:rFonts w:ascii="Times New Roman" w:hAnsi="Times New Roman" w:cs="Times New Roman"/>
          <w:lang w:val="en-IE"/>
        </w:rPr>
        <w:t>A</w:t>
      </w:r>
      <w:r w:rsidR="002E5632">
        <w:rPr>
          <w:rFonts w:ascii="Times New Roman" w:hAnsi="Times New Roman" w:cs="Times New Roman"/>
          <w:lang w:val="en-IE"/>
        </w:rPr>
        <w:t xml:space="preserve"> small negative relationship </w:t>
      </w:r>
      <w:r w:rsidR="00CE2FD6">
        <w:rPr>
          <w:rFonts w:ascii="Times New Roman" w:hAnsi="Times New Roman" w:cs="Times New Roman"/>
          <w:lang w:val="en-IE"/>
        </w:rPr>
        <w:t xml:space="preserve">is </w:t>
      </w:r>
      <w:r w:rsidR="002E5632">
        <w:rPr>
          <w:rFonts w:ascii="Times New Roman" w:hAnsi="Times New Roman" w:cs="Times New Roman"/>
          <w:lang w:val="en-IE"/>
        </w:rPr>
        <w:t>identified</w:t>
      </w:r>
      <w:r w:rsidR="00421BAE">
        <w:rPr>
          <w:rFonts w:ascii="Times New Roman" w:hAnsi="Times New Roman" w:cs="Times New Roman"/>
          <w:lang w:val="en-IE"/>
        </w:rPr>
        <w:t xml:space="preserve"> </w:t>
      </w:r>
      <w:r w:rsidR="00A027A0">
        <w:rPr>
          <w:rFonts w:ascii="Times New Roman" w:hAnsi="Times New Roman" w:cs="Times New Roman"/>
          <w:lang w:val="en-IE"/>
        </w:rPr>
        <w:t>among services companies.</w:t>
      </w:r>
      <w:r w:rsidR="004C7419">
        <w:rPr>
          <w:rFonts w:ascii="Times New Roman" w:hAnsi="Times New Roman" w:cs="Times New Roman"/>
          <w:lang w:val="en-IE"/>
        </w:rPr>
        <w:t xml:space="preserve"> Th</w:t>
      </w:r>
      <w:r w:rsidR="00AF5197">
        <w:rPr>
          <w:rFonts w:ascii="Times New Roman" w:hAnsi="Times New Roman" w:cs="Times New Roman"/>
          <w:lang w:val="en-IE"/>
        </w:rPr>
        <w:t>ese results may be due to the</w:t>
      </w:r>
      <w:r w:rsidR="00E01E53">
        <w:rPr>
          <w:rFonts w:ascii="Times New Roman" w:hAnsi="Times New Roman" w:cs="Times New Roman"/>
          <w:lang w:val="en-IE"/>
        </w:rPr>
        <w:t xml:space="preserve"> characteristics of the sample used in the analysis. </w:t>
      </w:r>
      <w:r w:rsidR="00BC1573">
        <w:rPr>
          <w:rFonts w:ascii="Times New Roman" w:hAnsi="Times New Roman" w:cs="Times New Roman"/>
          <w:lang w:val="en-IE"/>
        </w:rPr>
        <w:t xml:space="preserve">Comparisons with external data sources indicate </w:t>
      </w:r>
      <w:r w:rsidR="008A6328" w:rsidRPr="00A6393B">
        <w:rPr>
          <w:rFonts w:ascii="Times New Roman" w:hAnsi="Times New Roman" w:cs="Times New Roman"/>
          <w:lang w:val="en-IE"/>
        </w:rPr>
        <w:t xml:space="preserve">that EI client companies </w:t>
      </w:r>
      <w:r w:rsidR="008A6328">
        <w:rPr>
          <w:rFonts w:ascii="Times New Roman" w:hAnsi="Times New Roman" w:cs="Times New Roman"/>
          <w:lang w:val="en-IE"/>
        </w:rPr>
        <w:t>tend to have higher levels of productivity</w:t>
      </w:r>
      <w:r w:rsidR="008A6328" w:rsidRPr="00A6393B">
        <w:rPr>
          <w:rFonts w:ascii="Times New Roman" w:hAnsi="Times New Roman" w:cs="Times New Roman"/>
          <w:lang w:val="en-IE"/>
        </w:rPr>
        <w:t xml:space="preserve"> relative to all companies in the wider enterprise base</w:t>
      </w:r>
      <w:r w:rsidR="008A6328">
        <w:rPr>
          <w:rFonts w:ascii="Times New Roman" w:hAnsi="Times New Roman" w:cs="Times New Roman"/>
          <w:lang w:val="en-IE"/>
        </w:rPr>
        <w:t xml:space="preserve">. </w:t>
      </w:r>
      <w:r w:rsidR="0078620F" w:rsidRPr="00A6393B">
        <w:rPr>
          <w:rFonts w:ascii="Times New Roman" w:hAnsi="Times New Roman" w:cs="Times New Roman"/>
          <w:lang w:val="en-IE"/>
        </w:rPr>
        <w:t>Th</w:t>
      </w:r>
      <w:r w:rsidR="0078620F">
        <w:rPr>
          <w:rFonts w:ascii="Times New Roman" w:hAnsi="Times New Roman" w:cs="Times New Roman"/>
          <w:lang w:val="en-IE"/>
        </w:rPr>
        <w:t>e analysis</w:t>
      </w:r>
      <w:r w:rsidR="0078620F" w:rsidRPr="00A6393B">
        <w:rPr>
          <w:rFonts w:ascii="Times New Roman" w:hAnsi="Times New Roman" w:cs="Times New Roman"/>
          <w:lang w:val="en-IE"/>
        </w:rPr>
        <w:t xml:space="preserve"> </w:t>
      </w:r>
      <w:r w:rsidR="0078620F">
        <w:rPr>
          <w:rFonts w:ascii="Times New Roman" w:hAnsi="Times New Roman" w:cs="Times New Roman"/>
          <w:lang w:val="en-IE"/>
        </w:rPr>
        <w:t xml:space="preserve">also </w:t>
      </w:r>
      <w:r w:rsidR="0078620F" w:rsidRPr="00A6393B">
        <w:rPr>
          <w:rFonts w:ascii="Times New Roman" w:hAnsi="Times New Roman" w:cs="Times New Roman"/>
          <w:lang w:val="en-IE"/>
        </w:rPr>
        <w:t xml:space="preserve">highlights </w:t>
      </w:r>
      <w:r w:rsidR="0078620F">
        <w:rPr>
          <w:rFonts w:ascii="Times New Roman" w:hAnsi="Times New Roman" w:cs="Times New Roman"/>
          <w:lang w:val="en-IE"/>
        </w:rPr>
        <w:t xml:space="preserve">the complexity of </w:t>
      </w:r>
      <w:r w:rsidR="0078620F" w:rsidRPr="00A6393B">
        <w:rPr>
          <w:rFonts w:ascii="Times New Roman" w:hAnsi="Times New Roman" w:cs="Times New Roman"/>
          <w:lang w:val="en-IE"/>
        </w:rPr>
        <w:t xml:space="preserve">measuring </w:t>
      </w:r>
      <w:r w:rsidR="0078620F">
        <w:rPr>
          <w:rFonts w:ascii="Times New Roman" w:hAnsi="Times New Roman" w:cs="Times New Roman"/>
          <w:lang w:val="en-IE"/>
        </w:rPr>
        <w:t>productivity at the firm level</w:t>
      </w:r>
      <w:r w:rsidR="0078620F" w:rsidRPr="00A6393B">
        <w:rPr>
          <w:rFonts w:ascii="Times New Roman" w:hAnsi="Times New Roman" w:cs="Times New Roman"/>
          <w:lang w:val="en-IE"/>
        </w:rPr>
        <w:t xml:space="preserve"> as it is a function of multiple</w:t>
      </w:r>
      <w:r w:rsidR="0078620F">
        <w:rPr>
          <w:rFonts w:ascii="Times New Roman" w:hAnsi="Times New Roman" w:cs="Times New Roman"/>
          <w:lang w:val="en-IE"/>
        </w:rPr>
        <w:t xml:space="preserve"> granular</w:t>
      </w:r>
      <w:r w:rsidR="0078620F" w:rsidRPr="00A6393B">
        <w:rPr>
          <w:rFonts w:ascii="Times New Roman" w:hAnsi="Times New Roman" w:cs="Times New Roman"/>
          <w:lang w:val="en-IE"/>
        </w:rPr>
        <w:t xml:space="preserve"> inputs </w:t>
      </w:r>
      <w:r w:rsidR="0078620F">
        <w:rPr>
          <w:rFonts w:ascii="Times New Roman" w:hAnsi="Times New Roman" w:cs="Times New Roman"/>
          <w:lang w:val="en-IE"/>
        </w:rPr>
        <w:t>and</w:t>
      </w:r>
      <w:r w:rsidR="0078620F" w:rsidRPr="00A6393B">
        <w:rPr>
          <w:rFonts w:ascii="Times New Roman" w:hAnsi="Times New Roman" w:cs="Times New Roman"/>
          <w:lang w:val="en-IE"/>
        </w:rPr>
        <w:t xml:space="preserve"> can vary depending on a wide range of factors</w:t>
      </w:r>
      <w:r w:rsidR="0078620F">
        <w:rPr>
          <w:rFonts w:ascii="Times New Roman" w:hAnsi="Times New Roman" w:cs="Times New Roman"/>
          <w:lang w:val="en-IE"/>
        </w:rPr>
        <w:t xml:space="preserve">. </w:t>
      </w:r>
      <w:r w:rsidR="008C24C9">
        <w:rPr>
          <w:rFonts w:ascii="Times New Roman" w:hAnsi="Times New Roman" w:cs="Times New Roman"/>
          <w:lang w:val="en-IE"/>
        </w:rPr>
        <w:t>F</w:t>
      </w:r>
      <w:r w:rsidR="00A6393B" w:rsidRPr="00A6393B">
        <w:rPr>
          <w:rFonts w:ascii="Times New Roman" w:hAnsi="Times New Roman" w:cs="Times New Roman"/>
          <w:lang w:val="en-IE"/>
        </w:rPr>
        <w:t>unding supports for capital investment are</w:t>
      </w:r>
      <w:r w:rsidR="008C24C9">
        <w:rPr>
          <w:rFonts w:ascii="Times New Roman" w:hAnsi="Times New Roman" w:cs="Times New Roman"/>
          <w:lang w:val="en-IE"/>
        </w:rPr>
        <w:t>, however,</w:t>
      </w:r>
      <w:r w:rsidR="00A6393B" w:rsidRPr="00A6393B">
        <w:rPr>
          <w:rFonts w:ascii="Times New Roman" w:hAnsi="Times New Roman" w:cs="Times New Roman"/>
          <w:lang w:val="en-IE"/>
        </w:rPr>
        <w:t xml:space="preserve"> found to have a positive influence on export</w:t>
      </w:r>
      <w:r w:rsidR="00C36978">
        <w:rPr>
          <w:rFonts w:ascii="Times New Roman" w:hAnsi="Times New Roman" w:cs="Times New Roman"/>
          <w:lang w:val="en-IE"/>
        </w:rPr>
        <w:t xml:space="preserve"> level</w:t>
      </w:r>
      <w:r w:rsidR="00A6393B" w:rsidRPr="00A6393B">
        <w:rPr>
          <w:rFonts w:ascii="Times New Roman" w:hAnsi="Times New Roman" w:cs="Times New Roman"/>
          <w:lang w:val="en-IE"/>
        </w:rPr>
        <w:t>s</w:t>
      </w:r>
      <w:r w:rsidR="00A027A0">
        <w:rPr>
          <w:rFonts w:ascii="Times New Roman" w:hAnsi="Times New Roman" w:cs="Times New Roman"/>
          <w:lang w:val="en-IE"/>
        </w:rPr>
        <w:t xml:space="preserve"> in the manufacturing sector</w:t>
      </w:r>
      <w:r w:rsidR="00A6393B" w:rsidRPr="00A6393B">
        <w:rPr>
          <w:rFonts w:ascii="Times New Roman" w:hAnsi="Times New Roman" w:cs="Times New Roman"/>
          <w:lang w:val="en-IE"/>
        </w:rPr>
        <w:t>.</w:t>
      </w:r>
      <w:r w:rsidR="002E3C0E">
        <w:rPr>
          <w:rFonts w:ascii="Times New Roman" w:hAnsi="Times New Roman" w:cs="Times New Roman"/>
          <w:lang w:val="en-IE"/>
        </w:rPr>
        <w:t xml:space="preserve"> </w:t>
      </w:r>
      <w:r w:rsidR="00F313C4" w:rsidRPr="00C73908">
        <w:rPr>
          <w:rFonts w:ascii="Times New Roman" w:hAnsi="Times New Roman" w:cs="Times New Roman"/>
          <w:lang w:val="en-IE"/>
        </w:rPr>
        <w:t xml:space="preserve">This </w:t>
      </w:r>
      <w:r w:rsidR="00F64C3A">
        <w:rPr>
          <w:rFonts w:ascii="Times New Roman" w:hAnsi="Times New Roman" w:cs="Times New Roman"/>
          <w:lang w:val="en-IE"/>
        </w:rPr>
        <w:t xml:space="preserve">indicates </w:t>
      </w:r>
      <w:r w:rsidR="00112DAC">
        <w:rPr>
          <w:rFonts w:ascii="Times New Roman" w:hAnsi="Times New Roman" w:cs="Times New Roman"/>
          <w:lang w:val="en-IE"/>
        </w:rPr>
        <w:t>the importance</w:t>
      </w:r>
      <w:r w:rsidR="00F313C4" w:rsidRPr="00C73908">
        <w:rPr>
          <w:rFonts w:ascii="Times New Roman" w:hAnsi="Times New Roman" w:cs="Times New Roman"/>
          <w:lang w:val="en-IE"/>
        </w:rPr>
        <w:t xml:space="preserve"> of </w:t>
      </w:r>
      <w:r w:rsidR="00112DAC">
        <w:rPr>
          <w:rFonts w:ascii="Times New Roman" w:hAnsi="Times New Roman" w:cs="Times New Roman"/>
          <w:lang w:val="en-IE"/>
        </w:rPr>
        <w:t xml:space="preserve">continually </w:t>
      </w:r>
      <w:r w:rsidR="00F313C4" w:rsidRPr="00C73908">
        <w:rPr>
          <w:rFonts w:ascii="Times New Roman" w:hAnsi="Times New Roman" w:cs="Times New Roman"/>
          <w:lang w:val="en-IE"/>
        </w:rPr>
        <w:t>investing in new equipment</w:t>
      </w:r>
      <w:r w:rsidR="00372168">
        <w:rPr>
          <w:rFonts w:ascii="Times New Roman" w:hAnsi="Times New Roman" w:cs="Times New Roman"/>
          <w:lang w:val="en-IE"/>
        </w:rPr>
        <w:t xml:space="preserve"> or </w:t>
      </w:r>
      <w:r w:rsidR="00F313C4" w:rsidRPr="00C73908">
        <w:rPr>
          <w:rFonts w:ascii="Times New Roman" w:hAnsi="Times New Roman" w:cs="Times New Roman"/>
          <w:lang w:val="en-IE"/>
        </w:rPr>
        <w:t>technologies to increase capacity and improve operational efficiency</w:t>
      </w:r>
      <w:r w:rsidR="00112DAC">
        <w:rPr>
          <w:rFonts w:ascii="Times New Roman" w:hAnsi="Times New Roman" w:cs="Times New Roman"/>
          <w:lang w:val="en-IE"/>
        </w:rPr>
        <w:t xml:space="preserve"> in order to achieve sustained export growth</w:t>
      </w:r>
      <w:r w:rsidR="00E37955">
        <w:rPr>
          <w:rFonts w:ascii="Times New Roman" w:hAnsi="Times New Roman" w:cs="Times New Roman"/>
          <w:lang w:val="en-IE"/>
        </w:rPr>
        <w:t>.</w:t>
      </w:r>
      <w:r w:rsidR="003F4377">
        <w:rPr>
          <w:rFonts w:ascii="Times New Roman" w:hAnsi="Times New Roman" w:cs="Times New Roman"/>
          <w:lang w:val="en-IE"/>
        </w:rPr>
        <w:t xml:space="preserve"> It also suggests </w:t>
      </w:r>
      <w:r w:rsidR="005275D9">
        <w:rPr>
          <w:rFonts w:ascii="Times New Roman" w:hAnsi="Times New Roman" w:cs="Times New Roman"/>
          <w:lang w:val="en-IE"/>
        </w:rPr>
        <w:t xml:space="preserve">that </w:t>
      </w:r>
      <w:r w:rsidR="003F4377">
        <w:rPr>
          <w:rFonts w:ascii="Times New Roman" w:hAnsi="Times New Roman" w:cs="Times New Roman"/>
          <w:lang w:val="en-IE"/>
        </w:rPr>
        <w:t xml:space="preserve">industrial policy </w:t>
      </w:r>
      <w:r w:rsidR="005275D9">
        <w:rPr>
          <w:rFonts w:ascii="Times New Roman" w:hAnsi="Times New Roman" w:cs="Times New Roman"/>
          <w:lang w:val="en-IE"/>
        </w:rPr>
        <w:t xml:space="preserve">should </w:t>
      </w:r>
      <w:r w:rsidR="003F4377">
        <w:rPr>
          <w:rFonts w:ascii="Times New Roman" w:hAnsi="Times New Roman" w:cs="Times New Roman"/>
          <w:lang w:val="en-IE"/>
        </w:rPr>
        <w:t>continue to incentivise and support capital investment</w:t>
      </w:r>
      <w:r w:rsidR="006231DF">
        <w:rPr>
          <w:rFonts w:ascii="Times New Roman" w:hAnsi="Times New Roman" w:cs="Times New Roman"/>
          <w:lang w:val="en-IE"/>
        </w:rPr>
        <w:t xml:space="preserve"> in the indigenous manufacturing sector</w:t>
      </w:r>
      <w:r w:rsidR="006F73DA">
        <w:rPr>
          <w:rFonts w:ascii="Times New Roman" w:hAnsi="Times New Roman" w:cs="Times New Roman"/>
          <w:lang w:val="en-IE"/>
        </w:rPr>
        <w:t xml:space="preserve"> with a particular focus on supporting small companies where access to finance may be more challenging.</w:t>
      </w:r>
    </w:p>
    <w:p w14:paraId="0FA01B85" w14:textId="40DB4606" w:rsidR="00A6393B" w:rsidRDefault="00E16CC5" w:rsidP="001306F3">
      <w:pPr>
        <w:spacing w:after="240" w:line="360" w:lineRule="auto"/>
        <w:jc w:val="both"/>
        <w:rPr>
          <w:rFonts w:ascii="Times New Roman" w:hAnsi="Times New Roman" w:cs="Times New Roman"/>
          <w:lang w:val="en-IE"/>
        </w:rPr>
      </w:pPr>
      <w:r>
        <w:rPr>
          <w:rFonts w:ascii="Times New Roman" w:hAnsi="Times New Roman" w:cs="Times New Roman"/>
          <w:lang w:val="en-IE"/>
        </w:rPr>
        <w:lastRenderedPageBreak/>
        <w:t>With regard to skill levels</w:t>
      </w:r>
      <w:r w:rsidR="005F6111">
        <w:rPr>
          <w:rFonts w:ascii="Times New Roman" w:hAnsi="Times New Roman" w:cs="Times New Roman"/>
          <w:lang w:val="en-IE"/>
        </w:rPr>
        <w:t xml:space="preserve">, there is limited evidence to suggest that </w:t>
      </w:r>
      <w:r w:rsidR="00B8359D">
        <w:rPr>
          <w:rFonts w:ascii="Times New Roman" w:hAnsi="Times New Roman" w:cs="Times New Roman"/>
          <w:lang w:val="en-IE"/>
        </w:rPr>
        <w:t xml:space="preserve">average wage levels </w:t>
      </w:r>
      <w:r w:rsidR="00855EA1">
        <w:rPr>
          <w:rFonts w:ascii="Times New Roman" w:hAnsi="Times New Roman" w:cs="Times New Roman"/>
          <w:lang w:val="en-IE"/>
        </w:rPr>
        <w:t>have a significant effect on export performance.</w:t>
      </w:r>
      <w:r w:rsidR="0004092B">
        <w:rPr>
          <w:rFonts w:ascii="Times New Roman" w:hAnsi="Times New Roman" w:cs="Times New Roman"/>
          <w:lang w:val="en-IE"/>
        </w:rPr>
        <w:t xml:space="preserve"> There is some indication that ICT companies which pay higher wages tend to have better export performance</w:t>
      </w:r>
      <w:r w:rsidR="001027B0">
        <w:rPr>
          <w:rFonts w:ascii="Times New Roman" w:hAnsi="Times New Roman" w:cs="Times New Roman"/>
          <w:lang w:val="en-IE"/>
        </w:rPr>
        <w:t>, however, this effect is only significant at the 10% confidence level.</w:t>
      </w:r>
      <w:r w:rsidR="00734B82">
        <w:rPr>
          <w:rFonts w:ascii="Times New Roman" w:hAnsi="Times New Roman" w:cs="Times New Roman"/>
          <w:lang w:val="en-IE"/>
        </w:rPr>
        <w:t xml:space="preserve"> </w:t>
      </w:r>
      <w:r w:rsidR="00EE7B03">
        <w:rPr>
          <w:rFonts w:ascii="Times New Roman" w:hAnsi="Times New Roman" w:cs="Times New Roman"/>
          <w:lang w:val="en-IE"/>
        </w:rPr>
        <w:t>Similarly, t</w:t>
      </w:r>
      <w:r w:rsidR="007A4419">
        <w:rPr>
          <w:rFonts w:ascii="Times New Roman" w:hAnsi="Times New Roman" w:cs="Times New Roman"/>
          <w:lang w:val="en-IE"/>
        </w:rPr>
        <w:t xml:space="preserve">he analysis finds </w:t>
      </w:r>
      <w:r w:rsidR="00EE7B03">
        <w:rPr>
          <w:rFonts w:ascii="Times New Roman" w:hAnsi="Times New Roman" w:cs="Times New Roman"/>
          <w:lang w:val="en-IE"/>
        </w:rPr>
        <w:t xml:space="preserve">no significant relationship between expenditure </w:t>
      </w:r>
      <w:r w:rsidR="00FC45EA">
        <w:rPr>
          <w:rFonts w:ascii="Times New Roman" w:hAnsi="Times New Roman" w:cs="Times New Roman"/>
          <w:lang w:val="en-IE"/>
        </w:rPr>
        <w:t xml:space="preserve">on staff training </w:t>
      </w:r>
      <w:r w:rsidR="00EE7B03">
        <w:rPr>
          <w:rFonts w:ascii="Times New Roman" w:hAnsi="Times New Roman" w:cs="Times New Roman"/>
          <w:lang w:val="en-IE"/>
        </w:rPr>
        <w:t xml:space="preserve">and export performance. </w:t>
      </w:r>
      <w:r w:rsidR="00734B82">
        <w:rPr>
          <w:rFonts w:ascii="Times New Roman" w:hAnsi="Times New Roman" w:cs="Times New Roman"/>
          <w:lang w:val="en-IE"/>
        </w:rPr>
        <w:t xml:space="preserve">Due to </w:t>
      </w:r>
      <w:r w:rsidR="0077112B">
        <w:rPr>
          <w:rFonts w:ascii="Times New Roman" w:hAnsi="Times New Roman" w:cs="Times New Roman"/>
          <w:lang w:val="en-IE"/>
        </w:rPr>
        <w:t xml:space="preserve">data </w:t>
      </w:r>
      <w:r w:rsidR="00734B82">
        <w:rPr>
          <w:rFonts w:ascii="Times New Roman" w:hAnsi="Times New Roman" w:cs="Times New Roman"/>
          <w:lang w:val="en-IE"/>
        </w:rPr>
        <w:t>limitations</w:t>
      </w:r>
      <w:r w:rsidR="0077112B">
        <w:rPr>
          <w:rFonts w:ascii="Times New Roman" w:hAnsi="Times New Roman" w:cs="Times New Roman"/>
          <w:lang w:val="en-IE"/>
        </w:rPr>
        <w:t>, t</w:t>
      </w:r>
      <w:r w:rsidR="00734B82">
        <w:rPr>
          <w:rFonts w:ascii="Times New Roman" w:hAnsi="Times New Roman" w:cs="Times New Roman"/>
          <w:lang w:val="en-IE"/>
        </w:rPr>
        <w:t>he variables used</w:t>
      </w:r>
      <w:r w:rsidR="00CD370D">
        <w:rPr>
          <w:rFonts w:ascii="Times New Roman" w:hAnsi="Times New Roman" w:cs="Times New Roman"/>
          <w:lang w:val="en-IE"/>
        </w:rPr>
        <w:t xml:space="preserve"> </w:t>
      </w:r>
      <w:r w:rsidR="00497E77">
        <w:rPr>
          <w:rFonts w:ascii="Times New Roman" w:hAnsi="Times New Roman" w:cs="Times New Roman"/>
          <w:lang w:val="en-IE"/>
        </w:rPr>
        <w:t xml:space="preserve">in this analysis </w:t>
      </w:r>
      <w:r w:rsidR="00CD370D">
        <w:rPr>
          <w:rFonts w:ascii="Times New Roman" w:hAnsi="Times New Roman" w:cs="Times New Roman"/>
          <w:lang w:val="en-IE"/>
        </w:rPr>
        <w:t xml:space="preserve">as indicators of skill levels </w:t>
      </w:r>
      <w:r w:rsidR="00734B82">
        <w:rPr>
          <w:rFonts w:ascii="Times New Roman" w:hAnsi="Times New Roman" w:cs="Times New Roman"/>
          <w:lang w:val="en-IE"/>
        </w:rPr>
        <w:t xml:space="preserve">are </w:t>
      </w:r>
      <w:r w:rsidR="00D8167D">
        <w:rPr>
          <w:rFonts w:ascii="Times New Roman" w:hAnsi="Times New Roman" w:cs="Times New Roman"/>
          <w:lang w:val="en-IE"/>
        </w:rPr>
        <w:t xml:space="preserve">somewhat </w:t>
      </w:r>
      <w:r w:rsidR="00734B82">
        <w:rPr>
          <w:rFonts w:ascii="Times New Roman" w:hAnsi="Times New Roman" w:cs="Times New Roman"/>
          <w:lang w:val="en-IE"/>
        </w:rPr>
        <w:t>limited and there is scope for further study on the effects of skill levels on export performance. One potential area of interest is the impact that the characteristics and experience levels of company founders and senior management have on exports, particularly among start-ups and small companie</w:t>
      </w:r>
      <w:r w:rsidR="00E207B3">
        <w:rPr>
          <w:rFonts w:ascii="Times New Roman" w:hAnsi="Times New Roman" w:cs="Times New Roman"/>
          <w:lang w:val="en-IE"/>
        </w:rPr>
        <w:t>s.</w:t>
      </w:r>
    </w:p>
    <w:p w14:paraId="076B71F4" w14:textId="1FE7627A" w:rsidR="00654B17" w:rsidRPr="003F4E63" w:rsidRDefault="0042795B" w:rsidP="003F4E63">
      <w:pPr>
        <w:spacing w:after="240" w:line="360" w:lineRule="auto"/>
        <w:jc w:val="both"/>
        <w:rPr>
          <w:rFonts w:ascii="Times New Roman" w:hAnsi="Times New Roman" w:cs="Times New Roman"/>
          <w:lang w:val="en-IE"/>
        </w:rPr>
      </w:pPr>
      <w:r>
        <w:rPr>
          <w:rFonts w:ascii="Times New Roman" w:hAnsi="Times New Roman" w:cs="Times New Roman"/>
          <w:lang w:val="en-IE"/>
        </w:rPr>
        <w:t>T</w:t>
      </w:r>
      <w:r w:rsidR="00D27A0A" w:rsidRPr="003F4E63">
        <w:rPr>
          <w:rFonts w:ascii="Times New Roman" w:hAnsi="Times New Roman" w:cs="Times New Roman"/>
          <w:lang w:val="en-IE"/>
        </w:rPr>
        <w:t>he s</w:t>
      </w:r>
      <w:r w:rsidR="00FC709B" w:rsidRPr="003F4E63">
        <w:rPr>
          <w:rFonts w:ascii="Times New Roman" w:hAnsi="Times New Roman" w:cs="Times New Roman"/>
          <w:lang w:val="en-IE"/>
        </w:rPr>
        <w:t xml:space="preserve">trong </w:t>
      </w:r>
      <w:r w:rsidR="009564E2" w:rsidRPr="003F4E63">
        <w:rPr>
          <w:rFonts w:ascii="Times New Roman" w:hAnsi="Times New Roman" w:cs="Times New Roman"/>
          <w:lang w:val="en-IE"/>
        </w:rPr>
        <w:t xml:space="preserve">positive </w:t>
      </w:r>
      <w:r w:rsidR="00FC709B" w:rsidRPr="003F4E63">
        <w:rPr>
          <w:rFonts w:ascii="Times New Roman" w:hAnsi="Times New Roman" w:cs="Times New Roman"/>
          <w:lang w:val="en-IE"/>
        </w:rPr>
        <w:t xml:space="preserve">relationship between export </w:t>
      </w:r>
      <w:r w:rsidR="009564E2" w:rsidRPr="003F4E63">
        <w:rPr>
          <w:rFonts w:ascii="Times New Roman" w:hAnsi="Times New Roman" w:cs="Times New Roman"/>
          <w:lang w:val="en-IE"/>
        </w:rPr>
        <w:t>performance</w:t>
      </w:r>
      <w:r w:rsidR="00CF6A6B">
        <w:rPr>
          <w:rFonts w:ascii="Times New Roman" w:hAnsi="Times New Roman" w:cs="Times New Roman"/>
          <w:lang w:val="en-IE"/>
        </w:rPr>
        <w:t xml:space="preserve"> </w:t>
      </w:r>
      <w:r w:rsidR="00FC709B" w:rsidRPr="003F4E63">
        <w:rPr>
          <w:rFonts w:ascii="Times New Roman" w:hAnsi="Times New Roman" w:cs="Times New Roman"/>
          <w:lang w:val="en-IE"/>
        </w:rPr>
        <w:t xml:space="preserve">and </w:t>
      </w:r>
      <w:r w:rsidR="00404A13" w:rsidRPr="003F4E63">
        <w:rPr>
          <w:rFonts w:ascii="Times New Roman" w:hAnsi="Times New Roman" w:cs="Times New Roman"/>
          <w:lang w:val="en-IE"/>
        </w:rPr>
        <w:t>support</w:t>
      </w:r>
      <w:r w:rsidR="009564E2" w:rsidRPr="003F4E63">
        <w:rPr>
          <w:rFonts w:ascii="Times New Roman" w:hAnsi="Times New Roman" w:cs="Times New Roman"/>
          <w:lang w:val="en-IE"/>
        </w:rPr>
        <w:t>s</w:t>
      </w:r>
      <w:r w:rsidR="00404A13" w:rsidRPr="003F4E63">
        <w:rPr>
          <w:rFonts w:ascii="Times New Roman" w:hAnsi="Times New Roman" w:cs="Times New Roman"/>
          <w:lang w:val="en-IE"/>
        </w:rPr>
        <w:t xml:space="preserve"> </w:t>
      </w:r>
      <w:r w:rsidR="009564E2" w:rsidRPr="003F4E63">
        <w:rPr>
          <w:rFonts w:ascii="Times New Roman" w:hAnsi="Times New Roman" w:cs="Times New Roman"/>
          <w:lang w:val="en-IE"/>
        </w:rPr>
        <w:t xml:space="preserve">provided by </w:t>
      </w:r>
      <w:r w:rsidR="00AF1010" w:rsidRPr="003F4E63">
        <w:rPr>
          <w:rFonts w:ascii="Times New Roman" w:hAnsi="Times New Roman" w:cs="Times New Roman"/>
          <w:lang w:val="en-IE"/>
        </w:rPr>
        <w:t xml:space="preserve">the </w:t>
      </w:r>
      <w:r w:rsidR="00DA69B0">
        <w:rPr>
          <w:rFonts w:ascii="Times New Roman" w:hAnsi="Times New Roman" w:cs="Times New Roman"/>
          <w:lang w:val="en-IE"/>
        </w:rPr>
        <w:t>o</w:t>
      </w:r>
      <w:r w:rsidR="008C22FA" w:rsidRPr="003F4E63">
        <w:rPr>
          <w:rFonts w:ascii="Times New Roman" w:hAnsi="Times New Roman" w:cs="Times New Roman"/>
          <w:lang w:val="en-IE"/>
        </w:rPr>
        <w:t xml:space="preserve">verseas </w:t>
      </w:r>
      <w:r w:rsidR="00DA69B0">
        <w:rPr>
          <w:rFonts w:ascii="Times New Roman" w:hAnsi="Times New Roman" w:cs="Times New Roman"/>
          <w:lang w:val="en-IE"/>
        </w:rPr>
        <w:t>o</w:t>
      </w:r>
      <w:r w:rsidR="008C22FA" w:rsidRPr="003F4E63">
        <w:rPr>
          <w:rFonts w:ascii="Times New Roman" w:hAnsi="Times New Roman" w:cs="Times New Roman"/>
          <w:lang w:val="en-IE"/>
        </w:rPr>
        <w:t xml:space="preserve">ffice </w:t>
      </w:r>
      <w:r w:rsidR="00DA69B0">
        <w:rPr>
          <w:rFonts w:ascii="Times New Roman" w:hAnsi="Times New Roman" w:cs="Times New Roman"/>
          <w:lang w:val="en-IE"/>
        </w:rPr>
        <w:t>n</w:t>
      </w:r>
      <w:r w:rsidR="008C22FA" w:rsidRPr="003F4E63">
        <w:rPr>
          <w:rFonts w:ascii="Times New Roman" w:hAnsi="Times New Roman" w:cs="Times New Roman"/>
          <w:lang w:val="en-IE"/>
        </w:rPr>
        <w:t>etwork</w:t>
      </w:r>
      <w:r w:rsidR="00FC709B" w:rsidRPr="003F4E63">
        <w:rPr>
          <w:rFonts w:ascii="Times New Roman" w:hAnsi="Times New Roman" w:cs="Times New Roman"/>
          <w:lang w:val="en-IE"/>
        </w:rPr>
        <w:t xml:space="preserve"> </w:t>
      </w:r>
      <w:r w:rsidR="00404A13" w:rsidRPr="003F4E63">
        <w:rPr>
          <w:rFonts w:ascii="Times New Roman" w:hAnsi="Times New Roman" w:cs="Times New Roman"/>
          <w:lang w:val="en-IE"/>
        </w:rPr>
        <w:t xml:space="preserve">indicates </w:t>
      </w:r>
      <w:r w:rsidR="00172386" w:rsidRPr="003F4E63">
        <w:rPr>
          <w:rFonts w:ascii="Times New Roman" w:hAnsi="Times New Roman" w:cs="Times New Roman"/>
          <w:lang w:val="en-IE"/>
        </w:rPr>
        <w:t xml:space="preserve">the value </w:t>
      </w:r>
      <w:r w:rsidR="005D6315" w:rsidRPr="003F4E63">
        <w:rPr>
          <w:rFonts w:ascii="Times New Roman" w:hAnsi="Times New Roman" w:cs="Times New Roman"/>
          <w:lang w:val="en-IE"/>
        </w:rPr>
        <w:t xml:space="preserve">of </w:t>
      </w:r>
      <w:r w:rsidR="00172386" w:rsidRPr="003F4E63">
        <w:rPr>
          <w:rFonts w:ascii="Times New Roman" w:hAnsi="Times New Roman" w:cs="Times New Roman"/>
          <w:lang w:val="en-IE"/>
        </w:rPr>
        <w:t xml:space="preserve">these services </w:t>
      </w:r>
      <w:r w:rsidR="00BE7201" w:rsidRPr="003F4E63">
        <w:rPr>
          <w:rFonts w:ascii="Times New Roman" w:hAnsi="Times New Roman" w:cs="Times New Roman"/>
          <w:lang w:val="en-IE"/>
        </w:rPr>
        <w:t xml:space="preserve">for companies entering new export </w:t>
      </w:r>
      <w:r w:rsidR="005D6315" w:rsidRPr="003F4E63">
        <w:rPr>
          <w:rFonts w:ascii="Times New Roman" w:hAnsi="Times New Roman" w:cs="Times New Roman"/>
          <w:lang w:val="en-IE"/>
        </w:rPr>
        <w:t>markets and expanding their presence in existing markets.</w:t>
      </w:r>
      <w:r>
        <w:rPr>
          <w:rFonts w:ascii="Times New Roman" w:hAnsi="Times New Roman" w:cs="Times New Roman"/>
          <w:lang w:val="en-IE"/>
        </w:rPr>
        <w:t xml:space="preserve"> </w:t>
      </w:r>
      <w:r w:rsidR="009C53FC">
        <w:rPr>
          <w:rFonts w:ascii="Times New Roman" w:hAnsi="Times New Roman" w:cs="Times New Roman"/>
          <w:lang w:val="en-IE"/>
        </w:rPr>
        <w:t>EI adopts a</w:t>
      </w:r>
      <w:r w:rsidR="00180DD1">
        <w:rPr>
          <w:rFonts w:ascii="Times New Roman" w:hAnsi="Times New Roman" w:cs="Times New Roman"/>
          <w:lang w:val="en-IE"/>
        </w:rPr>
        <w:t xml:space="preserve"> </w:t>
      </w:r>
      <w:r w:rsidR="00CE1154">
        <w:rPr>
          <w:rFonts w:ascii="Times New Roman" w:hAnsi="Times New Roman" w:cs="Times New Roman"/>
          <w:lang w:val="en-IE"/>
        </w:rPr>
        <w:t xml:space="preserve">holistic approach </w:t>
      </w:r>
      <w:r w:rsidR="0038538D">
        <w:rPr>
          <w:rFonts w:ascii="Times New Roman" w:hAnsi="Times New Roman" w:cs="Times New Roman"/>
          <w:lang w:val="en-IE"/>
        </w:rPr>
        <w:t>in</w:t>
      </w:r>
      <w:r w:rsidR="00CE1154">
        <w:rPr>
          <w:rFonts w:ascii="Times New Roman" w:hAnsi="Times New Roman" w:cs="Times New Roman"/>
          <w:lang w:val="en-IE"/>
        </w:rPr>
        <w:t xml:space="preserve"> </w:t>
      </w:r>
      <w:r w:rsidR="0038538D">
        <w:rPr>
          <w:rFonts w:ascii="Times New Roman" w:hAnsi="Times New Roman" w:cs="Times New Roman"/>
          <w:lang w:val="en-IE"/>
        </w:rPr>
        <w:t xml:space="preserve">supporting </w:t>
      </w:r>
      <w:r w:rsidR="00CE1154">
        <w:rPr>
          <w:rFonts w:ascii="Times New Roman" w:hAnsi="Times New Roman" w:cs="Times New Roman"/>
          <w:lang w:val="en-IE"/>
        </w:rPr>
        <w:t>company development</w:t>
      </w:r>
      <w:r w:rsidR="008C1411">
        <w:rPr>
          <w:rFonts w:ascii="Times New Roman" w:hAnsi="Times New Roman" w:cs="Times New Roman"/>
          <w:lang w:val="en-IE"/>
        </w:rPr>
        <w:t xml:space="preserve"> whereby </w:t>
      </w:r>
      <w:r w:rsidR="00DA69B0">
        <w:rPr>
          <w:rFonts w:ascii="Times New Roman" w:hAnsi="Times New Roman" w:cs="Times New Roman"/>
          <w:lang w:val="en-IE"/>
        </w:rPr>
        <w:t xml:space="preserve">supports from the overseas </w:t>
      </w:r>
      <w:r w:rsidR="00FD7A03">
        <w:rPr>
          <w:rFonts w:ascii="Times New Roman" w:hAnsi="Times New Roman" w:cs="Times New Roman"/>
          <w:lang w:val="en-IE"/>
        </w:rPr>
        <w:t xml:space="preserve">offices are targeted at companies with </w:t>
      </w:r>
      <w:r w:rsidR="002C1126">
        <w:rPr>
          <w:rFonts w:ascii="Times New Roman" w:hAnsi="Times New Roman" w:cs="Times New Roman"/>
          <w:lang w:val="en-IE"/>
        </w:rPr>
        <w:t>strong</w:t>
      </w:r>
      <w:r w:rsidR="00FD7A03">
        <w:rPr>
          <w:rFonts w:ascii="Times New Roman" w:hAnsi="Times New Roman" w:cs="Times New Roman"/>
          <w:lang w:val="en-IE"/>
        </w:rPr>
        <w:t xml:space="preserve"> export growth potential</w:t>
      </w:r>
      <w:r w:rsidR="009C53FC">
        <w:rPr>
          <w:rFonts w:ascii="Times New Roman" w:hAnsi="Times New Roman" w:cs="Times New Roman"/>
          <w:lang w:val="en-IE"/>
        </w:rPr>
        <w:t>.</w:t>
      </w:r>
      <w:r w:rsidR="003E6C27">
        <w:rPr>
          <w:rFonts w:ascii="Times New Roman" w:hAnsi="Times New Roman" w:cs="Times New Roman"/>
          <w:lang w:val="en-IE"/>
        </w:rPr>
        <w:t xml:space="preserve"> </w:t>
      </w:r>
      <w:r w:rsidR="00273335">
        <w:rPr>
          <w:rFonts w:ascii="Times New Roman" w:hAnsi="Times New Roman" w:cs="Times New Roman"/>
          <w:lang w:val="en-IE"/>
        </w:rPr>
        <w:t>Th</w:t>
      </w:r>
      <w:r w:rsidR="0052733F">
        <w:rPr>
          <w:rFonts w:ascii="Times New Roman" w:hAnsi="Times New Roman" w:cs="Times New Roman"/>
          <w:lang w:val="en-IE"/>
        </w:rPr>
        <w:t>is</w:t>
      </w:r>
      <w:r w:rsidR="00273335">
        <w:rPr>
          <w:rFonts w:ascii="Times New Roman" w:hAnsi="Times New Roman" w:cs="Times New Roman"/>
          <w:lang w:val="en-IE"/>
        </w:rPr>
        <w:t xml:space="preserve"> may</w:t>
      </w:r>
      <w:r w:rsidR="0052733F">
        <w:rPr>
          <w:rFonts w:ascii="Times New Roman" w:hAnsi="Times New Roman" w:cs="Times New Roman"/>
          <w:lang w:val="en-IE"/>
        </w:rPr>
        <w:t>, therefore,</w:t>
      </w:r>
      <w:r w:rsidR="000E0B77">
        <w:rPr>
          <w:rFonts w:ascii="Times New Roman" w:hAnsi="Times New Roman" w:cs="Times New Roman"/>
          <w:lang w:val="en-IE"/>
        </w:rPr>
        <w:t xml:space="preserve"> result in a degree</w:t>
      </w:r>
      <w:r w:rsidR="00273335">
        <w:rPr>
          <w:rFonts w:ascii="Times New Roman" w:hAnsi="Times New Roman" w:cs="Times New Roman"/>
          <w:lang w:val="en-IE"/>
        </w:rPr>
        <w:t xml:space="preserve"> of self-selection as </w:t>
      </w:r>
      <w:r w:rsidR="003E6C27">
        <w:rPr>
          <w:rFonts w:ascii="Times New Roman" w:hAnsi="Times New Roman" w:cs="Times New Roman"/>
          <w:lang w:val="en-IE"/>
        </w:rPr>
        <w:t xml:space="preserve">companies </w:t>
      </w:r>
      <w:r w:rsidR="00273335">
        <w:rPr>
          <w:rFonts w:ascii="Times New Roman" w:hAnsi="Times New Roman" w:cs="Times New Roman"/>
          <w:lang w:val="en-IE"/>
        </w:rPr>
        <w:t xml:space="preserve">that receive these supports </w:t>
      </w:r>
      <w:r w:rsidR="003E6C27">
        <w:rPr>
          <w:rFonts w:ascii="Times New Roman" w:hAnsi="Times New Roman" w:cs="Times New Roman"/>
          <w:lang w:val="en-IE"/>
        </w:rPr>
        <w:t xml:space="preserve">would </w:t>
      </w:r>
      <w:r w:rsidR="00273335">
        <w:rPr>
          <w:rFonts w:ascii="Times New Roman" w:hAnsi="Times New Roman" w:cs="Times New Roman"/>
          <w:lang w:val="en-IE"/>
        </w:rPr>
        <w:t xml:space="preserve">be expected to </w:t>
      </w:r>
      <w:r w:rsidR="003E6C27">
        <w:rPr>
          <w:rFonts w:ascii="Times New Roman" w:hAnsi="Times New Roman" w:cs="Times New Roman"/>
          <w:lang w:val="en-IE"/>
        </w:rPr>
        <w:t>have high</w:t>
      </w:r>
      <w:r w:rsidR="002C1126">
        <w:rPr>
          <w:rFonts w:ascii="Times New Roman" w:hAnsi="Times New Roman" w:cs="Times New Roman"/>
          <w:lang w:val="en-IE"/>
        </w:rPr>
        <w:t xml:space="preserve"> levels of</w:t>
      </w:r>
      <w:r w:rsidR="003E6C27">
        <w:rPr>
          <w:rFonts w:ascii="Times New Roman" w:hAnsi="Times New Roman" w:cs="Times New Roman"/>
          <w:lang w:val="en-IE"/>
        </w:rPr>
        <w:t xml:space="preserve"> export growth</w:t>
      </w:r>
      <w:r w:rsidR="001106EC">
        <w:rPr>
          <w:rFonts w:ascii="Times New Roman" w:hAnsi="Times New Roman" w:cs="Times New Roman"/>
          <w:lang w:val="en-IE"/>
        </w:rPr>
        <w:t xml:space="preserve">. However, the size of the </w:t>
      </w:r>
      <w:r w:rsidR="000B2166">
        <w:rPr>
          <w:rFonts w:ascii="Times New Roman" w:hAnsi="Times New Roman" w:cs="Times New Roman"/>
          <w:lang w:val="en-IE"/>
        </w:rPr>
        <w:t xml:space="preserve">estimated </w:t>
      </w:r>
      <w:r w:rsidR="001106EC">
        <w:rPr>
          <w:rFonts w:ascii="Times New Roman" w:hAnsi="Times New Roman" w:cs="Times New Roman"/>
          <w:lang w:val="en-IE"/>
        </w:rPr>
        <w:t xml:space="preserve">coefficients </w:t>
      </w:r>
      <w:r w:rsidR="000B2166">
        <w:rPr>
          <w:rFonts w:ascii="Times New Roman" w:hAnsi="Times New Roman" w:cs="Times New Roman"/>
          <w:lang w:val="en-IE"/>
        </w:rPr>
        <w:t xml:space="preserve">and the </w:t>
      </w:r>
      <w:r w:rsidR="00CA1188">
        <w:rPr>
          <w:rFonts w:ascii="Times New Roman" w:hAnsi="Times New Roman" w:cs="Times New Roman"/>
          <w:lang w:val="en-IE"/>
        </w:rPr>
        <w:t xml:space="preserve">fact that this positive effect is observed </w:t>
      </w:r>
      <w:r w:rsidR="00462B7E">
        <w:rPr>
          <w:rFonts w:ascii="Times New Roman" w:hAnsi="Times New Roman" w:cs="Times New Roman"/>
          <w:lang w:val="en-IE"/>
        </w:rPr>
        <w:t>in</w:t>
      </w:r>
      <w:r w:rsidR="00CA1188">
        <w:rPr>
          <w:rFonts w:ascii="Times New Roman" w:hAnsi="Times New Roman" w:cs="Times New Roman"/>
          <w:lang w:val="en-IE"/>
        </w:rPr>
        <w:t xml:space="preserve"> both sectors and </w:t>
      </w:r>
      <w:r w:rsidR="00462B7E">
        <w:rPr>
          <w:rFonts w:ascii="Times New Roman" w:hAnsi="Times New Roman" w:cs="Times New Roman"/>
          <w:lang w:val="en-IE"/>
        </w:rPr>
        <w:t>across</w:t>
      </w:r>
      <w:r w:rsidR="00AB42E7">
        <w:rPr>
          <w:rFonts w:ascii="Times New Roman" w:hAnsi="Times New Roman" w:cs="Times New Roman"/>
          <w:lang w:val="en-IE"/>
        </w:rPr>
        <w:t xml:space="preserve"> </w:t>
      </w:r>
      <w:r w:rsidR="00CA1188">
        <w:rPr>
          <w:rFonts w:ascii="Times New Roman" w:hAnsi="Times New Roman" w:cs="Times New Roman"/>
          <w:lang w:val="en-IE"/>
        </w:rPr>
        <w:t xml:space="preserve">both models indicates </w:t>
      </w:r>
      <w:r w:rsidR="00C9527D">
        <w:rPr>
          <w:rFonts w:ascii="Times New Roman" w:hAnsi="Times New Roman" w:cs="Times New Roman"/>
          <w:lang w:val="en-IE"/>
        </w:rPr>
        <w:t xml:space="preserve">the </w:t>
      </w:r>
      <w:r w:rsidR="00D45442">
        <w:rPr>
          <w:rFonts w:ascii="Times New Roman" w:hAnsi="Times New Roman" w:cs="Times New Roman"/>
          <w:lang w:val="en-IE"/>
        </w:rPr>
        <w:t xml:space="preserve">effectiveness of the </w:t>
      </w:r>
      <w:r w:rsidR="00C9527D">
        <w:rPr>
          <w:rFonts w:ascii="Times New Roman" w:hAnsi="Times New Roman" w:cs="Times New Roman"/>
          <w:lang w:val="en-IE"/>
        </w:rPr>
        <w:t xml:space="preserve">overseas office network in </w:t>
      </w:r>
      <w:r w:rsidR="00DA1947">
        <w:rPr>
          <w:rFonts w:ascii="Times New Roman" w:hAnsi="Times New Roman" w:cs="Times New Roman"/>
          <w:lang w:val="en-IE"/>
        </w:rPr>
        <w:t>helping indigenous companies grow their exports and expand into new export markets</w:t>
      </w:r>
      <w:r w:rsidR="007B4767">
        <w:rPr>
          <w:rFonts w:ascii="Times New Roman" w:hAnsi="Times New Roman" w:cs="Times New Roman"/>
          <w:lang w:val="en-IE"/>
        </w:rPr>
        <w:t>.</w:t>
      </w:r>
      <w:r w:rsidR="00F76E36">
        <w:rPr>
          <w:rFonts w:ascii="Times New Roman" w:hAnsi="Times New Roman" w:cs="Times New Roman"/>
          <w:lang w:val="en-IE"/>
        </w:rPr>
        <w:t xml:space="preserve"> </w:t>
      </w:r>
      <w:r w:rsidR="00F77563">
        <w:rPr>
          <w:rFonts w:ascii="Times New Roman" w:hAnsi="Times New Roman" w:cs="Times New Roman"/>
          <w:lang w:val="en-IE"/>
        </w:rPr>
        <w:t>T</w:t>
      </w:r>
      <w:r w:rsidR="00F76E36">
        <w:rPr>
          <w:rFonts w:ascii="Times New Roman" w:hAnsi="Times New Roman" w:cs="Times New Roman"/>
          <w:lang w:val="en-IE"/>
        </w:rPr>
        <w:t>he results</w:t>
      </w:r>
      <w:r w:rsidR="00183149">
        <w:rPr>
          <w:rFonts w:ascii="Times New Roman" w:hAnsi="Times New Roman" w:cs="Times New Roman"/>
          <w:lang w:val="en-IE"/>
        </w:rPr>
        <w:t xml:space="preserve"> also </w:t>
      </w:r>
      <w:r w:rsidR="006F65BB">
        <w:rPr>
          <w:rFonts w:ascii="Times New Roman" w:hAnsi="Times New Roman" w:cs="Times New Roman"/>
          <w:lang w:val="en-IE"/>
        </w:rPr>
        <w:t>suggest that the current</w:t>
      </w:r>
      <w:r w:rsidR="00F77563">
        <w:rPr>
          <w:rFonts w:ascii="Times New Roman" w:hAnsi="Times New Roman" w:cs="Times New Roman"/>
          <w:lang w:val="en-IE"/>
        </w:rPr>
        <w:t xml:space="preserve"> strategic</w:t>
      </w:r>
      <w:r w:rsidR="006F65BB">
        <w:rPr>
          <w:rFonts w:ascii="Times New Roman" w:hAnsi="Times New Roman" w:cs="Times New Roman"/>
          <w:lang w:val="en-IE"/>
        </w:rPr>
        <w:t xml:space="preserve"> </w:t>
      </w:r>
      <w:r w:rsidR="00154726">
        <w:rPr>
          <w:rFonts w:ascii="Times New Roman" w:hAnsi="Times New Roman" w:cs="Times New Roman"/>
          <w:lang w:val="en-IE"/>
        </w:rPr>
        <w:t>objective of expanding the network’s footprint</w:t>
      </w:r>
      <w:r w:rsidR="009B0595">
        <w:rPr>
          <w:rFonts w:ascii="Times New Roman" w:hAnsi="Times New Roman" w:cs="Times New Roman"/>
          <w:lang w:val="en-IE"/>
        </w:rPr>
        <w:t>,</w:t>
      </w:r>
      <w:r w:rsidR="00154726">
        <w:rPr>
          <w:rFonts w:ascii="Times New Roman" w:hAnsi="Times New Roman" w:cs="Times New Roman"/>
          <w:lang w:val="en-IE"/>
        </w:rPr>
        <w:t xml:space="preserve"> as </w:t>
      </w:r>
      <w:r w:rsidR="00F85EC1">
        <w:rPr>
          <w:rFonts w:ascii="Times New Roman" w:hAnsi="Times New Roman" w:cs="Times New Roman"/>
          <w:lang w:val="en-IE"/>
        </w:rPr>
        <w:t>outlined</w:t>
      </w:r>
      <w:r w:rsidR="00154726">
        <w:rPr>
          <w:rFonts w:ascii="Times New Roman" w:hAnsi="Times New Roman" w:cs="Times New Roman"/>
          <w:lang w:val="en-IE"/>
        </w:rPr>
        <w:t xml:space="preserve"> in the Global Ireland </w:t>
      </w:r>
      <w:r w:rsidR="00D01D0C">
        <w:rPr>
          <w:rFonts w:ascii="Times New Roman" w:hAnsi="Times New Roman" w:cs="Times New Roman"/>
          <w:lang w:val="en-IE"/>
        </w:rPr>
        <w:t>s</w:t>
      </w:r>
      <w:r w:rsidR="00154726">
        <w:rPr>
          <w:rFonts w:ascii="Times New Roman" w:hAnsi="Times New Roman" w:cs="Times New Roman"/>
          <w:lang w:val="en-IE"/>
        </w:rPr>
        <w:t>trategy</w:t>
      </w:r>
      <w:r w:rsidR="009B0595">
        <w:rPr>
          <w:rFonts w:ascii="Times New Roman" w:hAnsi="Times New Roman" w:cs="Times New Roman"/>
          <w:lang w:val="en-IE"/>
        </w:rPr>
        <w:t>,</w:t>
      </w:r>
      <w:r w:rsidR="00154726">
        <w:rPr>
          <w:rFonts w:ascii="Times New Roman" w:hAnsi="Times New Roman" w:cs="Times New Roman"/>
          <w:lang w:val="en-IE"/>
        </w:rPr>
        <w:t xml:space="preserve"> </w:t>
      </w:r>
      <w:r w:rsidR="008741EF">
        <w:rPr>
          <w:rFonts w:ascii="Times New Roman" w:hAnsi="Times New Roman" w:cs="Times New Roman"/>
          <w:lang w:val="en-IE"/>
        </w:rPr>
        <w:t xml:space="preserve">can </w:t>
      </w:r>
      <w:r w:rsidR="00ED277B">
        <w:rPr>
          <w:rFonts w:ascii="Times New Roman" w:hAnsi="Times New Roman" w:cs="Times New Roman"/>
          <w:lang w:val="en-IE"/>
        </w:rPr>
        <w:t>contribute to future export growth</w:t>
      </w:r>
      <w:r w:rsidR="00C16E83">
        <w:rPr>
          <w:rFonts w:ascii="Times New Roman" w:hAnsi="Times New Roman" w:cs="Times New Roman"/>
          <w:lang w:val="en-IE"/>
        </w:rPr>
        <w:t>.</w:t>
      </w:r>
    </w:p>
    <w:p w14:paraId="30532A49" w14:textId="0D1E1808" w:rsidR="00A557E0" w:rsidRPr="00C73908" w:rsidRDefault="00047A93" w:rsidP="008A6DF2">
      <w:pPr>
        <w:spacing w:after="240" w:line="360" w:lineRule="auto"/>
        <w:jc w:val="both"/>
        <w:rPr>
          <w:rFonts w:ascii="Times New Roman" w:hAnsi="Times New Roman" w:cs="Times New Roman"/>
          <w:lang w:val="en-IE"/>
        </w:rPr>
      </w:pPr>
      <w:r w:rsidRPr="00281B31">
        <w:rPr>
          <w:rFonts w:ascii="Times New Roman" w:hAnsi="Times New Roman" w:cs="Times New Roman"/>
          <w:lang w:val="en-IE"/>
        </w:rPr>
        <w:t xml:space="preserve">Several variables are shown to have a significant influence on </w:t>
      </w:r>
      <w:r w:rsidR="001C5A87">
        <w:rPr>
          <w:rFonts w:ascii="Times New Roman" w:hAnsi="Times New Roman" w:cs="Times New Roman"/>
          <w:lang w:val="en-IE"/>
        </w:rPr>
        <w:t xml:space="preserve">company’s levels of </w:t>
      </w:r>
      <w:r w:rsidR="00F921A5">
        <w:rPr>
          <w:rFonts w:ascii="Times New Roman" w:hAnsi="Times New Roman" w:cs="Times New Roman"/>
          <w:lang w:val="en-IE"/>
        </w:rPr>
        <w:t xml:space="preserve">market </w:t>
      </w:r>
      <w:r w:rsidRPr="00281B31">
        <w:rPr>
          <w:rFonts w:ascii="Times New Roman" w:hAnsi="Times New Roman" w:cs="Times New Roman"/>
          <w:lang w:val="en-IE"/>
        </w:rPr>
        <w:t>diversification</w:t>
      </w:r>
      <w:r w:rsidR="00D11A91">
        <w:rPr>
          <w:rFonts w:ascii="Times New Roman" w:hAnsi="Times New Roman" w:cs="Times New Roman"/>
          <w:lang w:val="en-IE"/>
        </w:rPr>
        <w:t>.</w:t>
      </w:r>
      <w:r w:rsidR="00462B7E">
        <w:rPr>
          <w:rFonts w:ascii="Times New Roman" w:hAnsi="Times New Roman" w:cs="Times New Roman"/>
          <w:lang w:val="en-IE"/>
        </w:rPr>
        <w:t xml:space="preserve"> </w:t>
      </w:r>
      <w:r w:rsidR="00E42875">
        <w:rPr>
          <w:rFonts w:ascii="Times New Roman" w:hAnsi="Times New Roman" w:cs="Times New Roman"/>
          <w:lang w:val="en-IE"/>
        </w:rPr>
        <w:t xml:space="preserve">For </w:t>
      </w:r>
      <w:r w:rsidR="00E42875" w:rsidRPr="00462B7E">
        <w:rPr>
          <w:rFonts w:ascii="Times New Roman" w:hAnsi="Times New Roman" w:cs="Times New Roman"/>
          <w:lang w:val="en-IE"/>
        </w:rPr>
        <w:t>manufacturers</w:t>
      </w:r>
      <w:r w:rsidR="006B364A">
        <w:rPr>
          <w:rFonts w:ascii="Times New Roman" w:hAnsi="Times New Roman" w:cs="Times New Roman"/>
          <w:lang w:val="en-IE"/>
        </w:rPr>
        <w:t>,</w:t>
      </w:r>
      <w:r w:rsidR="00E42875">
        <w:rPr>
          <w:rFonts w:ascii="Times New Roman" w:hAnsi="Times New Roman" w:cs="Times New Roman"/>
          <w:lang w:val="en-IE"/>
        </w:rPr>
        <w:t xml:space="preserve"> </w:t>
      </w:r>
      <w:r w:rsidR="006B364A">
        <w:rPr>
          <w:rFonts w:ascii="Times New Roman" w:hAnsi="Times New Roman" w:cs="Times New Roman"/>
          <w:lang w:val="en-IE"/>
        </w:rPr>
        <w:t>n</w:t>
      </w:r>
      <w:r w:rsidR="00462B7E">
        <w:rPr>
          <w:rFonts w:ascii="Times New Roman" w:hAnsi="Times New Roman" w:cs="Times New Roman"/>
          <w:lang w:val="en-IE"/>
        </w:rPr>
        <w:t>ew product development</w:t>
      </w:r>
      <w:r w:rsidR="00D11A91">
        <w:rPr>
          <w:rFonts w:ascii="Times New Roman" w:hAnsi="Times New Roman" w:cs="Times New Roman"/>
          <w:lang w:val="en-IE"/>
        </w:rPr>
        <w:t xml:space="preserve"> </w:t>
      </w:r>
      <w:r w:rsidR="00462B7E" w:rsidRPr="00462B7E">
        <w:rPr>
          <w:rFonts w:ascii="Times New Roman" w:hAnsi="Times New Roman" w:cs="Times New Roman"/>
          <w:lang w:val="en-IE"/>
        </w:rPr>
        <w:t>is found to have a positive effect on diversificatio</w:t>
      </w:r>
      <w:r w:rsidR="00B571A0">
        <w:rPr>
          <w:rFonts w:ascii="Times New Roman" w:hAnsi="Times New Roman" w:cs="Times New Roman"/>
          <w:lang w:val="en-IE"/>
        </w:rPr>
        <w:t>n which</w:t>
      </w:r>
      <w:r w:rsidR="002B0741" w:rsidRPr="00C73908">
        <w:rPr>
          <w:rFonts w:ascii="Times New Roman" w:hAnsi="Times New Roman" w:cs="Times New Roman"/>
          <w:lang w:val="en-IE"/>
        </w:rPr>
        <w:t xml:space="preserve"> </w:t>
      </w:r>
      <w:r w:rsidR="0023069C">
        <w:rPr>
          <w:rFonts w:ascii="Times New Roman" w:hAnsi="Times New Roman" w:cs="Times New Roman"/>
          <w:lang w:val="en-IE"/>
        </w:rPr>
        <w:t>suggests</w:t>
      </w:r>
      <w:r w:rsidR="002B0741" w:rsidRPr="00C73908">
        <w:rPr>
          <w:rFonts w:ascii="Times New Roman" w:hAnsi="Times New Roman" w:cs="Times New Roman"/>
          <w:lang w:val="en-IE"/>
        </w:rPr>
        <w:t xml:space="preserve"> that</w:t>
      </w:r>
      <w:r w:rsidR="00C15C23">
        <w:rPr>
          <w:rFonts w:ascii="Times New Roman" w:hAnsi="Times New Roman" w:cs="Times New Roman"/>
          <w:lang w:val="en-IE"/>
        </w:rPr>
        <w:t xml:space="preserve"> </w:t>
      </w:r>
      <w:r w:rsidR="002B0741" w:rsidRPr="00C73908">
        <w:rPr>
          <w:rFonts w:ascii="Times New Roman" w:hAnsi="Times New Roman" w:cs="Times New Roman"/>
          <w:lang w:val="en-IE"/>
        </w:rPr>
        <w:t xml:space="preserve">the ability to develop differentiated, high quality products is an important factor </w:t>
      </w:r>
      <w:r w:rsidR="00C15C23">
        <w:rPr>
          <w:rFonts w:ascii="Times New Roman" w:hAnsi="Times New Roman" w:cs="Times New Roman"/>
          <w:lang w:val="en-IE"/>
        </w:rPr>
        <w:t>in successfully</w:t>
      </w:r>
      <w:r w:rsidR="002B0741" w:rsidRPr="00C73908">
        <w:rPr>
          <w:rFonts w:ascii="Times New Roman" w:hAnsi="Times New Roman" w:cs="Times New Roman"/>
          <w:lang w:val="en-IE"/>
        </w:rPr>
        <w:t xml:space="preserve"> entering into new markets</w:t>
      </w:r>
      <w:r w:rsidRPr="00281B31">
        <w:rPr>
          <w:rFonts w:ascii="Times New Roman" w:hAnsi="Times New Roman" w:cs="Times New Roman"/>
          <w:lang w:val="en-IE"/>
        </w:rPr>
        <w:t xml:space="preserve">. </w:t>
      </w:r>
      <w:r w:rsidR="00646182">
        <w:rPr>
          <w:rFonts w:ascii="Times New Roman" w:hAnsi="Times New Roman" w:cs="Times New Roman"/>
          <w:lang w:val="en-IE"/>
        </w:rPr>
        <w:t xml:space="preserve">Overseas office supports are </w:t>
      </w:r>
      <w:r w:rsidR="00EC55DF">
        <w:rPr>
          <w:rFonts w:ascii="Times New Roman" w:hAnsi="Times New Roman" w:cs="Times New Roman"/>
          <w:lang w:val="en-IE"/>
        </w:rPr>
        <w:t xml:space="preserve">also </w:t>
      </w:r>
      <w:r w:rsidR="00646182">
        <w:rPr>
          <w:rFonts w:ascii="Times New Roman" w:hAnsi="Times New Roman" w:cs="Times New Roman"/>
          <w:lang w:val="en-IE"/>
        </w:rPr>
        <w:t xml:space="preserve">found to have a positive </w:t>
      </w:r>
      <w:r w:rsidR="0083625A">
        <w:rPr>
          <w:rFonts w:ascii="Times New Roman" w:hAnsi="Times New Roman" w:cs="Times New Roman"/>
          <w:lang w:val="en-IE"/>
        </w:rPr>
        <w:t xml:space="preserve">effect on diversification levels in both sectors which </w:t>
      </w:r>
      <w:r w:rsidR="0023069C">
        <w:rPr>
          <w:rFonts w:ascii="Times New Roman" w:hAnsi="Times New Roman" w:cs="Times New Roman"/>
          <w:lang w:val="en-IE"/>
        </w:rPr>
        <w:t xml:space="preserve">indicates </w:t>
      </w:r>
      <w:r w:rsidR="00456144">
        <w:rPr>
          <w:rFonts w:ascii="Times New Roman" w:hAnsi="Times New Roman" w:cs="Times New Roman"/>
          <w:lang w:val="en-IE"/>
        </w:rPr>
        <w:t xml:space="preserve">the </w:t>
      </w:r>
      <w:r w:rsidR="001423E2">
        <w:rPr>
          <w:rFonts w:ascii="Times New Roman" w:hAnsi="Times New Roman" w:cs="Times New Roman"/>
          <w:lang w:val="en-IE"/>
        </w:rPr>
        <w:t>impact</w:t>
      </w:r>
      <w:r w:rsidR="00456144">
        <w:rPr>
          <w:rFonts w:ascii="Times New Roman" w:hAnsi="Times New Roman" w:cs="Times New Roman"/>
          <w:lang w:val="en-IE"/>
        </w:rPr>
        <w:t xml:space="preserve"> </w:t>
      </w:r>
      <w:r w:rsidR="008874A5">
        <w:rPr>
          <w:rFonts w:ascii="Times New Roman" w:hAnsi="Times New Roman" w:cs="Times New Roman"/>
          <w:lang w:val="en-IE"/>
        </w:rPr>
        <w:t>that</w:t>
      </w:r>
      <w:r w:rsidR="0023069C">
        <w:rPr>
          <w:rFonts w:ascii="Times New Roman" w:hAnsi="Times New Roman" w:cs="Times New Roman"/>
          <w:lang w:val="en-IE"/>
        </w:rPr>
        <w:t xml:space="preserve"> soft supports</w:t>
      </w:r>
      <w:r w:rsidR="008874A5">
        <w:rPr>
          <w:rFonts w:ascii="Times New Roman" w:hAnsi="Times New Roman" w:cs="Times New Roman"/>
          <w:lang w:val="en-IE"/>
        </w:rPr>
        <w:t>,</w:t>
      </w:r>
      <w:r w:rsidR="0023069C">
        <w:rPr>
          <w:rFonts w:ascii="Times New Roman" w:hAnsi="Times New Roman" w:cs="Times New Roman"/>
          <w:lang w:val="en-IE"/>
        </w:rPr>
        <w:t xml:space="preserve"> such as</w:t>
      </w:r>
      <w:r w:rsidR="008943B3">
        <w:rPr>
          <w:rFonts w:ascii="Times New Roman" w:hAnsi="Times New Roman" w:cs="Times New Roman"/>
          <w:lang w:val="en-IE"/>
        </w:rPr>
        <w:t xml:space="preserve"> facilitating</w:t>
      </w:r>
      <w:r w:rsidR="0023069C">
        <w:rPr>
          <w:rFonts w:ascii="Times New Roman" w:hAnsi="Times New Roman" w:cs="Times New Roman"/>
          <w:lang w:val="en-IE"/>
        </w:rPr>
        <w:t xml:space="preserve"> market visi</w:t>
      </w:r>
      <w:r w:rsidR="008943B3">
        <w:rPr>
          <w:rFonts w:ascii="Times New Roman" w:hAnsi="Times New Roman" w:cs="Times New Roman"/>
          <w:lang w:val="en-IE"/>
        </w:rPr>
        <w:t xml:space="preserve">ts </w:t>
      </w:r>
      <w:r w:rsidR="00456144">
        <w:rPr>
          <w:rFonts w:ascii="Times New Roman" w:hAnsi="Times New Roman" w:cs="Times New Roman"/>
          <w:lang w:val="en-IE"/>
        </w:rPr>
        <w:t>and providing market information</w:t>
      </w:r>
      <w:r w:rsidR="008874A5">
        <w:rPr>
          <w:rFonts w:ascii="Times New Roman" w:hAnsi="Times New Roman" w:cs="Times New Roman"/>
          <w:lang w:val="en-IE"/>
        </w:rPr>
        <w:t>,</w:t>
      </w:r>
      <w:r w:rsidR="00456144">
        <w:rPr>
          <w:rFonts w:ascii="Times New Roman" w:hAnsi="Times New Roman" w:cs="Times New Roman"/>
          <w:lang w:val="en-IE"/>
        </w:rPr>
        <w:t xml:space="preserve"> </w:t>
      </w:r>
      <w:r w:rsidR="008874A5">
        <w:rPr>
          <w:rFonts w:ascii="Times New Roman" w:hAnsi="Times New Roman" w:cs="Times New Roman"/>
          <w:lang w:val="en-IE"/>
        </w:rPr>
        <w:t xml:space="preserve">have </w:t>
      </w:r>
      <w:r w:rsidR="0045008C">
        <w:rPr>
          <w:rFonts w:ascii="Times New Roman" w:hAnsi="Times New Roman" w:cs="Times New Roman"/>
          <w:lang w:val="en-IE"/>
        </w:rPr>
        <w:t>in assisting</w:t>
      </w:r>
      <w:r w:rsidR="00327182">
        <w:rPr>
          <w:rFonts w:ascii="Times New Roman" w:hAnsi="Times New Roman" w:cs="Times New Roman"/>
          <w:lang w:val="en-IE"/>
        </w:rPr>
        <w:t xml:space="preserve"> companies </w:t>
      </w:r>
      <w:r w:rsidR="0045008C">
        <w:rPr>
          <w:rFonts w:ascii="Times New Roman" w:hAnsi="Times New Roman" w:cs="Times New Roman"/>
          <w:lang w:val="en-IE"/>
        </w:rPr>
        <w:t xml:space="preserve">to </w:t>
      </w:r>
      <w:r w:rsidR="00327182">
        <w:rPr>
          <w:rFonts w:ascii="Times New Roman" w:hAnsi="Times New Roman" w:cs="Times New Roman"/>
          <w:lang w:val="en-IE"/>
        </w:rPr>
        <w:t>enter new markets.</w:t>
      </w:r>
      <w:r w:rsidR="00646182">
        <w:rPr>
          <w:rFonts w:ascii="Times New Roman" w:hAnsi="Times New Roman" w:cs="Times New Roman"/>
          <w:lang w:val="en-IE"/>
        </w:rPr>
        <w:t xml:space="preserve"> </w:t>
      </w:r>
      <w:r w:rsidR="00405205" w:rsidRPr="00281B31">
        <w:rPr>
          <w:rFonts w:ascii="Times New Roman" w:hAnsi="Times New Roman" w:cs="Times New Roman"/>
          <w:lang w:val="en-IE"/>
        </w:rPr>
        <w:t>Overall, company size appears to be</w:t>
      </w:r>
      <w:r w:rsidR="00106B36">
        <w:rPr>
          <w:rFonts w:ascii="Times New Roman" w:hAnsi="Times New Roman" w:cs="Times New Roman"/>
          <w:lang w:val="en-IE"/>
        </w:rPr>
        <w:t xml:space="preserve"> one of</w:t>
      </w:r>
      <w:r w:rsidR="00405205" w:rsidRPr="00281B31">
        <w:rPr>
          <w:rFonts w:ascii="Times New Roman" w:hAnsi="Times New Roman" w:cs="Times New Roman"/>
          <w:lang w:val="en-IE"/>
        </w:rPr>
        <w:t xml:space="preserve"> the main determinant</w:t>
      </w:r>
      <w:r w:rsidR="00F24D06">
        <w:rPr>
          <w:rFonts w:ascii="Times New Roman" w:hAnsi="Times New Roman" w:cs="Times New Roman"/>
          <w:lang w:val="en-IE"/>
        </w:rPr>
        <w:t>s</w:t>
      </w:r>
      <w:r w:rsidR="00405205" w:rsidRPr="00281B31">
        <w:rPr>
          <w:rFonts w:ascii="Times New Roman" w:hAnsi="Times New Roman" w:cs="Times New Roman"/>
          <w:lang w:val="en-IE"/>
        </w:rPr>
        <w:t xml:space="preserve"> of diversification levels</w:t>
      </w:r>
      <w:r w:rsidR="004251C9">
        <w:rPr>
          <w:rFonts w:ascii="Times New Roman" w:hAnsi="Times New Roman" w:cs="Times New Roman"/>
          <w:lang w:val="en-IE"/>
        </w:rPr>
        <w:t xml:space="preserve">. This may </w:t>
      </w:r>
      <w:r w:rsidR="00EB67CA">
        <w:rPr>
          <w:rFonts w:ascii="Times New Roman" w:hAnsi="Times New Roman" w:cs="Times New Roman"/>
          <w:lang w:val="en-IE"/>
        </w:rPr>
        <w:t>indicate that</w:t>
      </w:r>
      <w:r w:rsidR="00036ECB">
        <w:rPr>
          <w:rFonts w:ascii="Times New Roman" w:hAnsi="Times New Roman" w:cs="Times New Roman"/>
          <w:lang w:val="en-IE"/>
        </w:rPr>
        <w:t xml:space="preserve"> larger companies </w:t>
      </w:r>
      <w:r w:rsidR="00EB67CA">
        <w:rPr>
          <w:rFonts w:ascii="Times New Roman" w:hAnsi="Times New Roman" w:cs="Times New Roman"/>
          <w:lang w:val="en-IE"/>
        </w:rPr>
        <w:t xml:space="preserve">are able to </w:t>
      </w:r>
      <w:r w:rsidR="00036ECB">
        <w:rPr>
          <w:rFonts w:ascii="Times New Roman" w:hAnsi="Times New Roman" w:cs="Times New Roman"/>
          <w:lang w:val="en-IE"/>
        </w:rPr>
        <w:t xml:space="preserve">develop </w:t>
      </w:r>
      <w:r w:rsidR="0055481E">
        <w:rPr>
          <w:rFonts w:ascii="Times New Roman" w:hAnsi="Times New Roman" w:cs="Times New Roman"/>
          <w:lang w:val="en-IE"/>
        </w:rPr>
        <w:t xml:space="preserve">in-house </w:t>
      </w:r>
      <w:r w:rsidR="002F14B6">
        <w:rPr>
          <w:rFonts w:ascii="Times New Roman" w:hAnsi="Times New Roman" w:cs="Times New Roman"/>
          <w:lang w:val="en-IE"/>
        </w:rPr>
        <w:t xml:space="preserve">capabilities </w:t>
      </w:r>
      <w:r w:rsidR="00672EE1">
        <w:rPr>
          <w:rFonts w:ascii="Times New Roman" w:hAnsi="Times New Roman" w:cs="Times New Roman"/>
          <w:lang w:val="en-IE"/>
        </w:rPr>
        <w:t xml:space="preserve">in areas such as customs and logistics </w:t>
      </w:r>
      <w:r w:rsidR="002F14B6">
        <w:rPr>
          <w:rFonts w:ascii="Times New Roman" w:hAnsi="Times New Roman" w:cs="Times New Roman"/>
          <w:lang w:val="en-IE"/>
        </w:rPr>
        <w:t>which reduce the resources required and the level of risk involved in entering new markets</w:t>
      </w:r>
      <w:r w:rsidR="00405205" w:rsidRPr="00281B31">
        <w:rPr>
          <w:rFonts w:ascii="Times New Roman" w:hAnsi="Times New Roman" w:cs="Times New Roman"/>
          <w:lang w:val="en-IE"/>
        </w:rPr>
        <w:t>.</w:t>
      </w:r>
      <w:r w:rsidR="00591659">
        <w:rPr>
          <w:rFonts w:ascii="Times New Roman" w:hAnsi="Times New Roman" w:cs="Times New Roman"/>
          <w:lang w:val="en-IE"/>
        </w:rPr>
        <w:t xml:space="preserve"> Th</w:t>
      </w:r>
      <w:r w:rsidR="00EB67CA">
        <w:rPr>
          <w:rFonts w:ascii="Times New Roman" w:hAnsi="Times New Roman" w:cs="Times New Roman"/>
          <w:lang w:val="en-IE"/>
        </w:rPr>
        <w:t>e</w:t>
      </w:r>
      <w:r w:rsidR="00887A2E">
        <w:rPr>
          <w:rFonts w:ascii="Times New Roman" w:hAnsi="Times New Roman" w:cs="Times New Roman"/>
          <w:lang w:val="en-IE"/>
        </w:rPr>
        <w:t xml:space="preserve"> importance of company size</w:t>
      </w:r>
      <w:r w:rsidR="00591659">
        <w:rPr>
          <w:rFonts w:ascii="Times New Roman" w:hAnsi="Times New Roman" w:cs="Times New Roman"/>
          <w:lang w:val="en-IE"/>
        </w:rPr>
        <w:t>, combined with the</w:t>
      </w:r>
      <w:r w:rsidR="00405205" w:rsidRPr="00281B31">
        <w:rPr>
          <w:rFonts w:ascii="Times New Roman" w:hAnsi="Times New Roman" w:cs="Times New Roman"/>
          <w:lang w:val="en-IE"/>
        </w:rPr>
        <w:t xml:space="preserve"> </w:t>
      </w:r>
      <w:r w:rsidR="00591659">
        <w:rPr>
          <w:rFonts w:ascii="Times New Roman" w:hAnsi="Times New Roman" w:cs="Times New Roman"/>
          <w:lang w:val="en-IE"/>
        </w:rPr>
        <w:t>g</w:t>
      </w:r>
      <w:r w:rsidR="00163FCF" w:rsidRPr="00281B31">
        <w:rPr>
          <w:rFonts w:ascii="Times New Roman" w:hAnsi="Times New Roman" w:cs="Times New Roman"/>
          <w:lang w:val="en-IE"/>
        </w:rPr>
        <w:t xml:space="preserve">eneral lack of significance </w:t>
      </w:r>
      <w:r w:rsidR="00591659">
        <w:rPr>
          <w:rFonts w:ascii="Times New Roman" w:hAnsi="Times New Roman" w:cs="Times New Roman"/>
          <w:lang w:val="en-IE"/>
        </w:rPr>
        <w:t>among the other variables,</w:t>
      </w:r>
      <w:r w:rsidR="007E2711" w:rsidRPr="00281B31">
        <w:rPr>
          <w:rFonts w:ascii="Times New Roman" w:hAnsi="Times New Roman" w:cs="Times New Roman"/>
          <w:lang w:val="en-IE"/>
        </w:rPr>
        <w:t xml:space="preserve"> suggests that</w:t>
      </w:r>
      <w:r w:rsidR="00005782" w:rsidRPr="00281B31">
        <w:rPr>
          <w:rFonts w:ascii="Times New Roman" w:hAnsi="Times New Roman" w:cs="Times New Roman"/>
          <w:lang w:val="en-IE"/>
        </w:rPr>
        <w:t xml:space="preserve"> diversification </w:t>
      </w:r>
      <w:r w:rsidR="00EA4E12" w:rsidRPr="00281B31">
        <w:rPr>
          <w:rFonts w:ascii="Times New Roman" w:hAnsi="Times New Roman" w:cs="Times New Roman"/>
          <w:lang w:val="en-IE"/>
        </w:rPr>
        <w:t>is a</w:t>
      </w:r>
      <w:r w:rsidR="00FE5AA0" w:rsidRPr="00281B31">
        <w:rPr>
          <w:rFonts w:ascii="Times New Roman" w:hAnsi="Times New Roman" w:cs="Times New Roman"/>
          <w:lang w:val="en-IE"/>
        </w:rPr>
        <w:t xml:space="preserve"> </w:t>
      </w:r>
      <w:r w:rsidR="00EA4E12" w:rsidRPr="00281B31">
        <w:rPr>
          <w:rFonts w:ascii="Times New Roman" w:hAnsi="Times New Roman" w:cs="Times New Roman"/>
          <w:lang w:val="en-IE"/>
        </w:rPr>
        <w:t>gradual,</w:t>
      </w:r>
      <w:r w:rsidR="00FE5AA0" w:rsidRPr="00281B31">
        <w:rPr>
          <w:rFonts w:ascii="Times New Roman" w:hAnsi="Times New Roman" w:cs="Times New Roman"/>
          <w:lang w:val="en-IE"/>
        </w:rPr>
        <w:t xml:space="preserve"> </w:t>
      </w:r>
      <w:r w:rsidR="00FC709B" w:rsidRPr="00281B31">
        <w:rPr>
          <w:rFonts w:ascii="Times New Roman" w:hAnsi="Times New Roman" w:cs="Times New Roman"/>
          <w:lang w:val="en-IE"/>
        </w:rPr>
        <w:t>long</w:t>
      </w:r>
      <w:r w:rsidR="00FE5AA0" w:rsidRPr="00281B31">
        <w:rPr>
          <w:rFonts w:ascii="Times New Roman" w:hAnsi="Times New Roman" w:cs="Times New Roman"/>
          <w:lang w:val="en-IE"/>
        </w:rPr>
        <w:t>-term process</w:t>
      </w:r>
      <w:r w:rsidR="00FC709B" w:rsidRPr="00281B31">
        <w:rPr>
          <w:rFonts w:ascii="Times New Roman" w:hAnsi="Times New Roman" w:cs="Times New Roman"/>
          <w:lang w:val="en-IE"/>
        </w:rPr>
        <w:t xml:space="preserve"> </w:t>
      </w:r>
      <w:r w:rsidR="00B42920" w:rsidRPr="00281B31">
        <w:rPr>
          <w:rFonts w:ascii="Times New Roman" w:hAnsi="Times New Roman" w:cs="Times New Roman"/>
          <w:lang w:val="en-IE"/>
        </w:rPr>
        <w:t>and diversification strategies require long time horizon</w:t>
      </w:r>
      <w:r w:rsidR="00E45AF7" w:rsidRPr="00281B31">
        <w:rPr>
          <w:rFonts w:ascii="Times New Roman" w:hAnsi="Times New Roman" w:cs="Times New Roman"/>
          <w:lang w:val="en-IE"/>
        </w:rPr>
        <w:t>s</w:t>
      </w:r>
      <w:r w:rsidR="00B42920" w:rsidRPr="00281B31">
        <w:rPr>
          <w:rFonts w:ascii="Times New Roman" w:hAnsi="Times New Roman" w:cs="Times New Roman"/>
          <w:lang w:val="en-IE"/>
        </w:rPr>
        <w:t xml:space="preserve"> to </w:t>
      </w:r>
      <w:r w:rsidR="00872DE6" w:rsidRPr="00281B31">
        <w:rPr>
          <w:rFonts w:ascii="Times New Roman" w:hAnsi="Times New Roman" w:cs="Times New Roman"/>
          <w:lang w:val="en-IE"/>
        </w:rPr>
        <w:t>have a significant impact</w:t>
      </w:r>
      <w:r w:rsidR="00FC709B" w:rsidRPr="00281B31">
        <w:rPr>
          <w:rFonts w:ascii="Times New Roman" w:hAnsi="Times New Roman" w:cs="Times New Roman"/>
          <w:lang w:val="en-IE"/>
        </w:rPr>
        <w:t>.</w:t>
      </w:r>
      <w:r w:rsidR="00F25958" w:rsidRPr="00281B31">
        <w:rPr>
          <w:rFonts w:ascii="Times New Roman" w:hAnsi="Times New Roman" w:cs="Times New Roman"/>
          <w:lang w:val="en-IE"/>
        </w:rPr>
        <w:t xml:space="preserve"> It also indicates</w:t>
      </w:r>
      <w:r w:rsidR="009A7073" w:rsidRPr="00281B31">
        <w:rPr>
          <w:rFonts w:ascii="Times New Roman" w:hAnsi="Times New Roman" w:cs="Times New Roman"/>
          <w:lang w:val="en-IE"/>
        </w:rPr>
        <w:t xml:space="preserve"> the importance, particularly for </w:t>
      </w:r>
      <w:r w:rsidR="00F25958" w:rsidRPr="00281B31">
        <w:rPr>
          <w:rFonts w:ascii="Times New Roman" w:hAnsi="Times New Roman" w:cs="Times New Roman"/>
          <w:lang w:val="en-IE"/>
        </w:rPr>
        <w:t xml:space="preserve">small companies, </w:t>
      </w:r>
      <w:r w:rsidR="009A7073" w:rsidRPr="00281B31">
        <w:rPr>
          <w:rFonts w:ascii="Times New Roman" w:hAnsi="Times New Roman" w:cs="Times New Roman"/>
          <w:lang w:val="en-IE"/>
        </w:rPr>
        <w:t xml:space="preserve">of </w:t>
      </w:r>
      <w:r w:rsidR="00F25958" w:rsidRPr="00281B31">
        <w:rPr>
          <w:rFonts w:ascii="Times New Roman" w:hAnsi="Times New Roman" w:cs="Times New Roman"/>
          <w:lang w:val="en-IE"/>
        </w:rPr>
        <w:t>focus</w:t>
      </w:r>
      <w:r w:rsidR="009A7073" w:rsidRPr="00281B31">
        <w:rPr>
          <w:rFonts w:ascii="Times New Roman" w:hAnsi="Times New Roman" w:cs="Times New Roman"/>
          <w:lang w:val="en-IE"/>
        </w:rPr>
        <w:t>ing</w:t>
      </w:r>
      <w:r w:rsidR="00F25958" w:rsidRPr="00281B31">
        <w:rPr>
          <w:rFonts w:ascii="Times New Roman" w:hAnsi="Times New Roman" w:cs="Times New Roman"/>
          <w:lang w:val="en-IE"/>
        </w:rPr>
        <w:t xml:space="preserve"> on achieving growth and establishing a strong</w:t>
      </w:r>
      <w:r w:rsidR="005D0576" w:rsidRPr="00281B31">
        <w:rPr>
          <w:rFonts w:ascii="Times New Roman" w:hAnsi="Times New Roman" w:cs="Times New Roman"/>
          <w:lang w:val="en-IE"/>
        </w:rPr>
        <w:t>, sustained</w:t>
      </w:r>
      <w:r w:rsidR="00F25958" w:rsidRPr="00281B31">
        <w:rPr>
          <w:rFonts w:ascii="Times New Roman" w:hAnsi="Times New Roman" w:cs="Times New Roman"/>
          <w:lang w:val="en-IE"/>
        </w:rPr>
        <w:t xml:space="preserve"> presence in a small number of markets</w:t>
      </w:r>
      <w:r w:rsidR="00746080" w:rsidRPr="00281B31">
        <w:rPr>
          <w:rFonts w:ascii="Times New Roman" w:hAnsi="Times New Roman" w:cs="Times New Roman"/>
          <w:lang w:val="en-IE"/>
        </w:rPr>
        <w:t xml:space="preserve"> before </w:t>
      </w:r>
      <w:r w:rsidR="00B615DE" w:rsidRPr="00281B31">
        <w:rPr>
          <w:rFonts w:ascii="Times New Roman" w:hAnsi="Times New Roman" w:cs="Times New Roman"/>
          <w:lang w:val="en-IE"/>
        </w:rPr>
        <w:t>expanding into a broad range of export markets</w:t>
      </w:r>
      <w:r w:rsidR="00746080" w:rsidRPr="00281B31">
        <w:rPr>
          <w:rFonts w:ascii="Times New Roman" w:hAnsi="Times New Roman" w:cs="Times New Roman"/>
          <w:lang w:val="en-IE"/>
        </w:rPr>
        <w:t>.</w:t>
      </w:r>
      <w:r w:rsidR="00A557E0" w:rsidRPr="00C73908">
        <w:rPr>
          <w:rFonts w:ascii="Times New Roman" w:hAnsi="Times New Roman" w:cs="Times New Roman"/>
          <w:lang w:val="en-IE"/>
        </w:rPr>
        <w:br w:type="page"/>
      </w:r>
    </w:p>
    <w:p w14:paraId="7BED7C0F" w14:textId="2B38C126" w:rsidR="00E708A0" w:rsidRPr="00C73908" w:rsidRDefault="00A557E0" w:rsidP="00B57F4D">
      <w:pPr>
        <w:pStyle w:val="Heading1"/>
        <w:spacing w:after="240"/>
        <w:jc w:val="both"/>
        <w:rPr>
          <w:rFonts w:ascii="Times New Roman" w:hAnsi="Times New Roman" w:cs="Times New Roman"/>
          <w:lang w:val="en-IE"/>
        </w:rPr>
      </w:pPr>
      <w:bookmarkStart w:id="39" w:name="_Toc67143569"/>
      <w:bookmarkStart w:id="40" w:name="_Toc69198810"/>
      <w:r w:rsidRPr="00C73908">
        <w:rPr>
          <w:rFonts w:ascii="Times New Roman" w:hAnsi="Times New Roman" w:cs="Times New Roman"/>
          <w:lang w:val="en-IE"/>
        </w:rPr>
        <w:lastRenderedPageBreak/>
        <w:t>Bibliography</w:t>
      </w:r>
      <w:bookmarkEnd w:id="39"/>
      <w:bookmarkEnd w:id="40"/>
    </w:p>
    <w:p w14:paraId="2A7F4CDC" w14:textId="2E8FEAF3" w:rsidR="005E3E48" w:rsidRPr="00C73908" w:rsidRDefault="005E3E48" w:rsidP="005E3E48">
      <w:pPr>
        <w:spacing w:after="0"/>
        <w:ind w:hanging="284"/>
        <w:jc w:val="both"/>
        <w:rPr>
          <w:rFonts w:ascii="Times New Roman" w:hAnsi="Times New Roman" w:cs="Times New Roman"/>
          <w:lang w:val="en-IE"/>
        </w:rPr>
      </w:pPr>
      <w:r w:rsidRPr="00C73908">
        <w:rPr>
          <w:rFonts w:ascii="Times New Roman" w:hAnsi="Times New Roman" w:cs="Times New Roman"/>
          <w:lang w:val="en-IE"/>
        </w:rPr>
        <w:t>Arnold, Jens Martin and Katrin Hussinger</w:t>
      </w:r>
      <w:r w:rsidR="00BF255F" w:rsidRPr="00C73908">
        <w:rPr>
          <w:rFonts w:ascii="Times New Roman" w:hAnsi="Times New Roman" w:cs="Times New Roman"/>
          <w:lang w:val="en-IE"/>
        </w:rPr>
        <w:t xml:space="preserve"> (</w:t>
      </w:r>
      <w:r w:rsidRPr="00C73908">
        <w:rPr>
          <w:rFonts w:ascii="Times New Roman" w:hAnsi="Times New Roman" w:cs="Times New Roman"/>
          <w:lang w:val="en-IE"/>
        </w:rPr>
        <w:t>2004</w:t>
      </w:r>
      <w:r w:rsidR="00BF255F" w:rsidRPr="00C73908">
        <w:rPr>
          <w:rFonts w:ascii="Times New Roman" w:hAnsi="Times New Roman" w:cs="Times New Roman"/>
          <w:lang w:val="en-IE"/>
        </w:rPr>
        <w:t>).</w:t>
      </w:r>
      <w:r w:rsidRPr="00C73908">
        <w:rPr>
          <w:rFonts w:ascii="Times New Roman" w:hAnsi="Times New Roman" w:cs="Times New Roman"/>
          <w:lang w:val="en-IE"/>
        </w:rPr>
        <w:t xml:space="preserve"> “Export </w:t>
      </w:r>
      <w:r w:rsidR="000C3CD4" w:rsidRPr="00C73908">
        <w:rPr>
          <w:rFonts w:ascii="Times New Roman" w:hAnsi="Times New Roman" w:cs="Times New Roman"/>
          <w:lang w:val="en-IE"/>
        </w:rPr>
        <w:t>Behaviour</w:t>
      </w:r>
      <w:r w:rsidRPr="00C73908">
        <w:rPr>
          <w:rFonts w:ascii="Times New Roman" w:hAnsi="Times New Roman" w:cs="Times New Roman"/>
          <w:lang w:val="en-IE"/>
        </w:rPr>
        <w:t xml:space="preserve"> and Firm Productivity in German Manufacturing. A Firm-level Analysis.” Centre for European Economic Research Discussion Paper 04-12.</w:t>
      </w:r>
    </w:p>
    <w:p w14:paraId="0C93698A" w14:textId="107176BB" w:rsidR="0084063C" w:rsidRPr="00C73908" w:rsidRDefault="0084063C"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Autio, Erkko </w:t>
      </w:r>
      <w:r w:rsidR="002B6C12" w:rsidRPr="00C73908">
        <w:rPr>
          <w:rFonts w:ascii="Times New Roman" w:hAnsi="Times New Roman" w:cs="Times New Roman"/>
          <w:lang w:val="en-IE"/>
        </w:rPr>
        <w:t xml:space="preserve">&amp; </w:t>
      </w:r>
      <w:r w:rsidRPr="00C73908">
        <w:rPr>
          <w:rFonts w:ascii="Times New Roman" w:hAnsi="Times New Roman" w:cs="Times New Roman"/>
          <w:lang w:val="en-IE"/>
        </w:rPr>
        <w:t>Sapienza,</w:t>
      </w:r>
      <w:r w:rsidR="002B6C12" w:rsidRPr="00C73908">
        <w:rPr>
          <w:rFonts w:ascii="Times New Roman" w:hAnsi="Times New Roman" w:cs="Times New Roman"/>
          <w:lang w:val="en-IE"/>
        </w:rPr>
        <w:t xml:space="preserve"> Harry J. </w:t>
      </w:r>
      <w:r w:rsidR="007476E0" w:rsidRPr="00C73908">
        <w:rPr>
          <w:rFonts w:ascii="Times New Roman" w:hAnsi="Times New Roman" w:cs="Times New Roman"/>
          <w:lang w:val="en-IE"/>
        </w:rPr>
        <w:t>&amp;</w:t>
      </w:r>
      <w:r w:rsidRPr="00C73908">
        <w:rPr>
          <w:rFonts w:ascii="Times New Roman" w:hAnsi="Times New Roman" w:cs="Times New Roman"/>
          <w:lang w:val="en-IE"/>
        </w:rPr>
        <w:t xml:space="preserve"> Almeida</w:t>
      </w:r>
      <w:r w:rsidR="007476E0" w:rsidRPr="00C73908">
        <w:rPr>
          <w:rFonts w:ascii="Times New Roman" w:hAnsi="Times New Roman" w:cs="Times New Roman"/>
          <w:lang w:val="en-IE"/>
        </w:rPr>
        <w:t xml:space="preserve">, James G. </w:t>
      </w:r>
      <w:r w:rsidRPr="00C73908">
        <w:rPr>
          <w:rFonts w:ascii="Times New Roman" w:hAnsi="Times New Roman" w:cs="Times New Roman"/>
          <w:lang w:val="en-IE"/>
        </w:rPr>
        <w:t>(2000)</w:t>
      </w:r>
      <w:r w:rsidR="00BF255F" w:rsidRPr="00C73908">
        <w:rPr>
          <w:rFonts w:ascii="Times New Roman" w:hAnsi="Times New Roman" w:cs="Times New Roman"/>
          <w:lang w:val="en-IE"/>
        </w:rPr>
        <w:t>.</w:t>
      </w:r>
      <w:r w:rsidRPr="00C73908">
        <w:rPr>
          <w:rFonts w:ascii="Times New Roman" w:hAnsi="Times New Roman" w:cs="Times New Roman"/>
          <w:lang w:val="en-IE"/>
        </w:rPr>
        <w:t xml:space="preserve"> </w:t>
      </w:r>
      <w:r w:rsidR="00BF255F" w:rsidRPr="00C73908">
        <w:rPr>
          <w:rFonts w:ascii="Times New Roman" w:hAnsi="Times New Roman" w:cs="Times New Roman"/>
          <w:lang w:val="en-IE"/>
        </w:rPr>
        <w:t>“</w:t>
      </w:r>
      <w:r w:rsidRPr="00C73908">
        <w:rPr>
          <w:rFonts w:ascii="Times New Roman" w:hAnsi="Times New Roman" w:cs="Times New Roman"/>
          <w:lang w:val="en-IE"/>
        </w:rPr>
        <w:t xml:space="preserve">Effects of </w:t>
      </w:r>
      <w:r w:rsidR="00BF255F" w:rsidRPr="00C73908">
        <w:rPr>
          <w:rFonts w:ascii="Times New Roman" w:hAnsi="Times New Roman" w:cs="Times New Roman"/>
          <w:lang w:val="en-IE"/>
        </w:rPr>
        <w:t>A</w:t>
      </w:r>
      <w:r w:rsidRPr="00C73908">
        <w:rPr>
          <w:rFonts w:ascii="Times New Roman" w:hAnsi="Times New Roman" w:cs="Times New Roman"/>
          <w:lang w:val="en-IE"/>
        </w:rPr>
        <w:t xml:space="preserve">ge at </w:t>
      </w:r>
      <w:r w:rsidR="00BF255F" w:rsidRPr="00C73908">
        <w:rPr>
          <w:rFonts w:ascii="Times New Roman" w:hAnsi="Times New Roman" w:cs="Times New Roman"/>
          <w:lang w:val="en-IE"/>
        </w:rPr>
        <w:t>E</w:t>
      </w:r>
      <w:r w:rsidRPr="00C73908">
        <w:rPr>
          <w:rFonts w:ascii="Times New Roman" w:hAnsi="Times New Roman" w:cs="Times New Roman"/>
          <w:lang w:val="en-IE"/>
        </w:rPr>
        <w:t xml:space="preserve">ntry, </w:t>
      </w:r>
      <w:r w:rsidR="00BF255F" w:rsidRPr="00C73908">
        <w:rPr>
          <w:rFonts w:ascii="Times New Roman" w:hAnsi="Times New Roman" w:cs="Times New Roman"/>
          <w:lang w:val="en-IE"/>
        </w:rPr>
        <w:t>Knowledge Intensity</w:t>
      </w:r>
      <w:r w:rsidRPr="00C73908">
        <w:rPr>
          <w:rFonts w:ascii="Times New Roman" w:hAnsi="Times New Roman" w:cs="Times New Roman"/>
          <w:lang w:val="en-IE"/>
        </w:rPr>
        <w:t xml:space="preserve">, and </w:t>
      </w:r>
      <w:r w:rsidR="00BF255F" w:rsidRPr="00C73908">
        <w:rPr>
          <w:rFonts w:ascii="Times New Roman" w:hAnsi="Times New Roman" w:cs="Times New Roman"/>
          <w:lang w:val="en-IE"/>
        </w:rPr>
        <w:t xml:space="preserve">Imitability </w:t>
      </w:r>
      <w:r w:rsidRPr="00C73908">
        <w:rPr>
          <w:rFonts w:ascii="Times New Roman" w:hAnsi="Times New Roman" w:cs="Times New Roman"/>
          <w:lang w:val="en-IE"/>
        </w:rPr>
        <w:t xml:space="preserve">on </w:t>
      </w:r>
      <w:r w:rsidR="00BF255F" w:rsidRPr="00C73908">
        <w:rPr>
          <w:rFonts w:ascii="Times New Roman" w:hAnsi="Times New Roman" w:cs="Times New Roman"/>
          <w:lang w:val="en-IE"/>
        </w:rPr>
        <w:t>International Growth</w:t>
      </w:r>
      <w:r w:rsidRPr="00C73908">
        <w:rPr>
          <w:rFonts w:ascii="Times New Roman" w:hAnsi="Times New Roman" w:cs="Times New Roman"/>
          <w:lang w:val="en-IE"/>
        </w:rPr>
        <w:t>.</w:t>
      </w:r>
      <w:r w:rsidR="00BF255F" w:rsidRPr="00C73908">
        <w:rPr>
          <w:rFonts w:ascii="Times New Roman" w:hAnsi="Times New Roman" w:cs="Times New Roman"/>
          <w:lang w:val="en-IE"/>
        </w:rPr>
        <w:t>”</w:t>
      </w:r>
      <w:r w:rsidRPr="00C73908">
        <w:rPr>
          <w:rFonts w:ascii="Times New Roman" w:hAnsi="Times New Roman" w:cs="Times New Roman"/>
          <w:lang w:val="en-IE"/>
        </w:rPr>
        <w:t xml:space="preserve"> Academy of </w:t>
      </w:r>
      <w:r w:rsidR="002B6C12" w:rsidRPr="00C73908">
        <w:rPr>
          <w:rFonts w:ascii="Times New Roman" w:hAnsi="Times New Roman" w:cs="Times New Roman"/>
          <w:lang w:val="en-IE"/>
        </w:rPr>
        <w:t>Management Journal</w:t>
      </w:r>
      <w:r w:rsidRPr="00C73908">
        <w:rPr>
          <w:rFonts w:ascii="Times New Roman" w:hAnsi="Times New Roman" w:cs="Times New Roman"/>
          <w:lang w:val="en-IE"/>
        </w:rPr>
        <w:t xml:space="preserve"> 43.5: 909-924.</w:t>
      </w:r>
    </w:p>
    <w:p w14:paraId="6687C680" w14:textId="3DC2F563" w:rsidR="00B549E8" w:rsidRPr="00C73908" w:rsidRDefault="005E597C"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Becker, Sascha </w:t>
      </w:r>
      <w:r w:rsidR="002B6C12" w:rsidRPr="00C73908">
        <w:rPr>
          <w:rFonts w:ascii="Times New Roman" w:hAnsi="Times New Roman" w:cs="Times New Roman"/>
          <w:lang w:val="en-IE"/>
        </w:rPr>
        <w:t>&amp;</w:t>
      </w:r>
      <w:r w:rsidRPr="00C73908">
        <w:rPr>
          <w:rFonts w:ascii="Times New Roman" w:hAnsi="Times New Roman" w:cs="Times New Roman"/>
          <w:lang w:val="en-IE"/>
        </w:rPr>
        <w:t xml:space="preserve"> Egger, Peter (2013). “Endogenous Product versus Process Innovation and a Firm’s Propensity to Export”, Empirical Economics, 44(1): 329-354.</w:t>
      </w:r>
    </w:p>
    <w:p w14:paraId="63A91561" w14:textId="1EF98C4A" w:rsidR="00A557E0" w:rsidRPr="00C73908" w:rsidRDefault="004223B0"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Bernard, Andrew B. &amp; Bradford Jensen, J., </w:t>
      </w:r>
      <w:r w:rsidR="00077932" w:rsidRPr="00C73908">
        <w:rPr>
          <w:rFonts w:ascii="Times New Roman" w:hAnsi="Times New Roman" w:cs="Times New Roman"/>
          <w:lang w:val="en-IE"/>
        </w:rPr>
        <w:t>(</w:t>
      </w:r>
      <w:r w:rsidRPr="00C73908">
        <w:rPr>
          <w:rFonts w:ascii="Times New Roman" w:hAnsi="Times New Roman" w:cs="Times New Roman"/>
          <w:lang w:val="en-IE"/>
        </w:rPr>
        <w:t>1999</w:t>
      </w:r>
      <w:r w:rsidR="00077932" w:rsidRPr="00C73908">
        <w:rPr>
          <w:rFonts w:ascii="Times New Roman" w:hAnsi="Times New Roman" w:cs="Times New Roman"/>
          <w:lang w:val="en-IE"/>
        </w:rPr>
        <w:t>)</w:t>
      </w:r>
      <w:r w:rsidRPr="00C73908">
        <w:rPr>
          <w:rFonts w:ascii="Times New Roman" w:hAnsi="Times New Roman" w:cs="Times New Roman"/>
          <w:lang w:val="en-IE"/>
        </w:rPr>
        <w:t>. "Exceptional Exporter Performance: Cause, Effect, or Both?" Journal of International Economics, Elsevier</w:t>
      </w:r>
    </w:p>
    <w:p w14:paraId="6218F17F" w14:textId="7AA063BA" w:rsidR="00D81910" w:rsidRPr="00C73908" w:rsidRDefault="00996EB7"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Bernard, Andrew B. &amp; Bradford Jensen, J.</w:t>
      </w:r>
      <w:r w:rsidR="00D81910" w:rsidRPr="00C73908">
        <w:rPr>
          <w:rFonts w:ascii="Times New Roman" w:hAnsi="Times New Roman" w:cs="Times New Roman"/>
          <w:lang w:val="en-IE"/>
        </w:rPr>
        <w:t xml:space="preserve">, </w:t>
      </w:r>
      <w:r w:rsidR="00077932" w:rsidRPr="00C73908">
        <w:rPr>
          <w:rFonts w:ascii="Times New Roman" w:hAnsi="Times New Roman" w:cs="Times New Roman"/>
          <w:lang w:val="en-IE"/>
        </w:rPr>
        <w:t>(</w:t>
      </w:r>
      <w:r w:rsidR="00D81910" w:rsidRPr="00C73908">
        <w:rPr>
          <w:rFonts w:ascii="Times New Roman" w:hAnsi="Times New Roman" w:cs="Times New Roman"/>
          <w:lang w:val="en-IE"/>
        </w:rPr>
        <w:t>2001</w:t>
      </w:r>
      <w:r w:rsidR="00077932" w:rsidRPr="00C73908">
        <w:rPr>
          <w:rFonts w:ascii="Times New Roman" w:hAnsi="Times New Roman" w:cs="Times New Roman"/>
          <w:lang w:val="en-IE"/>
        </w:rPr>
        <w:t>)</w:t>
      </w:r>
      <w:r w:rsidR="00D81910" w:rsidRPr="00C73908">
        <w:rPr>
          <w:rFonts w:ascii="Times New Roman" w:hAnsi="Times New Roman" w:cs="Times New Roman"/>
          <w:lang w:val="en-IE"/>
        </w:rPr>
        <w:t>. "Why Some Firms Export," NBER Working Papers 8349, National Bureau of Economic Research, Inc.</w:t>
      </w:r>
    </w:p>
    <w:p w14:paraId="761ED7F8" w14:textId="6E5544EA" w:rsidR="00240FC4" w:rsidRPr="00C73908" w:rsidRDefault="00240FC4"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Bloom, Nicholas &amp; Manova, Kalina &amp; Teng Sun, Stephen &amp; Van Reenen, John &amp; Yu, Zhihong (2018). "Managing Trade: Evidence from China and the US," CEP Discussion Papers dp1553, Centre for Economic Performance, LSE</w:t>
      </w:r>
    </w:p>
    <w:p w14:paraId="202F1DD8" w14:textId="685086E9" w:rsidR="007C05B1" w:rsidRPr="00C73908" w:rsidRDefault="007C05B1"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Blundell, Richard &amp; Bond, Stephen, (1998). "Initial </w:t>
      </w:r>
      <w:r w:rsidR="00487EB4" w:rsidRPr="00C73908">
        <w:rPr>
          <w:rFonts w:ascii="Times New Roman" w:hAnsi="Times New Roman" w:cs="Times New Roman"/>
          <w:lang w:val="en-IE"/>
        </w:rPr>
        <w:t xml:space="preserve">Conditions and Moment Restrictions </w:t>
      </w:r>
      <w:r w:rsidR="0026549E" w:rsidRPr="00C73908">
        <w:rPr>
          <w:rFonts w:ascii="Times New Roman" w:hAnsi="Times New Roman" w:cs="Times New Roman"/>
          <w:lang w:val="en-IE"/>
        </w:rPr>
        <w:t>in</w:t>
      </w:r>
      <w:r w:rsidR="00487EB4" w:rsidRPr="00C73908">
        <w:rPr>
          <w:rFonts w:ascii="Times New Roman" w:hAnsi="Times New Roman" w:cs="Times New Roman"/>
          <w:lang w:val="en-IE"/>
        </w:rPr>
        <w:t xml:space="preserve"> Dynamic Panel Data Models</w:t>
      </w:r>
      <w:r w:rsidRPr="00C73908">
        <w:rPr>
          <w:rFonts w:ascii="Times New Roman" w:hAnsi="Times New Roman" w:cs="Times New Roman"/>
          <w:lang w:val="en-IE"/>
        </w:rPr>
        <w:t>," Journal of Econometrics, Elsevier, vol. 87(1)</w:t>
      </w:r>
    </w:p>
    <w:p w14:paraId="0CCD7568" w14:textId="78D1B58F" w:rsidR="0058437E" w:rsidRPr="00C73908" w:rsidRDefault="0058437E"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Blyde, Juan, (2016). "Exports and Labor Skills: The Role of Training," MPRA Paper 72150, University Library of Munich</w:t>
      </w:r>
    </w:p>
    <w:p w14:paraId="73BE9E8F" w14:textId="0F0B990F" w:rsidR="00487C89" w:rsidRPr="00C73908" w:rsidRDefault="002E3339"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Brakman, </w:t>
      </w:r>
      <w:r w:rsidR="00487C89" w:rsidRPr="00C73908">
        <w:rPr>
          <w:rFonts w:ascii="Times New Roman" w:hAnsi="Times New Roman" w:cs="Times New Roman"/>
          <w:lang w:val="en-IE"/>
        </w:rPr>
        <w:t xml:space="preserve">Steven </w:t>
      </w:r>
      <w:r w:rsidRPr="00C73908">
        <w:rPr>
          <w:rFonts w:ascii="Times New Roman" w:hAnsi="Times New Roman" w:cs="Times New Roman"/>
          <w:lang w:val="en-IE"/>
        </w:rPr>
        <w:t>&amp;</w:t>
      </w:r>
      <w:r w:rsidR="00487C89" w:rsidRPr="00C73908">
        <w:rPr>
          <w:rFonts w:ascii="Times New Roman" w:hAnsi="Times New Roman" w:cs="Times New Roman"/>
          <w:lang w:val="en-IE"/>
        </w:rPr>
        <w:t xml:space="preserve"> </w:t>
      </w:r>
      <w:r w:rsidRPr="00C73908">
        <w:rPr>
          <w:rFonts w:ascii="Times New Roman" w:hAnsi="Times New Roman" w:cs="Times New Roman"/>
          <w:lang w:val="en-IE"/>
        </w:rPr>
        <w:t xml:space="preserve">Garretsen, </w:t>
      </w:r>
      <w:r w:rsidR="00487C89" w:rsidRPr="00C73908">
        <w:rPr>
          <w:rFonts w:ascii="Times New Roman" w:hAnsi="Times New Roman" w:cs="Times New Roman"/>
          <w:lang w:val="en-IE"/>
        </w:rPr>
        <w:t>Harry</w:t>
      </w:r>
      <w:r w:rsidRPr="00C73908">
        <w:rPr>
          <w:rFonts w:ascii="Times New Roman" w:hAnsi="Times New Roman" w:cs="Times New Roman"/>
          <w:lang w:val="en-IE"/>
        </w:rPr>
        <w:t xml:space="preserve"> &amp;</w:t>
      </w:r>
      <w:r w:rsidR="00487C89" w:rsidRPr="00C73908">
        <w:rPr>
          <w:rFonts w:ascii="Times New Roman" w:hAnsi="Times New Roman" w:cs="Times New Roman"/>
          <w:lang w:val="en-IE"/>
        </w:rPr>
        <w:t xml:space="preserve"> van Maarseveen, Raoul &amp; Zwaneveld, Peter (2020). </w:t>
      </w:r>
      <w:r w:rsidR="00D05499" w:rsidRPr="00C73908">
        <w:rPr>
          <w:rFonts w:ascii="Times New Roman" w:hAnsi="Times New Roman" w:cs="Times New Roman"/>
          <w:lang w:val="en-IE"/>
        </w:rPr>
        <w:t>“</w:t>
      </w:r>
      <w:r w:rsidR="00487C89" w:rsidRPr="00C73908">
        <w:rPr>
          <w:rFonts w:ascii="Times New Roman" w:hAnsi="Times New Roman" w:cs="Times New Roman"/>
          <w:lang w:val="en-IE"/>
        </w:rPr>
        <w:t xml:space="preserve">Firm </w:t>
      </w:r>
      <w:r w:rsidR="00D05499" w:rsidRPr="00C73908">
        <w:rPr>
          <w:rFonts w:ascii="Times New Roman" w:hAnsi="Times New Roman" w:cs="Times New Roman"/>
          <w:lang w:val="en-IE"/>
        </w:rPr>
        <w:t>Heterogeneity</w:t>
      </w:r>
      <w:r w:rsidR="00487C89" w:rsidRPr="00C73908">
        <w:rPr>
          <w:rFonts w:ascii="Times New Roman" w:hAnsi="Times New Roman" w:cs="Times New Roman"/>
          <w:lang w:val="en-IE"/>
        </w:rPr>
        <w:t xml:space="preserve"> and </w:t>
      </w:r>
      <w:r w:rsidR="00D05499" w:rsidRPr="00C73908">
        <w:rPr>
          <w:rFonts w:ascii="Times New Roman" w:hAnsi="Times New Roman" w:cs="Times New Roman"/>
          <w:lang w:val="en-IE"/>
        </w:rPr>
        <w:t>Exports</w:t>
      </w:r>
      <w:r w:rsidR="00487C89" w:rsidRPr="00C73908">
        <w:rPr>
          <w:rFonts w:ascii="Times New Roman" w:hAnsi="Times New Roman" w:cs="Times New Roman"/>
          <w:lang w:val="en-IE"/>
        </w:rPr>
        <w:t xml:space="preserve"> in the </w:t>
      </w:r>
      <w:r w:rsidR="00D05499" w:rsidRPr="00C73908">
        <w:rPr>
          <w:rFonts w:ascii="Times New Roman" w:hAnsi="Times New Roman" w:cs="Times New Roman"/>
          <w:lang w:val="en-IE"/>
        </w:rPr>
        <w:t>Netherlands: Identifying Export Potential Beyond Firm Productivity,”</w:t>
      </w:r>
      <w:r w:rsidR="00487C89" w:rsidRPr="00C73908">
        <w:rPr>
          <w:rFonts w:ascii="Times New Roman" w:hAnsi="Times New Roman" w:cs="Times New Roman"/>
          <w:lang w:val="en-IE"/>
        </w:rPr>
        <w:t xml:space="preserve"> The Journal of International Trade &amp; Economic Development, 29:1, 36-68</w:t>
      </w:r>
    </w:p>
    <w:p w14:paraId="4AFB88D3" w14:textId="6BD50765" w:rsidR="00DC7108" w:rsidRPr="00C73908" w:rsidRDefault="00DC7108" w:rsidP="00B57F4D">
      <w:pPr>
        <w:spacing w:after="0"/>
        <w:ind w:hanging="284"/>
        <w:jc w:val="both"/>
        <w:rPr>
          <w:rFonts w:ascii="Times New Roman" w:hAnsi="Times New Roman" w:cs="Times New Roman"/>
          <w:lang w:val="pt-BR"/>
        </w:rPr>
      </w:pPr>
      <w:r w:rsidRPr="00C73908">
        <w:rPr>
          <w:rFonts w:ascii="Times New Roman" w:hAnsi="Times New Roman" w:cs="Times New Roman"/>
          <w:lang w:val="en-IE"/>
        </w:rPr>
        <w:t xml:space="preserve">Brewer, Paul (2009). "Australia's Export Promotion Program: Is it Effective?" </w:t>
      </w:r>
      <w:r w:rsidRPr="00C73908">
        <w:rPr>
          <w:rFonts w:ascii="Times New Roman" w:hAnsi="Times New Roman" w:cs="Times New Roman"/>
          <w:lang w:val="pt-BR"/>
        </w:rPr>
        <w:t>Australian Journal of Management, vol. 34, no. 1, p. 125</w:t>
      </w:r>
    </w:p>
    <w:p w14:paraId="7015E303" w14:textId="0722A110" w:rsidR="004C4EBE" w:rsidRPr="00C73908" w:rsidRDefault="004C4EBE" w:rsidP="00B57F4D">
      <w:pPr>
        <w:spacing w:after="0"/>
        <w:ind w:hanging="284"/>
        <w:jc w:val="both"/>
        <w:rPr>
          <w:rFonts w:ascii="Times New Roman" w:hAnsi="Times New Roman" w:cs="Times New Roman"/>
          <w:lang w:val="en-IE"/>
        </w:rPr>
      </w:pPr>
      <w:r w:rsidRPr="00C73908">
        <w:rPr>
          <w:rFonts w:ascii="Times New Roman" w:hAnsi="Times New Roman" w:cs="Times New Roman"/>
          <w:lang w:val="pt-BR"/>
        </w:rPr>
        <w:t>Brancati</w:t>
      </w:r>
      <w:r w:rsidR="00F26667" w:rsidRPr="00C73908">
        <w:rPr>
          <w:rFonts w:ascii="Times New Roman" w:hAnsi="Times New Roman" w:cs="Times New Roman"/>
          <w:lang w:val="pt-BR"/>
        </w:rPr>
        <w:t>, Emanuele</w:t>
      </w:r>
      <w:r w:rsidRPr="00C73908">
        <w:rPr>
          <w:rFonts w:ascii="Times New Roman" w:hAnsi="Times New Roman" w:cs="Times New Roman"/>
          <w:lang w:val="pt-BR"/>
        </w:rPr>
        <w:t xml:space="preserve"> &amp; Brancati</w:t>
      </w:r>
      <w:r w:rsidR="00F26667" w:rsidRPr="00C73908">
        <w:rPr>
          <w:rFonts w:ascii="Times New Roman" w:hAnsi="Times New Roman" w:cs="Times New Roman"/>
          <w:lang w:val="pt-BR"/>
        </w:rPr>
        <w:t>, Raffaele</w:t>
      </w:r>
      <w:r w:rsidRPr="00C73908">
        <w:rPr>
          <w:rFonts w:ascii="Times New Roman" w:hAnsi="Times New Roman" w:cs="Times New Roman"/>
          <w:lang w:val="pt-BR"/>
        </w:rPr>
        <w:t xml:space="preserve"> &amp; Guarascio</w:t>
      </w:r>
      <w:r w:rsidR="00F26667" w:rsidRPr="00C73908">
        <w:rPr>
          <w:rFonts w:ascii="Times New Roman" w:hAnsi="Times New Roman" w:cs="Times New Roman"/>
          <w:lang w:val="pt-BR"/>
        </w:rPr>
        <w:t>, Dario</w:t>
      </w:r>
      <w:r w:rsidRPr="00C73908">
        <w:rPr>
          <w:rFonts w:ascii="Times New Roman" w:hAnsi="Times New Roman" w:cs="Times New Roman"/>
          <w:lang w:val="pt-BR"/>
        </w:rPr>
        <w:t xml:space="preserve"> &amp; Maresca</w:t>
      </w:r>
      <w:r w:rsidR="00F26667" w:rsidRPr="00C73908">
        <w:rPr>
          <w:rFonts w:ascii="Times New Roman" w:hAnsi="Times New Roman" w:cs="Times New Roman"/>
          <w:lang w:val="pt-BR"/>
        </w:rPr>
        <w:t>, Andrea</w:t>
      </w:r>
      <w:r w:rsidRPr="00C73908">
        <w:rPr>
          <w:rFonts w:ascii="Times New Roman" w:hAnsi="Times New Roman" w:cs="Times New Roman"/>
          <w:lang w:val="pt-BR"/>
        </w:rPr>
        <w:t xml:space="preserve"> &amp; Romagnoli</w:t>
      </w:r>
      <w:r w:rsidR="00F26667" w:rsidRPr="00C73908">
        <w:rPr>
          <w:rFonts w:ascii="Times New Roman" w:hAnsi="Times New Roman" w:cs="Times New Roman"/>
          <w:lang w:val="pt-BR"/>
        </w:rPr>
        <w:t>, Manuel</w:t>
      </w:r>
      <w:r w:rsidRPr="00C73908">
        <w:rPr>
          <w:rFonts w:ascii="Times New Roman" w:hAnsi="Times New Roman" w:cs="Times New Roman"/>
          <w:lang w:val="pt-BR"/>
        </w:rPr>
        <w:t xml:space="preserve"> &amp; Zanfei,</w:t>
      </w:r>
      <w:r w:rsidR="00F26667" w:rsidRPr="00C73908">
        <w:rPr>
          <w:rFonts w:ascii="Times New Roman" w:hAnsi="Times New Roman" w:cs="Times New Roman"/>
          <w:lang w:val="pt-BR"/>
        </w:rPr>
        <w:t xml:space="preserve"> Antonello</w:t>
      </w:r>
      <w:r w:rsidRPr="00C73908">
        <w:rPr>
          <w:rFonts w:ascii="Times New Roman" w:hAnsi="Times New Roman" w:cs="Times New Roman"/>
          <w:lang w:val="pt-BR"/>
        </w:rPr>
        <w:t xml:space="preserve"> (2018). </w:t>
      </w:r>
      <w:r w:rsidRPr="00C73908">
        <w:rPr>
          <w:rFonts w:ascii="Times New Roman" w:hAnsi="Times New Roman" w:cs="Times New Roman"/>
          <w:lang w:val="en-IE"/>
        </w:rPr>
        <w:t>"Firm-level Drivers of Export Performance and External Competitiveness in Italy," European Economy - Discussion Papers 2015 - 087, European Commission</w:t>
      </w:r>
    </w:p>
    <w:p w14:paraId="64068D14" w14:textId="3823FBC4" w:rsidR="00AC0AC2" w:rsidRPr="00C73908" w:rsidRDefault="00AC0AC2"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Caldera, A. (2010). </w:t>
      </w:r>
      <w:r w:rsidR="00930FC3" w:rsidRPr="00C73908">
        <w:rPr>
          <w:rFonts w:ascii="Times New Roman" w:hAnsi="Times New Roman" w:cs="Times New Roman"/>
          <w:lang w:val="en-IE"/>
        </w:rPr>
        <w:t>“</w:t>
      </w:r>
      <w:r w:rsidRPr="00C73908">
        <w:rPr>
          <w:rFonts w:ascii="Times New Roman" w:hAnsi="Times New Roman" w:cs="Times New Roman"/>
          <w:lang w:val="en-IE"/>
        </w:rPr>
        <w:t>Innovation and Exporting: Evidence from Spanish Manufacturing Firms", Review of World Economics, 146(4): 657-689.</w:t>
      </w:r>
    </w:p>
    <w:p w14:paraId="577E5D2D" w14:textId="29A76ACC" w:rsidR="004A3339" w:rsidRPr="00C73908" w:rsidRDefault="004A3339" w:rsidP="004A3339">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Cameron, A. C. and Miller, D. L. (2015). </w:t>
      </w:r>
      <w:r w:rsidR="00C25B6E" w:rsidRPr="00C73908">
        <w:rPr>
          <w:rFonts w:ascii="Times New Roman" w:hAnsi="Times New Roman" w:cs="Times New Roman"/>
          <w:lang w:val="en-IE"/>
        </w:rPr>
        <w:t>“</w:t>
      </w:r>
      <w:r w:rsidRPr="00C73908">
        <w:rPr>
          <w:rFonts w:ascii="Times New Roman" w:hAnsi="Times New Roman" w:cs="Times New Roman"/>
          <w:lang w:val="en-IE"/>
        </w:rPr>
        <w:t>A Practitioner’ s Guide to Cluster-Robust Inference</w:t>
      </w:r>
      <w:r w:rsidR="00C25B6E" w:rsidRPr="00C73908">
        <w:rPr>
          <w:rFonts w:ascii="Times New Roman" w:hAnsi="Times New Roman" w:cs="Times New Roman"/>
          <w:lang w:val="en-IE"/>
        </w:rPr>
        <w:t>,”</w:t>
      </w:r>
      <w:r w:rsidRPr="00C73908">
        <w:rPr>
          <w:rFonts w:ascii="Times New Roman" w:hAnsi="Times New Roman" w:cs="Times New Roman"/>
          <w:lang w:val="en-IE"/>
        </w:rPr>
        <w:t xml:space="preserve"> Journal of Human Resources, 50(2):317–372.</w:t>
      </w:r>
    </w:p>
    <w:p w14:paraId="1C8FC82C" w14:textId="50A5B5E4" w:rsidR="002051D2" w:rsidRPr="00C73908" w:rsidRDefault="002051D2"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Chuang, Yih‐chyi (2000). "Human Capital, Exports, and Economic Growth: A Causality Analysis for Taiwan, 1952–1995," Review of International Economics, Wiley Blackwell, vol. 8(4), pages 712-720</w:t>
      </w:r>
    </w:p>
    <w:p w14:paraId="085857E6" w14:textId="3EEFC3D7" w:rsidR="00A370D2" w:rsidRPr="00C73908" w:rsidRDefault="00A370D2"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Clerides, Sofronis &amp; Lach, Saul &amp; Tybout, James. (1998). “Is Learning </w:t>
      </w:r>
      <w:r w:rsidR="00930FC3" w:rsidRPr="00C73908">
        <w:rPr>
          <w:rFonts w:ascii="Times New Roman" w:hAnsi="Times New Roman" w:cs="Times New Roman"/>
          <w:lang w:val="en-IE"/>
        </w:rPr>
        <w:t>b</w:t>
      </w:r>
      <w:r w:rsidRPr="00C73908">
        <w:rPr>
          <w:rFonts w:ascii="Times New Roman" w:hAnsi="Times New Roman" w:cs="Times New Roman"/>
          <w:lang w:val="en-IE"/>
        </w:rPr>
        <w:t>y Exporting Important? Micro-Dynamic Evidence from Colombia, Mexico, And Morocco.” The Quarterly Journal of Economics. 113. 903-947</w:t>
      </w:r>
    </w:p>
    <w:p w14:paraId="54C939FE" w14:textId="7CD39DE6" w:rsidR="00F26667" w:rsidRPr="00C73908" w:rsidRDefault="00F26667"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Contractor, Farok J. &amp; Mudambi, Susan M. (2008). "The </w:t>
      </w:r>
      <w:r w:rsidR="004D5D8B" w:rsidRPr="00C73908">
        <w:rPr>
          <w:rFonts w:ascii="Times New Roman" w:hAnsi="Times New Roman" w:cs="Times New Roman"/>
          <w:lang w:val="en-IE"/>
        </w:rPr>
        <w:t xml:space="preserve">Influence of Human Capital Investment </w:t>
      </w:r>
      <w:r w:rsidRPr="00C73908">
        <w:rPr>
          <w:rFonts w:ascii="Times New Roman" w:hAnsi="Times New Roman" w:cs="Times New Roman"/>
          <w:lang w:val="en-IE"/>
        </w:rPr>
        <w:t xml:space="preserve">on the </w:t>
      </w:r>
      <w:r w:rsidR="004D5D8B" w:rsidRPr="00C73908">
        <w:rPr>
          <w:rFonts w:ascii="Times New Roman" w:hAnsi="Times New Roman" w:cs="Times New Roman"/>
          <w:lang w:val="en-IE"/>
        </w:rPr>
        <w:t>Exports of Services and Goods</w:t>
      </w:r>
      <w:r w:rsidRPr="00C73908">
        <w:rPr>
          <w:rFonts w:ascii="Times New Roman" w:hAnsi="Times New Roman" w:cs="Times New Roman"/>
          <w:lang w:val="en-IE"/>
        </w:rPr>
        <w:t xml:space="preserve">: An </w:t>
      </w:r>
      <w:r w:rsidR="004D5D8B" w:rsidRPr="00C73908">
        <w:rPr>
          <w:rFonts w:ascii="Times New Roman" w:hAnsi="Times New Roman" w:cs="Times New Roman"/>
          <w:lang w:val="en-IE"/>
        </w:rPr>
        <w:t xml:space="preserve">Analysis </w:t>
      </w:r>
      <w:r w:rsidRPr="00C73908">
        <w:rPr>
          <w:rFonts w:ascii="Times New Roman" w:hAnsi="Times New Roman" w:cs="Times New Roman"/>
          <w:lang w:val="en-IE"/>
        </w:rPr>
        <w:t xml:space="preserve">of the </w:t>
      </w:r>
      <w:r w:rsidR="004D5D8B" w:rsidRPr="00C73908">
        <w:rPr>
          <w:rFonts w:ascii="Times New Roman" w:hAnsi="Times New Roman" w:cs="Times New Roman"/>
          <w:lang w:val="en-IE"/>
        </w:rPr>
        <w:t xml:space="preserve">Top </w:t>
      </w:r>
      <w:r w:rsidRPr="00C73908">
        <w:rPr>
          <w:rFonts w:ascii="Times New Roman" w:hAnsi="Times New Roman" w:cs="Times New Roman"/>
          <w:lang w:val="en-IE"/>
        </w:rPr>
        <w:t xml:space="preserve">25 </w:t>
      </w:r>
      <w:r w:rsidR="004D5D8B" w:rsidRPr="00C73908">
        <w:rPr>
          <w:rFonts w:ascii="Times New Roman" w:hAnsi="Times New Roman" w:cs="Times New Roman"/>
          <w:lang w:val="en-IE"/>
        </w:rPr>
        <w:t>Services Outsourcing Countries</w:t>
      </w:r>
      <w:r w:rsidRPr="00C73908">
        <w:rPr>
          <w:rFonts w:ascii="Times New Roman" w:hAnsi="Times New Roman" w:cs="Times New Roman"/>
          <w:lang w:val="en-IE"/>
        </w:rPr>
        <w:t>," Management International Review, Springer, vol. 48(4), pages 433-445</w:t>
      </w:r>
    </w:p>
    <w:p w14:paraId="41D16F74" w14:textId="0F78CEAB" w:rsidR="00D2029A" w:rsidRPr="00C73908" w:rsidRDefault="00D2029A" w:rsidP="00D2029A">
      <w:pPr>
        <w:spacing w:after="0"/>
        <w:ind w:hanging="284"/>
        <w:jc w:val="both"/>
        <w:rPr>
          <w:rFonts w:ascii="Times New Roman" w:hAnsi="Times New Roman" w:cs="Times New Roman"/>
          <w:lang w:val="en-IE"/>
        </w:rPr>
      </w:pPr>
      <w:r w:rsidRPr="00C73908">
        <w:rPr>
          <w:rFonts w:ascii="Times New Roman" w:hAnsi="Times New Roman" w:cs="Times New Roman"/>
          <w:lang w:val="en-IE"/>
        </w:rPr>
        <w:t>Culliton Report (1992). “A Time for Change: Industrial Policy for the 1990s, Report of the Industrial Review Group”, Dublin: Stationary Office.</w:t>
      </w:r>
    </w:p>
    <w:p w14:paraId="096A48C0" w14:textId="7E98AA7D" w:rsidR="0036187F" w:rsidRPr="00C73908" w:rsidRDefault="0036187F"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Czarnitzki, Dirk and Wastyn, Annelies (2010). “Competing Internationally: On the Importance of R&amp;D for Export Activity” ZEW - Centre for European Economic Research Discussion Paper No. 10-071</w:t>
      </w:r>
    </w:p>
    <w:p w14:paraId="28C51477" w14:textId="2D53658C" w:rsidR="00197470" w:rsidRPr="00C73908" w:rsidRDefault="00D95E92"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D’Angelo, Alfredo (2012). "Innovation and export performance: a study of Italian high-tech SMEs," Journal of Management &amp; Governance, Springer, vol. 16(3), pages 393-423</w:t>
      </w:r>
    </w:p>
    <w:p w14:paraId="44A99471" w14:textId="76666764" w:rsidR="008B5AF1" w:rsidRPr="00C73908" w:rsidRDefault="008B5AF1"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Dahlander, Linus &amp; Gann, David M., (2010). "How Open is Innovation?"</w:t>
      </w:r>
      <w:r w:rsidR="007D0CD6" w:rsidRPr="00C73908">
        <w:rPr>
          <w:rFonts w:ascii="Times New Roman" w:hAnsi="Times New Roman" w:cs="Times New Roman"/>
          <w:lang w:val="en-IE"/>
        </w:rPr>
        <w:t xml:space="preserve"> Research Policy,</w:t>
      </w:r>
      <w:r w:rsidRPr="00C73908">
        <w:rPr>
          <w:rFonts w:ascii="Times New Roman" w:hAnsi="Times New Roman" w:cs="Times New Roman"/>
          <w:lang w:val="en-IE"/>
        </w:rPr>
        <w:t xml:space="preserve"> Elsevier, vol. 39(6), pages 699-709</w:t>
      </w:r>
    </w:p>
    <w:p w14:paraId="72FE5AF5" w14:textId="77777777" w:rsidR="0058437E" w:rsidRPr="00C73908" w:rsidRDefault="0058437E"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lastRenderedPageBreak/>
        <w:t>Damijan, J. &amp; Kostevc, C. &amp; Polanec, S. (2010). “From Innovation to Exporting or Vice Versa?”, World Economy, 33(3): 374-378.</w:t>
      </w:r>
    </w:p>
    <w:p w14:paraId="5199711F" w14:textId="5DEC3BE9" w:rsidR="002A7735" w:rsidRPr="00C73908" w:rsidRDefault="002A7735"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Dearden, Lorraine &amp; Reed, Howard &amp; Van Reenen, John (2005). "The impact of training on productivity and wages: evidence from British panel data," IFS Working Papers W05/16, Institute for Fiscal Studies.</w:t>
      </w:r>
    </w:p>
    <w:p w14:paraId="7728BBC2" w14:textId="44B0E2F6" w:rsidR="005F68C4" w:rsidRPr="00C73908" w:rsidRDefault="005F68C4"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Dixit, A. </w:t>
      </w:r>
      <w:r w:rsidR="00CE1F87" w:rsidRPr="00C73908">
        <w:rPr>
          <w:rFonts w:ascii="Times New Roman" w:hAnsi="Times New Roman" w:cs="Times New Roman"/>
          <w:lang w:val="en-IE"/>
        </w:rPr>
        <w:t>(</w:t>
      </w:r>
      <w:r w:rsidRPr="00C73908">
        <w:rPr>
          <w:rFonts w:ascii="Times New Roman" w:hAnsi="Times New Roman" w:cs="Times New Roman"/>
          <w:lang w:val="en-IE"/>
        </w:rPr>
        <w:t>1989</w:t>
      </w:r>
      <w:r w:rsidR="00CE1F87" w:rsidRPr="00C73908">
        <w:rPr>
          <w:rFonts w:ascii="Times New Roman" w:hAnsi="Times New Roman" w:cs="Times New Roman"/>
          <w:lang w:val="en-IE"/>
        </w:rPr>
        <w:t>).</w:t>
      </w:r>
      <w:r w:rsidRPr="00C73908">
        <w:rPr>
          <w:rFonts w:ascii="Times New Roman" w:hAnsi="Times New Roman" w:cs="Times New Roman"/>
          <w:lang w:val="en-IE"/>
        </w:rPr>
        <w:t xml:space="preserve"> </w:t>
      </w:r>
      <w:r w:rsidR="0065124B" w:rsidRPr="00C73908">
        <w:rPr>
          <w:rFonts w:ascii="Times New Roman" w:hAnsi="Times New Roman" w:cs="Times New Roman"/>
          <w:lang w:val="en-IE"/>
        </w:rPr>
        <w:t>“</w:t>
      </w:r>
      <w:r w:rsidRPr="00C73908">
        <w:rPr>
          <w:rFonts w:ascii="Times New Roman" w:hAnsi="Times New Roman" w:cs="Times New Roman"/>
          <w:lang w:val="en-IE"/>
        </w:rPr>
        <w:t>Entry and Exit Decisions Under Uncertainty</w:t>
      </w:r>
      <w:r w:rsidR="0065124B" w:rsidRPr="00C73908">
        <w:rPr>
          <w:rFonts w:ascii="Times New Roman" w:hAnsi="Times New Roman" w:cs="Times New Roman"/>
          <w:lang w:val="en-IE"/>
        </w:rPr>
        <w:t>”</w:t>
      </w:r>
      <w:r w:rsidRPr="00C73908">
        <w:rPr>
          <w:rFonts w:ascii="Times New Roman" w:hAnsi="Times New Roman" w:cs="Times New Roman"/>
          <w:lang w:val="en-IE"/>
        </w:rPr>
        <w:t>, Journal of Political Economy, 97, 3, 620-638</w:t>
      </w:r>
    </w:p>
    <w:p w14:paraId="50FFC9B6" w14:textId="28AACFC3" w:rsidR="008158AC" w:rsidRPr="00C73908" w:rsidRDefault="008158AC"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Dostie, Benoit (2020). "Who benefits from firm-sponsored training?" IZA World of Labor, Institute of Labour Economics (IZA), pages 145-145</w:t>
      </w:r>
    </w:p>
    <w:p w14:paraId="159ACFD8" w14:textId="77777777" w:rsidR="00202740" w:rsidRPr="00C73908" w:rsidRDefault="00202740" w:rsidP="00202740">
      <w:pPr>
        <w:spacing w:after="0"/>
        <w:ind w:hanging="284"/>
        <w:jc w:val="both"/>
        <w:rPr>
          <w:rFonts w:ascii="Times New Roman" w:hAnsi="Times New Roman" w:cs="Times New Roman"/>
          <w:lang w:val="en-IE"/>
        </w:rPr>
      </w:pPr>
      <w:r w:rsidRPr="00C73908">
        <w:rPr>
          <w:rFonts w:ascii="Times New Roman" w:hAnsi="Times New Roman" w:cs="Times New Roman"/>
          <w:lang w:val="en-IE"/>
        </w:rPr>
        <w:t>Economic and Social Research Institute (2006). “Who Exports? A Firm Level Study of the Characteristics of Exporters and the Determinants of Export Performance for Northern Ireland and the Republic of Ireland.” Working paper</w:t>
      </w:r>
    </w:p>
    <w:p w14:paraId="7C32FA72" w14:textId="7150DB52" w:rsidR="00324EBC" w:rsidRPr="00C73908" w:rsidRDefault="00324EBC"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Elliott</w:t>
      </w:r>
      <w:r w:rsidR="00004728" w:rsidRPr="00C73908">
        <w:rPr>
          <w:rFonts w:ascii="Times New Roman" w:hAnsi="Times New Roman" w:cs="Times New Roman"/>
          <w:lang w:val="en-IE"/>
        </w:rPr>
        <w:t>, Robert</w:t>
      </w:r>
      <w:r w:rsidRPr="00C73908">
        <w:rPr>
          <w:rFonts w:ascii="Times New Roman" w:hAnsi="Times New Roman" w:cs="Times New Roman"/>
          <w:lang w:val="en-IE"/>
        </w:rPr>
        <w:t xml:space="preserve"> &amp; Jabbour</w:t>
      </w:r>
      <w:r w:rsidR="00004728" w:rsidRPr="00C73908">
        <w:rPr>
          <w:rFonts w:ascii="Times New Roman" w:hAnsi="Times New Roman" w:cs="Times New Roman"/>
          <w:lang w:val="en-IE"/>
        </w:rPr>
        <w:t>, Liza</w:t>
      </w:r>
      <w:r w:rsidRPr="00C73908">
        <w:rPr>
          <w:rFonts w:ascii="Times New Roman" w:hAnsi="Times New Roman" w:cs="Times New Roman"/>
          <w:lang w:val="en-IE"/>
        </w:rPr>
        <w:t xml:space="preserve"> &amp; Vanino,</w:t>
      </w:r>
      <w:r w:rsidR="00004728" w:rsidRPr="00C73908">
        <w:rPr>
          <w:rFonts w:ascii="Times New Roman" w:hAnsi="Times New Roman" w:cs="Times New Roman"/>
          <w:lang w:val="en-IE"/>
        </w:rPr>
        <w:t xml:space="preserve"> Enrico</w:t>
      </w:r>
      <w:r w:rsidRPr="00C73908">
        <w:rPr>
          <w:rFonts w:ascii="Times New Roman" w:hAnsi="Times New Roman" w:cs="Times New Roman"/>
          <w:lang w:val="en-IE"/>
        </w:rPr>
        <w:t xml:space="preserve"> </w:t>
      </w:r>
      <w:r w:rsidR="00004728" w:rsidRPr="00C73908">
        <w:rPr>
          <w:rFonts w:ascii="Times New Roman" w:hAnsi="Times New Roman" w:cs="Times New Roman"/>
          <w:lang w:val="en-IE"/>
        </w:rPr>
        <w:t>(</w:t>
      </w:r>
      <w:r w:rsidRPr="00C73908">
        <w:rPr>
          <w:rFonts w:ascii="Times New Roman" w:hAnsi="Times New Roman" w:cs="Times New Roman"/>
          <w:lang w:val="en-IE"/>
        </w:rPr>
        <w:t>2020</w:t>
      </w:r>
      <w:r w:rsidR="00004728" w:rsidRPr="00C73908">
        <w:rPr>
          <w:rFonts w:ascii="Times New Roman" w:hAnsi="Times New Roman" w:cs="Times New Roman"/>
          <w:lang w:val="en-IE"/>
        </w:rPr>
        <w:t>)</w:t>
      </w:r>
      <w:r w:rsidRPr="00C73908">
        <w:rPr>
          <w:rFonts w:ascii="Times New Roman" w:hAnsi="Times New Roman" w:cs="Times New Roman"/>
          <w:lang w:val="en-IE"/>
        </w:rPr>
        <w:t>. "Innovation and the Creative Destruction of Trade: A Study of the Intensive and Extensive Margins of Trade for French Firms," Oxford Bulletin of Economics and Statistics, Department of Economics, University of Oxford, vol. 82(1), pages 180-208</w:t>
      </w:r>
    </w:p>
    <w:p w14:paraId="4E7ED658" w14:textId="47E37602" w:rsidR="0025563B" w:rsidRPr="00C73908" w:rsidRDefault="0025563B"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Felbermayr, Gabriel J. and Wilhelm Kohler (2006), “Exploring the Intensive and Extensive Margins of</w:t>
      </w:r>
      <w:r w:rsidR="00894AF3" w:rsidRPr="00C73908">
        <w:rPr>
          <w:rFonts w:ascii="Times New Roman" w:hAnsi="Times New Roman" w:cs="Times New Roman"/>
          <w:lang w:val="en-IE"/>
        </w:rPr>
        <w:t xml:space="preserve"> </w:t>
      </w:r>
      <w:r w:rsidRPr="00C73908">
        <w:rPr>
          <w:rFonts w:ascii="Times New Roman" w:hAnsi="Times New Roman" w:cs="Times New Roman"/>
          <w:lang w:val="en-IE"/>
        </w:rPr>
        <w:t>World Trade,” Review of World Economics, 142(4):642–674.</w:t>
      </w:r>
    </w:p>
    <w:p w14:paraId="5FED9C28" w14:textId="46D662F7" w:rsidR="008766BD" w:rsidRPr="00C73908" w:rsidRDefault="008766BD" w:rsidP="008766BD">
      <w:pPr>
        <w:spacing w:after="0"/>
        <w:ind w:hanging="284"/>
        <w:jc w:val="both"/>
        <w:rPr>
          <w:rFonts w:ascii="Times New Roman" w:hAnsi="Times New Roman" w:cs="Times New Roman"/>
          <w:lang w:val="en-IE"/>
        </w:rPr>
      </w:pPr>
      <w:r w:rsidRPr="00C73908">
        <w:rPr>
          <w:rFonts w:ascii="Times New Roman" w:hAnsi="Times New Roman" w:cs="Times New Roman"/>
          <w:lang w:val="en-IE"/>
        </w:rPr>
        <w:t>Flores, H. Tito, C. Silva,</w:t>
      </w:r>
      <w:r w:rsidR="009D58C2" w:rsidRPr="00C73908">
        <w:rPr>
          <w:rFonts w:ascii="Times New Roman" w:hAnsi="Times New Roman" w:cs="Times New Roman"/>
          <w:lang w:val="en-IE"/>
        </w:rPr>
        <w:t xml:space="preserve"> (2019)</w:t>
      </w:r>
      <w:r w:rsidRPr="00C73908">
        <w:rPr>
          <w:rFonts w:ascii="Times New Roman" w:hAnsi="Times New Roman" w:cs="Times New Roman"/>
          <w:lang w:val="en-IE"/>
        </w:rPr>
        <w:t xml:space="preserve"> “Local </w:t>
      </w:r>
      <w:r w:rsidR="009D58C2" w:rsidRPr="00C73908">
        <w:rPr>
          <w:rFonts w:ascii="Times New Roman" w:hAnsi="Times New Roman" w:cs="Times New Roman"/>
          <w:lang w:val="en-IE"/>
        </w:rPr>
        <w:t xml:space="preserve">Average </w:t>
      </w:r>
      <w:r w:rsidRPr="00C73908">
        <w:rPr>
          <w:rFonts w:ascii="Times New Roman" w:hAnsi="Times New Roman" w:cs="Times New Roman"/>
          <w:lang w:val="en-IE"/>
        </w:rPr>
        <w:t xml:space="preserve">of Nearest Neighbors: Univariate </w:t>
      </w:r>
      <w:r w:rsidR="009D58C2" w:rsidRPr="00C73908">
        <w:rPr>
          <w:rFonts w:ascii="Times New Roman" w:hAnsi="Times New Roman" w:cs="Times New Roman"/>
          <w:lang w:val="en-IE"/>
        </w:rPr>
        <w:t>Time Series Imputation</w:t>
      </w:r>
      <w:r w:rsidRPr="00C73908">
        <w:rPr>
          <w:rFonts w:ascii="Times New Roman" w:hAnsi="Times New Roman" w:cs="Times New Roman"/>
          <w:lang w:val="en-IE"/>
        </w:rPr>
        <w:t>,” International Journal of Advanced</w:t>
      </w:r>
      <w:r w:rsidR="009D58C2" w:rsidRPr="00C73908">
        <w:rPr>
          <w:rFonts w:ascii="Times New Roman" w:hAnsi="Times New Roman" w:cs="Times New Roman"/>
          <w:lang w:val="en-IE"/>
        </w:rPr>
        <w:t xml:space="preserve"> </w:t>
      </w:r>
      <w:r w:rsidRPr="00C73908">
        <w:rPr>
          <w:rFonts w:ascii="Times New Roman" w:hAnsi="Times New Roman" w:cs="Times New Roman"/>
          <w:lang w:val="en-IE"/>
        </w:rPr>
        <w:t>Computer Science and Applications, vol. 10, nº 8, pp. 45-50</w:t>
      </w:r>
    </w:p>
    <w:p w14:paraId="5B4FDB85" w14:textId="72A90737" w:rsidR="002F316C" w:rsidRPr="00C73908" w:rsidRDefault="002F316C"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Ganotakis, Panagiotis &amp; Love, James H. (2011) “R&amp;D, Product Innovation, and Exporting: Evidence from UK New Technology Based Firms,</w:t>
      </w:r>
      <w:r w:rsidR="00685521" w:rsidRPr="00C73908">
        <w:rPr>
          <w:rFonts w:ascii="Times New Roman" w:hAnsi="Times New Roman" w:cs="Times New Roman"/>
          <w:lang w:val="en-IE"/>
        </w:rPr>
        <w:t>”</w:t>
      </w:r>
      <w:r w:rsidRPr="00C73908">
        <w:rPr>
          <w:rFonts w:ascii="Times New Roman" w:hAnsi="Times New Roman" w:cs="Times New Roman"/>
          <w:lang w:val="en-IE"/>
        </w:rPr>
        <w:t xml:space="preserve"> Oxford Economic Papers, Volume 63, Issue 2</w:t>
      </w:r>
    </w:p>
    <w:p w14:paraId="3E3F9EAA" w14:textId="46991F75" w:rsidR="00FF3D23" w:rsidRPr="00C73908" w:rsidRDefault="00FF3D23"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Girma, S., Gorg, H., &amp; Hanley, A. (2008). “R&amp;D and Exporting: A Comparison of British and Irish firms.” Review of World Economics, 144(4): 750-773.</w:t>
      </w:r>
    </w:p>
    <w:p w14:paraId="7B58B214" w14:textId="43C44E68" w:rsidR="0075308E" w:rsidRPr="00C73908" w:rsidRDefault="0075308E"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Golovko, E., Valentini, G. (2011). “Exploring the Complementarity Between Innovation and Export for SMEs’ Growth.” Journal of International Business Studies</w:t>
      </w:r>
      <w:r w:rsidR="00E06552" w:rsidRPr="00C73908">
        <w:rPr>
          <w:rFonts w:ascii="Times New Roman" w:hAnsi="Times New Roman" w:cs="Times New Roman"/>
          <w:lang w:val="en-IE"/>
        </w:rPr>
        <w:t>,</w:t>
      </w:r>
      <w:r w:rsidRPr="00C73908">
        <w:rPr>
          <w:rFonts w:ascii="Times New Roman" w:hAnsi="Times New Roman" w:cs="Times New Roman"/>
          <w:lang w:val="en-IE"/>
        </w:rPr>
        <w:t xml:space="preserve"> 42, 362–380</w:t>
      </w:r>
    </w:p>
    <w:p w14:paraId="7CE645DC" w14:textId="7F1AB285" w:rsidR="009E4A20" w:rsidRPr="00C73908" w:rsidRDefault="009E4A20"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Gourlay, Adrian</w:t>
      </w:r>
      <w:r w:rsidR="00981E78" w:rsidRPr="00C73908">
        <w:rPr>
          <w:rFonts w:ascii="Times New Roman" w:hAnsi="Times New Roman" w:cs="Times New Roman"/>
          <w:lang w:val="en-IE"/>
        </w:rPr>
        <w:t xml:space="preserve"> &amp;</w:t>
      </w:r>
      <w:r w:rsidRPr="00C73908">
        <w:rPr>
          <w:rFonts w:ascii="Times New Roman" w:hAnsi="Times New Roman" w:cs="Times New Roman"/>
          <w:lang w:val="en-IE"/>
        </w:rPr>
        <w:t xml:space="preserve"> Seaton</w:t>
      </w:r>
      <w:r w:rsidR="00981E78" w:rsidRPr="00C73908">
        <w:rPr>
          <w:rFonts w:ascii="Times New Roman" w:hAnsi="Times New Roman" w:cs="Times New Roman"/>
          <w:lang w:val="en-IE"/>
        </w:rPr>
        <w:t>, Jonathan</w:t>
      </w:r>
      <w:r w:rsidRPr="00C73908">
        <w:rPr>
          <w:rFonts w:ascii="Times New Roman" w:hAnsi="Times New Roman" w:cs="Times New Roman"/>
          <w:lang w:val="en-IE"/>
        </w:rPr>
        <w:t xml:space="preserve"> &amp; Suppakitjarak</w:t>
      </w:r>
      <w:r w:rsidR="003F70EE" w:rsidRPr="00C73908">
        <w:rPr>
          <w:rFonts w:ascii="Times New Roman" w:hAnsi="Times New Roman" w:cs="Times New Roman"/>
          <w:lang w:val="en-IE"/>
        </w:rPr>
        <w:t>,</w:t>
      </w:r>
      <w:r w:rsidRPr="00C73908">
        <w:rPr>
          <w:rFonts w:ascii="Times New Roman" w:hAnsi="Times New Roman" w:cs="Times New Roman"/>
          <w:lang w:val="en-IE"/>
        </w:rPr>
        <w:t xml:space="preserve"> </w:t>
      </w:r>
      <w:r w:rsidR="003F70EE" w:rsidRPr="00C73908">
        <w:rPr>
          <w:rFonts w:ascii="Times New Roman" w:hAnsi="Times New Roman" w:cs="Times New Roman"/>
          <w:lang w:val="en-IE"/>
        </w:rPr>
        <w:t xml:space="preserve">Joy </w:t>
      </w:r>
      <w:r w:rsidRPr="00C73908">
        <w:rPr>
          <w:rFonts w:ascii="Times New Roman" w:hAnsi="Times New Roman" w:cs="Times New Roman"/>
          <w:lang w:val="en-IE"/>
        </w:rPr>
        <w:t>(2005)</w:t>
      </w:r>
      <w:r w:rsidR="00CE1F87" w:rsidRPr="00C73908">
        <w:rPr>
          <w:rFonts w:ascii="Times New Roman" w:hAnsi="Times New Roman" w:cs="Times New Roman"/>
          <w:lang w:val="en-IE"/>
        </w:rPr>
        <w:t>.</w:t>
      </w:r>
      <w:r w:rsidRPr="00C73908">
        <w:rPr>
          <w:rFonts w:ascii="Times New Roman" w:hAnsi="Times New Roman" w:cs="Times New Roman"/>
          <w:lang w:val="en-IE"/>
        </w:rPr>
        <w:t xml:space="preserve"> </w:t>
      </w:r>
      <w:r w:rsidR="003F70EE" w:rsidRPr="00C73908">
        <w:rPr>
          <w:rFonts w:ascii="Times New Roman" w:hAnsi="Times New Roman" w:cs="Times New Roman"/>
          <w:lang w:val="en-IE"/>
        </w:rPr>
        <w:t>“</w:t>
      </w:r>
      <w:r w:rsidRPr="00C73908">
        <w:rPr>
          <w:rFonts w:ascii="Times New Roman" w:hAnsi="Times New Roman" w:cs="Times New Roman"/>
          <w:lang w:val="en-IE"/>
        </w:rPr>
        <w:t xml:space="preserve">The </w:t>
      </w:r>
      <w:r w:rsidR="003F70EE" w:rsidRPr="00C73908">
        <w:rPr>
          <w:rFonts w:ascii="Times New Roman" w:hAnsi="Times New Roman" w:cs="Times New Roman"/>
          <w:lang w:val="en-IE"/>
        </w:rPr>
        <w:t>Determinants of Export Behaviour in UK Service Firms”</w:t>
      </w:r>
      <w:r w:rsidRPr="00C73908">
        <w:rPr>
          <w:rFonts w:ascii="Times New Roman" w:hAnsi="Times New Roman" w:cs="Times New Roman"/>
          <w:lang w:val="en-IE"/>
        </w:rPr>
        <w:t>, The Service Industries Journal, 25:7, 879-889</w:t>
      </w:r>
    </w:p>
    <w:p w14:paraId="4DB69C5F" w14:textId="197706FD" w:rsidR="00065D56" w:rsidRPr="00C73908" w:rsidRDefault="00065D56"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Hansen, Thorsten </w:t>
      </w:r>
      <w:r w:rsidR="00322E5C" w:rsidRPr="00C73908">
        <w:rPr>
          <w:rFonts w:ascii="Times New Roman" w:hAnsi="Times New Roman" w:cs="Times New Roman"/>
          <w:lang w:val="en-IE"/>
        </w:rPr>
        <w:t>(</w:t>
      </w:r>
      <w:r w:rsidRPr="00C73908">
        <w:rPr>
          <w:rFonts w:ascii="Times New Roman" w:hAnsi="Times New Roman" w:cs="Times New Roman"/>
          <w:lang w:val="en-IE"/>
        </w:rPr>
        <w:t>2010</w:t>
      </w:r>
      <w:r w:rsidR="00322E5C" w:rsidRPr="00C73908">
        <w:rPr>
          <w:rFonts w:ascii="Times New Roman" w:hAnsi="Times New Roman" w:cs="Times New Roman"/>
          <w:lang w:val="en-IE"/>
        </w:rPr>
        <w:t>)</w:t>
      </w:r>
      <w:r w:rsidRPr="00C73908">
        <w:rPr>
          <w:rFonts w:ascii="Times New Roman" w:hAnsi="Times New Roman" w:cs="Times New Roman"/>
          <w:lang w:val="en-IE"/>
        </w:rPr>
        <w:t>. "Exports and Productivity: An Empirical Analysis of German and Austrian Firm-Level Performance," Discussion Papers in Economics 11466, University of Munich, Department of Economics</w:t>
      </w:r>
    </w:p>
    <w:p w14:paraId="6F7ECE2D" w14:textId="2511DB6B" w:rsidR="00D8527B" w:rsidRPr="00C73908" w:rsidRDefault="00D83642" w:rsidP="00D8527B">
      <w:pPr>
        <w:spacing w:after="0"/>
        <w:ind w:hanging="284"/>
        <w:jc w:val="both"/>
        <w:rPr>
          <w:rFonts w:ascii="Times New Roman" w:hAnsi="Times New Roman" w:cs="Times New Roman"/>
          <w:lang w:val="en-IE"/>
        </w:rPr>
      </w:pPr>
      <w:r w:rsidRPr="00C73908">
        <w:rPr>
          <w:rFonts w:ascii="Times New Roman" w:hAnsi="Times New Roman" w:cs="Times New Roman"/>
          <w:lang w:val="en-IE"/>
        </w:rPr>
        <w:t>Hausman, J. A. (1978). "Specification Tests in Econometrics." Econometrica, 46(6):1251-1271.</w:t>
      </w:r>
    </w:p>
    <w:p w14:paraId="0653EA7C" w14:textId="3099CD9A" w:rsidR="00894AF3" w:rsidRPr="00C73908" w:rsidRDefault="00894AF3"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Helpman, Elhanan, Marc Melitz and Yona Rubinstein (2008), “Estimating Trade Flows: Trading Partners and Trading Volumes,” Quarterly Journal of Economics, 123(2).</w:t>
      </w:r>
    </w:p>
    <w:p w14:paraId="064B2736" w14:textId="157D6A36" w:rsidR="002A2C99" w:rsidRPr="00C73908" w:rsidRDefault="002A2C99"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Hsiao, Cheng (2005)</w:t>
      </w:r>
      <w:r w:rsidR="00795378" w:rsidRPr="00C73908">
        <w:rPr>
          <w:rFonts w:ascii="Times New Roman" w:hAnsi="Times New Roman" w:cs="Times New Roman"/>
          <w:lang w:val="en-IE"/>
        </w:rPr>
        <w:t>.</w:t>
      </w:r>
      <w:r w:rsidRPr="00C73908">
        <w:rPr>
          <w:rFonts w:ascii="Times New Roman" w:hAnsi="Times New Roman" w:cs="Times New Roman"/>
          <w:lang w:val="en-IE"/>
        </w:rPr>
        <w:t xml:space="preserve"> </w:t>
      </w:r>
      <w:r w:rsidR="00795378" w:rsidRPr="00C73908">
        <w:rPr>
          <w:rFonts w:ascii="Times New Roman" w:hAnsi="Times New Roman" w:cs="Times New Roman"/>
          <w:lang w:val="en-IE"/>
        </w:rPr>
        <w:t>“</w:t>
      </w:r>
      <w:r w:rsidRPr="00C73908">
        <w:rPr>
          <w:rFonts w:ascii="Times New Roman" w:hAnsi="Times New Roman" w:cs="Times New Roman"/>
          <w:lang w:val="en-IE"/>
        </w:rPr>
        <w:t>Why Panel Data?</w:t>
      </w:r>
      <w:r w:rsidR="00795378" w:rsidRPr="00C73908">
        <w:rPr>
          <w:rFonts w:ascii="Times New Roman" w:hAnsi="Times New Roman" w:cs="Times New Roman"/>
          <w:lang w:val="en-IE"/>
        </w:rPr>
        <w:t>”</w:t>
      </w:r>
      <w:r w:rsidRPr="00C73908">
        <w:rPr>
          <w:rFonts w:ascii="Times New Roman" w:hAnsi="Times New Roman" w:cs="Times New Roman"/>
          <w:lang w:val="en-IE"/>
        </w:rPr>
        <w:t>. IEPR Working Paper No. 05.33</w:t>
      </w:r>
    </w:p>
    <w:p w14:paraId="30672950" w14:textId="7B73031B" w:rsidR="00A23B1B" w:rsidRPr="00C73908" w:rsidRDefault="00E80E75"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International Study Group on Exports and Productivity </w:t>
      </w:r>
      <w:r w:rsidR="00A23B1B" w:rsidRPr="00C73908">
        <w:rPr>
          <w:rFonts w:ascii="Times New Roman" w:hAnsi="Times New Roman" w:cs="Times New Roman"/>
          <w:lang w:val="en-IE"/>
        </w:rPr>
        <w:t>(</w:t>
      </w:r>
      <w:r w:rsidRPr="00C73908">
        <w:rPr>
          <w:rFonts w:ascii="Times New Roman" w:hAnsi="Times New Roman" w:cs="Times New Roman"/>
          <w:lang w:val="en-IE"/>
        </w:rPr>
        <w:t>2008</w:t>
      </w:r>
      <w:r w:rsidR="00A23B1B" w:rsidRPr="00C73908">
        <w:rPr>
          <w:rFonts w:ascii="Times New Roman" w:hAnsi="Times New Roman" w:cs="Times New Roman"/>
          <w:lang w:val="en-IE"/>
        </w:rPr>
        <w:t>)</w:t>
      </w:r>
      <w:r w:rsidR="00322E5C" w:rsidRPr="00C73908">
        <w:rPr>
          <w:rFonts w:ascii="Times New Roman" w:hAnsi="Times New Roman" w:cs="Times New Roman"/>
          <w:lang w:val="en-IE"/>
        </w:rPr>
        <w:t>.</w:t>
      </w:r>
      <w:r w:rsidR="00A23B1B" w:rsidRPr="00C73908">
        <w:rPr>
          <w:rFonts w:ascii="Times New Roman" w:hAnsi="Times New Roman" w:cs="Times New Roman"/>
          <w:lang w:val="en-IE"/>
        </w:rPr>
        <w:t xml:space="preserve"> </w:t>
      </w:r>
      <w:r w:rsidRPr="00C73908">
        <w:rPr>
          <w:rFonts w:ascii="Times New Roman" w:hAnsi="Times New Roman" w:cs="Times New Roman"/>
          <w:lang w:val="en-IE"/>
        </w:rPr>
        <w:t>“</w:t>
      </w:r>
      <w:r w:rsidR="00A23B1B" w:rsidRPr="00C73908">
        <w:rPr>
          <w:rFonts w:ascii="Times New Roman" w:hAnsi="Times New Roman" w:cs="Times New Roman"/>
          <w:lang w:val="en-IE"/>
        </w:rPr>
        <w:t>Understanding Cross-Country Differences in Exporter Premia: Comparable Evidence for 14 Countries</w:t>
      </w:r>
      <w:r w:rsidRPr="00C73908">
        <w:rPr>
          <w:rFonts w:ascii="Times New Roman" w:hAnsi="Times New Roman" w:cs="Times New Roman"/>
          <w:lang w:val="en-IE"/>
        </w:rPr>
        <w:t>”</w:t>
      </w:r>
      <w:r w:rsidR="00A23B1B" w:rsidRPr="00C73908">
        <w:rPr>
          <w:rFonts w:ascii="Times New Roman" w:hAnsi="Times New Roman" w:cs="Times New Roman"/>
          <w:lang w:val="en-IE"/>
        </w:rPr>
        <w:t xml:space="preserve"> </w:t>
      </w:r>
      <w:r w:rsidR="005156B6" w:rsidRPr="00C73908">
        <w:rPr>
          <w:rFonts w:ascii="Times New Roman" w:hAnsi="Times New Roman" w:cs="Times New Roman"/>
          <w:lang w:val="en-IE"/>
        </w:rPr>
        <w:t xml:space="preserve">Review of World Economics </w:t>
      </w:r>
      <w:r w:rsidR="00A23B1B" w:rsidRPr="00C73908">
        <w:rPr>
          <w:rFonts w:ascii="Times New Roman" w:hAnsi="Times New Roman" w:cs="Times New Roman"/>
          <w:lang w:val="en-IE"/>
        </w:rPr>
        <w:t>144, 596–635</w:t>
      </w:r>
    </w:p>
    <w:p w14:paraId="6AECB725" w14:textId="75A64D65" w:rsidR="0037756E" w:rsidRPr="00C73908" w:rsidRDefault="0037756E"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Johanson, Jan &amp; Vahlne, Jan-Erik (1977). "The Internationalization Process of the Firm—A Model of Knowledge Development and Increasing Foreign Market Commitments," Journal of International Business Studies, Palgrave Macmillan; Academy of International Business, vol. 8(1), pages 23-32</w:t>
      </w:r>
    </w:p>
    <w:p w14:paraId="42465004" w14:textId="6C1AC6AD" w:rsidR="005E5C02" w:rsidRPr="00C73908" w:rsidRDefault="005E5C02"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Konings, Jozef &amp; Vanormelingen, Stijn (2015). "The Impact of Training on Productivity and Wages: Firm-Level Evidence," The Review of Economics and Statistics, MIT Press, vol. 97(2), pages 485-497</w:t>
      </w:r>
    </w:p>
    <w:p w14:paraId="34865072" w14:textId="38CEA4AB" w:rsidR="00FC6AAE" w:rsidRPr="00C73908" w:rsidRDefault="00FC6AAE"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Krugman, P</w:t>
      </w:r>
      <w:r w:rsidR="00F67D51" w:rsidRPr="00C73908">
        <w:rPr>
          <w:rFonts w:ascii="Times New Roman" w:hAnsi="Times New Roman" w:cs="Times New Roman"/>
          <w:lang w:val="en-IE"/>
        </w:rPr>
        <w:t>aul</w:t>
      </w:r>
      <w:r w:rsidRPr="00C73908">
        <w:rPr>
          <w:rFonts w:ascii="Times New Roman" w:hAnsi="Times New Roman" w:cs="Times New Roman"/>
          <w:lang w:val="en-IE"/>
        </w:rPr>
        <w:t xml:space="preserve"> </w:t>
      </w:r>
      <w:r w:rsidR="00F67D51" w:rsidRPr="00C73908">
        <w:rPr>
          <w:rFonts w:ascii="Times New Roman" w:hAnsi="Times New Roman" w:cs="Times New Roman"/>
          <w:lang w:val="en-IE"/>
        </w:rPr>
        <w:t>(</w:t>
      </w:r>
      <w:r w:rsidRPr="00C73908">
        <w:rPr>
          <w:rFonts w:ascii="Times New Roman" w:hAnsi="Times New Roman" w:cs="Times New Roman"/>
          <w:lang w:val="en-IE"/>
        </w:rPr>
        <w:t>1989</w:t>
      </w:r>
      <w:r w:rsidR="00F67D51" w:rsidRPr="00C73908">
        <w:rPr>
          <w:rFonts w:ascii="Times New Roman" w:hAnsi="Times New Roman" w:cs="Times New Roman"/>
          <w:lang w:val="en-IE"/>
        </w:rPr>
        <w:t>)</w:t>
      </w:r>
      <w:r w:rsidR="00322E5C" w:rsidRPr="00C73908">
        <w:rPr>
          <w:rFonts w:ascii="Times New Roman" w:hAnsi="Times New Roman" w:cs="Times New Roman"/>
          <w:lang w:val="en-IE"/>
        </w:rPr>
        <w:t>.</w:t>
      </w:r>
      <w:r w:rsidRPr="00C73908">
        <w:rPr>
          <w:rFonts w:ascii="Times New Roman" w:hAnsi="Times New Roman" w:cs="Times New Roman"/>
          <w:lang w:val="en-IE"/>
        </w:rPr>
        <w:t xml:space="preserve"> </w:t>
      </w:r>
      <w:r w:rsidR="0065124B" w:rsidRPr="00C73908">
        <w:rPr>
          <w:rFonts w:ascii="Times New Roman" w:hAnsi="Times New Roman" w:cs="Times New Roman"/>
          <w:lang w:val="en-IE"/>
        </w:rPr>
        <w:t>“</w:t>
      </w:r>
      <w:r w:rsidRPr="00C73908">
        <w:rPr>
          <w:rFonts w:ascii="Times New Roman" w:hAnsi="Times New Roman" w:cs="Times New Roman"/>
          <w:lang w:val="en-IE"/>
        </w:rPr>
        <w:t>Exchange Rate Instability</w:t>
      </w:r>
      <w:r w:rsidR="0065124B" w:rsidRPr="00C73908">
        <w:rPr>
          <w:rFonts w:ascii="Times New Roman" w:hAnsi="Times New Roman" w:cs="Times New Roman"/>
          <w:lang w:val="en-IE"/>
        </w:rPr>
        <w:t>”</w:t>
      </w:r>
      <w:r w:rsidRPr="00C73908">
        <w:rPr>
          <w:rFonts w:ascii="Times New Roman" w:hAnsi="Times New Roman" w:cs="Times New Roman"/>
          <w:lang w:val="en-IE"/>
        </w:rPr>
        <w:t>, Cambridge MIT Press</w:t>
      </w:r>
    </w:p>
    <w:p w14:paraId="6A9005A4" w14:textId="2E950BAD" w:rsidR="00DE0090" w:rsidRPr="00C73908" w:rsidRDefault="00DE0090"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Laursen, K., &amp; Salter, A. (2006). “Open for </w:t>
      </w:r>
      <w:r w:rsidR="00B63EA9" w:rsidRPr="00C73908">
        <w:rPr>
          <w:rFonts w:ascii="Times New Roman" w:hAnsi="Times New Roman" w:cs="Times New Roman"/>
          <w:lang w:val="en-IE"/>
        </w:rPr>
        <w:t>Innovation: The Role of Openness in Explaining Innovation Performance among UK Manufacturing Firms</w:t>
      </w:r>
      <w:r w:rsidRPr="00C73908">
        <w:rPr>
          <w:rFonts w:ascii="Times New Roman" w:hAnsi="Times New Roman" w:cs="Times New Roman"/>
          <w:lang w:val="en-IE"/>
        </w:rPr>
        <w:t>.</w:t>
      </w:r>
      <w:r w:rsidR="00946A08" w:rsidRPr="00C73908">
        <w:rPr>
          <w:rFonts w:ascii="Times New Roman" w:hAnsi="Times New Roman" w:cs="Times New Roman"/>
          <w:lang w:val="en-IE"/>
        </w:rPr>
        <w:t>”</w:t>
      </w:r>
      <w:r w:rsidRPr="00C73908">
        <w:rPr>
          <w:rFonts w:ascii="Times New Roman" w:hAnsi="Times New Roman" w:cs="Times New Roman"/>
          <w:lang w:val="en-IE"/>
        </w:rPr>
        <w:t xml:space="preserve"> Strategic Management Journal, 27(2), 131-150</w:t>
      </w:r>
    </w:p>
    <w:p w14:paraId="0D68129E" w14:textId="3B393008" w:rsidR="00665488" w:rsidRPr="00C73908" w:rsidRDefault="00665488"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Lawless, Martina </w:t>
      </w:r>
      <w:r w:rsidR="00205B7A" w:rsidRPr="00C73908">
        <w:rPr>
          <w:rFonts w:ascii="Times New Roman" w:hAnsi="Times New Roman" w:cs="Times New Roman"/>
          <w:lang w:val="en-IE"/>
        </w:rPr>
        <w:t>&amp;</w:t>
      </w:r>
      <w:r w:rsidRPr="00C73908">
        <w:rPr>
          <w:rFonts w:ascii="Times New Roman" w:hAnsi="Times New Roman" w:cs="Times New Roman"/>
          <w:lang w:val="en-IE"/>
        </w:rPr>
        <w:t xml:space="preserve"> Whelan, Karl, </w:t>
      </w:r>
      <w:r w:rsidR="00E5410D" w:rsidRPr="00C73908">
        <w:rPr>
          <w:rFonts w:ascii="Times New Roman" w:hAnsi="Times New Roman" w:cs="Times New Roman"/>
          <w:lang w:val="en-IE"/>
        </w:rPr>
        <w:t>(20</w:t>
      </w:r>
      <w:r w:rsidR="00501C69" w:rsidRPr="00C73908">
        <w:rPr>
          <w:rFonts w:ascii="Times New Roman" w:hAnsi="Times New Roman" w:cs="Times New Roman"/>
          <w:lang w:val="en-IE"/>
        </w:rPr>
        <w:t>08</w:t>
      </w:r>
      <w:r w:rsidR="00E5410D" w:rsidRPr="00C73908">
        <w:rPr>
          <w:rFonts w:ascii="Times New Roman" w:hAnsi="Times New Roman" w:cs="Times New Roman"/>
          <w:lang w:val="en-IE"/>
        </w:rPr>
        <w:t>)</w:t>
      </w:r>
      <w:r w:rsidR="004F34D0" w:rsidRPr="00C73908">
        <w:rPr>
          <w:rFonts w:ascii="Times New Roman" w:hAnsi="Times New Roman" w:cs="Times New Roman"/>
          <w:lang w:val="en-IE"/>
        </w:rPr>
        <w:t>.</w:t>
      </w:r>
      <w:r w:rsidR="00E5410D" w:rsidRPr="00C73908">
        <w:rPr>
          <w:rFonts w:ascii="Times New Roman" w:hAnsi="Times New Roman" w:cs="Times New Roman"/>
          <w:lang w:val="en-IE"/>
        </w:rPr>
        <w:t xml:space="preserve"> “</w:t>
      </w:r>
      <w:r w:rsidRPr="00C73908">
        <w:rPr>
          <w:rFonts w:ascii="Times New Roman" w:hAnsi="Times New Roman" w:cs="Times New Roman"/>
          <w:lang w:val="en-IE"/>
        </w:rPr>
        <w:t>Where Do Firms Export, How Much and Why?</w:t>
      </w:r>
      <w:r w:rsidR="00E5410D" w:rsidRPr="00C73908">
        <w:rPr>
          <w:rFonts w:ascii="Times New Roman" w:hAnsi="Times New Roman" w:cs="Times New Roman"/>
          <w:lang w:val="en-IE"/>
        </w:rPr>
        <w:t>”</w:t>
      </w:r>
      <w:r w:rsidRPr="00C73908">
        <w:rPr>
          <w:rFonts w:ascii="Times New Roman" w:hAnsi="Times New Roman" w:cs="Times New Roman"/>
          <w:lang w:val="en-IE"/>
        </w:rPr>
        <w:t xml:space="preserve"> The World Economy, Vol. 37, Issue 8, pp. 1027-1050</w:t>
      </w:r>
    </w:p>
    <w:p w14:paraId="347CF864" w14:textId="60C6B995" w:rsidR="00735703" w:rsidRPr="00C73908" w:rsidRDefault="00735703" w:rsidP="00B57F4D">
      <w:pPr>
        <w:spacing w:after="0"/>
        <w:ind w:hanging="284"/>
        <w:jc w:val="both"/>
        <w:rPr>
          <w:rFonts w:ascii="Times New Roman" w:hAnsi="Times New Roman" w:cs="Times New Roman"/>
        </w:rPr>
      </w:pPr>
      <w:r w:rsidRPr="00C73908">
        <w:rPr>
          <w:rFonts w:ascii="Times New Roman" w:hAnsi="Times New Roman" w:cs="Times New Roman"/>
        </w:rPr>
        <w:t xml:space="preserve">Lawless, Martina &amp; Siedschlag, Iulia &amp; Studnicka, Zuzanna, (2017). "Expanding and </w:t>
      </w:r>
      <w:r w:rsidR="00FE51DE" w:rsidRPr="00C73908">
        <w:rPr>
          <w:rFonts w:ascii="Times New Roman" w:hAnsi="Times New Roman" w:cs="Times New Roman"/>
        </w:rPr>
        <w:t>D</w:t>
      </w:r>
      <w:r w:rsidRPr="00C73908">
        <w:rPr>
          <w:rFonts w:ascii="Times New Roman" w:hAnsi="Times New Roman" w:cs="Times New Roman"/>
        </w:rPr>
        <w:t xml:space="preserve">iversifying the </w:t>
      </w:r>
      <w:r w:rsidR="00FE51DE" w:rsidRPr="00C73908">
        <w:rPr>
          <w:rFonts w:ascii="Times New Roman" w:hAnsi="Times New Roman" w:cs="Times New Roman"/>
        </w:rPr>
        <w:t xml:space="preserve">Manufactured Exports </w:t>
      </w:r>
      <w:r w:rsidRPr="00C73908">
        <w:rPr>
          <w:rFonts w:ascii="Times New Roman" w:hAnsi="Times New Roman" w:cs="Times New Roman"/>
        </w:rPr>
        <w:t xml:space="preserve">of Irish-owned </w:t>
      </w:r>
      <w:r w:rsidR="00FE51DE" w:rsidRPr="00C73908">
        <w:rPr>
          <w:rFonts w:ascii="Times New Roman" w:hAnsi="Times New Roman" w:cs="Times New Roman"/>
        </w:rPr>
        <w:t>Enterprises</w:t>
      </w:r>
      <w:r w:rsidRPr="00C73908">
        <w:rPr>
          <w:rFonts w:ascii="Times New Roman" w:hAnsi="Times New Roman" w:cs="Times New Roman"/>
        </w:rPr>
        <w:t>," Research Series, Economic and Social Research Institute (ESRI)</w:t>
      </w:r>
    </w:p>
    <w:p w14:paraId="7E8FA984" w14:textId="21757432" w:rsidR="00D91553" w:rsidRPr="00C73908" w:rsidRDefault="00D91553" w:rsidP="00B57F4D">
      <w:pPr>
        <w:spacing w:after="0"/>
        <w:ind w:hanging="284"/>
        <w:jc w:val="both"/>
        <w:rPr>
          <w:rFonts w:ascii="Times New Roman" w:hAnsi="Times New Roman" w:cs="Times New Roman"/>
        </w:rPr>
      </w:pPr>
      <w:r w:rsidRPr="00C73908">
        <w:rPr>
          <w:rFonts w:ascii="Times New Roman" w:hAnsi="Times New Roman" w:cs="Times New Roman"/>
        </w:rPr>
        <w:lastRenderedPageBreak/>
        <w:t xml:space="preserve">Lederman, Daniel; Marcelo Olarreaga; and Lucy Payton </w:t>
      </w:r>
      <w:r w:rsidR="00AC740E" w:rsidRPr="00C73908">
        <w:rPr>
          <w:rFonts w:ascii="Times New Roman" w:hAnsi="Times New Roman" w:cs="Times New Roman"/>
        </w:rPr>
        <w:t>(</w:t>
      </w:r>
      <w:r w:rsidRPr="00C73908">
        <w:rPr>
          <w:rFonts w:ascii="Times New Roman" w:hAnsi="Times New Roman" w:cs="Times New Roman"/>
        </w:rPr>
        <w:t>2010</w:t>
      </w:r>
      <w:r w:rsidR="00AC740E" w:rsidRPr="00C73908">
        <w:rPr>
          <w:rFonts w:ascii="Times New Roman" w:hAnsi="Times New Roman" w:cs="Times New Roman"/>
        </w:rPr>
        <w:t>)</w:t>
      </w:r>
      <w:r w:rsidRPr="00C73908">
        <w:rPr>
          <w:rFonts w:ascii="Times New Roman" w:hAnsi="Times New Roman" w:cs="Times New Roman"/>
        </w:rPr>
        <w:t>. “Export Promotion Agencies: Do They Work?” Journal of Development Economics 91, no. 2: 257–65</w:t>
      </w:r>
    </w:p>
    <w:p w14:paraId="6055A03C" w14:textId="29BD84FD" w:rsidR="00DA615B" w:rsidRPr="00C73908" w:rsidRDefault="007F2736" w:rsidP="00B57F4D">
      <w:pPr>
        <w:spacing w:after="0"/>
        <w:ind w:hanging="284"/>
        <w:jc w:val="both"/>
        <w:rPr>
          <w:rFonts w:ascii="Times New Roman" w:hAnsi="Times New Roman" w:cs="Times New Roman"/>
        </w:rPr>
      </w:pPr>
      <w:r w:rsidRPr="00C73908">
        <w:rPr>
          <w:rFonts w:ascii="Times New Roman" w:hAnsi="Times New Roman" w:cs="Times New Roman"/>
        </w:rPr>
        <w:t>Leonidou, L.C. (1998). “Organisational Determinants of Exporting: Conceptual, Methodological, and Empirical Insights”, Management International Review, 38(1): 7-52</w:t>
      </w:r>
    </w:p>
    <w:p w14:paraId="1EC4D22F" w14:textId="77777777" w:rsidR="00F77FEC" w:rsidRPr="00C73908" w:rsidRDefault="00F77FEC"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Lloyd-Reason, L. and Mughan, T. (2002). “Strategies for Internationalisation within SMEs: The Key Role of the Owner-Manager”, Journal of Small Business and Enterprise Development, 9(2):120-129</w:t>
      </w:r>
    </w:p>
    <w:p w14:paraId="4E995647" w14:textId="6FE62A9F" w:rsidR="00281338" w:rsidRPr="00C73908" w:rsidRDefault="00281338"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Love, James H., &amp; Roper, Stephen (201</w:t>
      </w:r>
      <w:r w:rsidR="002F31C6" w:rsidRPr="00C73908">
        <w:rPr>
          <w:rFonts w:ascii="Times New Roman" w:hAnsi="Times New Roman" w:cs="Times New Roman"/>
          <w:lang w:val="en-IE"/>
        </w:rPr>
        <w:t>5</w:t>
      </w:r>
      <w:r w:rsidRPr="00C73908">
        <w:rPr>
          <w:rFonts w:ascii="Times New Roman" w:hAnsi="Times New Roman" w:cs="Times New Roman"/>
          <w:lang w:val="en-IE"/>
        </w:rPr>
        <w:t>)</w:t>
      </w:r>
      <w:r w:rsidR="00322E5C" w:rsidRPr="00C73908">
        <w:rPr>
          <w:rFonts w:ascii="Times New Roman" w:hAnsi="Times New Roman" w:cs="Times New Roman"/>
          <w:lang w:val="en-IE"/>
        </w:rPr>
        <w:t>.</w:t>
      </w:r>
      <w:r w:rsidRPr="00C73908">
        <w:rPr>
          <w:rFonts w:ascii="Times New Roman" w:hAnsi="Times New Roman" w:cs="Times New Roman"/>
          <w:lang w:val="en-IE"/>
        </w:rPr>
        <w:t xml:space="preserve"> “SME Innovation, Exporting and Growth: A Review of Existing Evidence.” International Small Business Journal. 2015;33(1):28-48</w:t>
      </w:r>
    </w:p>
    <w:p w14:paraId="22F4FB8D" w14:textId="52F0BAC6" w:rsidR="00986734" w:rsidRPr="00C73908" w:rsidRDefault="00C757FF"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Love, James H. &amp; Roper, Stephen &amp; Zhou, Ying (2016). "Experience, age and exporting performance in UK SMEs," International Business Review, Elsevier, vol. 25(4), pages 806-819</w:t>
      </w:r>
    </w:p>
    <w:p w14:paraId="0EDD3FDC" w14:textId="3649299B" w:rsidR="006558ED" w:rsidRPr="00C73908" w:rsidRDefault="006558ED"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Mac </w:t>
      </w:r>
      <w:r w:rsidR="00CC5E6D" w:rsidRPr="00C73908">
        <w:rPr>
          <w:rFonts w:ascii="Times New Roman" w:hAnsi="Times New Roman" w:cs="Times New Roman"/>
          <w:lang w:val="en-IE"/>
        </w:rPr>
        <w:t>an</w:t>
      </w:r>
      <w:r w:rsidRPr="00C73908">
        <w:rPr>
          <w:rFonts w:ascii="Times New Roman" w:hAnsi="Times New Roman" w:cs="Times New Roman"/>
          <w:lang w:val="en-IE"/>
        </w:rPr>
        <w:t xml:space="preserve"> Bhaird, Ciarán &amp; Curran, Declan (2016). “Sectoral Differences in Determinants of Export </w:t>
      </w:r>
      <w:r w:rsidR="00A77067" w:rsidRPr="00C73908">
        <w:rPr>
          <w:rFonts w:ascii="Times New Roman" w:hAnsi="Times New Roman" w:cs="Times New Roman"/>
          <w:lang w:val="en-IE"/>
        </w:rPr>
        <w:t>Intensity</w:t>
      </w:r>
      <w:r w:rsidRPr="00C73908">
        <w:rPr>
          <w:rFonts w:ascii="Times New Roman" w:hAnsi="Times New Roman" w:cs="Times New Roman"/>
          <w:lang w:val="en-IE"/>
        </w:rPr>
        <w:t>,</w:t>
      </w:r>
      <w:r w:rsidR="00A77067" w:rsidRPr="00C73908">
        <w:rPr>
          <w:rFonts w:ascii="Times New Roman" w:hAnsi="Times New Roman" w:cs="Times New Roman"/>
          <w:lang w:val="en-IE"/>
        </w:rPr>
        <w:t>”</w:t>
      </w:r>
      <w:r w:rsidRPr="00C73908">
        <w:rPr>
          <w:rFonts w:ascii="Times New Roman" w:hAnsi="Times New Roman" w:cs="Times New Roman"/>
          <w:lang w:val="en-IE"/>
        </w:rPr>
        <w:t xml:space="preserve"> Journal of Business Economics and Management, 17:2, 299-313</w:t>
      </w:r>
    </w:p>
    <w:p w14:paraId="5CE7F88D" w14:textId="2E55921B" w:rsidR="00E51C01" w:rsidRPr="00C73908" w:rsidRDefault="00E51C01"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Majocchi, Antonio &amp; Bacchiocchi, Emanuele &amp; Mayrhofer, Ulrike, (2005). "Firm Size, Business Experience and Export Intensity in SMEs: A Longitudinal Approach to Complex Relationships," International Business Review, Elsevier, vol. 14(6), pages 719-738</w:t>
      </w:r>
    </w:p>
    <w:p w14:paraId="1155C390" w14:textId="5374B2D1" w:rsidR="001F3D5D" w:rsidRPr="00C73908" w:rsidRDefault="001F3D5D"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McCann, Fergal (2009)</w:t>
      </w:r>
      <w:r w:rsidR="00322E5C" w:rsidRPr="00C73908">
        <w:rPr>
          <w:rFonts w:ascii="Times New Roman" w:hAnsi="Times New Roman" w:cs="Times New Roman"/>
          <w:lang w:val="en-IE"/>
        </w:rPr>
        <w:t>.</w:t>
      </w:r>
      <w:r w:rsidRPr="00C73908">
        <w:rPr>
          <w:rFonts w:ascii="Times New Roman" w:hAnsi="Times New Roman" w:cs="Times New Roman"/>
          <w:lang w:val="en-IE"/>
        </w:rPr>
        <w:t xml:space="preserve"> “Importing, Exporting and Productivity in Irish Manufacturing”, UCD Centre for Economic Research Working Paper WP09/22. University College</w:t>
      </w:r>
      <w:r w:rsidR="00E10910" w:rsidRPr="00C73908">
        <w:rPr>
          <w:rFonts w:ascii="Times New Roman" w:hAnsi="Times New Roman" w:cs="Times New Roman"/>
          <w:lang w:val="en-IE"/>
        </w:rPr>
        <w:t xml:space="preserve"> </w:t>
      </w:r>
      <w:r w:rsidRPr="00C73908">
        <w:rPr>
          <w:rFonts w:ascii="Times New Roman" w:hAnsi="Times New Roman" w:cs="Times New Roman"/>
          <w:lang w:val="en-IE"/>
        </w:rPr>
        <w:t>Dublin</w:t>
      </w:r>
    </w:p>
    <w:p w14:paraId="0CD0ABBA" w14:textId="7EF39652" w:rsidR="00A245D9" w:rsidRPr="00C73908" w:rsidRDefault="00A245D9"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Melitz, M. (2003). The Impact of Trade on Intra-Industry Reallocations and Aggregate Industry Productivity. Econometrica, 71(6)</w:t>
      </w:r>
    </w:p>
    <w:p w14:paraId="61DAC0CC" w14:textId="659D03B6" w:rsidR="008C72A5" w:rsidRPr="00C73908" w:rsidRDefault="008C72A5"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Mion, Giordano &amp; Opromolla, Luca David, (2013). "Managers' Mobility, Trade Performance, </w:t>
      </w:r>
      <w:r w:rsidR="004575DA" w:rsidRPr="00C73908">
        <w:rPr>
          <w:rFonts w:ascii="Times New Roman" w:hAnsi="Times New Roman" w:cs="Times New Roman"/>
          <w:lang w:val="en-IE"/>
        </w:rPr>
        <w:t xml:space="preserve">and </w:t>
      </w:r>
      <w:r w:rsidRPr="00C73908">
        <w:rPr>
          <w:rFonts w:ascii="Times New Roman" w:hAnsi="Times New Roman" w:cs="Times New Roman"/>
          <w:lang w:val="en-IE"/>
        </w:rPr>
        <w:t>Wages," Working Paper Series 1596, European Central Bank.</w:t>
      </w:r>
    </w:p>
    <w:p w14:paraId="0FC1D9ED" w14:textId="6EDC886C" w:rsidR="007D1DA0" w:rsidRPr="00C73908" w:rsidRDefault="007D1DA0"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Munch, Jakob R. &amp; Skaksen, Jan Rose, (2006). "Human Capital and Wages in Exporting Firms," IZA Discussion Papers 2409, Institute of Labor Economics (IZA).</w:t>
      </w:r>
    </w:p>
    <w:p w14:paraId="00A7A395" w14:textId="400CADFD" w:rsidR="00040BB3" w:rsidRPr="00C73908" w:rsidRDefault="00040BB3" w:rsidP="00040BB3">
      <w:pPr>
        <w:spacing w:after="0"/>
        <w:ind w:hanging="284"/>
        <w:jc w:val="both"/>
        <w:rPr>
          <w:rFonts w:ascii="Times New Roman" w:hAnsi="Times New Roman" w:cs="Times New Roman"/>
          <w:lang w:val="en-IE"/>
        </w:rPr>
      </w:pPr>
      <w:r w:rsidRPr="00C73908">
        <w:rPr>
          <w:rFonts w:ascii="Times New Roman" w:hAnsi="Times New Roman" w:cs="Times New Roman"/>
          <w:lang w:val="en-IE"/>
        </w:rPr>
        <w:t>National Economic and Social Council (1982)</w:t>
      </w:r>
      <w:r w:rsidR="0040757F" w:rsidRPr="00C73908">
        <w:rPr>
          <w:rFonts w:ascii="Times New Roman" w:hAnsi="Times New Roman" w:cs="Times New Roman"/>
          <w:lang w:val="en-IE"/>
        </w:rPr>
        <w:t>.</w:t>
      </w:r>
      <w:r w:rsidRPr="00C73908">
        <w:rPr>
          <w:rFonts w:ascii="Times New Roman" w:hAnsi="Times New Roman" w:cs="Times New Roman"/>
          <w:lang w:val="en-IE"/>
        </w:rPr>
        <w:t xml:space="preserve"> </w:t>
      </w:r>
      <w:r w:rsidR="0040757F" w:rsidRPr="00C73908">
        <w:rPr>
          <w:rFonts w:ascii="Times New Roman" w:hAnsi="Times New Roman" w:cs="Times New Roman"/>
          <w:lang w:val="en-IE"/>
        </w:rPr>
        <w:t>“</w:t>
      </w:r>
      <w:r w:rsidRPr="00C73908">
        <w:rPr>
          <w:rFonts w:ascii="Times New Roman" w:hAnsi="Times New Roman" w:cs="Times New Roman"/>
          <w:lang w:val="en-IE"/>
        </w:rPr>
        <w:t>A Review of Industrial Policy: A Report Prepared by the Telesis Consultancy Group</w:t>
      </w:r>
      <w:r w:rsidR="0040757F" w:rsidRPr="00C73908">
        <w:rPr>
          <w:rFonts w:ascii="Times New Roman" w:hAnsi="Times New Roman" w:cs="Times New Roman"/>
          <w:lang w:val="en-IE"/>
        </w:rPr>
        <w:t>”</w:t>
      </w:r>
      <w:r w:rsidRPr="00C73908">
        <w:rPr>
          <w:rFonts w:ascii="Times New Roman" w:hAnsi="Times New Roman" w:cs="Times New Roman"/>
          <w:lang w:val="en-IE"/>
        </w:rPr>
        <w:t>, No. 64, Dublin: NESC</w:t>
      </w:r>
    </w:p>
    <w:p w14:paraId="2F214AF9" w14:textId="5877A2A6" w:rsidR="002F56B8" w:rsidRPr="00C73908" w:rsidRDefault="002F56B8"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OECD/Eurostat (2018)</w:t>
      </w:r>
      <w:r w:rsidR="00322E5C" w:rsidRPr="00C73908">
        <w:rPr>
          <w:rFonts w:ascii="Times New Roman" w:hAnsi="Times New Roman" w:cs="Times New Roman"/>
          <w:lang w:val="en-IE"/>
        </w:rPr>
        <w:t>.</w:t>
      </w:r>
      <w:r w:rsidRPr="00C73908">
        <w:rPr>
          <w:rFonts w:ascii="Times New Roman" w:hAnsi="Times New Roman" w:cs="Times New Roman"/>
          <w:lang w:val="en-IE"/>
        </w:rPr>
        <w:t xml:space="preserve"> </w:t>
      </w:r>
      <w:r w:rsidR="002600E5" w:rsidRPr="00C73908">
        <w:rPr>
          <w:rFonts w:ascii="Times New Roman" w:hAnsi="Times New Roman" w:cs="Times New Roman"/>
          <w:lang w:val="en-IE"/>
        </w:rPr>
        <w:t>“</w:t>
      </w:r>
      <w:r w:rsidRPr="00C73908">
        <w:rPr>
          <w:rFonts w:ascii="Times New Roman" w:hAnsi="Times New Roman" w:cs="Times New Roman"/>
          <w:lang w:val="en-IE"/>
        </w:rPr>
        <w:t>Oslo Manual 2018: Guidelines for Collecting, Reporting and Using Data on Innovation</w:t>
      </w:r>
      <w:r w:rsidR="002600E5" w:rsidRPr="00C73908">
        <w:rPr>
          <w:rFonts w:ascii="Times New Roman" w:hAnsi="Times New Roman" w:cs="Times New Roman"/>
          <w:lang w:val="en-IE"/>
        </w:rPr>
        <w:t>”</w:t>
      </w:r>
      <w:r w:rsidRPr="00C73908">
        <w:rPr>
          <w:rFonts w:ascii="Times New Roman" w:hAnsi="Times New Roman" w:cs="Times New Roman"/>
          <w:lang w:val="en-IE"/>
        </w:rPr>
        <w:t>, 4th Edition, The Measurement of Scientific, Technological and Innovation Activities</w:t>
      </w:r>
    </w:p>
    <w:p w14:paraId="36507C88" w14:textId="39997750" w:rsidR="009F0776" w:rsidRPr="00C73908" w:rsidRDefault="009F0776"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Oviatt, B.</w:t>
      </w:r>
      <w:r w:rsidR="00AB5348" w:rsidRPr="00C73908">
        <w:rPr>
          <w:rFonts w:ascii="Times New Roman" w:hAnsi="Times New Roman" w:cs="Times New Roman"/>
          <w:lang w:val="en-IE"/>
        </w:rPr>
        <w:t xml:space="preserve"> &amp;</w:t>
      </w:r>
      <w:r w:rsidRPr="00C73908">
        <w:rPr>
          <w:rFonts w:ascii="Times New Roman" w:hAnsi="Times New Roman" w:cs="Times New Roman"/>
          <w:lang w:val="en-IE"/>
        </w:rPr>
        <w:t xml:space="preserve"> McDougall, P. (1994). “Toward a Theory of International New ventures,” J</w:t>
      </w:r>
      <w:r w:rsidR="00AB5348" w:rsidRPr="00C73908">
        <w:rPr>
          <w:rFonts w:ascii="Times New Roman" w:hAnsi="Times New Roman" w:cs="Times New Roman"/>
          <w:lang w:val="en-IE"/>
        </w:rPr>
        <w:t>ournal of</w:t>
      </w:r>
      <w:r w:rsidRPr="00C73908">
        <w:rPr>
          <w:rFonts w:ascii="Times New Roman" w:hAnsi="Times New Roman" w:cs="Times New Roman"/>
          <w:lang w:val="en-IE"/>
        </w:rPr>
        <w:t xml:space="preserve"> Int</w:t>
      </w:r>
      <w:r w:rsidR="00AB5348" w:rsidRPr="00C73908">
        <w:rPr>
          <w:rFonts w:ascii="Times New Roman" w:hAnsi="Times New Roman" w:cs="Times New Roman"/>
          <w:lang w:val="en-IE"/>
        </w:rPr>
        <w:t>ernational</w:t>
      </w:r>
      <w:r w:rsidRPr="00C73908">
        <w:rPr>
          <w:rFonts w:ascii="Times New Roman" w:hAnsi="Times New Roman" w:cs="Times New Roman"/>
          <w:lang w:val="en-IE"/>
        </w:rPr>
        <w:t xml:space="preserve"> Bus</w:t>
      </w:r>
      <w:r w:rsidR="00AB5348" w:rsidRPr="00C73908">
        <w:rPr>
          <w:rFonts w:ascii="Times New Roman" w:hAnsi="Times New Roman" w:cs="Times New Roman"/>
          <w:lang w:val="en-IE"/>
        </w:rPr>
        <w:t>iness</w:t>
      </w:r>
      <w:r w:rsidRPr="00C73908">
        <w:rPr>
          <w:rFonts w:ascii="Times New Roman" w:hAnsi="Times New Roman" w:cs="Times New Roman"/>
          <w:lang w:val="en-IE"/>
        </w:rPr>
        <w:t xml:space="preserve"> Stud</w:t>
      </w:r>
      <w:r w:rsidR="00AB5348" w:rsidRPr="00C73908">
        <w:rPr>
          <w:rFonts w:ascii="Times New Roman" w:hAnsi="Times New Roman" w:cs="Times New Roman"/>
          <w:lang w:val="en-IE"/>
        </w:rPr>
        <w:t>ies</w:t>
      </w:r>
      <w:r w:rsidRPr="00C73908">
        <w:rPr>
          <w:rFonts w:ascii="Times New Roman" w:hAnsi="Times New Roman" w:cs="Times New Roman"/>
          <w:lang w:val="en-IE"/>
        </w:rPr>
        <w:t xml:space="preserve"> 25, 45–64</w:t>
      </w:r>
    </w:p>
    <w:p w14:paraId="5A16C81F" w14:textId="42EF6A77" w:rsidR="006B7943" w:rsidRPr="00C73908" w:rsidRDefault="006B7943"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Posner, Michael (1961)</w:t>
      </w:r>
      <w:r w:rsidR="00322E5C" w:rsidRPr="00C73908">
        <w:rPr>
          <w:rFonts w:ascii="Times New Roman" w:hAnsi="Times New Roman" w:cs="Times New Roman"/>
          <w:lang w:val="en-IE"/>
        </w:rPr>
        <w:t>.</w:t>
      </w:r>
      <w:r w:rsidRPr="00C73908">
        <w:rPr>
          <w:rFonts w:ascii="Times New Roman" w:hAnsi="Times New Roman" w:cs="Times New Roman"/>
          <w:lang w:val="en-IE"/>
        </w:rPr>
        <w:t xml:space="preserve"> “International Trade and Technical Change”, Oxford Economic Papers, Volume 13, Issue 3</w:t>
      </w:r>
    </w:p>
    <w:p w14:paraId="08801B10" w14:textId="7F9594E0" w:rsidR="0065124B" w:rsidRPr="00C73908" w:rsidRDefault="0065124B"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Roberts, M. J., &amp; Tybout, J. R. (1997). “The Decision to Export in Colombia: An Empirical Model of Entry with Sunk Costs.” American Economic Review, 87(4), 545-564</w:t>
      </w:r>
    </w:p>
    <w:p w14:paraId="287D5115" w14:textId="2D54707F" w:rsidR="00A81D23" w:rsidRPr="00C73908" w:rsidRDefault="00A81D23" w:rsidP="00A81D23">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Roodman, D. (2009b). “How to do xtabond2: An Introduction to Difference and System GMM in Stata”. The </w:t>
      </w:r>
      <w:r w:rsidR="0098107D" w:rsidRPr="00C73908">
        <w:rPr>
          <w:rFonts w:ascii="Times New Roman" w:hAnsi="Times New Roman" w:cs="Times New Roman"/>
          <w:lang w:val="en-IE"/>
        </w:rPr>
        <w:t>Stata Journal</w:t>
      </w:r>
      <w:r w:rsidRPr="00C73908">
        <w:rPr>
          <w:rFonts w:ascii="Times New Roman" w:hAnsi="Times New Roman" w:cs="Times New Roman"/>
          <w:lang w:val="en-IE"/>
        </w:rPr>
        <w:t>, 9(1), 86-136.</w:t>
      </w:r>
    </w:p>
    <w:p w14:paraId="44BA43B9" w14:textId="3CC13045" w:rsidR="009554E4" w:rsidRPr="00C73908" w:rsidRDefault="009554E4"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Roper, Stephen &amp; Love, James H. &amp; Hígon, Dolores Añon (2006). “The Determinants of Export Performance: Evidence for Manufacturing Plants in Ireland and Northern Ireland.” Scottish Journal of Political Economy, Vol. 53, No. 5, pp. 586-615</w:t>
      </w:r>
    </w:p>
    <w:p w14:paraId="57DF2BEB" w14:textId="67C1BD3F" w:rsidR="00BB310F" w:rsidRPr="00C73908" w:rsidRDefault="00BB310F"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Roper, Stephen &amp; Love, James H., (2002). "Innovation and Export Performance: Evidence from the UK and German Manufacturing Plants," Research Policy, Elsevier, vol. 31(7)</w:t>
      </w:r>
    </w:p>
    <w:p w14:paraId="292AED1A" w14:textId="31A6678C" w:rsidR="00517A7A" w:rsidRPr="00C73908" w:rsidRDefault="00517A7A"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Sala, Davide &amp; Yalcin, Erdal, (2012). "Export Experience </w:t>
      </w:r>
      <w:r w:rsidR="00BE7F5D" w:rsidRPr="00C73908">
        <w:rPr>
          <w:rFonts w:ascii="Times New Roman" w:hAnsi="Times New Roman" w:cs="Times New Roman"/>
          <w:lang w:val="en-IE"/>
        </w:rPr>
        <w:t>o</w:t>
      </w:r>
      <w:r w:rsidRPr="00C73908">
        <w:rPr>
          <w:rFonts w:ascii="Times New Roman" w:hAnsi="Times New Roman" w:cs="Times New Roman"/>
          <w:lang w:val="en-IE"/>
        </w:rPr>
        <w:t xml:space="preserve">f Managers </w:t>
      </w:r>
      <w:r w:rsidR="00BE7F5D" w:rsidRPr="00C73908">
        <w:rPr>
          <w:rFonts w:ascii="Times New Roman" w:hAnsi="Times New Roman" w:cs="Times New Roman"/>
          <w:lang w:val="en-IE"/>
        </w:rPr>
        <w:t>a</w:t>
      </w:r>
      <w:r w:rsidRPr="00C73908">
        <w:rPr>
          <w:rFonts w:ascii="Times New Roman" w:hAnsi="Times New Roman" w:cs="Times New Roman"/>
          <w:lang w:val="en-IE"/>
        </w:rPr>
        <w:t xml:space="preserve">nd </w:t>
      </w:r>
      <w:r w:rsidR="00BE7F5D" w:rsidRPr="00C73908">
        <w:rPr>
          <w:rFonts w:ascii="Times New Roman" w:hAnsi="Times New Roman" w:cs="Times New Roman"/>
          <w:lang w:val="en-IE"/>
        </w:rPr>
        <w:t>t</w:t>
      </w:r>
      <w:r w:rsidRPr="00C73908">
        <w:rPr>
          <w:rFonts w:ascii="Times New Roman" w:hAnsi="Times New Roman" w:cs="Times New Roman"/>
          <w:lang w:val="en-IE"/>
        </w:rPr>
        <w:t xml:space="preserve">he Internationalization </w:t>
      </w:r>
      <w:r w:rsidR="00BE7F5D" w:rsidRPr="00C73908">
        <w:rPr>
          <w:rFonts w:ascii="Times New Roman" w:hAnsi="Times New Roman" w:cs="Times New Roman"/>
          <w:lang w:val="en-IE"/>
        </w:rPr>
        <w:t>o</w:t>
      </w:r>
      <w:r w:rsidRPr="00C73908">
        <w:rPr>
          <w:rFonts w:ascii="Times New Roman" w:hAnsi="Times New Roman" w:cs="Times New Roman"/>
          <w:lang w:val="en-IE"/>
        </w:rPr>
        <w:t>f Firms," Discussion Papers of Business and Economics 18/2012</w:t>
      </w:r>
      <w:r w:rsidR="00B01B94" w:rsidRPr="00C73908">
        <w:rPr>
          <w:rFonts w:ascii="Times New Roman" w:hAnsi="Times New Roman" w:cs="Times New Roman"/>
          <w:lang w:val="en-IE"/>
        </w:rPr>
        <w:t>, University of Southern Denmark</w:t>
      </w:r>
    </w:p>
    <w:p w14:paraId="6ED9D055" w14:textId="43652E6E" w:rsidR="00C154D3" w:rsidRPr="00C73908" w:rsidRDefault="000D307D"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Santarelli, Enrico &amp; D'Altri, Samuele, (2003). "The Diffusion of E-Commerce Among SMEs: Theoretical Implications and Empirical Evidence," Small Business Economics, Springer, vol. 21(3), pages 273-283</w:t>
      </w:r>
      <w:r w:rsidR="00C154D3" w:rsidRPr="00C73908">
        <w:rPr>
          <w:rFonts w:ascii="Times New Roman" w:hAnsi="Times New Roman" w:cs="Times New Roman"/>
          <w:lang w:val="en-IE"/>
        </w:rPr>
        <w:t>.</w:t>
      </w:r>
    </w:p>
    <w:p w14:paraId="28F46392" w14:textId="143D20C8" w:rsidR="00515136" w:rsidRPr="00C73908" w:rsidRDefault="00515136"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Schank, Thorsten &amp; Schnabel, Claus &amp; Wagner, Joachim </w:t>
      </w:r>
      <w:r w:rsidR="00850596" w:rsidRPr="00C73908">
        <w:rPr>
          <w:rFonts w:ascii="Times New Roman" w:hAnsi="Times New Roman" w:cs="Times New Roman"/>
          <w:lang w:val="en-IE"/>
        </w:rPr>
        <w:t>(</w:t>
      </w:r>
      <w:r w:rsidRPr="00C73908">
        <w:rPr>
          <w:rFonts w:ascii="Times New Roman" w:hAnsi="Times New Roman" w:cs="Times New Roman"/>
          <w:lang w:val="en-IE"/>
        </w:rPr>
        <w:t>2010</w:t>
      </w:r>
      <w:r w:rsidR="00850596" w:rsidRPr="00C73908">
        <w:rPr>
          <w:rFonts w:ascii="Times New Roman" w:hAnsi="Times New Roman" w:cs="Times New Roman"/>
          <w:lang w:val="en-IE"/>
        </w:rPr>
        <w:t>)</w:t>
      </w:r>
      <w:r w:rsidRPr="00C73908">
        <w:rPr>
          <w:rFonts w:ascii="Times New Roman" w:hAnsi="Times New Roman" w:cs="Times New Roman"/>
          <w:lang w:val="en-IE"/>
        </w:rPr>
        <w:t>. "Higher wages in exporting firms: self-selection, export effect, or both? First evidence from linked employer-employee data," Review of World Economics, Springer, vol. 146(2), pages 303-322</w:t>
      </w:r>
    </w:p>
    <w:p w14:paraId="41472E33" w14:textId="0131EE44" w:rsidR="0053101A" w:rsidRPr="00C73908" w:rsidRDefault="0053101A" w:rsidP="0053101A">
      <w:pPr>
        <w:spacing w:after="0"/>
        <w:ind w:hanging="284"/>
        <w:jc w:val="both"/>
        <w:rPr>
          <w:rFonts w:ascii="Times New Roman" w:hAnsi="Times New Roman" w:cs="Times New Roman"/>
          <w:lang w:val="en-IE"/>
        </w:rPr>
      </w:pPr>
      <w:r w:rsidRPr="00C73908">
        <w:rPr>
          <w:rFonts w:ascii="Times New Roman" w:hAnsi="Times New Roman" w:cs="Times New Roman"/>
          <w:lang w:val="en-IE"/>
        </w:rPr>
        <w:lastRenderedPageBreak/>
        <w:t>Stock,</w:t>
      </w:r>
      <w:r w:rsidR="00C077AA" w:rsidRPr="00C73908">
        <w:rPr>
          <w:rFonts w:ascii="Times New Roman" w:hAnsi="Times New Roman" w:cs="Times New Roman"/>
          <w:lang w:val="en-IE"/>
        </w:rPr>
        <w:t xml:space="preserve"> James H. &amp;</w:t>
      </w:r>
      <w:r w:rsidRPr="00C73908">
        <w:rPr>
          <w:rFonts w:ascii="Times New Roman" w:hAnsi="Times New Roman" w:cs="Times New Roman"/>
          <w:lang w:val="en-IE"/>
        </w:rPr>
        <w:t xml:space="preserve"> Watson</w:t>
      </w:r>
      <w:r w:rsidR="00C077AA" w:rsidRPr="00C73908">
        <w:rPr>
          <w:rFonts w:ascii="Times New Roman" w:hAnsi="Times New Roman" w:cs="Times New Roman"/>
          <w:lang w:val="en-IE"/>
        </w:rPr>
        <w:t>, Mark W. (2003) “</w:t>
      </w:r>
      <w:r w:rsidRPr="00C73908">
        <w:rPr>
          <w:rFonts w:ascii="Times New Roman" w:hAnsi="Times New Roman" w:cs="Times New Roman"/>
          <w:lang w:val="en-IE"/>
        </w:rPr>
        <w:t>Introduction to Econometrics” 2nd ed., Boston: Pearson Addison Wesley</w:t>
      </w:r>
    </w:p>
    <w:p w14:paraId="3758D355" w14:textId="7B95EA37" w:rsidR="00ED414C" w:rsidRPr="00C73908" w:rsidRDefault="00ED414C"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Tavassoli, S. (2018), "The </w:t>
      </w:r>
      <w:r w:rsidR="00986670" w:rsidRPr="00C73908">
        <w:rPr>
          <w:rFonts w:ascii="Times New Roman" w:hAnsi="Times New Roman" w:cs="Times New Roman"/>
          <w:lang w:val="en-IE"/>
        </w:rPr>
        <w:t>Role of Product Innovation on Export Behaviour of Firms: Is t Innovation Input or Innovation Output That Matters</w:t>
      </w:r>
      <w:r w:rsidRPr="00C73908">
        <w:rPr>
          <w:rFonts w:ascii="Times New Roman" w:hAnsi="Times New Roman" w:cs="Times New Roman"/>
          <w:lang w:val="en-IE"/>
        </w:rPr>
        <w:t>?", European Journal of Innovation Management, Vol. 21 No. 2, pp. 294-314</w:t>
      </w:r>
    </w:p>
    <w:p w14:paraId="506F4E59" w14:textId="45991532" w:rsidR="00930267" w:rsidRPr="00C73908" w:rsidRDefault="00930267"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Vahter, P., Love, J.H., and Roper, S. (2014) “Openness and Innovation Performance: Are Small Firms Different?” Industry and Innovation, 21, 553–573.</w:t>
      </w:r>
    </w:p>
    <w:p w14:paraId="56A223C5" w14:textId="18DD6C05" w:rsidR="00720139" w:rsidRPr="00C73908" w:rsidRDefault="00720139"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Van Beveren,</w:t>
      </w:r>
      <w:r w:rsidR="004F0014" w:rsidRPr="00C73908">
        <w:rPr>
          <w:rFonts w:ascii="Times New Roman" w:hAnsi="Times New Roman" w:cs="Times New Roman"/>
          <w:lang w:val="en-IE"/>
        </w:rPr>
        <w:t xml:space="preserve"> Ilke</w:t>
      </w:r>
      <w:r w:rsidRPr="00C73908">
        <w:rPr>
          <w:rFonts w:ascii="Times New Roman" w:hAnsi="Times New Roman" w:cs="Times New Roman"/>
          <w:lang w:val="en-IE"/>
        </w:rPr>
        <w:t xml:space="preserve"> &amp; Vandenbussche,</w:t>
      </w:r>
      <w:r w:rsidR="004F0014" w:rsidRPr="00C73908">
        <w:rPr>
          <w:rFonts w:ascii="Times New Roman" w:hAnsi="Times New Roman" w:cs="Times New Roman"/>
          <w:lang w:val="en-IE"/>
        </w:rPr>
        <w:t xml:space="preserve"> Hylke</w:t>
      </w:r>
      <w:r w:rsidRPr="00C73908">
        <w:rPr>
          <w:rFonts w:ascii="Times New Roman" w:hAnsi="Times New Roman" w:cs="Times New Roman"/>
          <w:lang w:val="en-IE"/>
        </w:rPr>
        <w:t xml:space="preserve"> </w:t>
      </w:r>
      <w:r w:rsidR="004F0014" w:rsidRPr="00C73908">
        <w:rPr>
          <w:rFonts w:ascii="Times New Roman" w:hAnsi="Times New Roman" w:cs="Times New Roman"/>
          <w:lang w:val="en-IE"/>
        </w:rPr>
        <w:t>(</w:t>
      </w:r>
      <w:r w:rsidRPr="00C73908">
        <w:rPr>
          <w:rFonts w:ascii="Times New Roman" w:hAnsi="Times New Roman" w:cs="Times New Roman"/>
          <w:lang w:val="en-IE"/>
        </w:rPr>
        <w:t>2010).</w:t>
      </w:r>
      <w:r w:rsidR="004F0014" w:rsidRPr="00C73908">
        <w:rPr>
          <w:rFonts w:ascii="Times New Roman" w:hAnsi="Times New Roman" w:cs="Times New Roman"/>
          <w:lang w:val="en-IE"/>
        </w:rPr>
        <w:t xml:space="preserve"> </w:t>
      </w:r>
      <w:r w:rsidR="00012262" w:rsidRPr="00C73908">
        <w:rPr>
          <w:rFonts w:ascii="Times New Roman" w:hAnsi="Times New Roman" w:cs="Times New Roman"/>
          <w:lang w:val="en-IE"/>
        </w:rPr>
        <w:t>“Product and Process Innovation and Firms' Decision to Export” Journal of Economic Policy Reform 13(1):3-24</w:t>
      </w:r>
    </w:p>
    <w:p w14:paraId="0185B7D7" w14:textId="1765CB3A" w:rsidR="002A28E2" w:rsidRPr="00C73908" w:rsidRDefault="002A28E2"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Van Biesebroeck, Johannes &amp; Konings, Jozef &amp; Volpe Martincus,</w:t>
      </w:r>
      <w:r w:rsidR="005B209D" w:rsidRPr="00C73908">
        <w:rPr>
          <w:rFonts w:ascii="Times New Roman" w:hAnsi="Times New Roman" w:cs="Times New Roman"/>
          <w:lang w:val="en-IE"/>
        </w:rPr>
        <w:t xml:space="preserve"> Christian</w:t>
      </w:r>
      <w:r w:rsidRPr="00C73908">
        <w:rPr>
          <w:rFonts w:ascii="Times New Roman" w:hAnsi="Times New Roman" w:cs="Times New Roman"/>
          <w:lang w:val="en-IE"/>
        </w:rPr>
        <w:t xml:space="preserve"> </w:t>
      </w:r>
      <w:r w:rsidR="005B209D" w:rsidRPr="00C73908">
        <w:rPr>
          <w:rFonts w:ascii="Times New Roman" w:hAnsi="Times New Roman" w:cs="Times New Roman"/>
          <w:lang w:val="en-IE"/>
        </w:rPr>
        <w:t>(</w:t>
      </w:r>
      <w:r w:rsidRPr="00C73908">
        <w:rPr>
          <w:rFonts w:ascii="Times New Roman" w:hAnsi="Times New Roman" w:cs="Times New Roman"/>
          <w:lang w:val="en-IE"/>
        </w:rPr>
        <w:t>2016</w:t>
      </w:r>
      <w:r w:rsidR="005B209D" w:rsidRPr="00C73908">
        <w:rPr>
          <w:rFonts w:ascii="Times New Roman" w:hAnsi="Times New Roman" w:cs="Times New Roman"/>
          <w:lang w:val="en-IE"/>
        </w:rPr>
        <w:t>)</w:t>
      </w:r>
      <w:r w:rsidRPr="00C73908">
        <w:rPr>
          <w:rFonts w:ascii="Times New Roman" w:hAnsi="Times New Roman" w:cs="Times New Roman"/>
          <w:lang w:val="en-IE"/>
        </w:rPr>
        <w:t xml:space="preserve">. "Did </w:t>
      </w:r>
      <w:r w:rsidR="005B209D" w:rsidRPr="00C73908">
        <w:rPr>
          <w:rFonts w:ascii="Times New Roman" w:hAnsi="Times New Roman" w:cs="Times New Roman"/>
          <w:lang w:val="en-IE"/>
        </w:rPr>
        <w:t xml:space="preserve">Export Promotion Help Firms Weather </w:t>
      </w:r>
      <w:r w:rsidRPr="00C73908">
        <w:rPr>
          <w:rFonts w:ascii="Times New Roman" w:hAnsi="Times New Roman" w:cs="Times New Roman"/>
          <w:lang w:val="en-IE"/>
        </w:rPr>
        <w:t xml:space="preserve">the </w:t>
      </w:r>
      <w:r w:rsidR="005B209D" w:rsidRPr="00C73908">
        <w:rPr>
          <w:rFonts w:ascii="Times New Roman" w:hAnsi="Times New Roman" w:cs="Times New Roman"/>
          <w:lang w:val="en-IE"/>
        </w:rPr>
        <w:t>Crisis</w:t>
      </w:r>
      <w:r w:rsidRPr="00C73908">
        <w:rPr>
          <w:rFonts w:ascii="Times New Roman" w:hAnsi="Times New Roman" w:cs="Times New Roman"/>
          <w:lang w:val="en-IE"/>
        </w:rPr>
        <w:t>?" Working Paper Research 291, National Bank of Belgium</w:t>
      </w:r>
    </w:p>
    <w:p w14:paraId="6D1125A8" w14:textId="55612342" w:rsidR="00EC13AF" w:rsidRPr="00C73908" w:rsidRDefault="00EC301E"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Vernon, R. (1966). “International Investment and International Trade in the Product Cycle.” The Quarterly Journal of Economics, 80 (2), 190-207.</w:t>
      </w:r>
    </w:p>
    <w:p w14:paraId="07D2EB7A" w14:textId="6B203312" w:rsidR="00FF7040" w:rsidRPr="00C73908" w:rsidRDefault="00FF7040"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Wagner</w:t>
      </w:r>
      <w:r w:rsidR="006C3640" w:rsidRPr="00C73908">
        <w:rPr>
          <w:rFonts w:ascii="Times New Roman" w:hAnsi="Times New Roman" w:cs="Times New Roman"/>
          <w:lang w:val="en-IE"/>
        </w:rPr>
        <w:t xml:space="preserve"> Joachim</w:t>
      </w:r>
      <w:r w:rsidRPr="00C73908">
        <w:rPr>
          <w:rFonts w:ascii="Times New Roman" w:hAnsi="Times New Roman" w:cs="Times New Roman"/>
          <w:lang w:val="en-IE"/>
        </w:rPr>
        <w:t xml:space="preserve">, </w:t>
      </w:r>
      <w:r w:rsidR="005A6AEB" w:rsidRPr="00C73908">
        <w:rPr>
          <w:rFonts w:ascii="Times New Roman" w:hAnsi="Times New Roman" w:cs="Times New Roman"/>
          <w:lang w:val="en-IE"/>
        </w:rPr>
        <w:t>(</w:t>
      </w:r>
      <w:r w:rsidRPr="00C73908">
        <w:rPr>
          <w:rFonts w:ascii="Times New Roman" w:hAnsi="Times New Roman" w:cs="Times New Roman"/>
          <w:lang w:val="en-IE"/>
        </w:rPr>
        <w:t>2007</w:t>
      </w:r>
      <w:r w:rsidR="005A6AEB" w:rsidRPr="00C73908">
        <w:rPr>
          <w:rFonts w:ascii="Times New Roman" w:hAnsi="Times New Roman" w:cs="Times New Roman"/>
          <w:lang w:val="en-IE"/>
        </w:rPr>
        <w:t>)</w:t>
      </w:r>
      <w:r w:rsidRPr="00C73908">
        <w:rPr>
          <w:rFonts w:ascii="Times New Roman" w:hAnsi="Times New Roman" w:cs="Times New Roman"/>
          <w:lang w:val="en-IE"/>
        </w:rPr>
        <w:t>. "Exports and Productivity: A Survey of the Evidence from Firm‐level Data," The World Economy, Wiley Blackwell, vol. 30(1)</w:t>
      </w:r>
    </w:p>
    <w:p w14:paraId="6B3D4700" w14:textId="3CD2D2E8" w:rsidR="005A6AEB" w:rsidRPr="00C73908" w:rsidRDefault="005A6AEB"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Wakelin, K</w:t>
      </w:r>
      <w:r w:rsidR="00322E5C" w:rsidRPr="00C73908">
        <w:rPr>
          <w:rFonts w:ascii="Times New Roman" w:hAnsi="Times New Roman" w:cs="Times New Roman"/>
          <w:lang w:val="en-IE"/>
        </w:rPr>
        <w:t>atharine</w:t>
      </w:r>
      <w:r w:rsidRPr="00C73908">
        <w:rPr>
          <w:rFonts w:ascii="Times New Roman" w:hAnsi="Times New Roman" w:cs="Times New Roman"/>
          <w:lang w:val="en-IE"/>
        </w:rPr>
        <w:t xml:space="preserve"> (1998). “Innovation and Export Behaviour at Firm Level.” Research Policy 26(7): 829–841.</w:t>
      </w:r>
    </w:p>
    <w:p w14:paraId="7EF1E3EC" w14:textId="7ACF5D48" w:rsidR="000D6D1A" w:rsidRPr="00C73908" w:rsidRDefault="000D6D1A" w:rsidP="000D6D1A">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Windmeijer, F. </w:t>
      </w:r>
      <w:r w:rsidR="0000224C" w:rsidRPr="00C73908">
        <w:rPr>
          <w:rFonts w:ascii="Times New Roman" w:hAnsi="Times New Roman" w:cs="Times New Roman"/>
          <w:lang w:val="en-IE"/>
        </w:rPr>
        <w:t>(</w:t>
      </w:r>
      <w:r w:rsidRPr="00C73908">
        <w:rPr>
          <w:rFonts w:ascii="Times New Roman" w:hAnsi="Times New Roman" w:cs="Times New Roman"/>
          <w:lang w:val="en-IE"/>
        </w:rPr>
        <w:t>2005</w:t>
      </w:r>
      <w:r w:rsidR="0000224C" w:rsidRPr="00C73908">
        <w:rPr>
          <w:rFonts w:ascii="Times New Roman" w:hAnsi="Times New Roman" w:cs="Times New Roman"/>
          <w:lang w:val="en-IE"/>
        </w:rPr>
        <w:t>)</w:t>
      </w:r>
      <w:r w:rsidRPr="00C73908">
        <w:rPr>
          <w:rFonts w:ascii="Times New Roman" w:hAnsi="Times New Roman" w:cs="Times New Roman"/>
          <w:lang w:val="en-IE"/>
        </w:rPr>
        <w:t xml:space="preserve">. </w:t>
      </w:r>
      <w:r w:rsidR="0000224C" w:rsidRPr="00C73908">
        <w:rPr>
          <w:rFonts w:ascii="Times New Roman" w:hAnsi="Times New Roman" w:cs="Times New Roman"/>
          <w:lang w:val="en-IE"/>
        </w:rPr>
        <w:t>“</w:t>
      </w:r>
      <w:r w:rsidRPr="00C73908">
        <w:rPr>
          <w:rFonts w:ascii="Times New Roman" w:hAnsi="Times New Roman" w:cs="Times New Roman"/>
          <w:lang w:val="en-IE"/>
        </w:rPr>
        <w:t xml:space="preserve">A Finite Sample Correction for the Variance of Linear Efficient two-step GMM </w:t>
      </w:r>
      <w:r w:rsidR="0000224C" w:rsidRPr="00C73908">
        <w:rPr>
          <w:rFonts w:ascii="Times New Roman" w:hAnsi="Times New Roman" w:cs="Times New Roman"/>
          <w:lang w:val="en-IE"/>
        </w:rPr>
        <w:t>Estimators”</w:t>
      </w:r>
      <w:r w:rsidRPr="00C73908">
        <w:rPr>
          <w:rFonts w:ascii="Times New Roman" w:hAnsi="Times New Roman" w:cs="Times New Roman"/>
          <w:lang w:val="en-IE"/>
        </w:rPr>
        <w:t>. Journal of Econometrics 126: 25–51.</w:t>
      </w:r>
    </w:p>
    <w:p w14:paraId="01394E2A" w14:textId="18079222" w:rsidR="00DF4D70" w:rsidRPr="00C73908" w:rsidRDefault="00DF4D70" w:rsidP="00B57F4D">
      <w:pPr>
        <w:spacing w:after="0"/>
        <w:ind w:hanging="284"/>
        <w:jc w:val="both"/>
        <w:rPr>
          <w:rFonts w:ascii="Times New Roman" w:hAnsi="Times New Roman" w:cs="Times New Roman"/>
          <w:lang w:val="en-IE"/>
        </w:rPr>
      </w:pPr>
      <w:r w:rsidRPr="00C73908">
        <w:rPr>
          <w:rFonts w:ascii="Times New Roman" w:hAnsi="Times New Roman" w:cs="Times New Roman"/>
          <w:lang w:val="en-IE"/>
        </w:rPr>
        <w:t xml:space="preserve">Wooldridge, J. M. </w:t>
      </w:r>
      <w:r w:rsidR="000B7949" w:rsidRPr="00C73908">
        <w:rPr>
          <w:rFonts w:ascii="Times New Roman" w:hAnsi="Times New Roman" w:cs="Times New Roman"/>
          <w:lang w:val="en-IE"/>
        </w:rPr>
        <w:t>(</w:t>
      </w:r>
      <w:r w:rsidRPr="00C73908">
        <w:rPr>
          <w:rFonts w:ascii="Times New Roman" w:hAnsi="Times New Roman" w:cs="Times New Roman"/>
          <w:lang w:val="en-IE"/>
        </w:rPr>
        <w:t>2002</w:t>
      </w:r>
      <w:r w:rsidR="000B7949" w:rsidRPr="00C73908">
        <w:rPr>
          <w:rFonts w:ascii="Times New Roman" w:hAnsi="Times New Roman" w:cs="Times New Roman"/>
          <w:lang w:val="en-IE"/>
        </w:rPr>
        <w:t>)</w:t>
      </w:r>
      <w:r w:rsidRPr="00C73908">
        <w:rPr>
          <w:rFonts w:ascii="Times New Roman" w:hAnsi="Times New Roman" w:cs="Times New Roman"/>
          <w:lang w:val="en-IE"/>
        </w:rPr>
        <w:t xml:space="preserve"> </w:t>
      </w:r>
      <w:r w:rsidR="000B7949" w:rsidRPr="00C73908">
        <w:rPr>
          <w:rFonts w:ascii="Times New Roman" w:hAnsi="Times New Roman" w:cs="Times New Roman"/>
          <w:lang w:val="en-IE"/>
        </w:rPr>
        <w:t>“</w:t>
      </w:r>
      <w:r w:rsidRPr="00C73908">
        <w:rPr>
          <w:rFonts w:ascii="Times New Roman" w:hAnsi="Times New Roman" w:cs="Times New Roman"/>
          <w:lang w:val="en-IE"/>
        </w:rPr>
        <w:t>Econometric Analysis of Cross Section and Panel Data</w:t>
      </w:r>
      <w:r w:rsidR="000B7949" w:rsidRPr="00C73908">
        <w:rPr>
          <w:rFonts w:ascii="Times New Roman" w:hAnsi="Times New Roman" w:cs="Times New Roman"/>
          <w:lang w:val="en-IE"/>
        </w:rPr>
        <w:t>”</w:t>
      </w:r>
      <w:r w:rsidRPr="00C73908">
        <w:rPr>
          <w:rFonts w:ascii="Times New Roman" w:hAnsi="Times New Roman" w:cs="Times New Roman"/>
          <w:lang w:val="en-IE"/>
        </w:rPr>
        <w:t xml:space="preserve"> MIT Press.</w:t>
      </w:r>
    </w:p>
    <w:p w14:paraId="7070F583" w14:textId="08DF3869" w:rsidR="00696228" w:rsidRDefault="00696228">
      <w:pPr>
        <w:rPr>
          <w:rFonts w:ascii="Times New Roman" w:hAnsi="Times New Roman" w:cs="Times New Roman"/>
          <w:lang w:val="en-IE"/>
        </w:rPr>
      </w:pPr>
      <w:r>
        <w:rPr>
          <w:rFonts w:ascii="Times New Roman" w:hAnsi="Times New Roman" w:cs="Times New Roman"/>
          <w:lang w:val="en-IE"/>
        </w:rPr>
        <w:br w:type="page"/>
      </w:r>
    </w:p>
    <w:p w14:paraId="7683D9E6" w14:textId="36F35A88" w:rsidR="005F68C4" w:rsidRDefault="00696228" w:rsidP="00696228">
      <w:pPr>
        <w:pStyle w:val="Heading1"/>
        <w:spacing w:after="240"/>
        <w:jc w:val="both"/>
        <w:rPr>
          <w:rFonts w:ascii="Times New Roman" w:hAnsi="Times New Roman" w:cs="Times New Roman"/>
          <w:lang w:val="en-IE"/>
        </w:rPr>
      </w:pPr>
      <w:bookmarkStart w:id="41" w:name="_Toc69198811"/>
      <w:r>
        <w:rPr>
          <w:rFonts w:ascii="Times New Roman" w:hAnsi="Times New Roman" w:cs="Times New Roman"/>
          <w:lang w:val="en-IE"/>
        </w:rPr>
        <w:lastRenderedPageBreak/>
        <w:t>Appendix</w:t>
      </w:r>
      <w:bookmarkEnd w:id="41"/>
    </w:p>
    <w:p w14:paraId="30E4D80B" w14:textId="0CAD712B" w:rsidR="00696228" w:rsidRPr="004268CB" w:rsidRDefault="00696228" w:rsidP="00696228">
      <w:pPr>
        <w:rPr>
          <w:rFonts w:ascii="Times New Roman" w:hAnsi="Times New Roman" w:cs="Times New Roman"/>
          <w:b/>
          <w:bCs/>
          <w:lang w:val="en-IE"/>
        </w:rPr>
      </w:pPr>
      <w:r w:rsidRPr="004268CB">
        <w:rPr>
          <w:rFonts w:ascii="Times New Roman" w:hAnsi="Times New Roman" w:cs="Times New Roman"/>
          <w:b/>
          <w:bCs/>
          <w:lang w:val="en-IE"/>
        </w:rPr>
        <w:t>Annex 1</w:t>
      </w:r>
      <w:r w:rsidR="006C1B21" w:rsidRPr="004268CB">
        <w:rPr>
          <w:rFonts w:ascii="Times New Roman" w:hAnsi="Times New Roman" w:cs="Times New Roman"/>
          <w:b/>
          <w:bCs/>
          <w:lang w:val="en-IE"/>
        </w:rPr>
        <w:t xml:space="preserve"> – Number of Companies </w:t>
      </w:r>
      <w:r w:rsidR="005534A7" w:rsidRPr="004268CB">
        <w:rPr>
          <w:rFonts w:ascii="Times New Roman" w:hAnsi="Times New Roman" w:cs="Times New Roman"/>
          <w:b/>
          <w:bCs/>
          <w:lang w:val="en-IE"/>
        </w:rPr>
        <w:t>by High Level NACE Sector</w:t>
      </w:r>
    </w:p>
    <w:tbl>
      <w:tblPr>
        <w:tblStyle w:val="PlainTable5"/>
        <w:tblW w:w="6379" w:type="dxa"/>
        <w:tblLayout w:type="fixed"/>
        <w:tblLook w:val="04E0" w:firstRow="1" w:lastRow="1" w:firstColumn="1" w:lastColumn="0" w:noHBand="0" w:noVBand="1"/>
      </w:tblPr>
      <w:tblGrid>
        <w:gridCol w:w="4111"/>
        <w:gridCol w:w="1134"/>
        <w:gridCol w:w="1134"/>
      </w:tblGrid>
      <w:tr w:rsidR="00934B42" w:rsidRPr="0033565B" w14:paraId="6689723E" w14:textId="44BB3146" w:rsidTr="00934B42">
        <w:trPr>
          <w:cnfStyle w:val="100000000000" w:firstRow="1" w:lastRow="0" w:firstColumn="0" w:lastColumn="0" w:oddVBand="0" w:evenVBand="0" w:oddHBand="0" w:evenHBand="0" w:firstRowFirstColumn="0" w:firstRowLastColumn="0" w:lastRowFirstColumn="0" w:lastRowLastColumn="0"/>
          <w:trHeight w:val="70"/>
        </w:trPr>
        <w:tc>
          <w:tcPr>
            <w:cnfStyle w:val="001000000100" w:firstRow="0" w:lastRow="0" w:firstColumn="1" w:lastColumn="0" w:oddVBand="0" w:evenVBand="0" w:oddHBand="0" w:evenHBand="0" w:firstRowFirstColumn="1" w:firstRowLastColumn="0" w:lastRowFirstColumn="0" w:lastRowLastColumn="0"/>
            <w:tcW w:w="4111" w:type="dxa"/>
            <w:hideMark/>
          </w:tcPr>
          <w:p w14:paraId="5B241DC5" w14:textId="655D5FE2" w:rsidR="00934B42" w:rsidRPr="004268CB" w:rsidRDefault="00934B42" w:rsidP="00905A95">
            <w:pPr>
              <w:jc w:val="left"/>
              <w:rPr>
                <w:rFonts w:ascii="Times New Roman" w:hAnsi="Times New Roman" w:cs="Times New Roman"/>
                <w:b/>
                <w:bCs/>
                <w:i w:val="0"/>
                <w:iCs w:val="0"/>
                <w:sz w:val="22"/>
                <w:szCs w:val="18"/>
              </w:rPr>
            </w:pPr>
            <w:r w:rsidRPr="004268CB">
              <w:rPr>
                <w:rFonts w:ascii="Times New Roman" w:hAnsi="Times New Roman" w:cs="Times New Roman"/>
                <w:i w:val="0"/>
                <w:iCs w:val="0"/>
                <w:sz w:val="22"/>
                <w:szCs w:val="18"/>
              </w:rPr>
              <w:t>High Level NACE Sectors</w:t>
            </w:r>
          </w:p>
        </w:tc>
        <w:tc>
          <w:tcPr>
            <w:tcW w:w="1134" w:type="dxa"/>
            <w:hideMark/>
          </w:tcPr>
          <w:p w14:paraId="08DB77A4" w14:textId="6EEAEF77" w:rsidR="00934B42" w:rsidRPr="004268CB" w:rsidRDefault="00934B42" w:rsidP="00905A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rPr>
            </w:pPr>
            <w:r w:rsidRPr="004268CB">
              <w:rPr>
                <w:rFonts w:ascii="Times New Roman" w:hAnsi="Times New Roman" w:cs="Times New Roman"/>
                <w:i w:val="0"/>
                <w:iCs w:val="0"/>
                <w:sz w:val="22"/>
              </w:rPr>
              <w:t>No. Firms</w:t>
            </w:r>
          </w:p>
        </w:tc>
        <w:tc>
          <w:tcPr>
            <w:tcW w:w="1134" w:type="dxa"/>
          </w:tcPr>
          <w:p w14:paraId="5C5E3055" w14:textId="6F24D950" w:rsidR="00934B42" w:rsidRPr="0033565B" w:rsidRDefault="0033565B" w:rsidP="00905A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rPr>
            </w:pPr>
            <w:r w:rsidRPr="0033565B">
              <w:rPr>
                <w:rFonts w:ascii="Times New Roman" w:hAnsi="Times New Roman" w:cs="Times New Roman"/>
                <w:i w:val="0"/>
                <w:iCs w:val="0"/>
                <w:sz w:val="22"/>
              </w:rPr>
              <w:t>Average Firm Age</w:t>
            </w:r>
          </w:p>
        </w:tc>
      </w:tr>
      <w:tr w:rsidR="00F926D9" w:rsidRPr="004268CB" w14:paraId="56A65AF3" w14:textId="64374997" w:rsidTr="00934B4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11" w:type="dxa"/>
            <w:noWrap/>
          </w:tcPr>
          <w:p w14:paraId="1E02C299" w14:textId="44610DF5" w:rsidR="00F926D9" w:rsidRPr="004268CB" w:rsidRDefault="00F926D9" w:rsidP="00F926D9">
            <w:pPr>
              <w:jc w:val="left"/>
              <w:rPr>
                <w:rFonts w:ascii="Times New Roman" w:hAnsi="Times New Roman" w:cs="Times New Roman"/>
                <w:b/>
                <w:bCs/>
                <w:i w:val="0"/>
                <w:iCs w:val="0"/>
                <w:sz w:val="22"/>
                <w:szCs w:val="18"/>
              </w:rPr>
            </w:pPr>
            <w:r w:rsidRPr="004268CB">
              <w:rPr>
                <w:rFonts w:ascii="Times New Roman" w:hAnsi="Times New Roman" w:cs="Times New Roman"/>
                <w:i w:val="0"/>
                <w:iCs w:val="0"/>
                <w:sz w:val="22"/>
                <w:szCs w:val="18"/>
              </w:rPr>
              <w:t>Business, Financial &amp; Other Services:</w:t>
            </w:r>
          </w:p>
        </w:tc>
        <w:tc>
          <w:tcPr>
            <w:tcW w:w="1134" w:type="dxa"/>
            <w:noWrap/>
          </w:tcPr>
          <w:p w14:paraId="21370422" w14:textId="36BA747F" w:rsidR="00F926D9" w:rsidRPr="004268CB" w:rsidRDefault="00F926D9" w:rsidP="00F926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68CB">
              <w:rPr>
                <w:rFonts w:ascii="Times New Roman" w:hAnsi="Times New Roman" w:cs="Times New Roman"/>
              </w:rPr>
              <w:t>489</w:t>
            </w:r>
          </w:p>
        </w:tc>
        <w:tc>
          <w:tcPr>
            <w:tcW w:w="1134" w:type="dxa"/>
          </w:tcPr>
          <w:p w14:paraId="380F2070" w14:textId="482CFD8B" w:rsidR="00F926D9" w:rsidRPr="004268CB" w:rsidRDefault="00F926D9" w:rsidP="00F926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6D9">
              <w:rPr>
                <w:rFonts w:ascii="Times New Roman" w:hAnsi="Times New Roman" w:cs="Times New Roman"/>
              </w:rPr>
              <w:t xml:space="preserve"> 22 </w:t>
            </w:r>
          </w:p>
        </w:tc>
      </w:tr>
      <w:tr w:rsidR="00F926D9" w:rsidRPr="004268CB" w14:paraId="56FAC2E6" w14:textId="5F3632AF" w:rsidTr="00934B42">
        <w:trPr>
          <w:trHeight w:val="293"/>
        </w:trPr>
        <w:tc>
          <w:tcPr>
            <w:cnfStyle w:val="001000000000" w:firstRow="0" w:lastRow="0" w:firstColumn="1" w:lastColumn="0" w:oddVBand="0" w:evenVBand="0" w:oddHBand="0" w:evenHBand="0" w:firstRowFirstColumn="0" w:firstRowLastColumn="0" w:lastRowFirstColumn="0" w:lastRowLastColumn="0"/>
            <w:tcW w:w="4111" w:type="dxa"/>
            <w:noWrap/>
          </w:tcPr>
          <w:p w14:paraId="6A1788D1" w14:textId="61241799" w:rsidR="00F926D9" w:rsidRPr="004268CB" w:rsidRDefault="00F926D9" w:rsidP="00F926D9">
            <w:pPr>
              <w:jc w:val="left"/>
              <w:rPr>
                <w:rFonts w:ascii="Times New Roman" w:hAnsi="Times New Roman" w:cs="Times New Roman"/>
                <w:b/>
                <w:bCs/>
                <w:i w:val="0"/>
                <w:iCs w:val="0"/>
                <w:sz w:val="22"/>
                <w:szCs w:val="18"/>
              </w:rPr>
            </w:pPr>
            <w:r w:rsidRPr="004268CB">
              <w:rPr>
                <w:rFonts w:ascii="Times New Roman" w:hAnsi="Times New Roman" w:cs="Times New Roman"/>
                <w:i w:val="0"/>
                <w:iCs w:val="0"/>
                <w:sz w:val="22"/>
                <w:szCs w:val="18"/>
              </w:rPr>
              <w:t>Construction, Energy, Water and Waste</w:t>
            </w:r>
          </w:p>
        </w:tc>
        <w:tc>
          <w:tcPr>
            <w:tcW w:w="1134" w:type="dxa"/>
            <w:noWrap/>
          </w:tcPr>
          <w:p w14:paraId="03971B30" w14:textId="5A6A59B1" w:rsidR="00F926D9" w:rsidRPr="004268CB" w:rsidRDefault="00F926D9" w:rsidP="00F926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68CB">
              <w:rPr>
                <w:rFonts w:ascii="Times New Roman" w:hAnsi="Times New Roman" w:cs="Times New Roman"/>
              </w:rPr>
              <w:t>126</w:t>
            </w:r>
          </w:p>
        </w:tc>
        <w:tc>
          <w:tcPr>
            <w:tcW w:w="1134" w:type="dxa"/>
          </w:tcPr>
          <w:p w14:paraId="3D435145" w14:textId="01078B33" w:rsidR="00F926D9" w:rsidRPr="004268CB" w:rsidRDefault="00F926D9" w:rsidP="00F926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6D9">
              <w:rPr>
                <w:rFonts w:ascii="Times New Roman" w:hAnsi="Times New Roman" w:cs="Times New Roman"/>
              </w:rPr>
              <w:t xml:space="preserve"> 25 </w:t>
            </w:r>
          </w:p>
        </w:tc>
      </w:tr>
      <w:tr w:rsidR="00F926D9" w:rsidRPr="004268CB" w14:paraId="298316EC" w14:textId="10D54468" w:rsidTr="00934B4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11" w:type="dxa"/>
            <w:noWrap/>
          </w:tcPr>
          <w:p w14:paraId="6D8FB983" w14:textId="5A2278F7" w:rsidR="00F926D9" w:rsidRPr="004268CB" w:rsidRDefault="00F926D9" w:rsidP="00F926D9">
            <w:pPr>
              <w:jc w:val="left"/>
              <w:rPr>
                <w:rFonts w:ascii="Times New Roman" w:hAnsi="Times New Roman" w:cs="Times New Roman"/>
                <w:b/>
                <w:bCs/>
                <w:i w:val="0"/>
                <w:iCs w:val="0"/>
                <w:sz w:val="22"/>
                <w:szCs w:val="18"/>
              </w:rPr>
            </w:pPr>
            <w:r w:rsidRPr="004268CB">
              <w:rPr>
                <w:rFonts w:ascii="Times New Roman" w:hAnsi="Times New Roman" w:cs="Times New Roman"/>
                <w:i w:val="0"/>
                <w:iCs w:val="0"/>
                <w:sz w:val="22"/>
                <w:szCs w:val="18"/>
              </w:rPr>
              <w:t>Food/Drink and Primary Production</w:t>
            </w:r>
          </w:p>
        </w:tc>
        <w:tc>
          <w:tcPr>
            <w:tcW w:w="1134" w:type="dxa"/>
            <w:noWrap/>
          </w:tcPr>
          <w:p w14:paraId="0D0C3CBF" w14:textId="3D10A6FF" w:rsidR="00F926D9" w:rsidRPr="004268CB" w:rsidRDefault="00F926D9" w:rsidP="00F926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68CB">
              <w:rPr>
                <w:rFonts w:ascii="Times New Roman" w:hAnsi="Times New Roman" w:cs="Times New Roman"/>
              </w:rPr>
              <w:t>281</w:t>
            </w:r>
          </w:p>
        </w:tc>
        <w:tc>
          <w:tcPr>
            <w:tcW w:w="1134" w:type="dxa"/>
          </w:tcPr>
          <w:p w14:paraId="60AE0905" w14:textId="1973E4DE" w:rsidR="00F926D9" w:rsidRPr="004268CB" w:rsidRDefault="00F926D9" w:rsidP="00F926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6D9">
              <w:rPr>
                <w:rFonts w:ascii="Times New Roman" w:hAnsi="Times New Roman" w:cs="Times New Roman"/>
              </w:rPr>
              <w:t xml:space="preserve"> 33 </w:t>
            </w:r>
          </w:p>
        </w:tc>
      </w:tr>
      <w:tr w:rsidR="00F926D9" w:rsidRPr="004268CB" w14:paraId="14D26A45" w14:textId="02A1EDBA" w:rsidTr="00934B42">
        <w:trPr>
          <w:trHeight w:val="80"/>
        </w:trPr>
        <w:tc>
          <w:tcPr>
            <w:cnfStyle w:val="001000000000" w:firstRow="0" w:lastRow="0" w:firstColumn="1" w:lastColumn="0" w:oddVBand="0" w:evenVBand="0" w:oddHBand="0" w:evenHBand="0" w:firstRowFirstColumn="0" w:firstRowLastColumn="0" w:lastRowFirstColumn="0" w:lastRowLastColumn="0"/>
            <w:tcW w:w="4111" w:type="dxa"/>
            <w:noWrap/>
          </w:tcPr>
          <w:p w14:paraId="0D95BEF6" w14:textId="24E0FAC1" w:rsidR="00F926D9" w:rsidRPr="004268CB" w:rsidRDefault="00F926D9" w:rsidP="00F926D9">
            <w:pPr>
              <w:jc w:val="left"/>
              <w:rPr>
                <w:rFonts w:ascii="Times New Roman" w:hAnsi="Times New Roman" w:cs="Times New Roman"/>
                <w:b/>
                <w:bCs/>
                <w:i w:val="0"/>
                <w:iCs w:val="0"/>
                <w:sz w:val="22"/>
                <w:szCs w:val="18"/>
              </w:rPr>
            </w:pPr>
            <w:r w:rsidRPr="004268CB">
              <w:rPr>
                <w:rFonts w:ascii="Times New Roman" w:hAnsi="Times New Roman" w:cs="Times New Roman"/>
                <w:i w:val="0"/>
                <w:iCs w:val="0"/>
                <w:sz w:val="22"/>
                <w:szCs w:val="18"/>
              </w:rPr>
              <w:t>ICT Services</w:t>
            </w:r>
          </w:p>
        </w:tc>
        <w:tc>
          <w:tcPr>
            <w:tcW w:w="1134" w:type="dxa"/>
            <w:noWrap/>
          </w:tcPr>
          <w:p w14:paraId="7ED38CED" w14:textId="24BE01C0" w:rsidR="00F926D9" w:rsidRPr="004268CB" w:rsidRDefault="00F926D9" w:rsidP="00F926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68CB">
              <w:rPr>
                <w:rFonts w:ascii="Times New Roman" w:hAnsi="Times New Roman" w:cs="Times New Roman"/>
              </w:rPr>
              <w:t>778</w:t>
            </w:r>
          </w:p>
        </w:tc>
        <w:tc>
          <w:tcPr>
            <w:tcW w:w="1134" w:type="dxa"/>
          </w:tcPr>
          <w:p w14:paraId="1929B484" w14:textId="0E1FDB1D" w:rsidR="00F926D9" w:rsidRPr="004268CB" w:rsidRDefault="00F926D9" w:rsidP="00F926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6D9">
              <w:rPr>
                <w:rFonts w:ascii="Times New Roman" w:hAnsi="Times New Roman" w:cs="Times New Roman"/>
              </w:rPr>
              <w:t xml:space="preserve"> 17 </w:t>
            </w:r>
          </w:p>
        </w:tc>
      </w:tr>
      <w:tr w:rsidR="00F926D9" w:rsidRPr="004268CB" w14:paraId="64FE036E" w14:textId="386CD71F" w:rsidTr="00934B4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11" w:type="dxa"/>
            <w:noWrap/>
            <w:hideMark/>
          </w:tcPr>
          <w:p w14:paraId="41F0A00C" w14:textId="4F01D100" w:rsidR="00F926D9" w:rsidRPr="004268CB" w:rsidRDefault="00F926D9" w:rsidP="00F926D9">
            <w:pPr>
              <w:jc w:val="left"/>
              <w:rPr>
                <w:rFonts w:ascii="Times New Roman" w:hAnsi="Times New Roman" w:cs="Times New Roman"/>
                <w:b/>
                <w:bCs/>
                <w:i w:val="0"/>
                <w:iCs w:val="0"/>
                <w:sz w:val="22"/>
                <w:szCs w:val="18"/>
              </w:rPr>
            </w:pPr>
            <w:r w:rsidRPr="004268CB">
              <w:rPr>
                <w:rFonts w:ascii="Times New Roman" w:hAnsi="Times New Roman" w:cs="Times New Roman"/>
                <w:i w:val="0"/>
                <w:iCs w:val="0"/>
                <w:sz w:val="22"/>
                <w:szCs w:val="18"/>
              </w:rPr>
              <w:t>Modern Manufacturing</w:t>
            </w:r>
          </w:p>
        </w:tc>
        <w:tc>
          <w:tcPr>
            <w:tcW w:w="1134" w:type="dxa"/>
            <w:noWrap/>
            <w:hideMark/>
          </w:tcPr>
          <w:p w14:paraId="5C7A9048" w14:textId="002D9F11" w:rsidR="00F926D9" w:rsidRPr="004268CB" w:rsidRDefault="00F926D9" w:rsidP="00F926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68CB">
              <w:rPr>
                <w:rFonts w:ascii="Times New Roman" w:hAnsi="Times New Roman" w:cs="Times New Roman"/>
              </w:rPr>
              <w:t>280</w:t>
            </w:r>
          </w:p>
        </w:tc>
        <w:tc>
          <w:tcPr>
            <w:tcW w:w="1134" w:type="dxa"/>
          </w:tcPr>
          <w:p w14:paraId="4285857F" w14:textId="7725AAEE" w:rsidR="00F926D9" w:rsidRPr="004268CB" w:rsidRDefault="00F926D9" w:rsidP="00F926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6D9">
              <w:rPr>
                <w:rFonts w:ascii="Times New Roman" w:hAnsi="Times New Roman" w:cs="Times New Roman"/>
              </w:rPr>
              <w:t xml:space="preserve"> 25 </w:t>
            </w:r>
          </w:p>
        </w:tc>
      </w:tr>
      <w:tr w:rsidR="00F926D9" w:rsidRPr="004268CB" w14:paraId="6490ACA6" w14:textId="33A16659" w:rsidTr="00934B42">
        <w:trPr>
          <w:trHeight w:val="127"/>
        </w:trPr>
        <w:tc>
          <w:tcPr>
            <w:cnfStyle w:val="001000000000" w:firstRow="0" w:lastRow="0" w:firstColumn="1" w:lastColumn="0" w:oddVBand="0" w:evenVBand="0" w:oddHBand="0" w:evenHBand="0" w:firstRowFirstColumn="0" w:firstRowLastColumn="0" w:lastRowFirstColumn="0" w:lastRowLastColumn="0"/>
            <w:tcW w:w="4111" w:type="dxa"/>
            <w:noWrap/>
            <w:hideMark/>
          </w:tcPr>
          <w:p w14:paraId="7FD674AA" w14:textId="4C4EE461" w:rsidR="00F926D9" w:rsidRPr="004268CB" w:rsidRDefault="00F926D9" w:rsidP="00F926D9">
            <w:pPr>
              <w:jc w:val="left"/>
              <w:rPr>
                <w:rFonts w:ascii="Times New Roman" w:hAnsi="Times New Roman" w:cs="Times New Roman"/>
                <w:b/>
                <w:bCs/>
                <w:i w:val="0"/>
                <w:iCs w:val="0"/>
                <w:sz w:val="22"/>
                <w:szCs w:val="18"/>
              </w:rPr>
            </w:pPr>
            <w:r w:rsidRPr="004268CB">
              <w:rPr>
                <w:rFonts w:ascii="Times New Roman" w:hAnsi="Times New Roman" w:cs="Times New Roman"/>
                <w:i w:val="0"/>
                <w:iCs w:val="0"/>
                <w:sz w:val="22"/>
                <w:szCs w:val="18"/>
              </w:rPr>
              <w:t>Traditional Manufacturing</w:t>
            </w:r>
          </w:p>
        </w:tc>
        <w:tc>
          <w:tcPr>
            <w:tcW w:w="1134" w:type="dxa"/>
            <w:noWrap/>
            <w:hideMark/>
          </w:tcPr>
          <w:p w14:paraId="6D9E14CB" w14:textId="23E5CD5F" w:rsidR="00F926D9" w:rsidRPr="004268CB" w:rsidRDefault="00F926D9" w:rsidP="00F926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68CB">
              <w:rPr>
                <w:rFonts w:ascii="Times New Roman" w:hAnsi="Times New Roman" w:cs="Times New Roman"/>
              </w:rPr>
              <w:t>826</w:t>
            </w:r>
          </w:p>
        </w:tc>
        <w:tc>
          <w:tcPr>
            <w:tcW w:w="1134" w:type="dxa"/>
          </w:tcPr>
          <w:p w14:paraId="51E03973" w14:textId="7B1B6847" w:rsidR="00F926D9" w:rsidRPr="004268CB" w:rsidRDefault="00F926D9" w:rsidP="00F926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6D9">
              <w:rPr>
                <w:rFonts w:ascii="Times New Roman" w:hAnsi="Times New Roman" w:cs="Times New Roman"/>
              </w:rPr>
              <w:t xml:space="preserve"> 31 </w:t>
            </w:r>
          </w:p>
        </w:tc>
      </w:tr>
      <w:tr w:rsidR="00F926D9" w:rsidRPr="004268CB" w14:paraId="148B5964" w14:textId="1E9D15B0" w:rsidTr="00934B42">
        <w:trPr>
          <w:cnfStyle w:val="010000000000" w:firstRow="0" w:lastRow="1" w:firstColumn="0" w:lastColumn="0" w:oddVBand="0" w:evenVBand="0" w:oddHBand="0" w:evenHBand="0" w:firstRowFirstColumn="0" w:firstRowLastColumn="0" w:lastRowFirstColumn="0" w:lastRowLastColumn="0"/>
          <w:trHeight w:val="70"/>
        </w:trPr>
        <w:tc>
          <w:tcPr>
            <w:cnfStyle w:val="001000000001" w:firstRow="0" w:lastRow="0" w:firstColumn="1" w:lastColumn="0" w:oddVBand="0" w:evenVBand="0" w:oddHBand="0" w:evenHBand="0" w:firstRowFirstColumn="0" w:firstRowLastColumn="0" w:lastRowFirstColumn="1" w:lastRowLastColumn="0"/>
            <w:tcW w:w="4111" w:type="dxa"/>
            <w:noWrap/>
            <w:hideMark/>
          </w:tcPr>
          <w:p w14:paraId="1D3C54B8" w14:textId="3B126BC9" w:rsidR="00F926D9" w:rsidRPr="004268CB" w:rsidRDefault="00F926D9" w:rsidP="00F926D9">
            <w:pPr>
              <w:jc w:val="left"/>
              <w:rPr>
                <w:rFonts w:ascii="Times New Roman" w:hAnsi="Times New Roman" w:cs="Times New Roman"/>
                <w:b/>
                <w:bCs/>
                <w:i w:val="0"/>
                <w:iCs w:val="0"/>
                <w:sz w:val="22"/>
                <w:szCs w:val="18"/>
              </w:rPr>
            </w:pPr>
            <w:r w:rsidRPr="004268CB">
              <w:rPr>
                <w:rFonts w:ascii="Times New Roman" w:hAnsi="Times New Roman" w:cs="Times New Roman"/>
                <w:i w:val="0"/>
                <w:iCs w:val="0"/>
                <w:sz w:val="22"/>
                <w:szCs w:val="18"/>
              </w:rPr>
              <w:t>Grand Total</w:t>
            </w:r>
          </w:p>
        </w:tc>
        <w:tc>
          <w:tcPr>
            <w:tcW w:w="1134" w:type="dxa"/>
            <w:noWrap/>
            <w:hideMark/>
          </w:tcPr>
          <w:p w14:paraId="074F9ECA" w14:textId="42EE0D86" w:rsidR="00F926D9" w:rsidRPr="004268CB" w:rsidRDefault="00F926D9" w:rsidP="00F926D9">
            <w:pPr>
              <w:jc w:val="center"/>
              <w:cnfStyle w:val="010000000000" w:firstRow="0" w:lastRow="1" w:firstColumn="0" w:lastColumn="0" w:oddVBand="0" w:evenVBand="0" w:oddHBand="0" w:evenHBand="0" w:firstRowFirstColumn="0" w:firstRowLastColumn="0" w:lastRowFirstColumn="0" w:lastRowLastColumn="0"/>
              <w:rPr>
                <w:rFonts w:ascii="Times New Roman" w:eastAsiaTheme="minorHAnsi" w:hAnsi="Times New Roman" w:cs="Times New Roman"/>
                <w:b/>
                <w:bCs/>
                <w:i w:val="0"/>
                <w:iCs w:val="0"/>
                <w:sz w:val="22"/>
              </w:rPr>
            </w:pPr>
            <w:r w:rsidRPr="004268CB">
              <w:rPr>
                <w:rFonts w:ascii="Times New Roman" w:hAnsi="Times New Roman" w:cs="Times New Roman"/>
                <w:i w:val="0"/>
                <w:iCs w:val="0"/>
                <w:sz w:val="22"/>
              </w:rPr>
              <w:t>2,780</w:t>
            </w:r>
          </w:p>
        </w:tc>
        <w:tc>
          <w:tcPr>
            <w:tcW w:w="1134" w:type="dxa"/>
          </w:tcPr>
          <w:p w14:paraId="0B55C460" w14:textId="657C5F1B" w:rsidR="00F926D9" w:rsidRPr="00F926D9" w:rsidRDefault="00F926D9" w:rsidP="00F926D9">
            <w:pPr>
              <w:jc w:val="center"/>
              <w:cnfStyle w:val="010000000000" w:firstRow="0" w:lastRow="1" w:firstColumn="0" w:lastColumn="0" w:oddVBand="0" w:evenVBand="0" w:oddHBand="0" w:evenHBand="0" w:firstRowFirstColumn="0" w:firstRowLastColumn="0" w:lastRowFirstColumn="0" w:lastRowLastColumn="0"/>
              <w:rPr>
                <w:rFonts w:ascii="Times New Roman" w:eastAsiaTheme="minorHAnsi" w:hAnsi="Times New Roman" w:cs="Times New Roman"/>
                <w:i w:val="0"/>
                <w:iCs w:val="0"/>
                <w:sz w:val="22"/>
              </w:rPr>
            </w:pPr>
            <w:r w:rsidRPr="00F926D9">
              <w:rPr>
                <w:rFonts w:ascii="Times New Roman" w:eastAsiaTheme="minorHAnsi" w:hAnsi="Times New Roman" w:cs="Times New Roman"/>
                <w:i w:val="0"/>
                <w:iCs w:val="0"/>
                <w:sz w:val="22"/>
              </w:rPr>
              <w:t xml:space="preserve"> 25 </w:t>
            </w:r>
          </w:p>
        </w:tc>
      </w:tr>
    </w:tbl>
    <w:p w14:paraId="7C86D19B" w14:textId="74DB244F" w:rsidR="00D74FA9" w:rsidRPr="004268CB" w:rsidRDefault="00D74FA9" w:rsidP="00696228">
      <w:pPr>
        <w:rPr>
          <w:rFonts w:ascii="Times New Roman" w:hAnsi="Times New Roman" w:cs="Times New Roman"/>
          <w:lang w:val="en-IE"/>
        </w:rPr>
      </w:pPr>
    </w:p>
    <w:p w14:paraId="160CD28D" w14:textId="1C3DD1DF" w:rsidR="005534A7" w:rsidRPr="004268CB" w:rsidRDefault="005534A7" w:rsidP="00696228">
      <w:pPr>
        <w:rPr>
          <w:rFonts w:ascii="Times New Roman" w:hAnsi="Times New Roman" w:cs="Times New Roman"/>
          <w:b/>
          <w:bCs/>
          <w:lang w:val="en-IE"/>
        </w:rPr>
      </w:pPr>
      <w:r w:rsidRPr="004268CB">
        <w:rPr>
          <w:rFonts w:ascii="Times New Roman" w:hAnsi="Times New Roman" w:cs="Times New Roman"/>
          <w:b/>
          <w:bCs/>
          <w:lang w:val="en-IE"/>
        </w:rPr>
        <w:t xml:space="preserve">Annex 2 </w:t>
      </w:r>
      <w:r w:rsidR="002A4E3E" w:rsidRPr="004268CB">
        <w:rPr>
          <w:rFonts w:ascii="Times New Roman" w:hAnsi="Times New Roman" w:cs="Times New Roman"/>
          <w:b/>
          <w:bCs/>
          <w:lang w:val="en-IE"/>
        </w:rPr>
        <w:t>–</w:t>
      </w:r>
      <w:r w:rsidRPr="004268CB">
        <w:rPr>
          <w:rFonts w:ascii="Times New Roman" w:hAnsi="Times New Roman" w:cs="Times New Roman"/>
          <w:b/>
          <w:bCs/>
          <w:lang w:val="en-IE"/>
        </w:rPr>
        <w:t xml:space="preserve"> </w:t>
      </w:r>
      <w:r w:rsidR="002A4E3E" w:rsidRPr="004268CB">
        <w:rPr>
          <w:rFonts w:ascii="Times New Roman" w:hAnsi="Times New Roman" w:cs="Times New Roman"/>
          <w:b/>
          <w:bCs/>
          <w:lang w:val="en-IE"/>
        </w:rPr>
        <w:t xml:space="preserve">Number of Supports </w:t>
      </w:r>
      <w:r w:rsidR="00612257" w:rsidRPr="004268CB">
        <w:rPr>
          <w:rFonts w:ascii="Times New Roman" w:hAnsi="Times New Roman" w:cs="Times New Roman"/>
          <w:b/>
          <w:bCs/>
          <w:lang w:val="en-IE"/>
        </w:rPr>
        <w:t xml:space="preserve">Provided </w:t>
      </w:r>
      <w:r w:rsidR="000B63EE" w:rsidRPr="004268CB">
        <w:rPr>
          <w:rFonts w:ascii="Times New Roman" w:hAnsi="Times New Roman" w:cs="Times New Roman"/>
          <w:b/>
          <w:bCs/>
          <w:lang w:val="en-IE"/>
        </w:rPr>
        <w:t>per</w:t>
      </w:r>
      <w:r w:rsidR="002A4E3E" w:rsidRPr="004268CB">
        <w:rPr>
          <w:rFonts w:ascii="Times New Roman" w:hAnsi="Times New Roman" w:cs="Times New Roman"/>
          <w:b/>
          <w:bCs/>
          <w:lang w:val="en-IE"/>
        </w:rPr>
        <w:t xml:space="preserve"> Year</w:t>
      </w:r>
    </w:p>
    <w:tbl>
      <w:tblPr>
        <w:tblStyle w:val="PlainTable3"/>
        <w:tblW w:w="9751" w:type="dxa"/>
        <w:tblLayout w:type="fixed"/>
        <w:tblLook w:val="04E0" w:firstRow="1" w:lastRow="1" w:firstColumn="1" w:lastColumn="0" w:noHBand="0" w:noVBand="1"/>
      </w:tblPr>
      <w:tblGrid>
        <w:gridCol w:w="1710"/>
        <w:gridCol w:w="1267"/>
        <w:gridCol w:w="677"/>
        <w:gridCol w:w="677"/>
        <w:gridCol w:w="678"/>
        <w:gridCol w:w="677"/>
        <w:gridCol w:w="678"/>
        <w:gridCol w:w="677"/>
        <w:gridCol w:w="677"/>
        <w:gridCol w:w="678"/>
        <w:gridCol w:w="677"/>
        <w:gridCol w:w="678"/>
      </w:tblGrid>
      <w:tr w:rsidR="00DB24F9" w:rsidRPr="004268CB" w14:paraId="06E46623" w14:textId="77777777" w:rsidTr="0080689A">
        <w:trPr>
          <w:cnfStyle w:val="100000000000" w:firstRow="1" w:lastRow="0" w:firstColumn="0" w:lastColumn="0" w:oddVBand="0" w:evenVBand="0" w:oddHBand="0" w:evenHBand="0" w:firstRowFirstColumn="0" w:firstRowLastColumn="0" w:lastRowFirstColumn="0" w:lastRowLastColumn="0"/>
          <w:trHeight w:val="70"/>
        </w:trPr>
        <w:tc>
          <w:tcPr>
            <w:cnfStyle w:val="001000000100" w:firstRow="0" w:lastRow="0" w:firstColumn="1" w:lastColumn="0" w:oddVBand="0" w:evenVBand="0" w:oddHBand="0" w:evenHBand="0" w:firstRowFirstColumn="1" w:firstRowLastColumn="0" w:lastRowFirstColumn="0" w:lastRowLastColumn="0"/>
            <w:tcW w:w="1710" w:type="dxa"/>
            <w:tcBorders>
              <w:bottom w:val="single" w:sz="4" w:space="0" w:color="auto"/>
            </w:tcBorders>
            <w:hideMark/>
          </w:tcPr>
          <w:p w14:paraId="6424857F" w14:textId="0096E05A" w:rsidR="00DB24F9" w:rsidRPr="004268CB" w:rsidRDefault="00931986" w:rsidP="00250203">
            <w:pPr>
              <w:rPr>
                <w:rFonts w:ascii="Times New Roman" w:hAnsi="Times New Roman" w:cs="Times New Roman"/>
                <w:b w:val="0"/>
                <w:bCs w:val="0"/>
                <w:szCs w:val="18"/>
              </w:rPr>
            </w:pPr>
            <w:r w:rsidRPr="004268CB">
              <w:rPr>
                <w:rFonts w:ascii="Times New Roman" w:hAnsi="Times New Roman" w:cs="Times New Roman"/>
                <w:b w:val="0"/>
                <w:bCs w:val="0"/>
                <w:caps w:val="0"/>
                <w:szCs w:val="18"/>
              </w:rPr>
              <w:t>Support Type</w:t>
            </w:r>
          </w:p>
        </w:tc>
        <w:tc>
          <w:tcPr>
            <w:tcW w:w="1267" w:type="dxa"/>
            <w:tcBorders>
              <w:bottom w:val="single" w:sz="4" w:space="0" w:color="auto"/>
            </w:tcBorders>
          </w:tcPr>
          <w:p w14:paraId="04520185" w14:textId="62EE79FA" w:rsidR="00DB24F9" w:rsidRPr="004268CB" w:rsidRDefault="00DB24F9" w:rsidP="002502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caps w:val="0"/>
              </w:rPr>
              <w:t>Sectors</w:t>
            </w:r>
          </w:p>
        </w:tc>
        <w:tc>
          <w:tcPr>
            <w:tcW w:w="677" w:type="dxa"/>
            <w:tcBorders>
              <w:bottom w:val="single" w:sz="4" w:space="0" w:color="auto"/>
            </w:tcBorders>
          </w:tcPr>
          <w:p w14:paraId="6DD789EA" w14:textId="47F104CD" w:rsidR="00DB24F9" w:rsidRPr="004268CB" w:rsidRDefault="00DB24F9" w:rsidP="00D41E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2010</w:t>
            </w:r>
          </w:p>
        </w:tc>
        <w:tc>
          <w:tcPr>
            <w:tcW w:w="677" w:type="dxa"/>
            <w:tcBorders>
              <w:bottom w:val="single" w:sz="4" w:space="0" w:color="auto"/>
            </w:tcBorders>
          </w:tcPr>
          <w:p w14:paraId="00D2CC19" w14:textId="21A3C97C" w:rsidR="00DB24F9" w:rsidRPr="004268CB" w:rsidRDefault="00DB24F9" w:rsidP="00D41E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2011</w:t>
            </w:r>
          </w:p>
        </w:tc>
        <w:tc>
          <w:tcPr>
            <w:tcW w:w="678" w:type="dxa"/>
            <w:tcBorders>
              <w:bottom w:val="single" w:sz="4" w:space="0" w:color="auto"/>
            </w:tcBorders>
          </w:tcPr>
          <w:p w14:paraId="31EC98C0" w14:textId="4419ACDC" w:rsidR="00DB24F9" w:rsidRPr="004268CB" w:rsidRDefault="00DB24F9" w:rsidP="00D41E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2012</w:t>
            </w:r>
          </w:p>
        </w:tc>
        <w:tc>
          <w:tcPr>
            <w:tcW w:w="677" w:type="dxa"/>
            <w:tcBorders>
              <w:bottom w:val="single" w:sz="4" w:space="0" w:color="auto"/>
            </w:tcBorders>
          </w:tcPr>
          <w:p w14:paraId="5CACC408" w14:textId="51193C05" w:rsidR="00DB24F9" w:rsidRPr="004268CB" w:rsidRDefault="00DB24F9" w:rsidP="00D41E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2013</w:t>
            </w:r>
          </w:p>
        </w:tc>
        <w:tc>
          <w:tcPr>
            <w:tcW w:w="678" w:type="dxa"/>
            <w:tcBorders>
              <w:bottom w:val="single" w:sz="4" w:space="0" w:color="auto"/>
            </w:tcBorders>
          </w:tcPr>
          <w:p w14:paraId="6AE95AC8" w14:textId="11A02A2C" w:rsidR="00DB24F9" w:rsidRPr="004268CB" w:rsidRDefault="00DB24F9" w:rsidP="00D41E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2014</w:t>
            </w:r>
          </w:p>
        </w:tc>
        <w:tc>
          <w:tcPr>
            <w:tcW w:w="677" w:type="dxa"/>
            <w:tcBorders>
              <w:bottom w:val="single" w:sz="4" w:space="0" w:color="auto"/>
            </w:tcBorders>
          </w:tcPr>
          <w:p w14:paraId="154C9429" w14:textId="5F26E11D" w:rsidR="00DB24F9" w:rsidRPr="004268CB" w:rsidRDefault="00DB24F9" w:rsidP="00D41E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2015</w:t>
            </w:r>
          </w:p>
        </w:tc>
        <w:tc>
          <w:tcPr>
            <w:tcW w:w="677" w:type="dxa"/>
            <w:tcBorders>
              <w:bottom w:val="single" w:sz="4" w:space="0" w:color="auto"/>
            </w:tcBorders>
          </w:tcPr>
          <w:p w14:paraId="35DC92C8" w14:textId="0AD5030F" w:rsidR="00DB24F9" w:rsidRPr="004268CB" w:rsidRDefault="00DB24F9" w:rsidP="00D41E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2016</w:t>
            </w:r>
          </w:p>
        </w:tc>
        <w:tc>
          <w:tcPr>
            <w:tcW w:w="678" w:type="dxa"/>
            <w:tcBorders>
              <w:bottom w:val="single" w:sz="4" w:space="0" w:color="auto"/>
            </w:tcBorders>
          </w:tcPr>
          <w:p w14:paraId="69F7CABC" w14:textId="3B6B93A5" w:rsidR="00DB24F9" w:rsidRPr="004268CB" w:rsidRDefault="00DB24F9" w:rsidP="00D41E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2017</w:t>
            </w:r>
          </w:p>
        </w:tc>
        <w:tc>
          <w:tcPr>
            <w:tcW w:w="677" w:type="dxa"/>
            <w:tcBorders>
              <w:bottom w:val="single" w:sz="4" w:space="0" w:color="auto"/>
            </w:tcBorders>
          </w:tcPr>
          <w:p w14:paraId="62298475" w14:textId="2B4F7350" w:rsidR="00DB24F9" w:rsidRPr="004268CB" w:rsidRDefault="00DB24F9" w:rsidP="00D41E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2018</w:t>
            </w:r>
          </w:p>
        </w:tc>
        <w:tc>
          <w:tcPr>
            <w:tcW w:w="678" w:type="dxa"/>
            <w:tcBorders>
              <w:bottom w:val="single" w:sz="4" w:space="0" w:color="auto"/>
            </w:tcBorders>
          </w:tcPr>
          <w:p w14:paraId="68224CAD" w14:textId="50062F32" w:rsidR="00DB24F9" w:rsidRPr="004268CB" w:rsidRDefault="00DB24F9" w:rsidP="00D41E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2019</w:t>
            </w:r>
          </w:p>
        </w:tc>
      </w:tr>
      <w:tr w:rsidR="0080739E" w:rsidRPr="004268CB" w14:paraId="1483125F" w14:textId="77777777" w:rsidTr="0080689A">
        <w:trPr>
          <w:cnfStyle w:val="000000100000" w:firstRow="0" w:lastRow="0" w:firstColumn="0" w:lastColumn="0" w:oddVBand="0" w:evenVBand="0" w:oddHBand="1" w:evenHBand="0" w:firstRowFirstColumn="0" w:firstRowLastColumn="0" w:lastRowFirstColumn="0" w:lastRowLastColumn="0"/>
          <w:trHeight w:val="97"/>
        </w:trPr>
        <w:tc>
          <w:tcPr>
            <w:cnfStyle w:val="001000000000" w:firstRow="0" w:lastRow="0" w:firstColumn="1" w:lastColumn="0" w:oddVBand="0" w:evenVBand="0" w:oddHBand="0" w:evenHBand="0" w:firstRowFirstColumn="0" w:firstRowLastColumn="0" w:lastRowFirstColumn="0" w:lastRowLastColumn="0"/>
            <w:tcW w:w="1710" w:type="dxa"/>
            <w:vMerge w:val="restart"/>
            <w:tcBorders>
              <w:top w:val="single" w:sz="4" w:space="0" w:color="auto"/>
              <w:left w:val="single" w:sz="4" w:space="0" w:color="auto"/>
            </w:tcBorders>
            <w:noWrap/>
            <w:vAlign w:val="center"/>
          </w:tcPr>
          <w:p w14:paraId="032F05AA" w14:textId="477C5443" w:rsidR="0080739E" w:rsidRPr="004268CB" w:rsidRDefault="0080739E" w:rsidP="0080739E">
            <w:pPr>
              <w:rPr>
                <w:rFonts w:ascii="Times New Roman" w:hAnsi="Times New Roman" w:cs="Times New Roman"/>
                <w:b w:val="0"/>
                <w:bCs w:val="0"/>
                <w:szCs w:val="18"/>
              </w:rPr>
            </w:pPr>
            <w:r w:rsidRPr="004268CB">
              <w:rPr>
                <w:rFonts w:ascii="Times New Roman" w:hAnsi="Times New Roman" w:cs="Times New Roman"/>
                <w:b w:val="0"/>
                <w:bCs w:val="0"/>
                <w:caps w:val="0"/>
                <w:szCs w:val="18"/>
              </w:rPr>
              <w:t>Capital/LEAN</w:t>
            </w:r>
          </w:p>
        </w:tc>
        <w:tc>
          <w:tcPr>
            <w:tcW w:w="1267" w:type="dxa"/>
            <w:tcBorders>
              <w:top w:val="single" w:sz="4" w:space="0" w:color="auto"/>
            </w:tcBorders>
            <w:vAlign w:val="center"/>
          </w:tcPr>
          <w:p w14:paraId="719FCE64" w14:textId="6865FE80" w:rsidR="0080739E" w:rsidRPr="004268CB" w:rsidRDefault="0080739E" w:rsidP="0080739E">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eastAsiaTheme="majorEastAsia" w:hAnsi="Times New Roman" w:cs="Times New Roman"/>
              </w:rPr>
              <w:t>Manuf.</w:t>
            </w:r>
          </w:p>
        </w:tc>
        <w:tc>
          <w:tcPr>
            <w:tcW w:w="677" w:type="dxa"/>
            <w:tcBorders>
              <w:top w:val="single" w:sz="4" w:space="0" w:color="auto"/>
            </w:tcBorders>
          </w:tcPr>
          <w:p w14:paraId="113C521C" w14:textId="21F99B62" w:rsidR="0080739E" w:rsidRPr="004268CB" w:rsidRDefault="0080739E" w:rsidP="0080739E">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32 </w:t>
            </w:r>
          </w:p>
        </w:tc>
        <w:tc>
          <w:tcPr>
            <w:tcW w:w="677" w:type="dxa"/>
            <w:tcBorders>
              <w:top w:val="single" w:sz="4" w:space="0" w:color="auto"/>
            </w:tcBorders>
          </w:tcPr>
          <w:p w14:paraId="5226C36E" w14:textId="7FCAD60A" w:rsidR="0080739E" w:rsidRPr="004268CB" w:rsidRDefault="0080739E" w:rsidP="0080739E">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44 </w:t>
            </w:r>
          </w:p>
        </w:tc>
        <w:tc>
          <w:tcPr>
            <w:tcW w:w="678" w:type="dxa"/>
            <w:tcBorders>
              <w:top w:val="single" w:sz="4" w:space="0" w:color="auto"/>
            </w:tcBorders>
          </w:tcPr>
          <w:p w14:paraId="342422D6" w14:textId="23823CDD" w:rsidR="0080739E" w:rsidRPr="004268CB" w:rsidRDefault="0080739E" w:rsidP="0080739E">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41 </w:t>
            </w:r>
          </w:p>
        </w:tc>
        <w:tc>
          <w:tcPr>
            <w:tcW w:w="677" w:type="dxa"/>
            <w:tcBorders>
              <w:top w:val="single" w:sz="4" w:space="0" w:color="auto"/>
            </w:tcBorders>
          </w:tcPr>
          <w:p w14:paraId="69593758" w14:textId="5665AE3E" w:rsidR="0080739E" w:rsidRPr="004268CB" w:rsidRDefault="0080739E" w:rsidP="0080739E">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48 </w:t>
            </w:r>
          </w:p>
        </w:tc>
        <w:tc>
          <w:tcPr>
            <w:tcW w:w="678" w:type="dxa"/>
            <w:tcBorders>
              <w:top w:val="single" w:sz="4" w:space="0" w:color="auto"/>
            </w:tcBorders>
          </w:tcPr>
          <w:p w14:paraId="1EAD0F60" w14:textId="15DA7710" w:rsidR="0080739E" w:rsidRPr="004268CB" w:rsidRDefault="0080739E" w:rsidP="0080739E">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44 </w:t>
            </w:r>
          </w:p>
        </w:tc>
        <w:tc>
          <w:tcPr>
            <w:tcW w:w="677" w:type="dxa"/>
            <w:tcBorders>
              <w:top w:val="single" w:sz="4" w:space="0" w:color="auto"/>
            </w:tcBorders>
          </w:tcPr>
          <w:p w14:paraId="703398A2" w14:textId="791661EC" w:rsidR="0080739E" w:rsidRPr="004268CB" w:rsidRDefault="0080739E" w:rsidP="0080739E">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83 </w:t>
            </w:r>
          </w:p>
        </w:tc>
        <w:tc>
          <w:tcPr>
            <w:tcW w:w="677" w:type="dxa"/>
            <w:tcBorders>
              <w:top w:val="single" w:sz="4" w:space="0" w:color="auto"/>
            </w:tcBorders>
          </w:tcPr>
          <w:p w14:paraId="067378FD" w14:textId="6AB79504" w:rsidR="0080739E" w:rsidRPr="004268CB" w:rsidRDefault="0080739E" w:rsidP="0080739E">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97 </w:t>
            </w:r>
          </w:p>
        </w:tc>
        <w:tc>
          <w:tcPr>
            <w:tcW w:w="678" w:type="dxa"/>
            <w:tcBorders>
              <w:top w:val="single" w:sz="4" w:space="0" w:color="auto"/>
            </w:tcBorders>
          </w:tcPr>
          <w:p w14:paraId="16F53863" w14:textId="1FDCA514" w:rsidR="0080739E" w:rsidRPr="004268CB" w:rsidRDefault="0080739E" w:rsidP="0080739E">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97 </w:t>
            </w:r>
          </w:p>
        </w:tc>
        <w:tc>
          <w:tcPr>
            <w:tcW w:w="677" w:type="dxa"/>
            <w:tcBorders>
              <w:top w:val="single" w:sz="4" w:space="0" w:color="auto"/>
            </w:tcBorders>
          </w:tcPr>
          <w:p w14:paraId="5880E376" w14:textId="6EB5B5F2" w:rsidR="0080739E" w:rsidRPr="004268CB" w:rsidRDefault="0080739E" w:rsidP="0080739E">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102 </w:t>
            </w:r>
          </w:p>
        </w:tc>
        <w:tc>
          <w:tcPr>
            <w:tcW w:w="678" w:type="dxa"/>
            <w:tcBorders>
              <w:top w:val="single" w:sz="4" w:space="0" w:color="auto"/>
              <w:right w:val="single" w:sz="4" w:space="0" w:color="auto"/>
            </w:tcBorders>
          </w:tcPr>
          <w:p w14:paraId="3DF90008" w14:textId="4C120245" w:rsidR="0080739E" w:rsidRPr="004268CB" w:rsidRDefault="0080739E" w:rsidP="0080739E">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80 </w:t>
            </w:r>
          </w:p>
        </w:tc>
      </w:tr>
      <w:tr w:rsidR="0080739E" w:rsidRPr="004268CB" w14:paraId="49EB2EF9" w14:textId="77777777" w:rsidTr="0080689A">
        <w:trPr>
          <w:trHeight w:val="125"/>
        </w:trPr>
        <w:tc>
          <w:tcPr>
            <w:cnfStyle w:val="001000000000" w:firstRow="0" w:lastRow="0" w:firstColumn="1" w:lastColumn="0" w:oddVBand="0" w:evenVBand="0" w:oddHBand="0" w:evenHBand="0" w:firstRowFirstColumn="0" w:firstRowLastColumn="0" w:lastRowFirstColumn="0" w:lastRowLastColumn="0"/>
            <w:tcW w:w="1710" w:type="dxa"/>
            <w:vMerge/>
            <w:tcBorders>
              <w:left w:val="single" w:sz="4" w:space="0" w:color="auto"/>
              <w:bottom w:val="single" w:sz="4" w:space="0" w:color="auto"/>
            </w:tcBorders>
            <w:noWrap/>
          </w:tcPr>
          <w:p w14:paraId="03647A5E" w14:textId="571D5DB3" w:rsidR="0080739E" w:rsidRPr="004268CB" w:rsidRDefault="0080739E" w:rsidP="0080739E">
            <w:pPr>
              <w:rPr>
                <w:rFonts w:ascii="Times New Roman" w:hAnsi="Times New Roman" w:cs="Times New Roman"/>
                <w:b w:val="0"/>
                <w:bCs w:val="0"/>
                <w:szCs w:val="18"/>
              </w:rPr>
            </w:pPr>
          </w:p>
        </w:tc>
        <w:tc>
          <w:tcPr>
            <w:tcW w:w="1267" w:type="dxa"/>
            <w:tcBorders>
              <w:bottom w:val="single" w:sz="4" w:space="0" w:color="auto"/>
            </w:tcBorders>
            <w:vAlign w:val="center"/>
          </w:tcPr>
          <w:p w14:paraId="02179D9C" w14:textId="51747ABE" w:rsidR="0080739E" w:rsidRPr="004268CB" w:rsidRDefault="0080739E" w:rsidP="0080739E">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4268CB">
              <w:rPr>
                <w:rFonts w:ascii="Times New Roman" w:eastAsiaTheme="majorEastAsia" w:hAnsi="Times New Roman" w:cs="Times New Roman"/>
              </w:rPr>
              <w:t>Services</w:t>
            </w:r>
          </w:p>
        </w:tc>
        <w:tc>
          <w:tcPr>
            <w:tcW w:w="677" w:type="dxa"/>
            <w:tcBorders>
              <w:bottom w:val="single" w:sz="4" w:space="0" w:color="auto"/>
            </w:tcBorders>
          </w:tcPr>
          <w:p w14:paraId="4974DE76" w14:textId="69EDE68F" w:rsidR="0080739E" w:rsidRPr="004268CB" w:rsidRDefault="0080739E" w:rsidP="0080739E">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5 </w:t>
            </w:r>
          </w:p>
        </w:tc>
        <w:tc>
          <w:tcPr>
            <w:tcW w:w="677" w:type="dxa"/>
            <w:tcBorders>
              <w:bottom w:val="single" w:sz="4" w:space="0" w:color="auto"/>
            </w:tcBorders>
          </w:tcPr>
          <w:p w14:paraId="23872737" w14:textId="66B2DF74" w:rsidR="0080739E" w:rsidRPr="004268CB" w:rsidRDefault="0080739E" w:rsidP="0080739E">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5 </w:t>
            </w:r>
          </w:p>
        </w:tc>
        <w:tc>
          <w:tcPr>
            <w:tcW w:w="678" w:type="dxa"/>
            <w:tcBorders>
              <w:bottom w:val="single" w:sz="4" w:space="0" w:color="auto"/>
            </w:tcBorders>
          </w:tcPr>
          <w:p w14:paraId="12F8345D" w14:textId="7733475E" w:rsidR="0080739E" w:rsidRPr="004268CB" w:rsidRDefault="0080739E" w:rsidP="0080739E">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   </w:t>
            </w:r>
          </w:p>
        </w:tc>
        <w:tc>
          <w:tcPr>
            <w:tcW w:w="677" w:type="dxa"/>
            <w:tcBorders>
              <w:bottom w:val="single" w:sz="4" w:space="0" w:color="auto"/>
            </w:tcBorders>
          </w:tcPr>
          <w:p w14:paraId="56FD7CEB" w14:textId="0545E660" w:rsidR="0080739E" w:rsidRPr="004268CB" w:rsidRDefault="0080739E" w:rsidP="0080739E">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8 </w:t>
            </w:r>
          </w:p>
        </w:tc>
        <w:tc>
          <w:tcPr>
            <w:tcW w:w="678" w:type="dxa"/>
            <w:tcBorders>
              <w:bottom w:val="single" w:sz="4" w:space="0" w:color="auto"/>
            </w:tcBorders>
          </w:tcPr>
          <w:p w14:paraId="55AE38DC" w14:textId="65A3A2DA" w:rsidR="0080739E" w:rsidRPr="004268CB" w:rsidRDefault="0080739E" w:rsidP="0080739E">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12 </w:t>
            </w:r>
          </w:p>
        </w:tc>
        <w:tc>
          <w:tcPr>
            <w:tcW w:w="677" w:type="dxa"/>
            <w:tcBorders>
              <w:bottom w:val="single" w:sz="4" w:space="0" w:color="auto"/>
            </w:tcBorders>
          </w:tcPr>
          <w:p w14:paraId="17C82292" w14:textId="51AB64F4" w:rsidR="0080739E" w:rsidRPr="004268CB" w:rsidRDefault="0080739E" w:rsidP="0080739E">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10 </w:t>
            </w:r>
          </w:p>
        </w:tc>
        <w:tc>
          <w:tcPr>
            <w:tcW w:w="677" w:type="dxa"/>
            <w:tcBorders>
              <w:bottom w:val="single" w:sz="4" w:space="0" w:color="auto"/>
            </w:tcBorders>
          </w:tcPr>
          <w:p w14:paraId="73E2FBED" w14:textId="374CC3BA" w:rsidR="0080739E" w:rsidRPr="004268CB" w:rsidRDefault="0080739E" w:rsidP="0080739E">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15 </w:t>
            </w:r>
          </w:p>
        </w:tc>
        <w:tc>
          <w:tcPr>
            <w:tcW w:w="678" w:type="dxa"/>
            <w:tcBorders>
              <w:bottom w:val="single" w:sz="4" w:space="0" w:color="auto"/>
            </w:tcBorders>
          </w:tcPr>
          <w:p w14:paraId="65E79879" w14:textId="16FD7D4E" w:rsidR="0080739E" w:rsidRPr="004268CB" w:rsidRDefault="0080739E" w:rsidP="0080739E">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15 </w:t>
            </w:r>
          </w:p>
        </w:tc>
        <w:tc>
          <w:tcPr>
            <w:tcW w:w="677" w:type="dxa"/>
            <w:tcBorders>
              <w:bottom w:val="single" w:sz="4" w:space="0" w:color="auto"/>
            </w:tcBorders>
          </w:tcPr>
          <w:p w14:paraId="00D15106" w14:textId="15BCDECC" w:rsidR="0080739E" w:rsidRPr="004268CB" w:rsidRDefault="0080739E" w:rsidP="0080739E">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17 </w:t>
            </w:r>
          </w:p>
        </w:tc>
        <w:tc>
          <w:tcPr>
            <w:tcW w:w="678" w:type="dxa"/>
            <w:tcBorders>
              <w:bottom w:val="single" w:sz="4" w:space="0" w:color="auto"/>
              <w:right w:val="single" w:sz="4" w:space="0" w:color="auto"/>
            </w:tcBorders>
          </w:tcPr>
          <w:p w14:paraId="40B70FF0" w14:textId="09BBFA33" w:rsidR="0080739E" w:rsidRPr="004268CB" w:rsidRDefault="0080739E" w:rsidP="0080739E">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21 </w:t>
            </w:r>
          </w:p>
        </w:tc>
      </w:tr>
      <w:tr w:rsidR="00B95220" w:rsidRPr="004268CB" w14:paraId="5BEBFEC2" w14:textId="77777777" w:rsidTr="0080689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710" w:type="dxa"/>
            <w:vMerge w:val="restart"/>
            <w:tcBorders>
              <w:top w:val="single" w:sz="4" w:space="0" w:color="auto"/>
              <w:left w:val="single" w:sz="4" w:space="0" w:color="auto"/>
            </w:tcBorders>
            <w:noWrap/>
            <w:vAlign w:val="center"/>
          </w:tcPr>
          <w:p w14:paraId="5E75D68E" w14:textId="617F0C61" w:rsidR="00B95220" w:rsidRPr="004268CB" w:rsidRDefault="00B95220" w:rsidP="00B95220">
            <w:pPr>
              <w:rPr>
                <w:rFonts w:ascii="Times New Roman" w:hAnsi="Times New Roman" w:cs="Times New Roman"/>
                <w:b w:val="0"/>
                <w:bCs w:val="0"/>
                <w:szCs w:val="18"/>
              </w:rPr>
            </w:pPr>
            <w:r w:rsidRPr="004268CB">
              <w:rPr>
                <w:rFonts w:ascii="Times New Roman" w:hAnsi="Times New Roman" w:cs="Times New Roman"/>
                <w:b w:val="0"/>
                <w:bCs w:val="0"/>
                <w:caps w:val="0"/>
                <w:szCs w:val="18"/>
              </w:rPr>
              <w:t>Collab. R&amp;D</w:t>
            </w:r>
          </w:p>
        </w:tc>
        <w:tc>
          <w:tcPr>
            <w:tcW w:w="1267" w:type="dxa"/>
            <w:tcBorders>
              <w:top w:val="single" w:sz="4" w:space="0" w:color="auto"/>
            </w:tcBorders>
            <w:vAlign w:val="center"/>
          </w:tcPr>
          <w:p w14:paraId="3FC5CC5E" w14:textId="1D6D2DF2" w:rsidR="00B95220" w:rsidRPr="004268CB" w:rsidRDefault="00B95220" w:rsidP="00B95220">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eastAsiaTheme="majorEastAsia" w:hAnsi="Times New Roman" w:cs="Times New Roman"/>
              </w:rPr>
              <w:t>Manuf.</w:t>
            </w:r>
          </w:p>
        </w:tc>
        <w:tc>
          <w:tcPr>
            <w:tcW w:w="677" w:type="dxa"/>
            <w:tcBorders>
              <w:top w:val="single" w:sz="4" w:space="0" w:color="auto"/>
            </w:tcBorders>
          </w:tcPr>
          <w:p w14:paraId="0936A40E" w14:textId="334D40BD" w:rsidR="00B95220" w:rsidRPr="004268CB" w:rsidRDefault="00B95220" w:rsidP="00B9522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72 </w:t>
            </w:r>
          </w:p>
        </w:tc>
        <w:tc>
          <w:tcPr>
            <w:tcW w:w="677" w:type="dxa"/>
            <w:tcBorders>
              <w:top w:val="single" w:sz="4" w:space="0" w:color="auto"/>
            </w:tcBorders>
          </w:tcPr>
          <w:p w14:paraId="104074F2" w14:textId="35B95366" w:rsidR="00B95220" w:rsidRPr="004268CB" w:rsidRDefault="00B95220" w:rsidP="00B9522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88 </w:t>
            </w:r>
          </w:p>
        </w:tc>
        <w:tc>
          <w:tcPr>
            <w:tcW w:w="678" w:type="dxa"/>
            <w:tcBorders>
              <w:top w:val="single" w:sz="4" w:space="0" w:color="auto"/>
            </w:tcBorders>
          </w:tcPr>
          <w:p w14:paraId="13D322D0" w14:textId="21C14780" w:rsidR="00B95220" w:rsidRPr="004268CB" w:rsidRDefault="00B95220" w:rsidP="00B9522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75 </w:t>
            </w:r>
          </w:p>
        </w:tc>
        <w:tc>
          <w:tcPr>
            <w:tcW w:w="677" w:type="dxa"/>
            <w:tcBorders>
              <w:top w:val="single" w:sz="4" w:space="0" w:color="auto"/>
            </w:tcBorders>
          </w:tcPr>
          <w:p w14:paraId="25EB3033" w14:textId="0EE0AC01" w:rsidR="00B95220" w:rsidRPr="004268CB" w:rsidRDefault="00B95220" w:rsidP="00B9522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88 </w:t>
            </w:r>
          </w:p>
        </w:tc>
        <w:tc>
          <w:tcPr>
            <w:tcW w:w="678" w:type="dxa"/>
            <w:tcBorders>
              <w:top w:val="single" w:sz="4" w:space="0" w:color="auto"/>
            </w:tcBorders>
          </w:tcPr>
          <w:p w14:paraId="4AA4D591" w14:textId="5C33662C" w:rsidR="00B95220" w:rsidRPr="004268CB" w:rsidRDefault="00B95220" w:rsidP="00B9522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90 </w:t>
            </w:r>
          </w:p>
        </w:tc>
        <w:tc>
          <w:tcPr>
            <w:tcW w:w="677" w:type="dxa"/>
            <w:tcBorders>
              <w:top w:val="single" w:sz="4" w:space="0" w:color="auto"/>
            </w:tcBorders>
          </w:tcPr>
          <w:p w14:paraId="30A1E8A1" w14:textId="3AE38E96" w:rsidR="00B95220" w:rsidRPr="004268CB" w:rsidRDefault="00B95220" w:rsidP="00B9522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124 </w:t>
            </w:r>
          </w:p>
        </w:tc>
        <w:tc>
          <w:tcPr>
            <w:tcW w:w="677" w:type="dxa"/>
            <w:tcBorders>
              <w:top w:val="single" w:sz="4" w:space="0" w:color="auto"/>
            </w:tcBorders>
          </w:tcPr>
          <w:p w14:paraId="4E6630DE" w14:textId="46E1D9D9" w:rsidR="00B95220" w:rsidRPr="004268CB" w:rsidRDefault="00B95220" w:rsidP="00B9522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112 </w:t>
            </w:r>
          </w:p>
        </w:tc>
        <w:tc>
          <w:tcPr>
            <w:tcW w:w="678" w:type="dxa"/>
            <w:tcBorders>
              <w:top w:val="single" w:sz="4" w:space="0" w:color="auto"/>
            </w:tcBorders>
          </w:tcPr>
          <w:p w14:paraId="416DA052" w14:textId="616F2D00" w:rsidR="00B95220" w:rsidRPr="004268CB" w:rsidRDefault="00B95220" w:rsidP="00B9522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126 </w:t>
            </w:r>
          </w:p>
        </w:tc>
        <w:tc>
          <w:tcPr>
            <w:tcW w:w="677" w:type="dxa"/>
            <w:tcBorders>
              <w:top w:val="single" w:sz="4" w:space="0" w:color="auto"/>
            </w:tcBorders>
          </w:tcPr>
          <w:p w14:paraId="25AC444E" w14:textId="011E4AAC" w:rsidR="00B95220" w:rsidRPr="004268CB" w:rsidRDefault="00B95220" w:rsidP="00B9522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134 </w:t>
            </w:r>
          </w:p>
        </w:tc>
        <w:tc>
          <w:tcPr>
            <w:tcW w:w="678" w:type="dxa"/>
            <w:tcBorders>
              <w:top w:val="single" w:sz="4" w:space="0" w:color="auto"/>
              <w:right w:val="single" w:sz="4" w:space="0" w:color="auto"/>
            </w:tcBorders>
          </w:tcPr>
          <w:p w14:paraId="69B4E617" w14:textId="02234AA8" w:rsidR="00B95220" w:rsidRPr="004268CB" w:rsidRDefault="00B95220" w:rsidP="00B9522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 xml:space="preserve"> 108 </w:t>
            </w:r>
          </w:p>
        </w:tc>
      </w:tr>
      <w:tr w:rsidR="00B95220" w:rsidRPr="004268CB" w14:paraId="5CEE7186" w14:textId="77777777" w:rsidTr="0080689A">
        <w:trPr>
          <w:trHeight w:val="80"/>
        </w:trPr>
        <w:tc>
          <w:tcPr>
            <w:cnfStyle w:val="001000000000" w:firstRow="0" w:lastRow="0" w:firstColumn="1" w:lastColumn="0" w:oddVBand="0" w:evenVBand="0" w:oddHBand="0" w:evenHBand="0" w:firstRowFirstColumn="0" w:firstRowLastColumn="0" w:lastRowFirstColumn="0" w:lastRowLastColumn="0"/>
            <w:tcW w:w="1710" w:type="dxa"/>
            <w:vMerge/>
            <w:tcBorders>
              <w:left w:val="single" w:sz="4" w:space="0" w:color="auto"/>
              <w:bottom w:val="single" w:sz="4" w:space="0" w:color="auto"/>
            </w:tcBorders>
            <w:noWrap/>
          </w:tcPr>
          <w:p w14:paraId="079942BB" w14:textId="025A014F" w:rsidR="00B95220" w:rsidRPr="004268CB" w:rsidRDefault="00B95220" w:rsidP="00B95220">
            <w:pPr>
              <w:rPr>
                <w:rFonts w:ascii="Times New Roman" w:hAnsi="Times New Roman" w:cs="Times New Roman"/>
                <w:b w:val="0"/>
                <w:bCs w:val="0"/>
                <w:szCs w:val="18"/>
              </w:rPr>
            </w:pPr>
          </w:p>
        </w:tc>
        <w:tc>
          <w:tcPr>
            <w:tcW w:w="1267" w:type="dxa"/>
            <w:tcBorders>
              <w:bottom w:val="single" w:sz="4" w:space="0" w:color="auto"/>
            </w:tcBorders>
            <w:vAlign w:val="center"/>
          </w:tcPr>
          <w:p w14:paraId="04C38C1E" w14:textId="008867C6" w:rsidR="00B95220" w:rsidRPr="004268CB" w:rsidRDefault="00B95220" w:rsidP="00B95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eastAsiaTheme="majorEastAsia" w:hAnsi="Times New Roman" w:cs="Times New Roman"/>
              </w:rPr>
              <w:t>Services</w:t>
            </w:r>
          </w:p>
        </w:tc>
        <w:tc>
          <w:tcPr>
            <w:tcW w:w="677" w:type="dxa"/>
            <w:tcBorders>
              <w:bottom w:val="single" w:sz="4" w:space="0" w:color="auto"/>
            </w:tcBorders>
          </w:tcPr>
          <w:p w14:paraId="7BC4F463" w14:textId="1EF3BBEB" w:rsidR="00B95220" w:rsidRPr="004268CB" w:rsidRDefault="00B95220" w:rsidP="00B952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 xml:space="preserve"> 71 </w:t>
            </w:r>
          </w:p>
        </w:tc>
        <w:tc>
          <w:tcPr>
            <w:tcW w:w="677" w:type="dxa"/>
            <w:tcBorders>
              <w:bottom w:val="single" w:sz="4" w:space="0" w:color="auto"/>
            </w:tcBorders>
          </w:tcPr>
          <w:p w14:paraId="4DE0627D" w14:textId="077CDDC8" w:rsidR="00B95220" w:rsidRPr="004268CB" w:rsidRDefault="00B95220" w:rsidP="00B952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 xml:space="preserve"> 75 </w:t>
            </w:r>
          </w:p>
        </w:tc>
        <w:tc>
          <w:tcPr>
            <w:tcW w:w="678" w:type="dxa"/>
            <w:tcBorders>
              <w:bottom w:val="single" w:sz="4" w:space="0" w:color="auto"/>
            </w:tcBorders>
          </w:tcPr>
          <w:p w14:paraId="342F3E3C" w14:textId="5C54FDB6" w:rsidR="00B95220" w:rsidRPr="004268CB" w:rsidRDefault="00B95220" w:rsidP="00B952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 xml:space="preserve"> 59 </w:t>
            </w:r>
          </w:p>
        </w:tc>
        <w:tc>
          <w:tcPr>
            <w:tcW w:w="677" w:type="dxa"/>
            <w:tcBorders>
              <w:bottom w:val="single" w:sz="4" w:space="0" w:color="auto"/>
            </w:tcBorders>
          </w:tcPr>
          <w:p w14:paraId="1373620F" w14:textId="43960C37" w:rsidR="00B95220" w:rsidRPr="004268CB" w:rsidRDefault="00B95220" w:rsidP="00B952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 xml:space="preserve"> 92 </w:t>
            </w:r>
          </w:p>
        </w:tc>
        <w:tc>
          <w:tcPr>
            <w:tcW w:w="678" w:type="dxa"/>
            <w:tcBorders>
              <w:bottom w:val="single" w:sz="4" w:space="0" w:color="auto"/>
            </w:tcBorders>
          </w:tcPr>
          <w:p w14:paraId="4C85A042" w14:textId="6E5F7B16" w:rsidR="00B95220" w:rsidRPr="004268CB" w:rsidRDefault="00B95220" w:rsidP="00B952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 xml:space="preserve"> 114 </w:t>
            </w:r>
          </w:p>
        </w:tc>
        <w:tc>
          <w:tcPr>
            <w:tcW w:w="677" w:type="dxa"/>
            <w:tcBorders>
              <w:bottom w:val="single" w:sz="4" w:space="0" w:color="auto"/>
            </w:tcBorders>
          </w:tcPr>
          <w:p w14:paraId="3D61D067" w14:textId="6001E46A" w:rsidR="00B95220" w:rsidRPr="004268CB" w:rsidRDefault="00B95220" w:rsidP="00B952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 xml:space="preserve"> 128 </w:t>
            </w:r>
          </w:p>
        </w:tc>
        <w:tc>
          <w:tcPr>
            <w:tcW w:w="677" w:type="dxa"/>
            <w:tcBorders>
              <w:bottom w:val="single" w:sz="4" w:space="0" w:color="auto"/>
            </w:tcBorders>
          </w:tcPr>
          <w:p w14:paraId="6C84E3BF" w14:textId="43A4A63A" w:rsidR="00B95220" w:rsidRPr="004268CB" w:rsidRDefault="00B95220" w:rsidP="00B952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 xml:space="preserve"> 117 </w:t>
            </w:r>
          </w:p>
        </w:tc>
        <w:tc>
          <w:tcPr>
            <w:tcW w:w="678" w:type="dxa"/>
            <w:tcBorders>
              <w:bottom w:val="single" w:sz="4" w:space="0" w:color="auto"/>
            </w:tcBorders>
          </w:tcPr>
          <w:p w14:paraId="4121F88B" w14:textId="1E89D23E" w:rsidR="00B95220" w:rsidRPr="004268CB" w:rsidRDefault="00B95220" w:rsidP="00B952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 xml:space="preserve"> 140 </w:t>
            </w:r>
          </w:p>
        </w:tc>
        <w:tc>
          <w:tcPr>
            <w:tcW w:w="677" w:type="dxa"/>
            <w:tcBorders>
              <w:bottom w:val="single" w:sz="4" w:space="0" w:color="auto"/>
            </w:tcBorders>
          </w:tcPr>
          <w:p w14:paraId="4F48C489" w14:textId="28535FD4" w:rsidR="00B95220" w:rsidRPr="004268CB" w:rsidRDefault="00B95220" w:rsidP="00B952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 xml:space="preserve"> 132 </w:t>
            </w:r>
          </w:p>
        </w:tc>
        <w:tc>
          <w:tcPr>
            <w:tcW w:w="678" w:type="dxa"/>
            <w:tcBorders>
              <w:bottom w:val="single" w:sz="4" w:space="0" w:color="auto"/>
              <w:right w:val="single" w:sz="4" w:space="0" w:color="auto"/>
            </w:tcBorders>
          </w:tcPr>
          <w:p w14:paraId="1DA1A2C7" w14:textId="2190108C" w:rsidR="00B95220" w:rsidRPr="004268CB" w:rsidRDefault="00B95220" w:rsidP="00B952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 xml:space="preserve"> 73 </w:t>
            </w:r>
          </w:p>
        </w:tc>
      </w:tr>
      <w:tr w:rsidR="00B22426" w:rsidRPr="004268CB" w14:paraId="637433D3" w14:textId="77777777" w:rsidTr="0080689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710" w:type="dxa"/>
            <w:vMerge w:val="restart"/>
            <w:tcBorders>
              <w:top w:val="single" w:sz="4" w:space="0" w:color="auto"/>
              <w:left w:val="single" w:sz="4" w:space="0" w:color="auto"/>
            </w:tcBorders>
            <w:noWrap/>
            <w:vAlign w:val="center"/>
          </w:tcPr>
          <w:p w14:paraId="0197D2E4" w14:textId="2FEF1734" w:rsidR="00B22426" w:rsidRPr="004268CB" w:rsidRDefault="00B22426" w:rsidP="00B22426">
            <w:pPr>
              <w:rPr>
                <w:rFonts w:ascii="Times New Roman" w:hAnsi="Times New Roman" w:cs="Times New Roman"/>
                <w:b w:val="0"/>
                <w:bCs w:val="0"/>
                <w:caps w:val="0"/>
                <w:szCs w:val="18"/>
              </w:rPr>
            </w:pPr>
            <w:r w:rsidRPr="004268CB">
              <w:rPr>
                <w:rFonts w:ascii="Times New Roman" w:hAnsi="Times New Roman" w:cs="Times New Roman"/>
                <w:b w:val="0"/>
                <w:bCs w:val="0"/>
                <w:caps w:val="0"/>
                <w:szCs w:val="18"/>
              </w:rPr>
              <w:t>Overseas Support</w:t>
            </w:r>
          </w:p>
        </w:tc>
        <w:tc>
          <w:tcPr>
            <w:tcW w:w="1267" w:type="dxa"/>
            <w:tcBorders>
              <w:top w:val="single" w:sz="4" w:space="0" w:color="auto"/>
            </w:tcBorders>
            <w:vAlign w:val="center"/>
          </w:tcPr>
          <w:p w14:paraId="00061D65" w14:textId="0C01B5A7" w:rsidR="00B22426" w:rsidRPr="004268CB" w:rsidRDefault="00B22426" w:rsidP="00B224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eastAsiaTheme="majorEastAsia" w:hAnsi="Times New Roman" w:cs="Times New Roman"/>
              </w:rPr>
              <w:t>Manuf.</w:t>
            </w:r>
          </w:p>
        </w:tc>
        <w:tc>
          <w:tcPr>
            <w:tcW w:w="677" w:type="dxa"/>
            <w:tcBorders>
              <w:top w:val="single" w:sz="4" w:space="0" w:color="auto"/>
            </w:tcBorders>
          </w:tcPr>
          <w:p w14:paraId="38822AB4" w14:textId="12D66E1F" w:rsidR="00B22426" w:rsidRPr="004268CB" w:rsidRDefault="00B22426" w:rsidP="00B224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313</w:t>
            </w:r>
          </w:p>
        </w:tc>
        <w:tc>
          <w:tcPr>
            <w:tcW w:w="677" w:type="dxa"/>
            <w:tcBorders>
              <w:top w:val="single" w:sz="4" w:space="0" w:color="auto"/>
            </w:tcBorders>
          </w:tcPr>
          <w:p w14:paraId="74AD05DE" w14:textId="474B4EF6" w:rsidR="00B22426" w:rsidRPr="004268CB" w:rsidRDefault="00B22426" w:rsidP="00B224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335</w:t>
            </w:r>
          </w:p>
        </w:tc>
        <w:tc>
          <w:tcPr>
            <w:tcW w:w="678" w:type="dxa"/>
            <w:tcBorders>
              <w:top w:val="single" w:sz="4" w:space="0" w:color="auto"/>
            </w:tcBorders>
          </w:tcPr>
          <w:p w14:paraId="2CC71015" w14:textId="2F2119F2" w:rsidR="00B22426" w:rsidRPr="004268CB" w:rsidRDefault="00B22426" w:rsidP="00B224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334</w:t>
            </w:r>
          </w:p>
        </w:tc>
        <w:tc>
          <w:tcPr>
            <w:tcW w:w="677" w:type="dxa"/>
            <w:tcBorders>
              <w:top w:val="single" w:sz="4" w:space="0" w:color="auto"/>
            </w:tcBorders>
          </w:tcPr>
          <w:p w14:paraId="6BC0C7F9" w14:textId="23ED25F1" w:rsidR="00B22426" w:rsidRPr="004268CB" w:rsidRDefault="00B22426" w:rsidP="00B224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355</w:t>
            </w:r>
          </w:p>
        </w:tc>
        <w:tc>
          <w:tcPr>
            <w:tcW w:w="678" w:type="dxa"/>
            <w:tcBorders>
              <w:top w:val="single" w:sz="4" w:space="0" w:color="auto"/>
            </w:tcBorders>
          </w:tcPr>
          <w:p w14:paraId="5DC48D32" w14:textId="5BD55DE6" w:rsidR="00B22426" w:rsidRPr="004268CB" w:rsidRDefault="00B22426" w:rsidP="00B224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309</w:t>
            </w:r>
          </w:p>
        </w:tc>
        <w:tc>
          <w:tcPr>
            <w:tcW w:w="677" w:type="dxa"/>
            <w:tcBorders>
              <w:top w:val="single" w:sz="4" w:space="0" w:color="auto"/>
            </w:tcBorders>
          </w:tcPr>
          <w:p w14:paraId="5869AD2D" w14:textId="2380281C" w:rsidR="00B22426" w:rsidRPr="004268CB" w:rsidRDefault="00B22426" w:rsidP="00B224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341</w:t>
            </w:r>
          </w:p>
        </w:tc>
        <w:tc>
          <w:tcPr>
            <w:tcW w:w="677" w:type="dxa"/>
            <w:tcBorders>
              <w:top w:val="single" w:sz="4" w:space="0" w:color="auto"/>
            </w:tcBorders>
          </w:tcPr>
          <w:p w14:paraId="69257468" w14:textId="068F6EB3" w:rsidR="00B22426" w:rsidRPr="004268CB" w:rsidRDefault="00B22426" w:rsidP="00B224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340</w:t>
            </w:r>
          </w:p>
        </w:tc>
        <w:tc>
          <w:tcPr>
            <w:tcW w:w="678" w:type="dxa"/>
            <w:tcBorders>
              <w:top w:val="single" w:sz="4" w:space="0" w:color="auto"/>
            </w:tcBorders>
          </w:tcPr>
          <w:p w14:paraId="5CEFAA8C" w14:textId="4796892A" w:rsidR="00B22426" w:rsidRPr="004268CB" w:rsidRDefault="00B22426" w:rsidP="00B224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297</w:t>
            </w:r>
          </w:p>
        </w:tc>
        <w:tc>
          <w:tcPr>
            <w:tcW w:w="677" w:type="dxa"/>
            <w:tcBorders>
              <w:top w:val="single" w:sz="4" w:space="0" w:color="auto"/>
            </w:tcBorders>
          </w:tcPr>
          <w:p w14:paraId="716EA4DB" w14:textId="7518FCAD" w:rsidR="00B22426" w:rsidRPr="004268CB" w:rsidRDefault="00B22426" w:rsidP="00B224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330</w:t>
            </w:r>
          </w:p>
        </w:tc>
        <w:tc>
          <w:tcPr>
            <w:tcW w:w="678" w:type="dxa"/>
            <w:tcBorders>
              <w:top w:val="single" w:sz="4" w:space="0" w:color="auto"/>
              <w:right w:val="single" w:sz="4" w:space="0" w:color="auto"/>
            </w:tcBorders>
          </w:tcPr>
          <w:p w14:paraId="3CB76A42" w14:textId="5AA272AE" w:rsidR="00B22426" w:rsidRPr="004268CB" w:rsidRDefault="00B22426" w:rsidP="00B224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291</w:t>
            </w:r>
          </w:p>
        </w:tc>
      </w:tr>
      <w:tr w:rsidR="00A01F38" w:rsidRPr="004268CB" w14:paraId="36EC20F2" w14:textId="77777777" w:rsidTr="0080689A">
        <w:trPr>
          <w:trHeight w:val="80"/>
        </w:trPr>
        <w:tc>
          <w:tcPr>
            <w:cnfStyle w:val="001000000000" w:firstRow="0" w:lastRow="0" w:firstColumn="1" w:lastColumn="0" w:oddVBand="0" w:evenVBand="0" w:oddHBand="0" w:evenHBand="0" w:firstRowFirstColumn="0" w:firstRowLastColumn="0" w:lastRowFirstColumn="0" w:lastRowLastColumn="0"/>
            <w:tcW w:w="1710" w:type="dxa"/>
            <w:vMerge/>
            <w:tcBorders>
              <w:left w:val="single" w:sz="4" w:space="0" w:color="auto"/>
              <w:bottom w:val="single" w:sz="4" w:space="0" w:color="auto"/>
            </w:tcBorders>
            <w:noWrap/>
          </w:tcPr>
          <w:p w14:paraId="1EEEA2CF" w14:textId="77777777" w:rsidR="00A01F38" w:rsidRPr="004268CB" w:rsidRDefault="00A01F38" w:rsidP="00A01F38">
            <w:pPr>
              <w:rPr>
                <w:rFonts w:ascii="Times New Roman" w:hAnsi="Times New Roman" w:cs="Times New Roman"/>
                <w:b w:val="0"/>
                <w:bCs w:val="0"/>
                <w:caps w:val="0"/>
                <w:szCs w:val="18"/>
              </w:rPr>
            </w:pPr>
          </w:p>
        </w:tc>
        <w:tc>
          <w:tcPr>
            <w:tcW w:w="1267" w:type="dxa"/>
            <w:tcBorders>
              <w:bottom w:val="single" w:sz="4" w:space="0" w:color="auto"/>
            </w:tcBorders>
            <w:vAlign w:val="center"/>
          </w:tcPr>
          <w:p w14:paraId="50359800" w14:textId="38A28D47" w:rsidR="00A01F38" w:rsidRPr="004268CB" w:rsidRDefault="00A01F38" w:rsidP="00A01F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eastAsiaTheme="majorEastAsia" w:hAnsi="Times New Roman" w:cs="Times New Roman"/>
              </w:rPr>
              <w:t>Services</w:t>
            </w:r>
          </w:p>
        </w:tc>
        <w:tc>
          <w:tcPr>
            <w:tcW w:w="677" w:type="dxa"/>
            <w:tcBorders>
              <w:bottom w:val="single" w:sz="4" w:space="0" w:color="auto"/>
            </w:tcBorders>
          </w:tcPr>
          <w:p w14:paraId="43E890BA" w14:textId="0D3ACED8" w:rsidR="00A01F38" w:rsidRPr="004268CB" w:rsidRDefault="00A01F38" w:rsidP="00A01F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446</w:t>
            </w:r>
          </w:p>
        </w:tc>
        <w:tc>
          <w:tcPr>
            <w:tcW w:w="677" w:type="dxa"/>
            <w:tcBorders>
              <w:bottom w:val="single" w:sz="4" w:space="0" w:color="auto"/>
            </w:tcBorders>
          </w:tcPr>
          <w:p w14:paraId="4C050BE2" w14:textId="241DDF08" w:rsidR="00A01F38" w:rsidRPr="004268CB" w:rsidRDefault="00A01F38" w:rsidP="00A01F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428</w:t>
            </w:r>
          </w:p>
        </w:tc>
        <w:tc>
          <w:tcPr>
            <w:tcW w:w="678" w:type="dxa"/>
            <w:tcBorders>
              <w:bottom w:val="single" w:sz="4" w:space="0" w:color="auto"/>
            </w:tcBorders>
          </w:tcPr>
          <w:p w14:paraId="78A5AE8C" w14:textId="2901EFFA" w:rsidR="00A01F38" w:rsidRPr="004268CB" w:rsidRDefault="00A01F38" w:rsidP="00A01F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428</w:t>
            </w:r>
          </w:p>
        </w:tc>
        <w:tc>
          <w:tcPr>
            <w:tcW w:w="677" w:type="dxa"/>
            <w:tcBorders>
              <w:bottom w:val="single" w:sz="4" w:space="0" w:color="auto"/>
            </w:tcBorders>
          </w:tcPr>
          <w:p w14:paraId="07261BB6" w14:textId="4A601AE4" w:rsidR="00A01F38" w:rsidRPr="004268CB" w:rsidRDefault="00A01F38" w:rsidP="00A01F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432</w:t>
            </w:r>
          </w:p>
        </w:tc>
        <w:tc>
          <w:tcPr>
            <w:tcW w:w="678" w:type="dxa"/>
            <w:tcBorders>
              <w:bottom w:val="single" w:sz="4" w:space="0" w:color="auto"/>
            </w:tcBorders>
          </w:tcPr>
          <w:p w14:paraId="5C01C97E" w14:textId="63F48B32" w:rsidR="00A01F38" w:rsidRPr="004268CB" w:rsidRDefault="00A01F38" w:rsidP="00A01F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434</w:t>
            </w:r>
          </w:p>
        </w:tc>
        <w:tc>
          <w:tcPr>
            <w:tcW w:w="677" w:type="dxa"/>
            <w:tcBorders>
              <w:bottom w:val="single" w:sz="4" w:space="0" w:color="auto"/>
            </w:tcBorders>
          </w:tcPr>
          <w:p w14:paraId="4B9BBF57" w14:textId="378CEC5C" w:rsidR="00A01F38" w:rsidRPr="004268CB" w:rsidRDefault="00A01F38" w:rsidP="00A01F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415</w:t>
            </w:r>
          </w:p>
        </w:tc>
        <w:tc>
          <w:tcPr>
            <w:tcW w:w="677" w:type="dxa"/>
            <w:tcBorders>
              <w:bottom w:val="single" w:sz="4" w:space="0" w:color="auto"/>
            </w:tcBorders>
          </w:tcPr>
          <w:p w14:paraId="31083AE8" w14:textId="34544E2E" w:rsidR="00A01F38" w:rsidRPr="004268CB" w:rsidRDefault="00A01F38" w:rsidP="00A01F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374</w:t>
            </w:r>
          </w:p>
        </w:tc>
        <w:tc>
          <w:tcPr>
            <w:tcW w:w="678" w:type="dxa"/>
            <w:tcBorders>
              <w:bottom w:val="single" w:sz="4" w:space="0" w:color="auto"/>
            </w:tcBorders>
          </w:tcPr>
          <w:p w14:paraId="23C8A901" w14:textId="2147FC80" w:rsidR="00A01F38" w:rsidRPr="004268CB" w:rsidRDefault="00A01F38" w:rsidP="00A01F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359</w:t>
            </w:r>
          </w:p>
        </w:tc>
        <w:tc>
          <w:tcPr>
            <w:tcW w:w="677" w:type="dxa"/>
            <w:tcBorders>
              <w:bottom w:val="single" w:sz="4" w:space="0" w:color="auto"/>
            </w:tcBorders>
          </w:tcPr>
          <w:p w14:paraId="64085338" w14:textId="61AE8068" w:rsidR="00A01F38" w:rsidRPr="004268CB" w:rsidRDefault="00A01F38" w:rsidP="00A01F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413</w:t>
            </w:r>
          </w:p>
        </w:tc>
        <w:tc>
          <w:tcPr>
            <w:tcW w:w="678" w:type="dxa"/>
            <w:tcBorders>
              <w:bottom w:val="single" w:sz="4" w:space="0" w:color="auto"/>
              <w:right w:val="single" w:sz="4" w:space="0" w:color="auto"/>
            </w:tcBorders>
          </w:tcPr>
          <w:p w14:paraId="2E6D6C9A" w14:textId="7E8101AD" w:rsidR="00A01F38" w:rsidRPr="004268CB" w:rsidRDefault="00A01F38" w:rsidP="00A01F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385</w:t>
            </w:r>
          </w:p>
        </w:tc>
      </w:tr>
      <w:tr w:rsidR="00931986" w:rsidRPr="004268CB" w14:paraId="7FD348E2" w14:textId="77777777" w:rsidTr="0080689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710" w:type="dxa"/>
            <w:vMerge w:val="restart"/>
            <w:tcBorders>
              <w:top w:val="single" w:sz="4" w:space="0" w:color="auto"/>
              <w:left w:val="single" w:sz="4" w:space="0" w:color="auto"/>
            </w:tcBorders>
            <w:noWrap/>
            <w:vAlign w:val="center"/>
          </w:tcPr>
          <w:p w14:paraId="6F1E9F60" w14:textId="35E19B28" w:rsidR="00931986" w:rsidRPr="004268CB" w:rsidRDefault="00931986" w:rsidP="00931986">
            <w:pPr>
              <w:rPr>
                <w:rFonts w:ascii="Times New Roman" w:hAnsi="Times New Roman" w:cs="Times New Roman"/>
                <w:b w:val="0"/>
                <w:bCs w:val="0"/>
                <w:caps w:val="0"/>
                <w:szCs w:val="18"/>
              </w:rPr>
            </w:pPr>
            <w:r w:rsidRPr="004268CB">
              <w:rPr>
                <w:rFonts w:ascii="Times New Roman" w:hAnsi="Times New Roman" w:cs="Times New Roman"/>
                <w:b w:val="0"/>
                <w:bCs w:val="0"/>
                <w:caps w:val="0"/>
                <w:szCs w:val="18"/>
              </w:rPr>
              <w:t>Export Promo</w:t>
            </w:r>
          </w:p>
        </w:tc>
        <w:tc>
          <w:tcPr>
            <w:tcW w:w="1267" w:type="dxa"/>
            <w:tcBorders>
              <w:top w:val="single" w:sz="4" w:space="0" w:color="auto"/>
            </w:tcBorders>
            <w:vAlign w:val="center"/>
          </w:tcPr>
          <w:p w14:paraId="7B64EB90" w14:textId="4F12B851" w:rsidR="00931986" w:rsidRPr="004268CB" w:rsidRDefault="00931986" w:rsidP="009319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eastAsiaTheme="majorEastAsia" w:hAnsi="Times New Roman" w:cs="Times New Roman"/>
              </w:rPr>
              <w:t>Manuf.</w:t>
            </w:r>
          </w:p>
        </w:tc>
        <w:tc>
          <w:tcPr>
            <w:tcW w:w="677" w:type="dxa"/>
            <w:tcBorders>
              <w:top w:val="single" w:sz="4" w:space="0" w:color="auto"/>
            </w:tcBorders>
          </w:tcPr>
          <w:p w14:paraId="04D5294E" w14:textId="67BBDCB4" w:rsidR="00931986" w:rsidRPr="004268CB" w:rsidRDefault="00931986" w:rsidP="009319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43</w:t>
            </w:r>
          </w:p>
        </w:tc>
        <w:tc>
          <w:tcPr>
            <w:tcW w:w="677" w:type="dxa"/>
            <w:tcBorders>
              <w:top w:val="single" w:sz="4" w:space="0" w:color="auto"/>
            </w:tcBorders>
          </w:tcPr>
          <w:p w14:paraId="009E3988" w14:textId="2D0ED9C1" w:rsidR="00931986" w:rsidRPr="004268CB" w:rsidRDefault="00931986" w:rsidP="009319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65</w:t>
            </w:r>
          </w:p>
        </w:tc>
        <w:tc>
          <w:tcPr>
            <w:tcW w:w="678" w:type="dxa"/>
            <w:tcBorders>
              <w:top w:val="single" w:sz="4" w:space="0" w:color="auto"/>
            </w:tcBorders>
          </w:tcPr>
          <w:p w14:paraId="5111BF9E" w14:textId="2DC49E53" w:rsidR="00931986" w:rsidRPr="004268CB" w:rsidRDefault="00931986" w:rsidP="009319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73</w:t>
            </w:r>
          </w:p>
        </w:tc>
        <w:tc>
          <w:tcPr>
            <w:tcW w:w="677" w:type="dxa"/>
            <w:tcBorders>
              <w:top w:val="single" w:sz="4" w:space="0" w:color="auto"/>
            </w:tcBorders>
          </w:tcPr>
          <w:p w14:paraId="30F0E67E" w14:textId="6AFAAE7E" w:rsidR="00931986" w:rsidRPr="004268CB" w:rsidRDefault="00931986" w:rsidP="009319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76</w:t>
            </w:r>
          </w:p>
        </w:tc>
        <w:tc>
          <w:tcPr>
            <w:tcW w:w="678" w:type="dxa"/>
            <w:tcBorders>
              <w:top w:val="single" w:sz="4" w:space="0" w:color="auto"/>
            </w:tcBorders>
          </w:tcPr>
          <w:p w14:paraId="24C749C4" w14:textId="2E04F789" w:rsidR="00931986" w:rsidRPr="004268CB" w:rsidRDefault="00931986" w:rsidP="009319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65</w:t>
            </w:r>
          </w:p>
        </w:tc>
        <w:tc>
          <w:tcPr>
            <w:tcW w:w="677" w:type="dxa"/>
            <w:tcBorders>
              <w:top w:val="single" w:sz="4" w:space="0" w:color="auto"/>
            </w:tcBorders>
          </w:tcPr>
          <w:p w14:paraId="0C659D74" w14:textId="0F98FBA5" w:rsidR="00931986" w:rsidRPr="004268CB" w:rsidRDefault="00931986" w:rsidP="009319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80</w:t>
            </w:r>
          </w:p>
        </w:tc>
        <w:tc>
          <w:tcPr>
            <w:tcW w:w="677" w:type="dxa"/>
            <w:tcBorders>
              <w:top w:val="single" w:sz="4" w:space="0" w:color="auto"/>
            </w:tcBorders>
          </w:tcPr>
          <w:p w14:paraId="315615ED" w14:textId="7AFA973E" w:rsidR="00931986" w:rsidRPr="004268CB" w:rsidRDefault="00931986" w:rsidP="009319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55</w:t>
            </w:r>
          </w:p>
        </w:tc>
        <w:tc>
          <w:tcPr>
            <w:tcW w:w="678" w:type="dxa"/>
            <w:tcBorders>
              <w:top w:val="single" w:sz="4" w:space="0" w:color="auto"/>
            </w:tcBorders>
          </w:tcPr>
          <w:p w14:paraId="4E93F412" w14:textId="7A892F77" w:rsidR="00931986" w:rsidRPr="004268CB" w:rsidRDefault="00931986" w:rsidP="009319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55</w:t>
            </w:r>
          </w:p>
        </w:tc>
        <w:tc>
          <w:tcPr>
            <w:tcW w:w="677" w:type="dxa"/>
            <w:tcBorders>
              <w:top w:val="single" w:sz="4" w:space="0" w:color="auto"/>
            </w:tcBorders>
          </w:tcPr>
          <w:p w14:paraId="1D07419D" w14:textId="7BEED180" w:rsidR="00931986" w:rsidRPr="004268CB" w:rsidRDefault="00931986" w:rsidP="009319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57</w:t>
            </w:r>
          </w:p>
        </w:tc>
        <w:tc>
          <w:tcPr>
            <w:tcW w:w="678" w:type="dxa"/>
            <w:tcBorders>
              <w:top w:val="single" w:sz="4" w:space="0" w:color="auto"/>
              <w:right w:val="single" w:sz="4" w:space="0" w:color="auto"/>
            </w:tcBorders>
          </w:tcPr>
          <w:p w14:paraId="3A6CED2A" w14:textId="13E823A6" w:rsidR="00931986" w:rsidRPr="004268CB" w:rsidRDefault="00931986" w:rsidP="009319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268CB">
              <w:rPr>
                <w:rFonts w:ascii="Times New Roman" w:hAnsi="Times New Roman" w:cs="Times New Roman"/>
              </w:rPr>
              <w:t>54</w:t>
            </w:r>
          </w:p>
        </w:tc>
      </w:tr>
      <w:tr w:rsidR="00250203" w:rsidRPr="004268CB" w14:paraId="4D1D6718" w14:textId="77777777" w:rsidTr="0080689A">
        <w:trPr>
          <w:cnfStyle w:val="010000000000" w:firstRow="0" w:lastRow="1"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710" w:type="dxa"/>
            <w:vMerge/>
            <w:tcBorders>
              <w:left w:val="single" w:sz="4" w:space="0" w:color="auto"/>
              <w:bottom w:val="single" w:sz="4" w:space="0" w:color="auto"/>
            </w:tcBorders>
            <w:noWrap/>
          </w:tcPr>
          <w:p w14:paraId="1D93B20F" w14:textId="77777777" w:rsidR="00250203" w:rsidRPr="004268CB" w:rsidRDefault="00250203" w:rsidP="00250203">
            <w:pPr>
              <w:rPr>
                <w:rFonts w:ascii="Times New Roman" w:hAnsi="Times New Roman" w:cs="Times New Roman"/>
                <w:b w:val="0"/>
                <w:bCs w:val="0"/>
                <w:caps w:val="0"/>
                <w:szCs w:val="18"/>
              </w:rPr>
            </w:pPr>
          </w:p>
        </w:tc>
        <w:tc>
          <w:tcPr>
            <w:tcW w:w="1267" w:type="dxa"/>
            <w:tcBorders>
              <w:bottom w:val="single" w:sz="4" w:space="0" w:color="auto"/>
            </w:tcBorders>
            <w:vAlign w:val="center"/>
          </w:tcPr>
          <w:p w14:paraId="5604665C" w14:textId="1C35E394" w:rsidR="00250203" w:rsidRPr="004268CB" w:rsidRDefault="00250203" w:rsidP="00250203">
            <w:pPr>
              <w:cnfStyle w:val="010000000000" w:firstRow="0" w:lastRow="1"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caps w:val="0"/>
              </w:rPr>
            </w:pPr>
            <w:r w:rsidRPr="004268CB">
              <w:rPr>
                <w:rFonts w:ascii="Times New Roman" w:eastAsiaTheme="majorEastAsia" w:hAnsi="Times New Roman" w:cs="Times New Roman"/>
                <w:b w:val="0"/>
                <w:bCs w:val="0"/>
                <w:caps w:val="0"/>
              </w:rPr>
              <w:t>Services</w:t>
            </w:r>
          </w:p>
        </w:tc>
        <w:tc>
          <w:tcPr>
            <w:tcW w:w="677" w:type="dxa"/>
            <w:tcBorders>
              <w:bottom w:val="single" w:sz="4" w:space="0" w:color="auto"/>
            </w:tcBorders>
          </w:tcPr>
          <w:p w14:paraId="46229D86" w14:textId="2EAADF92" w:rsidR="00250203" w:rsidRPr="004268CB" w:rsidRDefault="00250203" w:rsidP="00250203">
            <w:pPr>
              <w:jc w:val="center"/>
              <w:cnfStyle w:val="010000000000" w:firstRow="0" w:lastRow="1"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caps w:val="0"/>
              </w:rPr>
            </w:pPr>
            <w:r w:rsidRPr="004268CB">
              <w:rPr>
                <w:rFonts w:ascii="Times New Roman" w:hAnsi="Times New Roman" w:cs="Times New Roman"/>
                <w:b w:val="0"/>
                <w:bCs w:val="0"/>
              </w:rPr>
              <w:t>67</w:t>
            </w:r>
          </w:p>
        </w:tc>
        <w:tc>
          <w:tcPr>
            <w:tcW w:w="677" w:type="dxa"/>
            <w:tcBorders>
              <w:bottom w:val="single" w:sz="4" w:space="0" w:color="auto"/>
            </w:tcBorders>
          </w:tcPr>
          <w:p w14:paraId="390200BC" w14:textId="6C4FA5C0" w:rsidR="00250203" w:rsidRPr="004268CB" w:rsidRDefault="00250203" w:rsidP="00250203">
            <w:pPr>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105</w:t>
            </w:r>
          </w:p>
        </w:tc>
        <w:tc>
          <w:tcPr>
            <w:tcW w:w="678" w:type="dxa"/>
            <w:tcBorders>
              <w:bottom w:val="single" w:sz="4" w:space="0" w:color="auto"/>
            </w:tcBorders>
          </w:tcPr>
          <w:p w14:paraId="1CE30B15" w14:textId="46969C0E" w:rsidR="00250203" w:rsidRPr="004268CB" w:rsidRDefault="00250203" w:rsidP="00250203">
            <w:pPr>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69</w:t>
            </w:r>
          </w:p>
        </w:tc>
        <w:tc>
          <w:tcPr>
            <w:tcW w:w="677" w:type="dxa"/>
            <w:tcBorders>
              <w:bottom w:val="single" w:sz="4" w:space="0" w:color="auto"/>
            </w:tcBorders>
          </w:tcPr>
          <w:p w14:paraId="4D2CF5DA" w14:textId="1AED8EBE" w:rsidR="00250203" w:rsidRPr="004268CB" w:rsidRDefault="00250203" w:rsidP="00250203">
            <w:pPr>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86</w:t>
            </w:r>
          </w:p>
        </w:tc>
        <w:tc>
          <w:tcPr>
            <w:tcW w:w="678" w:type="dxa"/>
            <w:tcBorders>
              <w:bottom w:val="single" w:sz="4" w:space="0" w:color="auto"/>
            </w:tcBorders>
          </w:tcPr>
          <w:p w14:paraId="50E08223" w14:textId="2689D7B5" w:rsidR="00250203" w:rsidRPr="004268CB" w:rsidRDefault="00250203" w:rsidP="00250203">
            <w:pPr>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85</w:t>
            </w:r>
          </w:p>
        </w:tc>
        <w:tc>
          <w:tcPr>
            <w:tcW w:w="677" w:type="dxa"/>
            <w:tcBorders>
              <w:bottom w:val="single" w:sz="4" w:space="0" w:color="auto"/>
            </w:tcBorders>
          </w:tcPr>
          <w:p w14:paraId="4FED5FAA" w14:textId="1124F593" w:rsidR="00250203" w:rsidRPr="004268CB" w:rsidRDefault="00250203" w:rsidP="00250203">
            <w:pPr>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72</w:t>
            </w:r>
          </w:p>
        </w:tc>
        <w:tc>
          <w:tcPr>
            <w:tcW w:w="677" w:type="dxa"/>
            <w:tcBorders>
              <w:bottom w:val="single" w:sz="4" w:space="0" w:color="auto"/>
            </w:tcBorders>
          </w:tcPr>
          <w:p w14:paraId="607BECA0" w14:textId="51EDD26E" w:rsidR="00250203" w:rsidRPr="004268CB" w:rsidRDefault="00250203" w:rsidP="00250203">
            <w:pPr>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33</w:t>
            </w:r>
          </w:p>
        </w:tc>
        <w:tc>
          <w:tcPr>
            <w:tcW w:w="678" w:type="dxa"/>
            <w:tcBorders>
              <w:bottom w:val="single" w:sz="4" w:space="0" w:color="auto"/>
            </w:tcBorders>
          </w:tcPr>
          <w:p w14:paraId="0D31973C" w14:textId="2BAEB17C" w:rsidR="00250203" w:rsidRPr="004268CB" w:rsidRDefault="00250203" w:rsidP="00250203">
            <w:pPr>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58</w:t>
            </w:r>
          </w:p>
        </w:tc>
        <w:tc>
          <w:tcPr>
            <w:tcW w:w="677" w:type="dxa"/>
            <w:tcBorders>
              <w:bottom w:val="single" w:sz="4" w:space="0" w:color="auto"/>
            </w:tcBorders>
          </w:tcPr>
          <w:p w14:paraId="42839BDC" w14:textId="67DBAE9F" w:rsidR="00250203" w:rsidRPr="004268CB" w:rsidRDefault="00250203" w:rsidP="00250203">
            <w:pPr>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64</w:t>
            </w:r>
          </w:p>
        </w:tc>
        <w:tc>
          <w:tcPr>
            <w:tcW w:w="678" w:type="dxa"/>
            <w:tcBorders>
              <w:bottom w:val="single" w:sz="4" w:space="0" w:color="auto"/>
              <w:right w:val="single" w:sz="4" w:space="0" w:color="auto"/>
            </w:tcBorders>
          </w:tcPr>
          <w:p w14:paraId="4DFF1034" w14:textId="71C6FC06" w:rsidR="00250203" w:rsidRPr="004268CB" w:rsidRDefault="00250203" w:rsidP="00250203">
            <w:pPr>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63</w:t>
            </w:r>
          </w:p>
        </w:tc>
      </w:tr>
    </w:tbl>
    <w:p w14:paraId="47ACB5FB" w14:textId="42F1CF46" w:rsidR="002A4E3E" w:rsidRPr="004268CB" w:rsidRDefault="002A4E3E" w:rsidP="00696228">
      <w:pPr>
        <w:rPr>
          <w:rFonts w:ascii="Times New Roman" w:hAnsi="Times New Roman" w:cs="Times New Roman"/>
          <w:lang w:val="en-IE"/>
        </w:rPr>
      </w:pPr>
    </w:p>
    <w:p w14:paraId="51A979C9" w14:textId="7F886A75" w:rsidR="00A66597" w:rsidRPr="004268CB" w:rsidRDefault="006A7D0E" w:rsidP="00696228">
      <w:pPr>
        <w:rPr>
          <w:rFonts w:ascii="Times New Roman" w:hAnsi="Times New Roman" w:cs="Times New Roman"/>
          <w:b/>
          <w:bCs/>
          <w:lang w:val="en-IE"/>
        </w:rPr>
      </w:pPr>
      <w:r w:rsidRPr="004268CB">
        <w:rPr>
          <w:rFonts w:ascii="Times New Roman" w:hAnsi="Times New Roman" w:cs="Times New Roman"/>
          <w:b/>
          <w:bCs/>
          <w:lang w:val="en-IE"/>
        </w:rPr>
        <w:t xml:space="preserve">Annex 3 – </w:t>
      </w:r>
      <w:r w:rsidR="00F67DBF" w:rsidRPr="004268CB">
        <w:rPr>
          <w:rFonts w:ascii="Times New Roman" w:hAnsi="Times New Roman" w:cs="Times New Roman"/>
          <w:b/>
          <w:bCs/>
          <w:lang w:val="en-IE"/>
        </w:rPr>
        <w:t xml:space="preserve">Breakdown by </w:t>
      </w:r>
      <w:r w:rsidRPr="004268CB">
        <w:rPr>
          <w:rFonts w:ascii="Times New Roman" w:hAnsi="Times New Roman" w:cs="Times New Roman"/>
          <w:b/>
          <w:bCs/>
          <w:lang w:val="en-IE"/>
        </w:rPr>
        <w:t>Number of Survey Returns</w:t>
      </w:r>
    </w:p>
    <w:tbl>
      <w:tblPr>
        <w:tblStyle w:val="PlainTable3"/>
        <w:tblW w:w="9001" w:type="dxa"/>
        <w:tblLayout w:type="fixed"/>
        <w:tblLook w:val="04E0" w:firstRow="1" w:lastRow="1" w:firstColumn="1" w:lastColumn="0" w:noHBand="0" w:noVBand="1"/>
      </w:tblPr>
      <w:tblGrid>
        <w:gridCol w:w="1985"/>
        <w:gridCol w:w="779"/>
        <w:gridCol w:w="780"/>
        <w:gridCol w:w="779"/>
        <w:gridCol w:w="780"/>
        <w:gridCol w:w="780"/>
        <w:gridCol w:w="779"/>
        <w:gridCol w:w="780"/>
        <w:gridCol w:w="779"/>
        <w:gridCol w:w="780"/>
      </w:tblGrid>
      <w:tr w:rsidR="00825016" w:rsidRPr="004268CB" w14:paraId="66DD7EF6" w14:textId="77777777" w:rsidTr="00825016">
        <w:trPr>
          <w:cnfStyle w:val="100000000000" w:firstRow="1" w:lastRow="0" w:firstColumn="0" w:lastColumn="0" w:oddVBand="0" w:evenVBand="0" w:oddHBand="0" w:evenHBand="0" w:firstRowFirstColumn="0" w:firstRowLastColumn="0" w:lastRowFirstColumn="0" w:lastRowLastColumn="0"/>
          <w:trHeight w:val="70"/>
        </w:trPr>
        <w:tc>
          <w:tcPr>
            <w:cnfStyle w:val="001000000100" w:firstRow="0" w:lastRow="0" w:firstColumn="1" w:lastColumn="0" w:oddVBand="0" w:evenVBand="0" w:oddHBand="0" w:evenHBand="0" w:firstRowFirstColumn="1" w:firstRowLastColumn="0" w:lastRowFirstColumn="0" w:lastRowLastColumn="0"/>
            <w:tcW w:w="1985" w:type="dxa"/>
            <w:tcBorders>
              <w:bottom w:val="single" w:sz="4" w:space="0" w:color="auto"/>
            </w:tcBorders>
            <w:hideMark/>
          </w:tcPr>
          <w:p w14:paraId="151F1F58" w14:textId="78D18ECA" w:rsidR="00825016" w:rsidRPr="004268CB" w:rsidRDefault="00825016" w:rsidP="00415558">
            <w:pPr>
              <w:rPr>
                <w:rFonts w:ascii="Times New Roman" w:hAnsi="Times New Roman" w:cs="Times New Roman"/>
                <w:b w:val="0"/>
                <w:bCs w:val="0"/>
                <w:szCs w:val="18"/>
              </w:rPr>
            </w:pPr>
            <w:r w:rsidRPr="004268CB">
              <w:rPr>
                <w:rFonts w:ascii="Times New Roman" w:hAnsi="Times New Roman" w:cs="Times New Roman"/>
                <w:b w:val="0"/>
                <w:bCs w:val="0"/>
                <w:caps w:val="0"/>
                <w:szCs w:val="18"/>
              </w:rPr>
              <w:t>No. Survey Returns</w:t>
            </w:r>
          </w:p>
        </w:tc>
        <w:tc>
          <w:tcPr>
            <w:tcW w:w="779" w:type="dxa"/>
            <w:tcBorders>
              <w:bottom w:val="single" w:sz="4" w:space="0" w:color="auto"/>
            </w:tcBorders>
          </w:tcPr>
          <w:p w14:paraId="7F83474D" w14:textId="4C0CD360" w:rsidR="00825016" w:rsidRPr="004268CB" w:rsidRDefault="00825016" w:rsidP="004155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10</w:t>
            </w:r>
          </w:p>
        </w:tc>
        <w:tc>
          <w:tcPr>
            <w:tcW w:w="780" w:type="dxa"/>
            <w:tcBorders>
              <w:bottom w:val="single" w:sz="4" w:space="0" w:color="auto"/>
            </w:tcBorders>
          </w:tcPr>
          <w:p w14:paraId="6A5353AD" w14:textId="1B9F6034" w:rsidR="00825016" w:rsidRPr="004268CB" w:rsidRDefault="00825016" w:rsidP="004155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9</w:t>
            </w:r>
          </w:p>
        </w:tc>
        <w:tc>
          <w:tcPr>
            <w:tcW w:w="779" w:type="dxa"/>
            <w:tcBorders>
              <w:bottom w:val="single" w:sz="4" w:space="0" w:color="auto"/>
            </w:tcBorders>
          </w:tcPr>
          <w:p w14:paraId="19BDF3AF" w14:textId="79A16705" w:rsidR="00825016" w:rsidRPr="004268CB" w:rsidRDefault="00825016" w:rsidP="004155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8</w:t>
            </w:r>
          </w:p>
        </w:tc>
        <w:tc>
          <w:tcPr>
            <w:tcW w:w="780" w:type="dxa"/>
            <w:tcBorders>
              <w:bottom w:val="single" w:sz="4" w:space="0" w:color="auto"/>
            </w:tcBorders>
          </w:tcPr>
          <w:p w14:paraId="273A4044" w14:textId="79F28056" w:rsidR="00825016" w:rsidRPr="004268CB" w:rsidRDefault="00825016" w:rsidP="004155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7</w:t>
            </w:r>
          </w:p>
        </w:tc>
        <w:tc>
          <w:tcPr>
            <w:tcW w:w="780" w:type="dxa"/>
            <w:tcBorders>
              <w:bottom w:val="single" w:sz="4" w:space="0" w:color="auto"/>
            </w:tcBorders>
          </w:tcPr>
          <w:p w14:paraId="00C03352" w14:textId="14B32BDB" w:rsidR="00825016" w:rsidRPr="004268CB" w:rsidRDefault="00825016" w:rsidP="004155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6</w:t>
            </w:r>
          </w:p>
        </w:tc>
        <w:tc>
          <w:tcPr>
            <w:tcW w:w="779" w:type="dxa"/>
            <w:tcBorders>
              <w:bottom w:val="single" w:sz="4" w:space="0" w:color="auto"/>
            </w:tcBorders>
          </w:tcPr>
          <w:p w14:paraId="687D7042" w14:textId="57D8696A" w:rsidR="00825016" w:rsidRPr="004268CB" w:rsidRDefault="00825016" w:rsidP="004155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5</w:t>
            </w:r>
          </w:p>
        </w:tc>
        <w:tc>
          <w:tcPr>
            <w:tcW w:w="780" w:type="dxa"/>
            <w:tcBorders>
              <w:bottom w:val="single" w:sz="4" w:space="0" w:color="auto"/>
            </w:tcBorders>
          </w:tcPr>
          <w:p w14:paraId="2F4878E8" w14:textId="51D8975A" w:rsidR="00825016" w:rsidRPr="004268CB" w:rsidRDefault="00825016" w:rsidP="004155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4</w:t>
            </w:r>
          </w:p>
        </w:tc>
        <w:tc>
          <w:tcPr>
            <w:tcW w:w="779" w:type="dxa"/>
            <w:tcBorders>
              <w:bottom w:val="single" w:sz="4" w:space="0" w:color="auto"/>
            </w:tcBorders>
          </w:tcPr>
          <w:p w14:paraId="0A5334ED" w14:textId="3064C1EB" w:rsidR="00825016" w:rsidRPr="004268CB" w:rsidRDefault="00825016" w:rsidP="004155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3</w:t>
            </w:r>
          </w:p>
        </w:tc>
        <w:tc>
          <w:tcPr>
            <w:tcW w:w="780" w:type="dxa"/>
            <w:tcBorders>
              <w:bottom w:val="single" w:sz="4" w:space="0" w:color="auto"/>
            </w:tcBorders>
          </w:tcPr>
          <w:p w14:paraId="35221701" w14:textId="7A3D123D" w:rsidR="00825016" w:rsidRPr="004268CB" w:rsidRDefault="00825016" w:rsidP="004155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268CB">
              <w:rPr>
                <w:rFonts w:ascii="Times New Roman" w:hAnsi="Times New Roman" w:cs="Times New Roman"/>
                <w:b w:val="0"/>
                <w:bCs w:val="0"/>
              </w:rPr>
              <w:t>2</w:t>
            </w:r>
          </w:p>
        </w:tc>
      </w:tr>
      <w:tr w:rsidR="00825016" w:rsidRPr="004268CB" w14:paraId="6B5BD1A7" w14:textId="77777777" w:rsidTr="00825016">
        <w:trPr>
          <w:cnfStyle w:val="000000100000" w:firstRow="0" w:lastRow="0" w:firstColumn="0" w:lastColumn="0" w:oddVBand="0" w:evenVBand="0" w:oddHBand="1" w:evenHBand="0" w:firstRowFirstColumn="0" w:firstRowLastColumn="0" w:lastRowFirstColumn="0" w:lastRowLastColumn="0"/>
          <w:trHeight w:val="97"/>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left w:val="single" w:sz="4" w:space="0" w:color="auto"/>
              <w:right w:val="single" w:sz="4" w:space="0" w:color="auto"/>
            </w:tcBorders>
            <w:noWrap/>
            <w:vAlign w:val="center"/>
          </w:tcPr>
          <w:p w14:paraId="5A5C811A" w14:textId="0C502A1B" w:rsidR="00825016" w:rsidRPr="004268CB" w:rsidRDefault="00825016" w:rsidP="00415558">
            <w:pPr>
              <w:rPr>
                <w:rFonts w:ascii="Times New Roman" w:hAnsi="Times New Roman" w:cs="Times New Roman"/>
                <w:b w:val="0"/>
                <w:bCs w:val="0"/>
                <w:szCs w:val="18"/>
              </w:rPr>
            </w:pPr>
            <w:r w:rsidRPr="004268CB">
              <w:rPr>
                <w:rFonts w:ascii="Times New Roman" w:hAnsi="Times New Roman" w:cs="Times New Roman"/>
                <w:b w:val="0"/>
                <w:bCs w:val="0"/>
                <w:caps w:val="0"/>
                <w:szCs w:val="18"/>
              </w:rPr>
              <w:t>No. Companies</w:t>
            </w:r>
          </w:p>
        </w:tc>
        <w:tc>
          <w:tcPr>
            <w:tcW w:w="779" w:type="dxa"/>
            <w:tcBorders>
              <w:top w:val="single" w:sz="4" w:space="0" w:color="auto"/>
              <w:left w:val="single" w:sz="4" w:space="0" w:color="auto"/>
            </w:tcBorders>
          </w:tcPr>
          <w:p w14:paraId="6ABB7ECD" w14:textId="3B86E2D7" w:rsidR="00825016" w:rsidRPr="004268CB" w:rsidRDefault="00825016" w:rsidP="00415558">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713</w:t>
            </w:r>
          </w:p>
        </w:tc>
        <w:tc>
          <w:tcPr>
            <w:tcW w:w="780" w:type="dxa"/>
            <w:tcBorders>
              <w:top w:val="single" w:sz="4" w:space="0" w:color="auto"/>
            </w:tcBorders>
          </w:tcPr>
          <w:p w14:paraId="35FC602E" w14:textId="1ABDD5C1" w:rsidR="00825016" w:rsidRPr="004268CB" w:rsidRDefault="00825016" w:rsidP="00415558">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262</w:t>
            </w:r>
          </w:p>
        </w:tc>
        <w:tc>
          <w:tcPr>
            <w:tcW w:w="779" w:type="dxa"/>
            <w:tcBorders>
              <w:top w:val="single" w:sz="4" w:space="0" w:color="auto"/>
            </w:tcBorders>
          </w:tcPr>
          <w:p w14:paraId="2E029928" w14:textId="36E75581" w:rsidR="00825016" w:rsidRPr="004268CB" w:rsidRDefault="00825016" w:rsidP="00415558">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243</w:t>
            </w:r>
          </w:p>
        </w:tc>
        <w:tc>
          <w:tcPr>
            <w:tcW w:w="780" w:type="dxa"/>
            <w:tcBorders>
              <w:top w:val="single" w:sz="4" w:space="0" w:color="auto"/>
            </w:tcBorders>
          </w:tcPr>
          <w:p w14:paraId="34BA6235" w14:textId="09F5E1C3" w:rsidR="00825016" w:rsidRPr="004268CB" w:rsidRDefault="00825016" w:rsidP="00415558">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300</w:t>
            </w:r>
          </w:p>
        </w:tc>
        <w:tc>
          <w:tcPr>
            <w:tcW w:w="780" w:type="dxa"/>
            <w:tcBorders>
              <w:top w:val="single" w:sz="4" w:space="0" w:color="auto"/>
            </w:tcBorders>
          </w:tcPr>
          <w:p w14:paraId="6D565A73" w14:textId="686FB226" w:rsidR="00825016" w:rsidRPr="004268CB" w:rsidRDefault="00825016" w:rsidP="00415558">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273</w:t>
            </w:r>
          </w:p>
        </w:tc>
        <w:tc>
          <w:tcPr>
            <w:tcW w:w="779" w:type="dxa"/>
            <w:tcBorders>
              <w:top w:val="single" w:sz="4" w:space="0" w:color="auto"/>
            </w:tcBorders>
          </w:tcPr>
          <w:p w14:paraId="24D8EDC2" w14:textId="7B328C77" w:rsidR="00825016" w:rsidRPr="004268CB" w:rsidRDefault="00825016" w:rsidP="00415558">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309</w:t>
            </w:r>
          </w:p>
        </w:tc>
        <w:tc>
          <w:tcPr>
            <w:tcW w:w="780" w:type="dxa"/>
            <w:tcBorders>
              <w:top w:val="single" w:sz="4" w:space="0" w:color="auto"/>
            </w:tcBorders>
          </w:tcPr>
          <w:p w14:paraId="3125E83F" w14:textId="074B9479" w:rsidR="00825016" w:rsidRPr="004268CB" w:rsidRDefault="00825016" w:rsidP="00415558">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432</w:t>
            </w:r>
          </w:p>
        </w:tc>
        <w:tc>
          <w:tcPr>
            <w:tcW w:w="779" w:type="dxa"/>
            <w:tcBorders>
              <w:top w:val="single" w:sz="4" w:space="0" w:color="auto"/>
            </w:tcBorders>
          </w:tcPr>
          <w:p w14:paraId="164B7847" w14:textId="7D2AD63E" w:rsidR="00825016" w:rsidRPr="004268CB" w:rsidRDefault="00825016" w:rsidP="00415558">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126</w:t>
            </w:r>
          </w:p>
        </w:tc>
        <w:tc>
          <w:tcPr>
            <w:tcW w:w="780" w:type="dxa"/>
            <w:tcBorders>
              <w:top w:val="single" w:sz="4" w:space="0" w:color="auto"/>
              <w:right w:val="single" w:sz="4" w:space="0" w:color="auto"/>
            </w:tcBorders>
          </w:tcPr>
          <w:p w14:paraId="685208E4" w14:textId="4E7F401D" w:rsidR="00825016" w:rsidRPr="004268CB" w:rsidRDefault="00825016" w:rsidP="00415558">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4268CB">
              <w:rPr>
                <w:rFonts w:ascii="Times New Roman" w:hAnsi="Times New Roman" w:cs="Times New Roman"/>
              </w:rPr>
              <w:t>122</w:t>
            </w:r>
          </w:p>
        </w:tc>
      </w:tr>
      <w:tr w:rsidR="00825016" w:rsidRPr="004268CB" w14:paraId="3FD2D9AB" w14:textId="77777777" w:rsidTr="00825016">
        <w:trPr>
          <w:cnfStyle w:val="010000000000" w:firstRow="0" w:lastRow="1" w:firstColumn="0" w:lastColumn="0" w:oddVBand="0" w:evenVBand="0" w:oddHBand="0"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985" w:type="dxa"/>
            <w:tcBorders>
              <w:left w:val="single" w:sz="4" w:space="0" w:color="auto"/>
              <w:bottom w:val="single" w:sz="4" w:space="0" w:color="auto"/>
              <w:right w:val="single" w:sz="4" w:space="0" w:color="auto"/>
            </w:tcBorders>
            <w:noWrap/>
          </w:tcPr>
          <w:p w14:paraId="3C86F54B" w14:textId="67199339" w:rsidR="00825016" w:rsidRPr="004268CB" w:rsidRDefault="00825016" w:rsidP="007E018D">
            <w:pPr>
              <w:rPr>
                <w:rFonts w:ascii="Times New Roman" w:hAnsi="Times New Roman" w:cs="Times New Roman"/>
                <w:b w:val="0"/>
                <w:bCs w:val="0"/>
                <w:szCs w:val="18"/>
              </w:rPr>
            </w:pPr>
            <w:r w:rsidRPr="004268CB">
              <w:rPr>
                <w:rFonts w:ascii="Times New Roman" w:hAnsi="Times New Roman" w:cs="Times New Roman"/>
                <w:b w:val="0"/>
                <w:bCs w:val="0"/>
                <w:caps w:val="0"/>
                <w:szCs w:val="18"/>
              </w:rPr>
              <w:t>% of Companies</w:t>
            </w:r>
          </w:p>
        </w:tc>
        <w:tc>
          <w:tcPr>
            <w:tcW w:w="779" w:type="dxa"/>
            <w:tcBorders>
              <w:left w:val="single" w:sz="4" w:space="0" w:color="auto"/>
              <w:bottom w:val="single" w:sz="4" w:space="0" w:color="auto"/>
            </w:tcBorders>
          </w:tcPr>
          <w:p w14:paraId="7B7645A0" w14:textId="3A9F9D47" w:rsidR="00825016" w:rsidRPr="004268CB" w:rsidRDefault="00825016" w:rsidP="007E018D">
            <w:pPr>
              <w:jc w:val="center"/>
              <w:cnfStyle w:val="010000000000" w:firstRow="0" w:lastRow="1"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rPr>
            </w:pPr>
            <w:r w:rsidRPr="004268CB">
              <w:rPr>
                <w:rFonts w:ascii="Times New Roman" w:hAnsi="Times New Roman" w:cs="Times New Roman"/>
                <w:b w:val="0"/>
                <w:bCs w:val="0"/>
              </w:rPr>
              <w:t>26%</w:t>
            </w:r>
          </w:p>
        </w:tc>
        <w:tc>
          <w:tcPr>
            <w:tcW w:w="780" w:type="dxa"/>
            <w:tcBorders>
              <w:bottom w:val="single" w:sz="4" w:space="0" w:color="auto"/>
            </w:tcBorders>
          </w:tcPr>
          <w:p w14:paraId="0359FE98" w14:textId="715F9C0C" w:rsidR="00825016" w:rsidRPr="004268CB" w:rsidRDefault="00825016" w:rsidP="007E018D">
            <w:pPr>
              <w:jc w:val="center"/>
              <w:cnfStyle w:val="010000000000" w:firstRow="0" w:lastRow="1"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rPr>
            </w:pPr>
            <w:r w:rsidRPr="004268CB">
              <w:rPr>
                <w:rFonts w:ascii="Times New Roman" w:hAnsi="Times New Roman" w:cs="Times New Roman"/>
                <w:b w:val="0"/>
                <w:bCs w:val="0"/>
              </w:rPr>
              <w:t>9%</w:t>
            </w:r>
          </w:p>
        </w:tc>
        <w:tc>
          <w:tcPr>
            <w:tcW w:w="779" w:type="dxa"/>
            <w:tcBorders>
              <w:bottom w:val="single" w:sz="4" w:space="0" w:color="auto"/>
            </w:tcBorders>
          </w:tcPr>
          <w:p w14:paraId="2E88BD40" w14:textId="1BEECD57" w:rsidR="00825016" w:rsidRPr="004268CB" w:rsidRDefault="00825016" w:rsidP="007E018D">
            <w:pPr>
              <w:jc w:val="center"/>
              <w:cnfStyle w:val="010000000000" w:firstRow="0" w:lastRow="1"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rPr>
            </w:pPr>
            <w:r w:rsidRPr="004268CB">
              <w:rPr>
                <w:rFonts w:ascii="Times New Roman" w:hAnsi="Times New Roman" w:cs="Times New Roman"/>
                <w:b w:val="0"/>
                <w:bCs w:val="0"/>
              </w:rPr>
              <w:t>9%</w:t>
            </w:r>
          </w:p>
        </w:tc>
        <w:tc>
          <w:tcPr>
            <w:tcW w:w="780" w:type="dxa"/>
            <w:tcBorders>
              <w:bottom w:val="single" w:sz="4" w:space="0" w:color="auto"/>
            </w:tcBorders>
          </w:tcPr>
          <w:p w14:paraId="4ED10449" w14:textId="778B700D" w:rsidR="00825016" w:rsidRPr="004268CB" w:rsidRDefault="00825016" w:rsidP="007E018D">
            <w:pPr>
              <w:jc w:val="center"/>
              <w:cnfStyle w:val="010000000000" w:firstRow="0" w:lastRow="1"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rPr>
            </w:pPr>
            <w:r w:rsidRPr="004268CB">
              <w:rPr>
                <w:rFonts w:ascii="Times New Roman" w:hAnsi="Times New Roman" w:cs="Times New Roman"/>
                <w:b w:val="0"/>
                <w:bCs w:val="0"/>
              </w:rPr>
              <w:t>11%</w:t>
            </w:r>
          </w:p>
        </w:tc>
        <w:tc>
          <w:tcPr>
            <w:tcW w:w="780" w:type="dxa"/>
            <w:tcBorders>
              <w:bottom w:val="single" w:sz="4" w:space="0" w:color="auto"/>
            </w:tcBorders>
          </w:tcPr>
          <w:p w14:paraId="439E3BA9" w14:textId="05FFEC7C" w:rsidR="00825016" w:rsidRPr="004268CB" w:rsidRDefault="00825016" w:rsidP="007E018D">
            <w:pPr>
              <w:jc w:val="center"/>
              <w:cnfStyle w:val="010000000000" w:firstRow="0" w:lastRow="1"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rPr>
            </w:pPr>
            <w:r w:rsidRPr="004268CB">
              <w:rPr>
                <w:rFonts w:ascii="Times New Roman" w:hAnsi="Times New Roman" w:cs="Times New Roman"/>
                <w:b w:val="0"/>
                <w:bCs w:val="0"/>
              </w:rPr>
              <w:t>10%</w:t>
            </w:r>
          </w:p>
        </w:tc>
        <w:tc>
          <w:tcPr>
            <w:tcW w:w="779" w:type="dxa"/>
            <w:tcBorders>
              <w:bottom w:val="single" w:sz="4" w:space="0" w:color="auto"/>
            </w:tcBorders>
          </w:tcPr>
          <w:p w14:paraId="2863A5C0" w14:textId="57852164" w:rsidR="00825016" w:rsidRPr="004268CB" w:rsidRDefault="00825016" w:rsidP="007E018D">
            <w:pPr>
              <w:jc w:val="center"/>
              <w:cnfStyle w:val="010000000000" w:firstRow="0" w:lastRow="1"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rPr>
            </w:pPr>
            <w:r w:rsidRPr="004268CB">
              <w:rPr>
                <w:rFonts w:ascii="Times New Roman" w:hAnsi="Times New Roman" w:cs="Times New Roman"/>
                <w:b w:val="0"/>
                <w:bCs w:val="0"/>
              </w:rPr>
              <w:t>11%</w:t>
            </w:r>
          </w:p>
        </w:tc>
        <w:tc>
          <w:tcPr>
            <w:tcW w:w="780" w:type="dxa"/>
            <w:tcBorders>
              <w:bottom w:val="single" w:sz="4" w:space="0" w:color="auto"/>
            </w:tcBorders>
          </w:tcPr>
          <w:p w14:paraId="11DA8B0C" w14:textId="3750795A" w:rsidR="00825016" w:rsidRPr="004268CB" w:rsidRDefault="00825016" w:rsidP="007E018D">
            <w:pPr>
              <w:jc w:val="center"/>
              <w:cnfStyle w:val="010000000000" w:firstRow="0" w:lastRow="1"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rPr>
            </w:pPr>
            <w:r w:rsidRPr="004268CB">
              <w:rPr>
                <w:rFonts w:ascii="Times New Roman" w:hAnsi="Times New Roman" w:cs="Times New Roman"/>
                <w:b w:val="0"/>
                <w:bCs w:val="0"/>
              </w:rPr>
              <w:t>16%</w:t>
            </w:r>
          </w:p>
        </w:tc>
        <w:tc>
          <w:tcPr>
            <w:tcW w:w="779" w:type="dxa"/>
            <w:tcBorders>
              <w:bottom w:val="single" w:sz="4" w:space="0" w:color="auto"/>
            </w:tcBorders>
          </w:tcPr>
          <w:p w14:paraId="08150C1A" w14:textId="7A7EFE00" w:rsidR="00825016" w:rsidRPr="004268CB" w:rsidRDefault="00825016" w:rsidP="007E018D">
            <w:pPr>
              <w:jc w:val="center"/>
              <w:cnfStyle w:val="010000000000" w:firstRow="0" w:lastRow="1"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rPr>
            </w:pPr>
            <w:r w:rsidRPr="004268CB">
              <w:rPr>
                <w:rFonts w:ascii="Times New Roman" w:hAnsi="Times New Roman" w:cs="Times New Roman"/>
                <w:b w:val="0"/>
                <w:bCs w:val="0"/>
              </w:rPr>
              <w:t>5%</w:t>
            </w:r>
          </w:p>
        </w:tc>
        <w:tc>
          <w:tcPr>
            <w:tcW w:w="780" w:type="dxa"/>
            <w:tcBorders>
              <w:bottom w:val="single" w:sz="4" w:space="0" w:color="auto"/>
              <w:right w:val="single" w:sz="4" w:space="0" w:color="auto"/>
            </w:tcBorders>
          </w:tcPr>
          <w:p w14:paraId="2A7DF286" w14:textId="4BC744B5" w:rsidR="00825016" w:rsidRPr="004268CB" w:rsidRDefault="00825016" w:rsidP="007E018D">
            <w:pPr>
              <w:jc w:val="center"/>
              <w:cnfStyle w:val="010000000000" w:firstRow="0" w:lastRow="1"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rPr>
            </w:pPr>
            <w:r w:rsidRPr="004268CB">
              <w:rPr>
                <w:rFonts w:ascii="Times New Roman" w:hAnsi="Times New Roman" w:cs="Times New Roman"/>
                <w:b w:val="0"/>
                <w:bCs w:val="0"/>
              </w:rPr>
              <w:t>4%</w:t>
            </w:r>
          </w:p>
        </w:tc>
      </w:tr>
    </w:tbl>
    <w:p w14:paraId="5AC3673E" w14:textId="77777777" w:rsidR="002461A1" w:rsidRPr="004268CB" w:rsidRDefault="002461A1" w:rsidP="00696228">
      <w:pPr>
        <w:rPr>
          <w:rFonts w:ascii="Times New Roman" w:hAnsi="Times New Roman" w:cs="Times New Roman"/>
          <w:lang w:val="en-IE"/>
        </w:rPr>
      </w:pPr>
    </w:p>
    <w:p w14:paraId="3349BEB9" w14:textId="77777777" w:rsidR="00A66597" w:rsidRPr="004268CB" w:rsidRDefault="00A66597" w:rsidP="00696228">
      <w:pPr>
        <w:rPr>
          <w:rFonts w:ascii="Times New Roman" w:hAnsi="Times New Roman" w:cs="Times New Roman"/>
          <w:lang w:val="en-IE"/>
        </w:rPr>
      </w:pPr>
    </w:p>
    <w:sectPr w:rsidR="00A66597" w:rsidRPr="004268CB" w:rsidSect="00112D2C">
      <w:footerReference w:type="default" r:id="rId15"/>
      <w:pgSz w:w="12240" w:h="15840"/>
      <w:pgMar w:top="1440" w:right="1066" w:bottom="1440" w:left="181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D7D8C" w14:textId="77777777" w:rsidR="006822E7" w:rsidRDefault="006822E7" w:rsidP="00E63F61">
      <w:pPr>
        <w:spacing w:after="0" w:line="240" w:lineRule="auto"/>
      </w:pPr>
      <w:r>
        <w:separator/>
      </w:r>
    </w:p>
  </w:endnote>
  <w:endnote w:type="continuationSeparator" w:id="0">
    <w:p w14:paraId="12ADFD5A" w14:textId="77777777" w:rsidR="006822E7" w:rsidRDefault="006822E7" w:rsidP="00E63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3554638"/>
      <w:docPartObj>
        <w:docPartGallery w:val="Page Numbers (Bottom of Page)"/>
        <w:docPartUnique/>
      </w:docPartObj>
    </w:sdtPr>
    <w:sdtEndPr>
      <w:rPr>
        <w:noProof/>
      </w:rPr>
    </w:sdtEndPr>
    <w:sdtContent>
      <w:p w14:paraId="0F265DDB" w14:textId="57BE79B3" w:rsidR="00231972" w:rsidRDefault="00231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09F21F" w14:textId="77777777" w:rsidR="00231972" w:rsidRDefault="00231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FC9DB" w14:textId="77777777" w:rsidR="006822E7" w:rsidRDefault="006822E7" w:rsidP="00E63F61">
      <w:pPr>
        <w:spacing w:after="0" w:line="240" w:lineRule="auto"/>
      </w:pPr>
      <w:r>
        <w:separator/>
      </w:r>
    </w:p>
  </w:footnote>
  <w:footnote w:type="continuationSeparator" w:id="0">
    <w:p w14:paraId="1A875445" w14:textId="77777777" w:rsidR="006822E7" w:rsidRDefault="006822E7" w:rsidP="00E63F61">
      <w:pPr>
        <w:spacing w:after="0" w:line="240" w:lineRule="auto"/>
      </w:pPr>
      <w:r>
        <w:continuationSeparator/>
      </w:r>
    </w:p>
  </w:footnote>
  <w:footnote w:id="1">
    <w:p w14:paraId="6D405758" w14:textId="48A283BB" w:rsidR="00231972" w:rsidRPr="00D958C5" w:rsidRDefault="00231972">
      <w:pPr>
        <w:pStyle w:val="FootnoteText"/>
        <w:rPr>
          <w:lang w:val="en-IE"/>
        </w:rPr>
      </w:pPr>
      <w:r>
        <w:rPr>
          <w:rStyle w:val="FootnoteReference"/>
        </w:rPr>
        <w:footnoteRef/>
      </w:r>
      <w:r>
        <w:t xml:space="preserve"> </w:t>
      </w:r>
      <w:r w:rsidRPr="00D958C5">
        <w:t>https://www.enterprise-ireland.com/en/Publications/Reports-Published-Strategies/Strategy-2017-to-2020.pdf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5DAD"/>
    <w:multiLevelType w:val="hybridMultilevel"/>
    <w:tmpl w:val="DC425EEA"/>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 w15:restartNumberingAfterBreak="0">
    <w:nsid w:val="0D7A412D"/>
    <w:multiLevelType w:val="hybridMultilevel"/>
    <w:tmpl w:val="2D6E24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5533648"/>
    <w:multiLevelType w:val="hybridMultilevel"/>
    <w:tmpl w:val="5E6E151C"/>
    <w:lvl w:ilvl="0" w:tplc="1809000F">
      <w:start w:val="1"/>
      <w:numFmt w:val="decimal"/>
      <w:lvlText w:val="%1."/>
      <w:lvlJc w:val="left"/>
      <w:pPr>
        <w:ind w:left="720" w:hanging="360"/>
      </w:pPr>
    </w:lvl>
    <w:lvl w:ilvl="1" w:tplc="18090003">
      <w:start w:val="1"/>
      <w:numFmt w:val="bullet"/>
      <w:lvlText w:val="o"/>
      <w:lvlJc w:val="left"/>
      <w:pPr>
        <w:ind w:left="1440" w:hanging="360"/>
      </w:pPr>
      <w:rPr>
        <w:rFonts w:ascii="Courier New" w:hAnsi="Courier New" w:cs="Courier New"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6D10887"/>
    <w:multiLevelType w:val="hybridMultilevel"/>
    <w:tmpl w:val="AB3A5E66"/>
    <w:lvl w:ilvl="0" w:tplc="18090001">
      <w:start w:val="1"/>
      <w:numFmt w:val="bullet"/>
      <w:lvlText w:val=""/>
      <w:lvlJc w:val="left"/>
      <w:pPr>
        <w:ind w:left="6480" w:hanging="360"/>
      </w:pPr>
      <w:rPr>
        <w:rFonts w:ascii="Symbol" w:hAnsi="Symbol" w:hint="default"/>
      </w:rPr>
    </w:lvl>
    <w:lvl w:ilvl="1" w:tplc="18090003" w:tentative="1">
      <w:start w:val="1"/>
      <w:numFmt w:val="bullet"/>
      <w:lvlText w:val="o"/>
      <w:lvlJc w:val="left"/>
      <w:pPr>
        <w:ind w:left="7200" w:hanging="360"/>
      </w:pPr>
      <w:rPr>
        <w:rFonts w:ascii="Courier New" w:hAnsi="Courier New" w:cs="Courier New" w:hint="default"/>
      </w:rPr>
    </w:lvl>
    <w:lvl w:ilvl="2" w:tplc="18090005" w:tentative="1">
      <w:start w:val="1"/>
      <w:numFmt w:val="bullet"/>
      <w:lvlText w:val=""/>
      <w:lvlJc w:val="left"/>
      <w:pPr>
        <w:ind w:left="7920" w:hanging="360"/>
      </w:pPr>
      <w:rPr>
        <w:rFonts w:ascii="Wingdings" w:hAnsi="Wingdings" w:hint="default"/>
      </w:rPr>
    </w:lvl>
    <w:lvl w:ilvl="3" w:tplc="18090001" w:tentative="1">
      <w:start w:val="1"/>
      <w:numFmt w:val="bullet"/>
      <w:lvlText w:val=""/>
      <w:lvlJc w:val="left"/>
      <w:pPr>
        <w:ind w:left="8640" w:hanging="360"/>
      </w:pPr>
      <w:rPr>
        <w:rFonts w:ascii="Symbol" w:hAnsi="Symbol" w:hint="default"/>
      </w:rPr>
    </w:lvl>
    <w:lvl w:ilvl="4" w:tplc="18090003" w:tentative="1">
      <w:start w:val="1"/>
      <w:numFmt w:val="bullet"/>
      <w:lvlText w:val="o"/>
      <w:lvlJc w:val="left"/>
      <w:pPr>
        <w:ind w:left="9360" w:hanging="360"/>
      </w:pPr>
      <w:rPr>
        <w:rFonts w:ascii="Courier New" w:hAnsi="Courier New" w:cs="Courier New" w:hint="default"/>
      </w:rPr>
    </w:lvl>
    <w:lvl w:ilvl="5" w:tplc="18090005" w:tentative="1">
      <w:start w:val="1"/>
      <w:numFmt w:val="bullet"/>
      <w:lvlText w:val=""/>
      <w:lvlJc w:val="left"/>
      <w:pPr>
        <w:ind w:left="10080" w:hanging="360"/>
      </w:pPr>
      <w:rPr>
        <w:rFonts w:ascii="Wingdings" w:hAnsi="Wingdings" w:hint="default"/>
      </w:rPr>
    </w:lvl>
    <w:lvl w:ilvl="6" w:tplc="18090001" w:tentative="1">
      <w:start w:val="1"/>
      <w:numFmt w:val="bullet"/>
      <w:lvlText w:val=""/>
      <w:lvlJc w:val="left"/>
      <w:pPr>
        <w:ind w:left="10800" w:hanging="360"/>
      </w:pPr>
      <w:rPr>
        <w:rFonts w:ascii="Symbol" w:hAnsi="Symbol" w:hint="default"/>
      </w:rPr>
    </w:lvl>
    <w:lvl w:ilvl="7" w:tplc="18090003" w:tentative="1">
      <w:start w:val="1"/>
      <w:numFmt w:val="bullet"/>
      <w:lvlText w:val="o"/>
      <w:lvlJc w:val="left"/>
      <w:pPr>
        <w:ind w:left="11520" w:hanging="360"/>
      </w:pPr>
      <w:rPr>
        <w:rFonts w:ascii="Courier New" w:hAnsi="Courier New" w:cs="Courier New" w:hint="default"/>
      </w:rPr>
    </w:lvl>
    <w:lvl w:ilvl="8" w:tplc="18090005" w:tentative="1">
      <w:start w:val="1"/>
      <w:numFmt w:val="bullet"/>
      <w:lvlText w:val=""/>
      <w:lvlJc w:val="left"/>
      <w:pPr>
        <w:ind w:left="12240" w:hanging="360"/>
      </w:pPr>
      <w:rPr>
        <w:rFonts w:ascii="Wingdings" w:hAnsi="Wingdings" w:hint="default"/>
      </w:rPr>
    </w:lvl>
  </w:abstractNum>
  <w:abstractNum w:abstractNumId="4" w15:restartNumberingAfterBreak="0">
    <w:nsid w:val="20C43D54"/>
    <w:multiLevelType w:val="hybridMultilevel"/>
    <w:tmpl w:val="0F1871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1B9709B"/>
    <w:multiLevelType w:val="hybridMultilevel"/>
    <w:tmpl w:val="8CF624D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2CA646E"/>
    <w:multiLevelType w:val="hybridMultilevel"/>
    <w:tmpl w:val="30E8B87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38E2E0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72CDC"/>
    <w:multiLevelType w:val="hybridMultilevel"/>
    <w:tmpl w:val="C050733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9" w15:restartNumberingAfterBreak="0">
    <w:nsid w:val="2E1220B4"/>
    <w:multiLevelType w:val="hybridMultilevel"/>
    <w:tmpl w:val="BC48CA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3AF6C1D"/>
    <w:multiLevelType w:val="hybridMultilevel"/>
    <w:tmpl w:val="B17C55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DEE08BE"/>
    <w:multiLevelType w:val="hybridMultilevel"/>
    <w:tmpl w:val="5A107A70"/>
    <w:lvl w:ilvl="0" w:tplc="3326AEE0">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0C03B90"/>
    <w:multiLevelType w:val="hybridMultilevel"/>
    <w:tmpl w:val="9B1E72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31D75A1"/>
    <w:multiLevelType w:val="hybridMultilevel"/>
    <w:tmpl w:val="F2D0DC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783322E"/>
    <w:multiLevelType w:val="hybridMultilevel"/>
    <w:tmpl w:val="A76AFE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B3B5E62"/>
    <w:multiLevelType w:val="hybridMultilevel"/>
    <w:tmpl w:val="59D6E3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F8F7716"/>
    <w:multiLevelType w:val="hybridMultilevel"/>
    <w:tmpl w:val="B7E2ED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674722E"/>
    <w:multiLevelType w:val="hybridMultilevel"/>
    <w:tmpl w:val="376C7F5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6E26093"/>
    <w:multiLevelType w:val="hybridMultilevel"/>
    <w:tmpl w:val="4D3A08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76506B5"/>
    <w:multiLevelType w:val="hybridMultilevel"/>
    <w:tmpl w:val="029EA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9654CC7"/>
    <w:multiLevelType w:val="hybridMultilevel"/>
    <w:tmpl w:val="217E56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A0E1B30"/>
    <w:multiLevelType w:val="hybridMultilevel"/>
    <w:tmpl w:val="93B4D2AC"/>
    <w:lvl w:ilvl="0" w:tplc="18090001">
      <w:start w:val="1"/>
      <w:numFmt w:val="bullet"/>
      <w:lvlText w:val=""/>
      <w:lvlJc w:val="left"/>
      <w:pPr>
        <w:ind w:left="9360" w:hanging="360"/>
      </w:pPr>
      <w:rPr>
        <w:rFonts w:ascii="Symbol" w:hAnsi="Symbol" w:hint="default"/>
      </w:rPr>
    </w:lvl>
    <w:lvl w:ilvl="1" w:tplc="18090003" w:tentative="1">
      <w:start w:val="1"/>
      <w:numFmt w:val="bullet"/>
      <w:lvlText w:val="o"/>
      <w:lvlJc w:val="left"/>
      <w:pPr>
        <w:ind w:left="10080" w:hanging="360"/>
      </w:pPr>
      <w:rPr>
        <w:rFonts w:ascii="Courier New" w:hAnsi="Courier New" w:cs="Courier New" w:hint="default"/>
      </w:rPr>
    </w:lvl>
    <w:lvl w:ilvl="2" w:tplc="18090005" w:tentative="1">
      <w:start w:val="1"/>
      <w:numFmt w:val="bullet"/>
      <w:lvlText w:val=""/>
      <w:lvlJc w:val="left"/>
      <w:pPr>
        <w:ind w:left="10800" w:hanging="360"/>
      </w:pPr>
      <w:rPr>
        <w:rFonts w:ascii="Wingdings" w:hAnsi="Wingdings" w:hint="default"/>
      </w:rPr>
    </w:lvl>
    <w:lvl w:ilvl="3" w:tplc="18090001" w:tentative="1">
      <w:start w:val="1"/>
      <w:numFmt w:val="bullet"/>
      <w:lvlText w:val=""/>
      <w:lvlJc w:val="left"/>
      <w:pPr>
        <w:ind w:left="11520" w:hanging="360"/>
      </w:pPr>
      <w:rPr>
        <w:rFonts w:ascii="Symbol" w:hAnsi="Symbol" w:hint="default"/>
      </w:rPr>
    </w:lvl>
    <w:lvl w:ilvl="4" w:tplc="18090003" w:tentative="1">
      <w:start w:val="1"/>
      <w:numFmt w:val="bullet"/>
      <w:lvlText w:val="o"/>
      <w:lvlJc w:val="left"/>
      <w:pPr>
        <w:ind w:left="12240" w:hanging="360"/>
      </w:pPr>
      <w:rPr>
        <w:rFonts w:ascii="Courier New" w:hAnsi="Courier New" w:cs="Courier New" w:hint="default"/>
      </w:rPr>
    </w:lvl>
    <w:lvl w:ilvl="5" w:tplc="18090005" w:tentative="1">
      <w:start w:val="1"/>
      <w:numFmt w:val="bullet"/>
      <w:lvlText w:val=""/>
      <w:lvlJc w:val="left"/>
      <w:pPr>
        <w:ind w:left="12960" w:hanging="360"/>
      </w:pPr>
      <w:rPr>
        <w:rFonts w:ascii="Wingdings" w:hAnsi="Wingdings" w:hint="default"/>
      </w:rPr>
    </w:lvl>
    <w:lvl w:ilvl="6" w:tplc="18090001" w:tentative="1">
      <w:start w:val="1"/>
      <w:numFmt w:val="bullet"/>
      <w:lvlText w:val=""/>
      <w:lvlJc w:val="left"/>
      <w:pPr>
        <w:ind w:left="13680" w:hanging="360"/>
      </w:pPr>
      <w:rPr>
        <w:rFonts w:ascii="Symbol" w:hAnsi="Symbol" w:hint="default"/>
      </w:rPr>
    </w:lvl>
    <w:lvl w:ilvl="7" w:tplc="18090003" w:tentative="1">
      <w:start w:val="1"/>
      <w:numFmt w:val="bullet"/>
      <w:lvlText w:val="o"/>
      <w:lvlJc w:val="left"/>
      <w:pPr>
        <w:ind w:left="14400" w:hanging="360"/>
      </w:pPr>
      <w:rPr>
        <w:rFonts w:ascii="Courier New" w:hAnsi="Courier New" w:cs="Courier New" w:hint="default"/>
      </w:rPr>
    </w:lvl>
    <w:lvl w:ilvl="8" w:tplc="18090005" w:tentative="1">
      <w:start w:val="1"/>
      <w:numFmt w:val="bullet"/>
      <w:lvlText w:val=""/>
      <w:lvlJc w:val="left"/>
      <w:pPr>
        <w:ind w:left="15120" w:hanging="360"/>
      </w:pPr>
      <w:rPr>
        <w:rFonts w:ascii="Wingdings" w:hAnsi="Wingdings" w:hint="default"/>
      </w:rPr>
    </w:lvl>
  </w:abstractNum>
  <w:abstractNum w:abstractNumId="22" w15:restartNumberingAfterBreak="0">
    <w:nsid w:val="5A96743F"/>
    <w:multiLevelType w:val="hybridMultilevel"/>
    <w:tmpl w:val="A74452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2B8029A"/>
    <w:multiLevelType w:val="hybridMultilevel"/>
    <w:tmpl w:val="F5AA33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4" w15:restartNumberingAfterBreak="0">
    <w:nsid w:val="672A14AC"/>
    <w:multiLevelType w:val="hybridMultilevel"/>
    <w:tmpl w:val="79A2AD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C3B609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ED0007E"/>
    <w:multiLevelType w:val="hybridMultilevel"/>
    <w:tmpl w:val="730AA3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3380C69"/>
    <w:multiLevelType w:val="hybridMultilevel"/>
    <w:tmpl w:val="8CDA143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85D52D9"/>
    <w:multiLevelType w:val="hybridMultilevel"/>
    <w:tmpl w:val="4B5C88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C4A6F5D"/>
    <w:multiLevelType w:val="hybridMultilevel"/>
    <w:tmpl w:val="06A092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15"/>
  </w:num>
  <w:num w:numId="4">
    <w:abstractNumId w:val="7"/>
  </w:num>
  <w:num w:numId="5">
    <w:abstractNumId w:val="13"/>
  </w:num>
  <w:num w:numId="6">
    <w:abstractNumId w:val="4"/>
  </w:num>
  <w:num w:numId="7">
    <w:abstractNumId w:val="25"/>
  </w:num>
  <w:num w:numId="8">
    <w:abstractNumId w:val="10"/>
  </w:num>
  <w:num w:numId="9">
    <w:abstractNumId w:val="1"/>
  </w:num>
  <w:num w:numId="10">
    <w:abstractNumId w:val="18"/>
  </w:num>
  <w:num w:numId="11">
    <w:abstractNumId w:val="14"/>
  </w:num>
  <w:num w:numId="12">
    <w:abstractNumId w:val="8"/>
  </w:num>
  <w:num w:numId="13">
    <w:abstractNumId w:val="0"/>
  </w:num>
  <w:num w:numId="14">
    <w:abstractNumId w:val="3"/>
  </w:num>
  <w:num w:numId="15">
    <w:abstractNumId w:val="21"/>
  </w:num>
  <w:num w:numId="16">
    <w:abstractNumId w:val="20"/>
  </w:num>
  <w:num w:numId="17">
    <w:abstractNumId w:val="2"/>
  </w:num>
  <w:num w:numId="18">
    <w:abstractNumId w:val="6"/>
  </w:num>
  <w:num w:numId="19">
    <w:abstractNumId w:val="22"/>
  </w:num>
  <w:num w:numId="20">
    <w:abstractNumId w:val="5"/>
  </w:num>
  <w:num w:numId="21">
    <w:abstractNumId w:val="19"/>
  </w:num>
  <w:num w:numId="22">
    <w:abstractNumId w:val="26"/>
  </w:num>
  <w:num w:numId="23">
    <w:abstractNumId w:val="16"/>
  </w:num>
  <w:num w:numId="24">
    <w:abstractNumId w:val="12"/>
  </w:num>
  <w:num w:numId="25">
    <w:abstractNumId w:val="17"/>
  </w:num>
  <w:num w:numId="26">
    <w:abstractNumId w:val="23"/>
  </w:num>
  <w:num w:numId="27">
    <w:abstractNumId w:val="29"/>
  </w:num>
  <w:num w:numId="28">
    <w:abstractNumId w:val="27"/>
  </w:num>
  <w:num w:numId="29">
    <w:abstractNumId w:val="28"/>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0C"/>
    <w:rsid w:val="00000152"/>
    <w:rsid w:val="00000A59"/>
    <w:rsid w:val="00000AEF"/>
    <w:rsid w:val="00001594"/>
    <w:rsid w:val="00001D14"/>
    <w:rsid w:val="00001DDD"/>
    <w:rsid w:val="000020EE"/>
    <w:rsid w:val="0000224C"/>
    <w:rsid w:val="00002C23"/>
    <w:rsid w:val="00002D49"/>
    <w:rsid w:val="00002DE7"/>
    <w:rsid w:val="00003592"/>
    <w:rsid w:val="00003821"/>
    <w:rsid w:val="00003B34"/>
    <w:rsid w:val="00003BE7"/>
    <w:rsid w:val="00003C47"/>
    <w:rsid w:val="00003D6F"/>
    <w:rsid w:val="00003ED7"/>
    <w:rsid w:val="00004183"/>
    <w:rsid w:val="0000422D"/>
    <w:rsid w:val="00004728"/>
    <w:rsid w:val="00004C7D"/>
    <w:rsid w:val="00005715"/>
    <w:rsid w:val="00005782"/>
    <w:rsid w:val="0000581D"/>
    <w:rsid w:val="00005C90"/>
    <w:rsid w:val="00005CFD"/>
    <w:rsid w:val="000060DE"/>
    <w:rsid w:val="00006A1A"/>
    <w:rsid w:val="00006FD1"/>
    <w:rsid w:val="0000771A"/>
    <w:rsid w:val="0000777D"/>
    <w:rsid w:val="00010259"/>
    <w:rsid w:val="00010AC9"/>
    <w:rsid w:val="0001160E"/>
    <w:rsid w:val="00012262"/>
    <w:rsid w:val="00012503"/>
    <w:rsid w:val="000127B7"/>
    <w:rsid w:val="00013054"/>
    <w:rsid w:val="0001341C"/>
    <w:rsid w:val="000139D8"/>
    <w:rsid w:val="00013A6C"/>
    <w:rsid w:val="00013E8D"/>
    <w:rsid w:val="00013FD6"/>
    <w:rsid w:val="00014426"/>
    <w:rsid w:val="00014707"/>
    <w:rsid w:val="00014CB7"/>
    <w:rsid w:val="00014DD1"/>
    <w:rsid w:val="00015498"/>
    <w:rsid w:val="000162F0"/>
    <w:rsid w:val="00016D13"/>
    <w:rsid w:val="00016E15"/>
    <w:rsid w:val="0001772A"/>
    <w:rsid w:val="00017A3C"/>
    <w:rsid w:val="00017F8E"/>
    <w:rsid w:val="00020461"/>
    <w:rsid w:val="00020965"/>
    <w:rsid w:val="00020A0F"/>
    <w:rsid w:val="00020ADF"/>
    <w:rsid w:val="00021059"/>
    <w:rsid w:val="00021BC9"/>
    <w:rsid w:val="00022041"/>
    <w:rsid w:val="00022062"/>
    <w:rsid w:val="000221F1"/>
    <w:rsid w:val="00022498"/>
    <w:rsid w:val="000224D9"/>
    <w:rsid w:val="0002263D"/>
    <w:rsid w:val="00022AE1"/>
    <w:rsid w:val="00022D88"/>
    <w:rsid w:val="000233BD"/>
    <w:rsid w:val="00023BA5"/>
    <w:rsid w:val="00023CFA"/>
    <w:rsid w:val="000244FE"/>
    <w:rsid w:val="00025578"/>
    <w:rsid w:val="0002564C"/>
    <w:rsid w:val="00025989"/>
    <w:rsid w:val="00025D98"/>
    <w:rsid w:val="00025DA8"/>
    <w:rsid w:val="00026651"/>
    <w:rsid w:val="00026772"/>
    <w:rsid w:val="00026EC6"/>
    <w:rsid w:val="00027B77"/>
    <w:rsid w:val="00027B9A"/>
    <w:rsid w:val="00027C22"/>
    <w:rsid w:val="00027FA7"/>
    <w:rsid w:val="000302BC"/>
    <w:rsid w:val="000302EE"/>
    <w:rsid w:val="00031DD9"/>
    <w:rsid w:val="000322D1"/>
    <w:rsid w:val="00032ACD"/>
    <w:rsid w:val="00033ABA"/>
    <w:rsid w:val="00033F88"/>
    <w:rsid w:val="000340E4"/>
    <w:rsid w:val="000347FC"/>
    <w:rsid w:val="0003489F"/>
    <w:rsid w:val="00034A4A"/>
    <w:rsid w:val="00034DC0"/>
    <w:rsid w:val="00034EB3"/>
    <w:rsid w:val="00034FE4"/>
    <w:rsid w:val="000352BA"/>
    <w:rsid w:val="000357C4"/>
    <w:rsid w:val="00035A09"/>
    <w:rsid w:val="00035DC6"/>
    <w:rsid w:val="00035ED9"/>
    <w:rsid w:val="00036082"/>
    <w:rsid w:val="00036ECB"/>
    <w:rsid w:val="00036ECC"/>
    <w:rsid w:val="00036FDD"/>
    <w:rsid w:val="00037555"/>
    <w:rsid w:val="00037AAF"/>
    <w:rsid w:val="00040571"/>
    <w:rsid w:val="0004082B"/>
    <w:rsid w:val="0004085F"/>
    <w:rsid w:val="0004092B"/>
    <w:rsid w:val="00040A8A"/>
    <w:rsid w:val="00040BB3"/>
    <w:rsid w:val="0004164A"/>
    <w:rsid w:val="00042643"/>
    <w:rsid w:val="00042833"/>
    <w:rsid w:val="000433CC"/>
    <w:rsid w:val="00043DE4"/>
    <w:rsid w:val="00044DE6"/>
    <w:rsid w:val="00044F5A"/>
    <w:rsid w:val="0004536F"/>
    <w:rsid w:val="000454CE"/>
    <w:rsid w:val="00045770"/>
    <w:rsid w:val="000458F5"/>
    <w:rsid w:val="00045C36"/>
    <w:rsid w:val="000461FD"/>
    <w:rsid w:val="000465CC"/>
    <w:rsid w:val="00047189"/>
    <w:rsid w:val="00047689"/>
    <w:rsid w:val="00047A93"/>
    <w:rsid w:val="00047B2D"/>
    <w:rsid w:val="000504B0"/>
    <w:rsid w:val="000505E5"/>
    <w:rsid w:val="00050617"/>
    <w:rsid w:val="00050FB0"/>
    <w:rsid w:val="00051122"/>
    <w:rsid w:val="0005138F"/>
    <w:rsid w:val="00051598"/>
    <w:rsid w:val="00051660"/>
    <w:rsid w:val="00051B89"/>
    <w:rsid w:val="000524E5"/>
    <w:rsid w:val="00052974"/>
    <w:rsid w:val="00053128"/>
    <w:rsid w:val="000531BF"/>
    <w:rsid w:val="000538C0"/>
    <w:rsid w:val="00053B46"/>
    <w:rsid w:val="00053F71"/>
    <w:rsid w:val="000544EF"/>
    <w:rsid w:val="000548AE"/>
    <w:rsid w:val="00054975"/>
    <w:rsid w:val="00054FD5"/>
    <w:rsid w:val="00055A34"/>
    <w:rsid w:val="00056236"/>
    <w:rsid w:val="00056984"/>
    <w:rsid w:val="00056ABB"/>
    <w:rsid w:val="00057019"/>
    <w:rsid w:val="00057086"/>
    <w:rsid w:val="00057182"/>
    <w:rsid w:val="000572BB"/>
    <w:rsid w:val="00057459"/>
    <w:rsid w:val="000579A6"/>
    <w:rsid w:val="00057ADD"/>
    <w:rsid w:val="00057DF5"/>
    <w:rsid w:val="00060729"/>
    <w:rsid w:val="000610B4"/>
    <w:rsid w:val="0006121E"/>
    <w:rsid w:val="00061787"/>
    <w:rsid w:val="00061B39"/>
    <w:rsid w:val="00061E08"/>
    <w:rsid w:val="00061E0C"/>
    <w:rsid w:val="00062086"/>
    <w:rsid w:val="000625FC"/>
    <w:rsid w:val="00063DAF"/>
    <w:rsid w:val="00063EA1"/>
    <w:rsid w:val="00064622"/>
    <w:rsid w:val="00064F5F"/>
    <w:rsid w:val="00065AD2"/>
    <w:rsid w:val="00065D56"/>
    <w:rsid w:val="00065FB3"/>
    <w:rsid w:val="000666A8"/>
    <w:rsid w:val="00066B8B"/>
    <w:rsid w:val="00067165"/>
    <w:rsid w:val="00070664"/>
    <w:rsid w:val="00070C3F"/>
    <w:rsid w:val="000710A0"/>
    <w:rsid w:val="00071457"/>
    <w:rsid w:val="000715B7"/>
    <w:rsid w:val="000719AA"/>
    <w:rsid w:val="0007256E"/>
    <w:rsid w:val="0007293F"/>
    <w:rsid w:val="000732B0"/>
    <w:rsid w:val="0007398C"/>
    <w:rsid w:val="00073CAC"/>
    <w:rsid w:val="00074065"/>
    <w:rsid w:val="00074334"/>
    <w:rsid w:val="00074CC7"/>
    <w:rsid w:val="00074E05"/>
    <w:rsid w:val="00075C5E"/>
    <w:rsid w:val="00075C7D"/>
    <w:rsid w:val="00076487"/>
    <w:rsid w:val="00076593"/>
    <w:rsid w:val="0007696C"/>
    <w:rsid w:val="00076970"/>
    <w:rsid w:val="0007704E"/>
    <w:rsid w:val="00077735"/>
    <w:rsid w:val="00077932"/>
    <w:rsid w:val="00077A5C"/>
    <w:rsid w:val="00077CC7"/>
    <w:rsid w:val="00080027"/>
    <w:rsid w:val="0008069E"/>
    <w:rsid w:val="00080787"/>
    <w:rsid w:val="000808D1"/>
    <w:rsid w:val="000809D5"/>
    <w:rsid w:val="00080F29"/>
    <w:rsid w:val="00081202"/>
    <w:rsid w:val="000822CF"/>
    <w:rsid w:val="00082578"/>
    <w:rsid w:val="00082607"/>
    <w:rsid w:val="00082872"/>
    <w:rsid w:val="000829B1"/>
    <w:rsid w:val="00082D79"/>
    <w:rsid w:val="00082DC7"/>
    <w:rsid w:val="00082EE8"/>
    <w:rsid w:val="0008311D"/>
    <w:rsid w:val="000832BE"/>
    <w:rsid w:val="00083700"/>
    <w:rsid w:val="000840A7"/>
    <w:rsid w:val="0008415C"/>
    <w:rsid w:val="00084FC7"/>
    <w:rsid w:val="0008514F"/>
    <w:rsid w:val="000857E2"/>
    <w:rsid w:val="000858AE"/>
    <w:rsid w:val="000859BA"/>
    <w:rsid w:val="00085E34"/>
    <w:rsid w:val="000866E3"/>
    <w:rsid w:val="00086771"/>
    <w:rsid w:val="00086992"/>
    <w:rsid w:val="00086A7A"/>
    <w:rsid w:val="00087098"/>
    <w:rsid w:val="000878B1"/>
    <w:rsid w:val="000905A3"/>
    <w:rsid w:val="00090964"/>
    <w:rsid w:val="00090D05"/>
    <w:rsid w:val="00090F8E"/>
    <w:rsid w:val="0009130D"/>
    <w:rsid w:val="00091804"/>
    <w:rsid w:val="00091A43"/>
    <w:rsid w:val="00091BA0"/>
    <w:rsid w:val="00091C33"/>
    <w:rsid w:val="000920FF"/>
    <w:rsid w:val="00092478"/>
    <w:rsid w:val="000933AA"/>
    <w:rsid w:val="00093A51"/>
    <w:rsid w:val="00093E6B"/>
    <w:rsid w:val="0009441A"/>
    <w:rsid w:val="000944C5"/>
    <w:rsid w:val="00094632"/>
    <w:rsid w:val="000948A6"/>
    <w:rsid w:val="00094BAD"/>
    <w:rsid w:val="00094C95"/>
    <w:rsid w:val="00095103"/>
    <w:rsid w:val="00095120"/>
    <w:rsid w:val="00095154"/>
    <w:rsid w:val="000957ED"/>
    <w:rsid w:val="0009581B"/>
    <w:rsid w:val="00095E96"/>
    <w:rsid w:val="00096659"/>
    <w:rsid w:val="000966B2"/>
    <w:rsid w:val="00096D15"/>
    <w:rsid w:val="00096F2D"/>
    <w:rsid w:val="0009731B"/>
    <w:rsid w:val="000974F1"/>
    <w:rsid w:val="000975B2"/>
    <w:rsid w:val="00097E04"/>
    <w:rsid w:val="000A02B6"/>
    <w:rsid w:val="000A0A5F"/>
    <w:rsid w:val="000A0D41"/>
    <w:rsid w:val="000A0F57"/>
    <w:rsid w:val="000A12A0"/>
    <w:rsid w:val="000A13CC"/>
    <w:rsid w:val="000A159A"/>
    <w:rsid w:val="000A1BC3"/>
    <w:rsid w:val="000A21E4"/>
    <w:rsid w:val="000A2C8E"/>
    <w:rsid w:val="000A3172"/>
    <w:rsid w:val="000A365B"/>
    <w:rsid w:val="000A3BA0"/>
    <w:rsid w:val="000A46E9"/>
    <w:rsid w:val="000A4A70"/>
    <w:rsid w:val="000A4C97"/>
    <w:rsid w:val="000A4D0B"/>
    <w:rsid w:val="000A4F04"/>
    <w:rsid w:val="000A512B"/>
    <w:rsid w:val="000A52FC"/>
    <w:rsid w:val="000A53CE"/>
    <w:rsid w:val="000A55E9"/>
    <w:rsid w:val="000A576A"/>
    <w:rsid w:val="000A5F1A"/>
    <w:rsid w:val="000A5F62"/>
    <w:rsid w:val="000A669F"/>
    <w:rsid w:val="000A6DDD"/>
    <w:rsid w:val="000A7282"/>
    <w:rsid w:val="000A7361"/>
    <w:rsid w:val="000A73A9"/>
    <w:rsid w:val="000A762F"/>
    <w:rsid w:val="000A77D0"/>
    <w:rsid w:val="000A7B18"/>
    <w:rsid w:val="000A7C5A"/>
    <w:rsid w:val="000A7D1F"/>
    <w:rsid w:val="000B0A1B"/>
    <w:rsid w:val="000B0DB0"/>
    <w:rsid w:val="000B1087"/>
    <w:rsid w:val="000B1707"/>
    <w:rsid w:val="000B181A"/>
    <w:rsid w:val="000B1841"/>
    <w:rsid w:val="000B2166"/>
    <w:rsid w:val="000B28AC"/>
    <w:rsid w:val="000B3417"/>
    <w:rsid w:val="000B3A54"/>
    <w:rsid w:val="000B3AFE"/>
    <w:rsid w:val="000B4474"/>
    <w:rsid w:val="000B4908"/>
    <w:rsid w:val="000B5355"/>
    <w:rsid w:val="000B542A"/>
    <w:rsid w:val="000B5866"/>
    <w:rsid w:val="000B63EE"/>
    <w:rsid w:val="000B7179"/>
    <w:rsid w:val="000B7501"/>
    <w:rsid w:val="000B7949"/>
    <w:rsid w:val="000B7A18"/>
    <w:rsid w:val="000B7B4F"/>
    <w:rsid w:val="000C066E"/>
    <w:rsid w:val="000C098E"/>
    <w:rsid w:val="000C23E5"/>
    <w:rsid w:val="000C2453"/>
    <w:rsid w:val="000C27CA"/>
    <w:rsid w:val="000C30C7"/>
    <w:rsid w:val="000C36D1"/>
    <w:rsid w:val="000C3CD4"/>
    <w:rsid w:val="000C3F8F"/>
    <w:rsid w:val="000C479C"/>
    <w:rsid w:val="000C4E65"/>
    <w:rsid w:val="000C5416"/>
    <w:rsid w:val="000C573D"/>
    <w:rsid w:val="000C5B4D"/>
    <w:rsid w:val="000C5F90"/>
    <w:rsid w:val="000C6396"/>
    <w:rsid w:val="000C66F9"/>
    <w:rsid w:val="000C6871"/>
    <w:rsid w:val="000C7298"/>
    <w:rsid w:val="000C7443"/>
    <w:rsid w:val="000C754B"/>
    <w:rsid w:val="000C782F"/>
    <w:rsid w:val="000D0161"/>
    <w:rsid w:val="000D10E0"/>
    <w:rsid w:val="000D111B"/>
    <w:rsid w:val="000D15A5"/>
    <w:rsid w:val="000D1602"/>
    <w:rsid w:val="000D17F7"/>
    <w:rsid w:val="000D18C8"/>
    <w:rsid w:val="000D194C"/>
    <w:rsid w:val="000D1C5D"/>
    <w:rsid w:val="000D1CCD"/>
    <w:rsid w:val="000D1E2B"/>
    <w:rsid w:val="000D2320"/>
    <w:rsid w:val="000D26BF"/>
    <w:rsid w:val="000D29F2"/>
    <w:rsid w:val="000D3048"/>
    <w:rsid w:val="000D307D"/>
    <w:rsid w:val="000D3135"/>
    <w:rsid w:val="000D380A"/>
    <w:rsid w:val="000D3889"/>
    <w:rsid w:val="000D390B"/>
    <w:rsid w:val="000D4295"/>
    <w:rsid w:val="000D4E87"/>
    <w:rsid w:val="000D4EB4"/>
    <w:rsid w:val="000D512C"/>
    <w:rsid w:val="000D52BC"/>
    <w:rsid w:val="000D58B5"/>
    <w:rsid w:val="000D5ECA"/>
    <w:rsid w:val="000D611F"/>
    <w:rsid w:val="000D6209"/>
    <w:rsid w:val="000D65B5"/>
    <w:rsid w:val="000D67C1"/>
    <w:rsid w:val="000D6C87"/>
    <w:rsid w:val="000D6D1A"/>
    <w:rsid w:val="000D6D5D"/>
    <w:rsid w:val="000D6EE3"/>
    <w:rsid w:val="000D7290"/>
    <w:rsid w:val="000D7646"/>
    <w:rsid w:val="000D7EE1"/>
    <w:rsid w:val="000E016D"/>
    <w:rsid w:val="000E0B77"/>
    <w:rsid w:val="000E1412"/>
    <w:rsid w:val="000E14A2"/>
    <w:rsid w:val="000E15FD"/>
    <w:rsid w:val="000E18D5"/>
    <w:rsid w:val="000E249E"/>
    <w:rsid w:val="000E302E"/>
    <w:rsid w:val="000E3331"/>
    <w:rsid w:val="000E368F"/>
    <w:rsid w:val="000E3764"/>
    <w:rsid w:val="000E37D7"/>
    <w:rsid w:val="000E3AA5"/>
    <w:rsid w:val="000E3CD1"/>
    <w:rsid w:val="000E3CE0"/>
    <w:rsid w:val="000E418E"/>
    <w:rsid w:val="000E48F1"/>
    <w:rsid w:val="000E4B0B"/>
    <w:rsid w:val="000E4E52"/>
    <w:rsid w:val="000E5047"/>
    <w:rsid w:val="000E572A"/>
    <w:rsid w:val="000E5DD0"/>
    <w:rsid w:val="000E5EE3"/>
    <w:rsid w:val="000E6058"/>
    <w:rsid w:val="000E6C9B"/>
    <w:rsid w:val="000E6DBE"/>
    <w:rsid w:val="000E70F4"/>
    <w:rsid w:val="000E782E"/>
    <w:rsid w:val="000E7F42"/>
    <w:rsid w:val="000F1309"/>
    <w:rsid w:val="000F1EAF"/>
    <w:rsid w:val="000F2292"/>
    <w:rsid w:val="000F24B8"/>
    <w:rsid w:val="000F31B2"/>
    <w:rsid w:val="000F3299"/>
    <w:rsid w:val="000F45C4"/>
    <w:rsid w:val="000F47A3"/>
    <w:rsid w:val="000F4831"/>
    <w:rsid w:val="000F4CB3"/>
    <w:rsid w:val="000F50EB"/>
    <w:rsid w:val="000F51C5"/>
    <w:rsid w:val="000F59C5"/>
    <w:rsid w:val="000F5AF3"/>
    <w:rsid w:val="000F5BF5"/>
    <w:rsid w:val="000F6586"/>
    <w:rsid w:val="000F721D"/>
    <w:rsid w:val="000F74E7"/>
    <w:rsid w:val="000F7ABD"/>
    <w:rsid w:val="000F7D2B"/>
    <w:rsid w:val="000F7D54"/>
    <w:rsid w:val="001002B7"/>
    <w:rsid w:val="00100B11"/>
    <w:rsid w:val="00100E83"/>
    <w:rsid w:val="00101070"/>
    <w:rsid w:val="00101235"/>
    <w:rsid w:val="001015F9"/>
    <w:rsid w:val="001027B0"/>
    <w:rsid w:val="00102B46"/>
    <w:rsid w:val="00102EB3"/>
    <w:rsid w:val="00104508"/>
    <w:rsid w:val="00104558"/>
    <w:rsid w:val="00105052"/>
    <w:rsid w:val="0010505F"/>
    <w:rsid w:val="001051F4"/>
    <w:rsid w:val="0010524D"/>
    <w:rsid w:val="00105541"/>
    <w:rsid w:val="00105B6D"/>
    <w:rsid w:val="00105DC9"/>
    <w:rsid w:val="00106203"/>
    <w:rsid w:val="001063B1"/>
    <w:rsid w:val="0010673E"/>
    <w:rsid w:val="001069A7"/>
    <w:rsid w:val="00106B36"/>
    <w:rsid w:val="001070B9"/>
    <w:rsid w:val="00107F22"/>
    <w:rsid w:val="001100B7"/>
    <w:rsid w:val="001104A5"/>
    <w:rsid w:val="001106EC"/>
    <w:rsid w:val="00110E25"/>
    <w:rsid w:val="00111010"/>
    <w:rsid w:val="0011138C"/>
    <w:rsid w:val="00111CC6"/>
    <w:rsid w:val="00111DE6"/>
    <w:rsid w:val="0011238E"/>
    <w:rsid w:val="00112B61"/>
    <w:rsid w:val="00112D2C"/>
    <w:rsid w:val="00112DAC"/>
    <w:rsid w:val="0011372C"/>
    <w:rsid w:val="00113A0B"/>
    <w:rsid w:val="00113A1D"/>
    <w:rsid w:val="00113C81"/>
    <w:rsid w:val="00113D26"/>
    <w:rsid w:val="00113E07"/>
    <w:rsid w:val="00114B36"/>
    <w:rsid w:val="00114C44"/>
    <w:rsid w:val="00114EC0"/>
    <w:rsid w:val="0011518F"/>
    <w:rsid w:val="00115A82"/>
    <w:rsid w:val="00115F06"/>
    <w:rsid w:val="0011605B"/>
    <w:rsid w:val="001163C6"/>
    <w:rsid w:val="00117316"/>
    <w:rsid w:val="001175E9"/>
    <w:rsid w:val="0011788C"/>
    <w:rsid w:val="00117970"/>
    <w:rsid w:val="001204A7"/>
    <w:rsid w:val="00120B92"/>
    <w:rsid w:val="00120DED"/>
    <w:rsid w:val="001210E1"/>
    <w:rsid w:val="001217E6"/>
    <w:rsid w:val="00121AA8"/>
    <w:rsid w:val="00121BA7"/>
    <w:rsid w:val="00121FD3"/>
    <w:rsid w:val="001224F4"/>
    <w:rsid w:val="0012312D"/>
    <w:rsid w:val="00123DAE"/>
    <w:rsid w:val="00123FE0"/>
    <w:rsid w:val="00124331"/>
    <w:rsid w:val="00124542"/>
    <w:rsid w:val="001251B3"/>
    <w:rsid w:val="001252A8"/>
    <w:rsid w:val="00125430"/>
    <w:rsid w:val="001257BC"/>
    <w:rsid w:val="00125B49"/>
    <w:rsid w:val="0012616A"/>
    <w:rsid w:val="001265A2"/>
    <w:rsid w:val="001266C4"/>
    <w:rsid w:val="00126F7E"/>
    <w:rsid w:val="00127BBD"/>
    <w:rsid w:val="0013028C"/>
    <w:rsid w:val="001306F3"/>
    <w:rsid w:val="001307CE"/>
    <w:rsid w:val="00132298"/>
    <w:rsid w:val="00132E5A"/>
    <w:rsid w:val="00133318"/>
    <w:rsid w:val="00133A43"/>
    <w:rsid w:val="00133CCF"/>
    <w:rsid w:val="00133E1E"/>
    <w:rsid w:val="00133E29"/>
    <w:rsid w:val="00133F45"/>
    <w:rsid w:val="001340AD"/>
    <w:rsid w:val="001344A4"/>
    <w:rsid w:val="00135003"/>
    <w:rsid w:val="00135185"/>
    <w:rsid w:val="00135482"/>
    <w:rsid w:val="00135936"/>
    <w:rsid w:val="00135C18"/>
    <w:rsid w:val="00135CFB"/>
    <w:rsid w:val="0013616D"/>
    <w:rsid w:val="00136272"/>
    <w:rsid w:val="00136927"/>
    <w:rsid w:val="00137171"/>
    <w:rsid w:val="001373C7"/>
    <w:rsid w:val="001377CE"/>
    <w:rsid w:val="00137D40"/>
    <w:rsid w:val="00140045"/>
    <w:rsid w:val="00140309"/>
    <w:rsid w:val="00140BDF"/>
    <w:rsid w:val="00140CE2"/>
    <w:rsid w:val="00141162"/>
    <w:rsid w:val="0014154A"/>
    <w:rsid w:val="0014185B"/>
    <w:rsid w:val="00141AB2"/>
    <w:rsid w:val="00141B7F"/>
    <w:rsid w:val="00141C1D"/>
    <w:rsid w:val="00141D10"/>
    <w:rsid w:val="001423E2"/>
    <w:rsid w:val="00142619"/>
    <w:rsid w:val="00142C32"/>
    <w:rsid w:val="00142E97"/>
    <w:rsid w:val="00143408"/>
    <w:rsid w:val="001438EA"/>
    <w:rsid w:val="0014433A"/>
    <w:rsid w:val="0014446A"/>
    <w:rsid w:val="00144563"/>
    <w:rsid w:val="0014458A"/>
    <w:rsid w:val="00144643"/>
    <w:rsid w:val="00145116"/>
    <w:rsid w:val="00145346"/>
    <w:rsid w:val="00145581"/>
    <w:rsid w:val="00145C23"/>
    <w:rsid w:val="00146077"/>
    <w:rsid w:val="001469C1"/>
    <w:rsid w:val="00146A5B"/>
    <w:rsid w:val="00146BC4"/>
    <w:rsid w:val="00146CEC"/>
    <w:rsid w:val="00147708"/>
    <w:rsid w:val="00147CCB"/>
    <w:rsid w:val="001500B9"/>
    <w:rsid w:val="00150291"/>
    <w:rsid w:val="00151104"/>
    <w:rsid w:val="001511BC"/>
    <w:rsid w:val="001512ED"/>
    <w:rsid w:val="00151761"/>
    <w:rsid w:val="00151B88"/>
    <w:rsid w:val="00151CC8"/>
    <w:rsid w:val="0015229F"/>
    <w:rsid w:val="00152386"/>
    <w:rsid w:val="00152BE8"/>
    <w:rsid w:val="00152FDA"/>
    <w:rsid w:val="00153539"/>
    <w:rsid w:val="0015371B"/>
    <w:rsid w:val="00153962"/>
    <w:rsid w:val="00153CEB"/>
    <w:rsid w:val="00153FA2"/>
    <w:rsid w:val="001546FE"/>
    <w:rsid w:val="00154726"/>
    <w:rsid w:val="001550BD"/>
    <w:rsid w:val="00155483"/>
    <w:rsid w:val="001560E4"/>
    <w:rsid w:val="001562D4"/>
    <w:rsid w:val="001566F7"/>
    <w:rsid w:val="001569B8"/>
    <w:rsid w:val="00156B5D"/>
    <w:rsid w:val="001572E6"/>
    <w:rsid w:val="00157467"/>
    <w:rsid w:val="0015777D"/>
    <w:rsid w:val="00157844"/>
    <w:rsid w:val="001578A8"/>
    <w:rsid w:val="00157A8E"/>
    <w:rsid w:val="00157BF3"/>
    <w:rsid w:val="00157DF0"/>
    <w:rsid w:val="0016024A"/>
    <w:rsid w:val="001602CD"/>
    <w:rsid w:val="00160384"/>
    <w:rsid w:val="0016075C"/>
    <w:rsid w:val="00160C83"/>
    <w:rsid w:val="00161174"/>
    <w:rsid w:val="00161313"/>
    <w:rsid w:val="00161818"/>
    <w:rsid w:val="00161D87"/>
    <w:rsid w:val="00161EA7"/>
    <w:rsid w:val="00161F50"/>
    <w:rsid w:val="001624F7"/>
    <w:rsid w:val="00162AA7"/>
    <w:rsid w:val="00163391"/>
    <w:rsid w:val="00163647"/>
    <w:rsid w:val="001639C6"/>
    <w:rsid w:val="00163F57"/>
    <w:rsid w:val="00163FCF"/>
    <w:rsid w:val="001646D9"/>
    <w:rsid w:val="00165BFE"/>
    <w:rsid w:val="0016681B"/>
    <w:rsid w:val="001672B4"/>
    <w:rsid w:val="00167A15"/>
    <w:rsid w:val="00167D1F"/>
    <w:rsid w:val="001702BF"/>
    <w:rsid w:val="001705F0"/>
    <w:rsid w:val="00170632"/>
    <w:rsid w:val="00171B66"/>
    <w:rsid w:val="00171BCA"/>
    <w:rsid w:val="00171CD5"/>
    <w:rsid w:val="00171D97"/>
    <w:rsid w:val="00171FC6"/>
    <w:rsid w:val="001722FE"/>
    <w:rsid w:val="00172386"/>
    <w:rsid w:val="00172412"/>
    <w:rsid w:val="0017248D"/>
    <w:rsid w:val="0017251D"/>
    <w:rsid w:val="0017260A"/>
    <w:rsid w:val="001727A1"/>
    <w:rsid w:val="00172BC7"/>
    <w:rsid w:val="00172C3A"/>
    <w:rsid w:val="001731A0"/>
    <w:rsid w:val="00173854"/>
    <w:rsid w:val="00173CD7"/>
    <w:rsid w:val="001740B1"/>
    <w:rsid w:val="001743E3"/>
    <w:rsid w:val="00174686"/>
    <w:rsid w:val="00174755"/>
    <w:rsid w:val="00174BCF"/>
    <w:rsid w:val="00174D06"/>
    <w:rsid w:val="00175810"/>
    <w:rsid w:val="00175ADD"/>
    <w:rsid w:val="00175EA3"/>
    <w:rsid w:val="00175F6E"/>
    <w:rsid w:val="00176062"/>
    <w:rsid w:val="001765BA"/>
    <w:rsid w:val="00176746"/>
    <w:rsid w:val="00176DEA"/>
    <w:rsid w:val="00177611"/>
    <w:rsid w:val="00180DC0"/>
    <w:rsid w:val="00180DD1"/>
    <w:rsid w:val="00180DE6"/>
    <w:rsid w:val="001814A3"/>
    <w:rsid w:val="00182081"/>
    <w:rsid w:val="0018257A"/>
    <w:rsid w:val="00182633"/>
    <w:rsid w:val="00182944"/>
    <w:rsid w:val="00182CDA"/>
    <w:rsid w:val="00183149"/>
    <w:rsid w:val="001832D9"/>
    <w:rsid w:val="001835F5"/>
    <w:rsid w:val="00183C39"/>
    <w:rsid w:val="00183FB8"/>
    <w:rsid w:val="00184068"/>
    <w:rsid w:val="0018425B"/>
    <w:rsid w:val="0018483D"/>
    <w:rsid w:val="00184D84"/>
    <w:rsid w:val="0018539F"/>
    <w:rsid w:val="001856F9"/>
    <w:rsid w:val="00185D45"/>
    <w:rsid w:val="00185E74"/>
    <w:rsid w:val="001860F7"/>
    <w:rsid w:val="001862A1"/>
    <w:rsid w:val="001864E3"/>
    <w:rsid w:val="001872DD"/>
    <w:rsid w:val="00187384"/>
    <w:rsid w:val="0018784C"/>
    <w:rsid w:val="00190066"/>
    <w:rsid w:val="00190452"/>
    <w:rsid w:val="00190484"/>
    <w:rsid w:val="001909A6"/>
    <w:rsid w:val="00190F26"/>
    <w:rsid w:val="00191278"/>
    <w:rsid w:val="00191F31"/>
    <w:rsid w:val="0019212A"/>
    <w:rsid w:val="00192770"/>
    <w:rsid w:val="00192C4A"/>
    <w:rsid w:val="00192FD8"/>
    <w:rsid w:val="001932BD"/>
    <w:rsid w:val="00194148"/>
    <w:rsid w:val="00194163"/>
    <w:rsid w:val="0019437A"/>
    <w:rsid w:val="00194AD3"/>
    <w:rsid w:val="00194F5D"/>
    <w:rsid w:val="00195662"/>
    <w:rsid w:val="00195906"/>
    <w:rsid w:val="00195ACA"/>
    <w:rsid w:val="00196B13"/>
    <w:rsid w:val="00196DEA"/>
    <w:rsid w:val="00196E61"/>
    <w:rsid w:val="00197001"/>
    <w:rsid w:val="00197124"/>
    <w:rsid w:val="00197470"/>
    <w:rsid w:val="00197A56"/>
    <w:rsid w:val="001A04EE"/>
    <w:rsid w:val="001A08B8"/>
    <w:rsid w:val="001A09DB"/>
    <w:rsid w:val="001A105B"/>
    <w:rsid w:val="001A1365"/>
    <w:rsid w:val="001A2387"/>
    <w:rsid w:val="001A310E"/>
    <w:rsid w:val="001A3597"/>
    <w:rsid w:val="001A3C90"/>
    <w:rsid w:val="001A447C"/>
    <w:rsid w:val="001A4487"/>
    <w:rsid w:val="001A4B52"/>
    <w:rsid w:val="001A5158"/>
    <w:rsid w:val="001A52F6"/>
    <w:rsid w:val="001A5903"/>
    <w:rsid w:val="001A59C7"/>
    <w:rsid w:val="001A59D7"/>
    <w:rsid w:val="001A5D1D"/>
    <w:rsid w:val="001A6268"/>
    <w:rsid w:val="001A64A2"/>
    <w:rsid w:val="001A676A"/>
    <w:rsid w:val="001A6B49"/>
    <w:rsid w:val="001A6B9B"/>
    <w:rsid w:val="001A6FF5"/>
    <w:rsid w:val="001A7815"/>
    <w:rsid w:val="001A7C4D"/>
    <w:rsid w:val="001A7C55"/>
    <w:rsid w:val="001B0042"/>
    <w:rsid w:val="001B0CF0"/>
    <w:rsid w:val="001B117C"/>
    <w:rsid w:val="001B2325"/>
    <w:rsid w:val="001B27B2"/>
    <w:rsid w:val="001B2886"/>
    <w:rsid w:val="001B343F"/>
    <w:rsid w:val="001B348F"/>
    <w:rsid w:val="001B34AE"/>
    <w:rsid w:val="001B42ED"/>
    <w:rsid w:val="001B4900"/>
    <w:rsid w:val="001B4CDF"/>
    <w:rsid w:val="001B516E"/>
    <w:rsid w:val="001B5213"/>
    <w:rsid w:val="001B5229"/>
    <w:rsid w:val="001B535A"/>
    <w:rsid w:val="001B5509"/>
    <w:rsid w:val="001B552B"/>
    <w:rsid w:val="001B552C"/>
    <w:rsid w:val="001B6245"/>
    <w:rsid w:val="001B6A1C"/>
    <w:rsid w:val="001B6CFC"/>
    <w:rsid w:val="001B7713"/>
    <w:rsid w:val="001B7AFE"/>
    <w:rsid w:val="001B7EA0"/>
    <w:rsid w:val="001C011A"/>
    <w:rsid w:val="001C01A3"/>
    <w:rsid w:val="001C04ED"/>
    <w:rsid w:val="001C0658"/>
    <w:rsid w:val="001C0D1B"/>
    <w:rsid w:val="001C1B2D"/>
    <w:rsid w:val="001C20A4"/>
    <w:rsid w:val="001C246E"/>
    <w:rsid w:val="001C25B1"/>
    <w:rsid w:val="001C26F5"/>
    <w:rsid w:val="001C2C66"/>
    <w:rsid w:val="001C3318"/>
    <w:rsid w:val="001C3508"/>
    <w:rsid w:val="001C3928"/>
    <w:rsid w:val="001C3C9A"/>
    <w:rsid w:val="001C3CEA"/>
    <w:rsid w:val="001C3DD8"/>
    <w:rsid w:val="001C4724"/>
    <w:rsid w:val="001C4E78"/>
    <w:rsid w:val="001C53C3"/>
    <w:rsid w:val="001C5468"/>
    <w:rsid w:val="001C575F"/>
    <w:rsid w:val="001C5A87"/>
    <w:rsid w:val="001C5AAF"/>
    <w:rsid w:val="001C5D24"/>
    <w:rsid w:val="001C5F6A"/>
    <w:rsid w:val="001C63DD"/>
    <w:rsid w:val="001C7314"/>
    <w:rsid w:val="001C74C9"/>
    <w:rsid w:val="001C7837"/>
    <w:rsid w:val="001C7877"/>
    <w:rsid w:val="001C7DBB"/>
    <w:rsid w:val="001D047B"/>
    <w:rsid w:val="001D06F7"/>
    <w:rsid w:val="001D1020"/>
    <w:rsid w:val="001D136B"/>
    <w:rsid w:val="001D14D4"/>
    <w:rsid w:val="001D19EF"/>
    <w:rsid w:val="001D1B4E"/>
    <w:rsid w:val="001D26AA"/>
    <w:rsid w:val="001D2E4B"/>
    <w:rsid w:val="001D34A8"/>
    <w:rsid w:val="001D3514"/>
    <w:rsid w:val="001D3755"/>
    <w:rsid w:val="001D404F"/>
    <w:rsid w:val="001D40D5"/>
    <w:rsid w:val="001D4973"/>
    <w:rsid w:val="001D4AF9"/>
    <w:rsid w:val="001D4E9E"/>
    <w:rsid w:val="001D5414"/>
    <w:rsid w:val="001D5456"/>
    <w:rsid w:val="001D55BA"/>
    <w:rsid w:val="001D5920"/>
    <w:rsid w:val="001D5E40"/>
    <w:rsid w:val="001D61F5"/>
    <w:rsid w:val="001D6B09"/>
    <w:rsid w:val="001D7253"/>
    <w:rsid w:val="001D7552"/>
    <w:rsid w:val="001D787A"/>
    <w:rsid w:val="001D78B5"/>
    <w:rsid w:val="001D7C03"/>
    <w:rsid w:val="001D7D41"/>
    <w:rsid w:val="001E049C"/>
    <w:rsid w:val="001E04B5"/>
    <w:rsid w:val="001E04D8"/>
    <w:rsid w:val="001E0D43"/>
    <w:rsid w:val="001E1698"/>
    <w:rsid w:val="001E16B3"/>
    <w:rsid w:val="001E1805"/>
    <w:rsid w:val="001E1922"/>
    <w:rsid w:val="001E19F6"/>
    <w:rsid w:val="001E214F"/>
    <w:rsid w:val="001E298F"/>
    <w:rsid w:val="001E2CFA"/>
    <w:rsid w:val="001E2EDE"/>
    <w:rsid w:val="001E2F4C"/>
    <w:rsid w:val="001E2F77"/>
    <w:rsid w:val="001E3056"/>
    <w:rsid w:val="001E3163"/>
    <w:rsid w:val="001E31E3"/>
    <w:rsid w:val="001E43F8"/>
    <w:rsid w:val="001E4C41"/>
    <w:rsid w:val="001E559F"/>
    <w:rsid w:val="001E5731"/>
    <w:rsid w:val="001E5767"/>
    <w:rsid w:val="001E5BE1"/>
    <w:rsid w:val="001E5D06"/>
    <w:rsid w:val="001E5EC8"/>
    <w:rsid w:val="001E5FC3"/>
    <w:rsid w:val="001E69D5"/>
    <w:rsid w:val="001E6FCD"/>
    <w:rsid w:val="001E7111"/>
    <w:rsid w:val="001E7301"/>
    <w:rsid w:val="001E75F8"/>
    <w:rsid w:val="001E76EF"/>
    <w:rsid w:val="001E7889"/>
    <w:rsid w:val="001E79F2"/>
    <w:rsid w:val="001F0256"/>
    <w:rsid w:val="001F07A9"/>
    <w:rsid w:val="001F0923"/>
    <w:rsid w:val="001F0A26"/>
    <w:rsid w:val="001F0B43"/>
    <w:rsid w:val="001F11DE"/>
    <w:rsid w:val="001F1281"/>
    <w:rsid w:val="001F16E6"/>
    <w:rsid w:val="001F21A7"/>
    <w:rsid w:val="001F26AF"/>
    <w:rsid w:val="001F26FE"/>
    <w:rsid w:val="001F28B7"/>
    <w:rsid w:val="001F29D8"/>
    <w:rsid w:val="001F2B1A"/>
    <w:rsid w:val="001F2DE0"/>
    <w:rsid w:val="001F3862"/>
    <w:rsid w:val="001F3A0F"/>
    <w:rsid w:val="001F3D5D"/>
    <w:rsid w:val="001F4545"/>
    <w:rsid w:val="001F51E1"/>
    <w:rsid w:val="001F574E"/>
    <w:rsid w:val="001F58B2"/>
    <w:rsid w:val="001F5C95"/>
    <w:rsid w:val="001F5EA2"/>
    <w:rsid w:val="001F604E"/>
    <w:rsid w:val="001F62D1"/>
    <w:rsid w:val="001F6927"/>
    <w:rsid w:val="001F6E92"/>
    <w:rsid w:val="001F757C"/>
    <w:rsid w:val="001F7CC7"/>
    <w:rsid w:val="002004B4"/>
    <w:rsid w:val="002007E1"/>
    <w:rsid w:val="002011C4"/>
    <w:rsid w:val="00201274"/>
    <w:rsid w:val="0020154E"/>
    <w:rsid w:val="00201837"/>
    <w:rsid w:val="0020230C"/>
    <w:rsid w:val="00202740"/>
    <w:rsid w:val="002027A5"/>
    <w:rsid w:val="00202952"/>
    <w:rsid w:val="00202ABB"/>
    <w:rsid w:val="00202CED"/>
    <w:rsid w:val="00202D06"/>
    <w:rsid w:val="00203317"/>
    <w:rsid w:val="00203733"/>
    <w:rsid w:val="0020378D"/>
    <w:rsid w:val="0020389C"/>
    <w:rsid w:val="002045B3"/>
    <w:rsid w:val="002048B8"/>
    <w:rsid w:val="00204C25"/>
    <w:rsid w:val="00204EA3"/>
    <w:rsid w:val="002051D2"/>
    <w:rsid w:val="00205541"/>
    <w:rsid w:val="002055D5"/>
    <w:rsid w:val="00205939"/>
    <w:rsid w:val="00205B7A"/>
    <w:rsid w:val="00206200"/>
    <w:rsid w:val="002062C3"/>
    <w:rsid w:val="00207242"/>
    <w:rsid w:val="00207920"/>
    <w:rsid w:val="00207AC0"/>
    <w:rsid w:val="00207C66"/>
    <w:rsid w:val="0021022C"/>
    <w:rsid w:val="002104F4"/>
    <w:rsid w:val="002105B2"/>
    <w:rsid w:val="00210943"/>
    <w:rsid w:val="00210CF0"/>
    <w:rsid w:val="00210D71"/>
    <w:rsid w:val="00211AC9"/>
    <w:rsid w:val="002123AD"/>
    <w:rsid w:val="00212459"/>
    <w:rsid w:val="00212F3B"/>
    <w:rsid w:val="00214BCB"/>
    <w:rsid w:val="00214CD0"/>
    <w:rsid w:val="00215120"/>
    <w:rsid w:val="002151EC"/>
    <w:rsid w:val="002155A5"/>
    <w:rsid w:val="0021596A"/>
    <w:rsid w:val="00215ECD"/>
    <w:rsid w:val="00216040"/>
    <w:rsid w:val="002160B8"/>
    <w:rsid w:val="002161E5"/>
    <w:rsid w:val="002168FC"/>
    <w:rsid w:val="00216AD4"/>
    <w:rsid w:val="00216C7E"/>
    <w:rsid w:val="002173A6"/>
    <w:rsid w:val="00217475"/>
    <w:rsid w:val="00217B8D"/>
    <w:rsid w:val="00221DA8"/>
    <w:rsid w:val="00221E6E"/>
    <w:rsid w:val="00221FCC"/>
    <w:rsid w:val="0022223A"/>
    <w:rsid w:val="00222829"/>
    <w:rsid w:val="00222E7F"/>
    <w:rsid w:val="00222FCC"/>
    <w:rsid w:val="002236CD"/>
    <w:rsid w:val="00223707"/>
    <w:rsid w:val="00223764"/>
    <w:rsid w:val="0022399F"/>
    <w:rsid w:val="002239B8"/>
    <w:rsid w:val="00223AFC"/>
    <w:rsid w:val="00223EAF"/>
    <w:rsid w:val="0022510C"/>
    <w:rsid w:val="00225301"/>
    <w:rsid w:val="002257E8"/>
    <w:rsid w:val="00225932"/>
    <w:rsid w:val="002259DC"/>
    <w:rsid w:val="00225DB7"/>
    <w:rsid w:val="00225E3A"/>
    <w:rsid w:val="0022671B"/>
    <w:rsid w:val="002269D5"/>
    <w:rsid w:val="002269F1"/>
    <w:rsid w:val="00226B53"/>
    <w:rsid w:val="00226B7C"/>
    <w:rsid w:val="00226C92"/>
    <w:rsid w:val="002271E5"/>
    <w:rsid w:val="002274CE"/>
    <w:rsid w:val="0022790A"/>
    <w:rsid w:val="00227EF0"/>
    <w:rsid w:val="0023069C"/>
    <w:rsid w:val="0023073F"/>
    <w:rsid w:val="002308B0"/>
    <w:rsid w:val="002311D0"/>
    <w:rsid w:val="00231972"/>
    <w:rsid w:val="00231E15"/>
    <w:rsid w:val="002320AC"/>
    <w:rsid w:val="002324C7"/>
    <w:rsid w:val="00232ACF"/>
    <w:rsid w:val="00232EBB"/>
    <w:rsid w:val="00233179"/>
    <w:rsid w:val="002332ED"/>
    <w:rsid w:val="002343C3"/>
    <w:rsid w:val="00234F4E"/>
    <w:rsid w:val="0023582D"/>
    <w:rsid w:val="00235FF0"/>
    <w:rsid w:val="00236C32"/>
    <w:rsid w:val="00236E29"/>
    <w:rsid w:val="002375DD"/>
    <w:rsid w:val="00237725"/>
    <w:rsid w:val="00237B45"/>
    <w:rsid w:val="00240B1E"/>
    <w:rsid w:val="00240B2D"/>
    <w:rsid w:val="00240E88"/>
    <w:rsid w:val="00240FC4"/>
    <w:rsid w:val="002410A3"/>
    <w:rsid w:val="00241598"/>
    <w:rsid w:val="00241E0F"/>
    <w:rsid w:val="00242DA2"/>
    <w:rsid w:val="00242FD0"/>
    <w:rsid w:val="00243011"/>
    <w:rsid w:val="002432D9"/>
    <w:rsid w:val="0024350F"/>
    <w:rsid w:val="00243CC0"/>
    <w:rsid w:val="0024416E"/>
    <w:rsid w:val="002442DC"/>
    <w:rsid w:val="00244356"/>
    <w:rsid w:val="00244912"/>
    <w:rsid w:val="00244CE2"/>
    <w:rsid w:val="002450C3"/>
    <w:rsid w:val="0024527B"/>
    <w:rsid w:val="002457BB"/>
    <w:rsid w:val="00246061"/>
    <w:rsid w:val="002461A1"/>
    <w:rsid w:val="0024698E"/>
    <w:rsid w:val="00246A78"/>
    <w:rsid w:val="00246FDF"/>
    <w:rsid w:val="0024716F"/>
    <w:rsid w:val="0024792F"/>
    <w:rsid w:val="00247A08"/>
    <w:rsid w:val="00247C45"/>
    <w:rsid w:val="00250203"/>
    <w:rsid w:val="0025064A"/>
    <w:rsid w:val="00250DFB"/>
    <w:rsid w:val="002518AD"/>
    <w:rsid w:val="00252415"/>
    <w:rsid w:val="002526A2"/>
    <w:rsid w:val="002527D2"/>
    <w:rsid w:val="00252952"/>
    <w:rsid w:val="00252C9E"/>
    <w:rsid w:val="00252D4E"/>
    <w:rsid w:val="00253043"/>
    <w:rsid w:val="002536D6"/>
    <w:rsid w:val="002543DE"/>
    <w:rsid w:val="00254666"/>
    <w:rsid w:val="00254736"/>
    <w:rsid w:val="0025485F"/>
    <w:rsid w:val="00254B4F"/>
    <w:rsid w:val="0025509C"/>
    <w:rsid w:val="0025563B"/>
    <w:rsid w:val="00256357"/>
    <w:rsid w:val="00256945"/>
    <w:rsid w:val="00256B5E"/>
    <w:rsid w:val="00256BF7"/>
    <w:rsid w:val="00257B08"/>
    <w:rsid w:val="00257CD5"/>
    <w:rsid w:val="00257D27"/>
    <w:rsid w:val="00257F56"/>
    <w:rsid w:val="002600E5"/>
    <w:rsid w:val="00260B7C"/>
    <w:rsid w:val="00261003"/>
    <w:rsid w:val="00261C3F"/>
    <w:rsid w:val="0026247E"/>
    <w:rsid w:val="002624B2"/>
    <w:rsid w:val="00262A49"/>
    <w:rsid w:val="00262CEA"/>
    <w:rsid w:val="00262D59"/>
    <w:rsid w:val="00263047"/>
    <w:rsid w:val="00263188"/>
    <w:rsid w:val="002632B8"/>
    <w:rsid w:val="00263859"/>
    <w:rsid w:val="00263F0D"/>
    <w:rsid w:val="0026481E"/>
    <w:rsid w:val="002651D9"/>
    <w:rsid w:val="0026549E"/>
    <w:rsid w:val="002654CB"/>
    <w:rsid w:val="002656A1"/>
    <w:rsid w:val="0026627A"/>
    <w:rsid w:val="002666A9"/>
    <w:rsid w:val="00266A4E"/>
    <w:rsid w:val="002672E1"/>
    <w:rsid w:val="002674E7"/>
    <w:rsid w:val="002678E4"/>
    <w:rsid w:val="00267B2B"/>
    <w:rsid w:val="00267E9F"/>
    <w:rsid w:val="00270642"/>
    <w:rsid w:val="00270745"/>
    <w:rsid w:val="00270AB1"/>
    <w:rsid w:val="00270B3E"/>
    <w:rsid w:val="00270F08"/>
    <w:rsid w:val="00271013"/>
    <w:rsid w:val="00271988"/>
    <w:rsid w:val="00271B13"/>
    <w:rsid w:val="00271C56"/>
    <w:rsid w:val="00272032"/>
    <w:rsid w:val="00272228"/>
    <w:rsid w:val="002722DE"/>
    <w:rsid w:val="0027271A"/>
    <w:rsid w:val="0027273D"/>
    <w:rsid w:val="00272CA9"/>
    <w:rsid w:val="00272F46"/>
    <w:rsid w:val="002732AD"/>
    <w:rsid w:val="00273335"/>
    <w:rsid w:val="0027348F"/>
    <w:rsid w:val="00273F1D"/>
    <w:rsid w:val="00273FDA"/>
    <w:rsid w:val="00274B1F"/>
    <w:rsid w:val="00275424"/>
    <w:rsid w:val="0027579F"/>
    <w:rsid w:val="002761D1"/>
    <w:rsid w:val="00276751"/>
    <w:rsid w:val="00276BB6"/>
    <w:rsid w:val="00276C04"/>
    <w:rsid w:val="00276FBA"/>
    <w:rsid w:val="002774F2"/>
    <w:rsid w:val="00277756"/>
    <w:rsid w:val="00277D46"/>
    <w:rsid w:val="00277FFE"/>
    <w:rsid w:val="002810D4"/>
    <w:rsid w:val="00281338"/>
    <w:rsid w:val="0028145E"/>
    <w:rsid w:val="00281B31"/>
    <w:rsid w:val="0028208D"/>
    <w:rsid w:val="00282BD4"/>
    <w:rsid w:val="00283452"/>
    <w:rsid w:val="00283634"/>
    <w:rsid w:val="00283B43"/>
    <w:rsid w:val="00283C0F"/>
    <w:rsid w:val="002840DC"/>
    <w:rsid w:val="00284BF4"/>
    <w:rsid w:val="00284DC1"/>
    <w:rsid w:val="00285C5B"/>
    <w:rsid w:val="00285F8C"/>
    <w:rsid w:val="002861A9"/>
    <w:rsid w:val="002867A2"/>
    <w:rsid w:val="002867B4"/>
    <w:rsid w:val="00286E13"/>
    <w:rsid w:val="00287612"/>
    <w:rsid w:val="002878E3"/>
    <w:rsid w:val="00287DD6"/>
    <w:rsid w:val="00290071"/>
    <w:rsid w:val="002904A9"/>
    <w:rsid w:val="00290844"/>
    <w:rsid w:val="002909AB"/>
    <w:rsid w:val="00290A9C"/>
    <w:rsid w:val="00290D79"/>
    <w:rsid w:val="00290DEF"/>
    <w:rsid w:val="002912AE"/>
    <w:rsid w:val="002913A3"/>
    <w:rsid w:val="002919D7"/>
    <w:rsid w:val="00291F87"/>
    <w:rsid w:val="00292291"/>
    <w:rsid w:val="002926B2"/>
    <w:rsid w:val="002929E2"/>
    <w:rsid w:val="00293050"/>
    <w:rsid w:val="00293562"/>
    <w:rsid w:val="00293F09"/>
    <w:rsid w:val="00294576"/>
    <w:rsid w:val="002946F9"/>
    <w:rsid w:val="002948D2"/>
    <w:rsid w:val="00294E15"/>
    <w:rsid w:val="00294F4A"/>
    <w:rsid w:val="0029580A"/>
    <w:rsid w:val="00295D7B"/>
    <w:rsid w:val="0029619A"/>
    <w:rsid w:val="002967C7"/>
    <w:rsid w:val="00296D02"/>
    <w:rsid w:val="002976B1"/>
    <w:rsid w:val="00297F18"/>
    <w:rsid w:val="00297F57"/>
    <w:rsid w:val="00297F92"/>
    <w:rsid w:val="002A095A"/>
    <w:rsid w:val="002A09C3"/>
    <w:rsid w:val="002A0BE9"/>
    <w:rsid w:val="002A0C41"/>
    <w:rsid w:val="002A0C63"/>
    <w:rsid w:val="002A0E3F"/>
    <w:rsid w:val="002A0F8C"/>
    <w:rsid w:val="002A1A59"/>
    <w:rsid w:val="002A1C8E"/>
    <w:rsid w:val="002A2057"/>
    <w:rsid w:val="002A28E2"/>
    <w:rsid w:val="002A2C99"/>
    <w:rsid w:val="002A382B"/>
    <w:rsid w:val="002A3DE8"/>
    <w:rsid w:val="002A3EB9"/>
    <w:rsid w:val="002A42B7"/>
    <w:rsid w:val="002A46C3"/>
    <w:rsid w:val="002A4E3E"/>
    <w:rsid w:val="002A4E7E"/>
    <w:rsid w:val="002A570E"/>
    <w:rsid w:val="002A5B46"/>
    <w:rsid w:val="002A5C2B"/>
    <w:rsid w:val="002A6146"/>
    <w:rsid w:val="002A6712"/>
    <w:rsid w:val="002A70A5"/>
    <w:rsid w:val="002A711D"/>
    <w:rsid w:val="002A7735"/>
    <w:rsid w:val="002A7C79"/>
    <w:rsid w:val="002A7CEF"/>
    <w:rsid w:val="002B0741"/>
    <w:rsid w:val="002B0C34"/>
    <w:rsid w:val="002B0C65"/>
    <w:rsid w:val="002B0D49"/>
    <w:rsid w:val="002B1064"/>
    <w:rsid w:val="002B114A"/>
    <w:rsid w:val="002B17B8"/>
    <w:rsid w:val="002B1FB7"/>
    <w:rsid w:val="002B2266"/>
    <w:rsid w:val="002B27BE"/>
    <w:rsid w:val="002B2A57"/>
    <w:rsid w:val="002B2B07"/>
    <w:rsid w:val="002B2E16"/>
    <w:rsid w:val="002B3175"/>
    <w:rsid w:val="002B31B7"/>
    <w:rsid w:val="002B31DD"/>
    <w:rsid w:val="002B3473"/>
    <w:rsid w:val="002B355C"/>
    <w:rsid w:val="002B432B"/>
    <w:rsid w:val="002B45CE"/>
    <w:rsid w:val="002B477B"/>
    <w:rsid w:val="002B47C7"/>
    <w:rsid w:val="002B4A3C"/>
    <w:rsid w:val="002B5046"/>
    <w:rsid w:val="002B50D2"/>
    <w:rsid w:val="002B5AB5"/>
    <w:rsid w:val="002B63B8"/>
    <w:rsid w:val="002B695D"/>
    <w:rsid w:val="002B6BBE"/>
    <w:rsid w:val="002B6C12"/>
    <w:rsid w:val="002B6FF8"/>
    <w:rsid w:val="002B7159"/>
    <w:rsid w:val="002B75FE"/>
    <w:rsid w:val="002C00E4"/>
    <w:rsid w:val="002C088D"/>
    <w:rsid w:val="002C08DD"/>
    <w:rsid w:val="002C1126"/>
    <w:rsid w:val="002C1EE9"/>
    <w:rsid w:val="002C20D1"/>
    <w:rsid w:val="002C24A8"/>
    <w:rsid w:val="002C2BB4"/>
    <w:rsid w:val="002C2FFE"/>
    <w:rsid w:val="002C320B"/>
    <w:rsid w:val="002C331D"/>
    <w:rsid w:val="002C3732"/>
    <w:rsid w:val="002C3DB1"/>
    <w:rsid w:val="002C4594"/>
    <w:rsid w:val="002C46EA"/>
    <w:rsid w:val="002C49DE"/>
    <w:rsid w:val="002C53CD"/>
    <w:rsid w:val="002C572D"/>
    <w:rsid w:val="002C5868"/>
    <w:rsid w:val="002C5896"/>
    <w:rsid w:val="002C59CC"/>
    <w:rsid w:val="002C5E39"/>
    <w:rsid w:val="002C6997"/>
    <w:rsid w:val="002C6EF8"/>
    <w:rsid w:val="002C6F51"/>
    <w:rsid w:val="002C74A1"/>
    <w:rsid w:val="002C7CBE"/>
    <w:rsid w:val="002C7E38"/>
    <w:rsid w:val="002C7FB0"/>
    <w:rsid w:val="002C7FF3"/>
    <w:rsid w:val="002D0027"/>
    <w:rsid w:val="002D0120"/>
    <w:rsid w:val="002D01AE"/>
    <w:rsid w:val="002D1094"/>
    <w:rsid w:val="002D14E6"/>
    <w:rsid w:val="002D154C"/>
    <w:rsid w:val="002D181F"/>
    <w:rsid w:val="002D1DDB"/>
    <w:rsid w:val="002D24B0"/>
    <w:rsid w:val="002D2987"/>
    <w:rsid w:val="002D29A3"/>
    <w:rsid w:val="002D2A74"/>
    <w:rsid w:val="002D2AE7"/>
    <w:rsid w:val="002D2B71"/>
    <w:rsid w:val="002D2F40"/>
    <w:rsid w:val="002D3098"/>
    <w:rsid w:val="002D3505"/>
    <w:rsid w:val="002D369A"/>
    <w:rsid w:val="002D36B8"/>
    <w:rsid w:val="002D3875"/>
    <w:rsid w:val="002D3975"/>
    <w:rsid w:val="002D4617"/>
    <w:rsid w:val="002D469A"/>
    <w:rsid w:val="002D4ABA"/>
    <w:rsid w:val="002D5124"/>
    <w:rsid w:val="002D52DD"/>
    <w:rsid w:val="002D5844"/>
    <w:rsid w:val="002D5E91"/>
    <w:rsid w:val="002D6195"/>
    <w:rsid w:val="002D6216"/>
    <w:rsid w:val="002D6286"/>
    <w:rsid w:val="002D6990"/>
    <w:rsid w:val="002D74AF"/>
    <w:rsid w:val="002D7677"/>
    <w:rsid w:val="002D7889"/>
    <w:rsid w:val="002E009A"/>
    <w:rsid w:val="002E0493"/>
    <w:rsid w:val="002E0671"/>
    <w:rsid w:val="002E0974"/>
    <w:rsid w:val="002E0E3D"/>
    <w:rsid w:val="002E0FA4"/>
    <w:rsid w:val="002E17F9"/>
    <w:rsid w:val="002E1E8E"/>
    <w:rsid w:val="002E3339"/>
    <w:rsid w:val="002E3862"/>
    <w:rsid w:val="002E3C0E"/>
    <w:rsid w:val="002E5632"/>
    <w:rsid w:val="002E57D6"/>
    <w:rsid w:val="002E670D"/>
    <w:rsid w:val="002E68C7"/>
    <w:rsid w:val="002E6985"/>
    <w:rsid w:val="002E70B7"/>
    <w:rsid w:val="002E736A"/>
    <w:rsid w:val="002E7651"/>
    <w:rsid w:val="002E7941"/>
    <w:rsid w:val="002E7C08"/>
    <w:rsid w:val="002E7C6A"/>
    <w:rsid w:val="002E7FB9"/>
    <w:rsid w:val="002F0481"/>
    <w:rsid w:val="002F1035"/>
    <w:rsid w:val="002F115E"/>
    <w:rsid w:val="002F14B6"/>
    <w:rsid w:val="002F14C2"/>
    <w:rsid w:val="002F204A"/>
    <w:rsid w:val="002F2457"/>
    <w:rsid w:val="002F25B7"/>
    <w:rsid w:val="002F2972"/>
    <w:rsid w:val="002F2FD4"/>
    <w:rsid w:val="002F3068"/>
    <w:rsid w:val="002F316C"/>
    <w:rsid w:val="002F31C6"/>
    <w:rsid w:val="002F3490"/>
    <w:rsid w:val="002F3564"/>
    <w:rsid w:val="002F37B2"/>
    <w:rsid w:val="002F3BE7"/>
    <w:rsid w:val="002F3BEE"/>
    <w:rsid w:val="002F423C"/>
    <w:rsid w:val="002F4418"/>
    <w:rsid w:val="002F444C"/>
    <w:rsid w:val="002F4459"/>
    <w:rsid w:val="002F4D16"/>
    <w:rsid w:val="002F4EA5"/>
    <w:rsid w:val="002F4EBF"/>
    <w:rsid w:val="002F56B8"/>
    <w:rsid w:val="002F5941"/>
    <w:rsid w:val="002F5EFE"/>
    <w:rsid w:val="002F642F"/>
    <w:rsid w:val="002F64CA"/>
    <w:rsid w:val="002F7117"/>
    <w:rsid w:val="002F711F"/>
    <w:rsid w:val="002F716B"/>
    <w:rsid w:val="002F7355"/>
    <w:rsid w:val="002F7402"/>
    <w:rsid w:val="002F7877"/>
    <w:rsid w:val="002F78F6"/>
    <w:rsid w:val="002F7A74"/>
    <w:rsid w:val="002F7E58"/>
    <w:rsid w:val="00300263"/>
    <w:rsid w:val="00300467"/>
    <w:rsid w:val="00300487"/>
    <w:rsid w:val="0030075A"/>
    <w:rsid w:val="00300D79"/>
    <w:rsid w:val="003021AF"/>
    <w:rsid w:val="00302777"/>
    <w:rsid w:val="00302BCC"/>
    <w:rsid w:val="003031C9"/>
    <w:rsid w:val="0030362C"/>
    <w:rsid w:val="00304837"/>
    <w:rsid w:val="00305783"/>
    <w:rsid w:val="00306194"/>
    <w:rsid w:val="00306705"/>
    <w:rsid w:val="0030670C"/>
    <w:rsid w:val="00306ABB"/>
    <w:rsid w:val="00306C26"/>
    <w:rsid w:val="00306C8F"/>
    <w:rsid w:val="00306D1F"/>
    <w:rsid w:val="00306EA1"/>
    <w:rsid w:val="003072B7"/>
    <w:rsid w:val="00307593"/>
    <w:rsid w:val="003075F1"/>
    <w:rsid w:val="00307BEB"/>
    <w:rsid w:val="00307CD2"/>
    <w:rsid w:val="00311CD7"/>
    <w:rsid w:val="00312C39"/>
    <w:rsid w:val="0031310D"/>
    <w:rsid w:val="00313202"/>
    <w:rsid w:val="00313372"/>
    <w:rsid w:val="00313400"/>
    <w:rsid w:val="00313493"/>
    <w:rsid w:val="00313893"/>
    <w:rsid w:val="003139CE"/>
    <w:rsid w:val="00313F60"/>
    <w:rsid w:val="003142D8"/>
    <w:rsid w:val="003143ED"/>
    <w:rsid w:val="0031473A"/>
    <w:rsid w:val="003158D1"/>
    <w:rsid w:val="00315D82"/>
    <w:rsid w:val="003160DA"/>
    <w:rsid w:val="00316B38"/>
    <w:rsid w:val="00316BC7"/>
    <w:rsid w:val="00316E5A"/>
    <w:rsid w:val="0031716D"/>
    <w:rsid w:val="0032003D"/>
    <w:rsid w:val="00320065"/>
    <w:rsid w:val="00320154"/>
    <w:rsid w:val="003207B8"/>
    <w:rsid w:val="00321122"/>
    <w:rsid w:val="00321FCF"/>
    <w:rsid w:val="00322C2C"/>
    <w:rsid w:val="00322DEC"/>
    <w:rsid w:val="00322E5C"/>
    <w:rsid w:val="00323690"/>
    <w:rsid w:val="00324371"/>
    <w:rsid w:val="00324853"/>
    <w:rsid w:val="00324D12"/>
    <w:rsid w:val="00324E73"/>
    <w:rsid w:val="00324EBC"/>
    <w:rsid w:val="00324F0B"/>
    <w:rsid w:val="003250D8"/>
    <w:rsid w:val="0032519B"/>
    <w:rsid w:val="00325EB0"/>
    <w:rsid w:val="0032646C"/>
    <w:rsid w:val="0032716F"/>
    <w:rsid w:val="00327182"/>
    <w:rsid w:val="003273CE"/>
    <w:rsid w:val="0032783A"/>
    <w:rsid w:val="00327A80"/>
    <w:rsid w:val="00327C13"/>
    <w:rsid w:val="00327FAF"/>
    <w:rsid w:val="00330214"/>
    <w:rsid w:val="0033059A"/>
    <w:rsid w:val="0033086C"/>
    <w:rsid w:val="0033104D"/>
    <w:rsid w:val="0033110B"/>
    <w:rsid w:val="00331480"/>
    <w:rsid w:val="003316B0"/>
    <w:rsid w:val="003317FE"/>
    <w:rsid w:val="003319FE"/>
    <w:rsid w:val="00331D91"/>
    <w:rsid w:val="00331DB6"/>
    <w:rsid w:val="00332D9B"/>
    <w:rsid w:val="00334809"/>
    <w:rsid w:val="00334B65"/>
    <w:rsid w:val="0033565B"/>
    <w:rsid w:val="00335C0F"/>
    <w:rsid w:val="0033669A"/>
    <w:rsid w:val="0033673C"/>
    <w:rsid w:val="00336BBB"/>
    <w:rsid w:val="003370C3"/>
    <w:rsid w:val="00337CAC"/>
    <w:rsid w:val="00340651"/>
    <w:rsid w:val="00340BD3"/>
    <w:rsid w:val="0034113E"/>
    <w:rsid w:val="0034129E"/>
    <w:rsid w:val="00341DBE"/>
    <w:rsid w:val="00341DEB"/>
    <w:rsid w:val="00342343"/>
    <w:rsid w:val="0034259E"/>
    <w:rsid w:val="00342C70"/>
    <w:rsid w:val="00342FD1"/>
    <w:rsid w:val="003432FC"/>
    <w:rsid w:val="003434D0"/>
    <w:rsid w:val="00343C21"/>
    <w:rsid w:val="00343E05"/>
    <w:rsid w:val="00344938"/>
    <w:rsid w:val="00344C10"/>
    <w:rsid w:val="0034609D"/>
    <w:rsid w:val="00346258"/>
    <w:rsid w:val="003466AA"/>
    <w:rsid w:val="0034683A"/>
    <w:rsid w:val="00346DC2"/>
    <w:rsid w:val="00347579"/>
    <w:rsid w:val="00347701"/>
    <w:rsid w:val="00347B50"/>
    <w:rsid w:val="003505B2"/>
    <w:rsid w:val="003508A3"/>
    <w:rsid w:val="00350D5C"/>
    <w:rsid w:val="003512E0"/>
    <w:rsid w:val="00351613"/>
    <w:rsid w:val="003516DC"/>
    <w:rsid w:val="003518F3"/>
    <w:rsid w:val="00351AA0"/>
    <w:rsid w:val="00351C0D"/>
    <w:rsid w:val="00351D57"/>
    <w:rsid w:val="00351E2E"/>
    <w:rsid w:val="00351F1A"/>
    <w:rsid w:val="003529CA"/>
    <w:rsid w:val="00352A27"/>
    <w:rsid w:val="00352D4D"/>
    <w:rsid w:val="00352F54"/>
    <w:rsid w:val="00353486"/>
    <w:rsid w:val="003539F8"/>
    <w:rsid w:val="003540FA"/>
    <w:rsid w:val="00354360"/>
    <w:rsid w:val="003545A4"/>
    <w:rsid w:val="00354630"/>
    <w:rsid w:val="00354964"/>
    <w:rsid w:val="00354AB6"/>
    <w:rsid w:val="00354B65"/>
    <w:rsid w:val="00354C83"/>
    <w:rsid w:val="00354F1A"/>
    <w:rsid w:val="00355D41"/>
    <w:rsid w:val="00356809"/>
    <w:rsid w:val="003570DE"/>
    <w:rsid w:val="0035736D"/>
    <w:rsid w:val="0035783A"/>
    <w:rsid w:val="00357A37"/>
    <w:rsid w:val="00357D5C"/>
    <w:rsid w:val="00360605"/>
    <w:rsid w:val="0036187F"/>
    <w:rsid w:val="003623C0"/>
    <w:rsid w:val="0036356D"/>
    <w:rsid w:val="003635EE"/>
    <w:rsid w:val="00363669"/>
    <w:rsid w:val="003640B3"/>
    <w:rsid w:val="003640DE"/>
    <w:rsid w:val="00364111"/>
    <w:rsid w:val="00364462"/>
    <w:rsid w:val="00364C19"/>
    <w:rsid w:val="00365066"/>
    <w:rsid w:val="003652FD"/>
    <w:rsid w:val="003654F4"/>
    <w:rsid w:val="00365601"/>
    <w:rsid w:val="00366540"/>
    <w:rsid w:val="0036669E"/>
    <w:rsid w:val="00367689"/>
    <w:rsid w:val="00367AAC"/>
    <w:rsid w:val="00370520"/>
    <w:rsid w:val="003706DC"/>
    <w:rsid w:val="0037075C"/>
    <w:rsid w:val="00370B43"/>
    <w:rsid w:val="00370E78"/>
    <w:rsid w:val="00371016"/>
    <w:rsid w:val="003714BD"/>
    <w:rsid w:val="00371641"/>
    <w:rsid w:val="00371CD0"/>
    <w:rsid w:val="00372041"/>
    <w:rsid w:val="00372168"/>
    <w:rsid w:val="00372221"/>
    <w:rsid w:val="003726B4"/>
    <w:rsid w:val="00372995"/>
    <w:rsid w:val="00372A44"/>
    <w:rsid w:val="00372ED6"/>
    <w:rsid w:val="003730CF"/>
    <w:rsid w:val="0037381B"/>
    <w:rsid w:val="00373A9D"/>
    <w:rsid w:val="00373E4A"/>
    <w:rsid w:val="003745A2"/>
    <w:rsid w:val="00374A69"/>
    <w:rsid w:val="00374B03"/>
    <w:rsid w:val="003753AF"/>
    <w:rsid w:val="00375592"/>
    <w:rsid w:val="00375D15"/>
    <w:rsid w:val="00375D51"/>
    <w:rsid w:val="00376147"/>
    <w:rsid w:val="0037635B"/>
    <w:rsid w:val="003770AB"/>
    <w:rsid w:val="0037756E"/>
    <w:rsid w:val="0037781A"/>
    <w:rsid w:val="00380580"/>
    <w:rsid w:val="00380B44"/>
    <w:rsid w:val="00380B98"/>
    <w:rsid w:val="0038131F"/>
    <w:rsid w:val="0038194F"/>
    <w:rsid w:val="003827DB"/>
    <w:rsid w:val="0038293F"/>
    <w:rsid w:val="00382ACB"/>
    <w:rsid w:val="0038300D"/>
    <w:rsid w:val="0038348A"/>
    <w:rsid w:val="003835AF"/>
    <w:rsid w:val="0038451D"/>
    <w:rsid w:val="003845DA"/>
    <w:rsid w:val="00384642"/>
    <w:rsid w:val="00384660"/>
    <w:rsid w:val="003849F8"/>
    <w:rsid w:val="00384E91"/>
    <w:rsid w:val="0038538D"/>
    <w:rsid w:val="00385B43"/>
    <w:rsid w:val="003872ED"/>
    <w:rsid w:val="00387C0A"/>
    <w:rsid w:val="00387E93"/>
    <w:rsid w:val="00390283"/>
    <w:rsid w:val="003904DE"/>
    <w:rsid w:val="00390D13"/>
    <w:rsid w:val="003921A3"/>
    <w:rsid w:val="00392349"/>
    <w:rsid w:val="00392601"/>
    <w:rsid w:val="003927CB"/>
    <w:rsid w:val="003928DA"/>
    <w:rsid w:val="003929B3"/>
    <w:rsid w:val="00392A4D"/>
    <w:rsid w:val="00392AE3"/>
    <w:rsid w:val="00392FC6"/>
    <w:rsid w:val="00393388"/>
    <w:rsid w:val="00393A29"/>
    <w:rsid w:val="00393A99"/>
    <w:rsid w:val="00393E8C"/>
    <w:rsid w:val="00394282"/>
    <w:rsid w:val="00394CB5"/>
    <w:rsid w:val="00394DF2"/>
    <w:rsid w:val="00395234"/>
    <w:rsid w:val="0039550F"/>
    <w:rsid w:val="003959F4"/>
    <w:rsid w:val="00395BA9"/>
    <w:rsid w:val="0039639A"/>
    <w:rsid w:val="003964F0"/>
    <w:rsid w:val="003968D3"/>
    <w:rsid w:val="0039699D"/>
    <w:rsid w:val="003978FF"/>
    <w:rsid w:val="003979BB"/>
    <w:rsid w:val="00397A4A"/>
    <w:rsid w:val="003A0208"/>
    <w:rsid w:val="003A02B0"/>
    <w:rsid w:val="003A06D6"/>
    <w:rsid w:val="003A08F9"/>
    <w:rsid w:val="003A0B82"/>
    <w:rsid w:val="003A1B6A"/>
    <w:rsid w:val="003A21AD"/>
    <w:rsid w:val="003A261D"/>
    <w:rsid w:val="003A2786"/>
    <w:rsid w:val="003A2898"/>
    <w:rsid w:val="003A2C57"/>
    <w:rsid w:val="003A2F69"/>
    <w:rsid w:val="003A37BC"/>
    <w:rsid w:val="003A3DCF"/>
    <w:rsid w:val="003A456F"/>
    <w:rsid w:val="003A493A"/>
    <w:rsid w:val="003A4ACD"/>
    <w:rsid w:val="003A4B58"/>
    <w:rsid w:val="003A4D12"/>
    <w:rsid w:val="003A4EB1"/>
    <w:rsid w:val="003A50BD"/>
    <w:rsid w:val="003A513F"/>
    <w:rsid w:val="003A57D0"/>
    <w:rsid w:val="003A5C5B"/>
    <w:rsid w:val="003A5CA0"/>
    <w:rsid w:val="003A5CB0"/>
    <w:rsid w:val="003A6288"/>
    <w:rsid w:val="003A7477"/>
    <w:rsid w:val="003A7DAA"/>
    <w:rsid w:val="003B1426"/>
    <w:rsid w:val="003B1705"/>
    <w:rsid w:val="003B1859"/>
    <w:rsid w:val="003B1DAE"/>
    <w:rsid w:val="003B21F1"/>
    <w:rsid w:val="003B2608"/>
    <w:rsid w:val="003B27E4"/>
    <w:rsid w:val="003B29E3"/>
    <w:rsid w:val="003B2E0A"/>
    <w:rsid w:val="003B2FFB"/>
    <w:rsid w:val="003B38C1"/>
    <w:rsid w:val="003B3965"/>
    <w:rsid w:val="003B3C8B"/>
    <w:rsid w:val="003B3D1E"/>
    <w:rsid w:val="003B45BC"/>
    <w:rsid w:val="003B4A2C"/>
    <w:rsid w:val="003B58CB"/>
    <w:rsid w:val="003B5B48"/>
    <w:rsid w:val="003B5C55"/>
    <w:rsid w:val="003B5FF1"/>
    <w:rsid w:val="003B64AB"/>
    <w:rsid w:val="003B6C14"/>
    <w:rsid w:val="003B7174"/>
    <w:rsid w:val="003B78D8"/>
    <w:rsid w:val="003C022E"/>
    <w:rsid w:val="003C1053"/>
    <w:rsid w:val="003C15E1"/>
    <w:rsid w:val="003C1612"/>
    <w:rsid w:val="003C192E"/>
    <w:rsid w:val="003C1B14"/>
    <w:rsid w:val="003C1D0F"/>
    <w:rsid w:val="003C21A5"/>
    <w:rsid w:val="003C301F"/>
    <w:rsid w:val="003C326C"/>
    <w:rsid w:val="003C36AE"/>
    <w:rsid w:val="003C38A5"/>
    <w:rsid w:val="003C4675"/>
    <w:rsid w:val="003C473B"/>
    <w:rsid w:val="003C4B1E"/>
    <w:rsid w:val="003C53D3"/>
    <w:rsid w:val="003C5682"/>
    <w:rsid w:val="003C5B8A"/>
    <w:rsid w:val="003C5C19"/>
    <w:rsid w:val="003C639D"/>
    <w:rsid w:val="003C6BE4"/>
    <w:rsid w:val="003C6F5E"/>
    <w:rsid w:val="003C727C"/>
    <w:rsid w:val="003C7924"/>
    <w:rsid w:val="003C7944"/>
    <w:rsid w:val="003C7D11"/>
    <w:rsid w:val="003C7FD2"/>
    <w:rsid w:val="003D086B"/>
    <w:rsid w:val="003D0A7E"/>
    <w:rsid w:val="003D12CB"/>
    <w:rsid w:val="003D171B"/>
    <w:rsid w:val="003D276C"/>
    <w:rsid w:val="003D2E78"/>
    <w:rsid w:val="003D3AA0"/>
    <w:rsid w:val="003D3B47"/>
    <w:rsid w:val="003D3C11"/>
    <w:rsid w:val="003D3C8D"/>
    <w:rsid w:val="003D3FF4"/>
    <w:rsid w:val="003D4CDF"/>
    <w:rsid w:val="003D4D0D"/>
    <w:rsid w:val="003D4E2B"/>
    <w:rsid w:val="003D519F"/>
    <w:rsid w:val="003D5551"/>
    <w:rsid w:val="003D5659"/>
    <w:rsid w:val="003D5C17"/>
    <w:rsid w:val="003D5EB3"/>
    <w:rsid w:val="003D5FC0"/>
    <w:rsid w:val="003D69B4"/>
    <w:rsid w:val="003D7047"/>
    <w:rsid w:val="003D78D2"/>
    <w:rsid w:val="003E0702"/>
    <w:rsid w:val="003E0C08"/>
    <w:rsid w:val="003E13FA"/>
    <w:rsid w:val="003E21F5"/>
    <w:rsid w:val="003E243A"/>
    <w:rsid w:val="003E26B3"/>
    <w:rsid w:val="003E2E33"/>
    <w:rsid w:val="003E2EFA"/>
    <w:rsid w:val="003E3035"/>
    <w:rsid w:val="003E3345"/>
    <w:rsid w:val="003E354E"/>
    <w:rsid w:val="003E3DF0"/>
    <w:rsid w:val="003E4601"/>
    <w:rsid w:val="003E48A0"/>
    <w:rsid w:val="003E4999"/>
    <w:rsid w:val="003E499C"/>
    <w:rsid w:val="003E503E"/>
    <w:rsid w:val="003E5127"/>
    <w:rsid w:val="003E5146"/>
    <w:rsid w:val="003E578E"/>
    <w:rsid w:val="003E58AC"/>
    <w:rsid w:val="003E638D"/>
    <w:rsid w:val="003E6436"/>
    <w:rsid w:val="003E663E"/>
    <w:rsid w:val="003E6850"/>
    <w:rsid w:val="003E6C11"/>
    <w:rsid w:val="003E6C27"/>
    <w:rsid w:val="003E7F3A"/>
    <w:rsid w:val="003F06E7"/>
    <w:rsid w:val="003F08E0"/>
    <w:rsid w:val="003F0B42"/>
    <w:rsid w:val="003F0E27"/>
    <w:rsid w:val="003F0F0C"/>
    <w:rsid w:val="003F2002"/>
    <w:rsid w:val="003F2146"/>
    <w:rsid w:val="003F2952"/>
    <w:rsid w:val="003F3612"/>
    <w:rsid w:val="003F3BD4"/>
    <w:rsid w:val="003F3C18"/>
    <w:rsid w:val="003F423E"/>
    <w:rsid w:val="003F425A"/>
    <w:rsid w:val="003F4348"/>
    <w:rsid w:val="003F4377"/>
    <w:rsid w:val="003F4917"/>
    <w:rsid w:val="003F4BC4"/>
    <w:rsid w:val="003F4E63"/>
    <w:rsid w:val="003F4FEE"/>
    <w:rsid w:val="003F5876"/>
    <w:rsid w:val="003F5B8A"/>
    <w:rsid w:val="003F5FD0"/>
    <w:rsid w:val="003F645B"/>
    <w:rsid w:val="003F677D"/>
    <w:rsid w:val="003F6B33"/>
    <w:rsid w:val="003F6BD7"/>
    <w:rsid w:val="003F6DA9"/>
    <w:rsid w:val="003F6E4B"/>
    <w:rsid w:val="003F6F39"/>
    <w:rsid w:val="003F70EE"/>
    <w:rsid w:val="003F7A6C"/>
    <w:rsid w:val="003F7F96"/>
    <w:rsid w:val="0040053F"/>
    <w:rsid w:val="00400AE8"/>
    <w:rsid w:val="00400D18"/>
    <w:rsid w:val="004012DF"/>
    <w:rsid w:val="004014F8"/>
    <w:rsid w:val="00401B75"/>
    <w:rsid w:val="00401E43"/>
    <w:rsid w:val="00401F0F"/>
    <w:rsid w:val="0040200D"/>
    <w:rsid w:val="00402319"/>
    <w:rsid w:val="004028D3"/>
    <w:rsid w:val="004029CE"/>
    <w:rsid w:val="00402ADB"/>
    <w:rsid w:val="00402D86"/>
    <w:rsid w:val="00402F24"/>
    <w:rsid w:val="00403800"/>
    <w:rsid w:val="00404148"/>
    <w:rsid w:val="0040458D"/>
    <w:rsid w:val="00404873"/>
    <w:rsid w:val="00404A13"/>
    <w:rsid w:val="00404BFA"/>
    <w:rsid w:val="00405205"/>
    <w:rsid w:val="00405D99"/>
    <w:rsid w:val="00406CA6"/>
    <w:rsid w:val="0040733A"/>
    <w:rsid w:val="00407398"/>
    <w:rsid w:val="00407457"/>
    <w:rsid w:val="0040747C"/>
    <w:rsid w:val="0040757F"/>
    <w:rsid w:val="00407882"/>
    <w:rsid w:val="00407967"/>
    <w:rsid w:val="00407B73"/>
    <w:rsid w:val="00407C4C"/>
    <w:rsid w:val="00407CBA"/>
    <w:rsid w:val="004103FC"/>
    <w:rsid w:val="0041042F"/>
    <w:rsid w:val="004108DC"/>
    <w:rsid w:val="00410FF7"/>
    <w:rsid w:val="00411F16"/>
    <w:rsid w:val="00411F4A"/>
    <w:rsid w:val="0041265D"/>
    <w:rsid w:val="00412772"/>
    <w:rsid w:val="0041299F"/>
    <w:rsid w:val="00412A94"/>
    <w:rsid w:val="00413210"/>
    <w:rsid w:val="004136BD"/>
    <w:rsid w:val="004138BD"/>
    <w:rsid w:val="004146CF"/>
    <w:rsid w:val="004148A9"/>
    <w:rsid w:val="00414BDB"/>
    <w:rsid w:val="004152C3"/>
    <w:rsid w:val="00415325"/>
    <w:rsid w:val="00415362"/>
    <w:rsid w:val="00415558"/>
    <w:rsid w:val="00415CAB"/>
    <w:rsid w:val="00416232"/>
    <w:rsid w:val="00416896"/>
    <w:rsid w:val="00416AFB"/>
    <w:rsid w:val="00416FA8"/>
    <w:rsid w:val="00417B21"/>
    <w:rsid w:val="00417BD9"/>
    <w:rsid w:val="00417D4E"/>
    <w:rsid w:val="00420348"/>
    <w:rsid w:val="00421003"/>
    <w:rsid w:val="004219F5"/>
    <w:rsid w:val="00421BAE"/>
    <w:rsid w:val="004223B0"/>
    <w:rsid w:val="004227D2"/>
    <w:rsid w:val="00422FE7"/>
    <w:rsid w:val="00422FF0"/>
    <w:rsid w:val="00423042"/>
    <w:rsid w:val="00423048"/>
    <w:rsid w:val="004231E2"/>
    <w:rsid w:val="004231E9"/>
    <w:rsid w:val="004235EE"/>
    <w:rsid w:val="004237D7"/>
    <w:rsid w:val="00423AD8"/>
    <w:rsid w:val="00423DC2"/>
    <w:rsid w:val="00423E83"/>
    <w:rsid w:val="00424265"/>
    <w:rsid w:val="00424424"/>
    <w:rsid w:val="00424461"/>
    <w:rsid w:val="00424998"/>
    <w:rsid w:val="004251C9"/>
    <w:rsid w:val="00425451"/>
    <w:rsid w:val="0042562C"/>
    <w:rsid w:val="00425C0F"/>
    <w:rsid w:val="00425E9B"/>
    <w:rsid w:val="00425F4D"/>
    <w:rsid w:val="004268CB"/>
    <w:rsid w:val="00426CA2"/>
    <w:rsid w:val="004272D9"/>
    <w:rsid w:val="0042761B"/>
    <w:rsid w:val="00427870"/>
    <w:rsid w:val="004278EE"/>
    <w:rsid w:val="0042795B"/>
    <w:rsid w:val="00427B6E"/>
    <w:rsid w:val="00430AD2"/>
    <w:rsid w:val="00431270"/>
    <w:rsid w:val="00431763"/>
    <w:rsid w:val="004319F4"/>
    <w:rsid w:val="00431CA6"/>
    <w:rsid w:val="004322EE"/>
    <w:rsid w:val="00432554"/>
    <w:rsid w:val="00432C1F"/>
    <w:rsid w:val="00432D3B"/>
    <w:rsid w:val="00432D62"/>
    <w:rsid w:val="00432FFC"/>
    <w:rsid w:val="00433600"/>
    <w:rsid w:val="0043363D"/>
    <w:rsid w:val="00433B7F"/>
    <w:rsid w:val="004341D7"/>
    <w:rsid w:val="0043427C"/>
    <w:rsid w:val="0043515D"/>
    <w:rsid w:val="0043532B"/>
    <w:rsid w:val="0043577A"/>
    <w:rsid w:val="00435B3D"/>
    <w:rsid w:val="00436146"/>
    <w:rsid w:val="00436268"/>
    <w:rsid w:val="004363BC"/>
    <w:rsid w:val="00436C18"/>
    <w:rsid w:val="00437615"/>
    <w:rsid w:val="00437793"/>
    <w:rsid w:val="00437E61"/>
    <w:rsid w:val="00437E97"/>
    <w:rsid w:val="00440628"/>
    <w:rsid w:val="0044136F"/>
    <w:rsid w:val="0044164B"/>
    <w:rsid w:val="00441714"/>
    <w:rsid w:val="00441BE8"/>
    <w:rsid w:val="0044212F"/>
    <w:rsid w:val="0044290E"/>
    <w:rsid w:val="004433B2"/>
    <w:rsid w:val="00443BD3"/>
    <w:rsid w:val="0044438D"/>
    <w:rsid w:val="0044515D"/>
    <w:rsid w:val="00445D83"/>
    <w:rsid w:val="00446121"/>
    <w:rsid w:val="00446B31"/>
    <w:rsid w:val="00447229"/>
    <w:rsid w:val="0044799F"/>
    <w:rsid w:val="00447B1C"/>
    <w:rsid w:val="0045008C"/>
    <w:rsid w:val="004501AF"/>
    <w:rsid w:val="00450513"/>
    <w:rsid w:val="00450A2A"/>
    <w:rsid w:val="00450FEF"/>
    <w:rsid w:val="0045108C"/>
    <w:rsid w:val="004520B1"/>
    <w:rsid w:val="00452155"/>
    <w:rsid w:val="0045221A"/>
    <w:rsid w:val="004523B9"/>
    <w:rsid w:val="00452546"/>
    <w:rsid w:val="00452839"/>
    <w:rsid w:val="00452846"/>
    <w:rsid w:val="004529C6"/>
    <w:rsid w:val="00452C02"/>
    <w:rsid w:val="004530A0"/>
    <w:rsid w:val="00453203"/>
    <w:rsid w:val="00453544"/>
    <w:rsid w:val="00453A3F"/>
    <w:rsid w:val="00454166"/>
    <w:rsid w:val="00454B87"/>
    <w:rsid w:val="00454C00"/>
    <w:rsid w:val="00454C2A"/>
    <w:rsid w:val="00455242"/>
    <w:rsid w:val="004558CD"/>
    <w:rsid w:val="00455B9D"/>
    <w:rsid w:val="00456144"/>
    <w:rsid w:val="00456170"/>
    <w:rsid w:val="00456C96"/>
    <w:rsid w:val="00456E67"/>
    <w:rsid w:val="004575DA"/>
    <w:rsid w:val="004576B5"/>
    <w:rsid w:val="00457819"/>
    <w:rsid w:val="00460BAF"/>
    <w:rsid w:val="00460CBC"/>
    <w:rsid w:val="004610D4"/>
    <w:rsid w:val="004615E9"/>
    <w:rsid w:val="00461733"/>
    <w:rsid w:val="00461AAE"/>
    <w:rsid w:val="00462071"/>
    <w:rsid w:val="00462563"/>
    <w:rsid w:val="00462B7E"/>
    <w:rsid w:val="004635A9"/>
    <w:rsid w:val="00463D13"/>
    <w:rsid w:val="00463E55"/>
    <w:rsid w:val="00465221"/>
    <w:rsid w:val="0046580C"/>
    <w:rsid w:val="00465C37"/>
    <w:rsid w:val="00465ED3"/>
    <w:rsid w:val="00466127"/>
    <w:rsid w:val="0046615D"/>
    <w:rsid w:val="00466485"/>
    <w:rsid w:val="00466A5F"/>
    <w:rsid w:val="00466BB9"/>
    <w:rsid w:val="004674E6"/>
    <w:rsid w:val="004675DD"/>
    <w:rsid w:val="00467672"/>
    <w:rsid w:val="00467A94"/>
    <w:rsid w:val="004704D5"/>
    <w:rsid w:val="004704E6"/>
    <w:rsid w:val="00470B9D"/>
    <w:rsid w:val="00471AED"/>
    <w:rsid w:val="00471BBA"/>
    <w:rsid w:val="00471F96"/>
    <w:rsid w:val="0047243F"/>
    <w:rsid w:val="00472709"/>
    <w:rsid w:val="00472F32"/>
    <w:rsid w:val="0047329A"/>
    <w:rsid w:val="004734BD"/>
    <w:rsid w:val="00473CB0"/>
    <w:rsid w:val="00474087"/>
    <w:rsid w:val="00474215"/>
    <w:rsid w:val="004749AB"/>
    <w:rsid w:val="00475187"/>
    <w:rsid w:val="004751AF"/>
    <w:rsid w:val="004751EB"/>
    <w:rsid w:val="004758A5"/>
    <w:rsid w:val="0047610A"/>
    <w:rsid w:val="0047698D"/>
    <w:rsid w:val="00476B38"/>
    <w:rsid w:val="00476B87"/>
    <w:rsid w:val="00476BED"/>
    <w:rsid w:val="004771B4"/>
    <w:rsid w:val="00477353"/>
    <w:rsid w:val="004774E2"/>
    <w:rsid w:val="00477D1E"/>
    <w:rsid w:val="004801E1"/>
    <w:rsid w:val="00480B6E"/>
    <w:rsid w:val="00480C01"/>
    <w:rsid w:val="00480F98"/>
    <w:rsid w:val="00481469"/>
    <w:rsid w:val="0048173B"/>
    <w:rsid w:val="00481AB8"/>
    <w:rsid w:val="00481C18"/>
    <w:rsid w:val="00481CA2"/>
    <w:rsid w:val="00482C9E"/>
    <w:rsid w:val="00483214"/>
    <w:rsid w:val="00483731"/>
    <w:rsid w:val="00483A16"/>
    <w:rsid w:val="00484105"/>
    <w:rsid w:val="00484A4D"/>
    <w:rsid w:val="00484AD2"/>
    <w:rsid w:val="004850C4"/>
    <w:rsid w:val="0048516D"/>
    <w:rsid w:val="00485482"/>
    <w:rsid w:val="00486124"/>
    <w:rsid w:val="0048634C"/>
    <w:rsid w:val="00486614"/>
    <w:rsid w:val="00486683"/>
    <w:rsid w:val="00486A2C"/>
    <w:rsid w:val="00486C38"/>
    <w:rsid w:val="00486E95"/>
    <w:rsid w:val="004872A7"/>
    <w:rsid w:val="00487590"/>
    <w:rsid w:val="004875CB"/>
    <w:rsid w:val="00487BCC"/>
    <w:rsid w:val="00487C89"/>
    <w:rsid w:val="00487EB4"/>
    <w:rsid w:val="00490972"/>
    <w:rsid w:val="00491089"/>
    <w:rsid w:val="0049154A"/>
    <w:rsid w:val="004918C6"/>
    <w:rsid w:val="00491D0A"/>
    <w:rsid w:val="00491D37"/>
    <w:rsid w:val="00492B2F"/>
    <w:rsid w:val="004938ED"/>
    <w:rsid w:val="00493D33"/>
    <w:rsid w:val="0049444F"/>
    <w:rsid w:val="00494CEF"/>
    <w:rsid w:val="00494E5D"/>
    <w:rsid w:val="004957A6"/>
    <w:rsid w:val="00495D5E"/>
    <w:rsid w:val="004962C1"/>
    <w:rsid w:val="004964FB"/>
    <w:rsid w:val="00496560"/>
    <w:rsid w:val="00497C02"/>
    <w:rsid w:val="00497D55"/>
    <w:rsid w:val="00497E77"/>
    <w:rsid w:val="004A048A"/>
    <w:rsid w:val="004A0514"/>
    <w:rsid w:val="004A0942"/>
    <w:rsid w:val="004A0A62"/>
    <w:rsid w:val="004A0EB6"/>
    <w:rsid w:val="004A0FA9"/>
    <w:rsid w:val="004A11B9"/>
    <w:rsid w:val="004A123A"/>
    <w:rsid w:val="004A18D0"/>
    <w:rsid w:val="004A1AA2"/>
    <w:rsid w:val="004A1D6E"/>
    <w:rsid w:val="004A1FCD"/>
    <w:rsid w:val="004A3240"/>
    <w:rsid w:val="004A3339"/>
    <w:rsid w:val="004A333C"/>
    <w:rsid w:val="004A3520"/>
    <w:rsid w:val="004A375F"/>
    <w:rsid w:val="004A37DC"/>
    <w:rsid w:val="004A450C"/>
    <w:rsid w:val="004A4AB3"/>
    <w:rsid w:val="004A4E00"/>
    <w:rsid w:val="004A51B3"/>
    <w:rsid w:val="004A527E"/>
    <w:rsid w:val="004A5A51"/>
    <w:rsid w:val="004A5CA9"/>
    <w:rsid w:val="004A6254"/>
    <w:rsid w:val="004A6795"/>
    <w:rsid w:val="004A72AF"/>
    <w:rsid w:val="004A76B5"/>
    <w:rsid w:val="004A7E80"/>
    <w:rsid w:val="004B02B7"/>
    <w:rsid w:val="004B08FC"/>
    <w:rsid w:val="004B0921"/>
    <w:rsid w:val="004B099D"/>
    <w:rsid w:val="004B0AB6"/>
    <w:rsid w:val="004B0B3D"/>
    <w:rsid w:val="004B0F1A"/>
    <w:rsid w:val="004B1B6D"/>
    <w:rsid w:val="004B1F22"/>
    <w:rsid w:val="004B273D"/>
    <w:rsid w:val="004B3583"/>
    <w:rsid w:val="004B39CF"/>
    <w:rsid w:val="004B3BE5"/>
    <w:rsid w:val="004B419D"/>
    <w:rsid w:val="004B48F8"/>
    <w:rsid w:val="004B4D23"/>
    <w:rsid w:val="004B529A"/>
    <w:rsid w:val="004B5AB6"/>
    <w:rsid w:val="004B647E"/>
    <w:rsid w:val="004B6617"/>
    <w:rsid w:val="004B68F9"/>
    <w:rsid w:val="004B6974"/>
    <w:rsid w:val="004B6D71"/>
    <w:rsid w:val="004B6DCF"/>
    <w:rsid w:val="004B7003"/>
    <w:rsid w:val="004B70F8"/>
    <w:rsid w:val="004B71AF"/>
    <w:rsid w:val="004B7D5A"/>
    <w:rsid w:val="004B7DEF"/>
    <w:rsid w:val="004B7EC6"/>
    <w:rsid w:val="004C075E"/>
    <w:rsid w:val="004C082F"/>
    <w:rsid w:val="004C09A2"/>
    <w:rsid w:val="004C0A06"/>
    <w:rsid w:val="004C0AA9"/>
    <w:rsid w:val="004C1201"/>
    <w:rsid w:val="004C1CCF"/>
    <w:rsid w:val="004C255C"/>
    <w:rsid w:val="004C29F1"/>
    <w:rsid w:val="004C2A74"/>
    <w:rsid w:val="004C2F9B"/>
    <w:rsid w:val="004C3600"/>
    <w:rsid w:val="004C4B71"/>
    <w:rsid w:val="004C4CDA"/>
    <w:rsid w:val="004C4EBE"/>
    <w:rsid w:val="004C575B"/>
    <w:rsid w:val="004C5C29"/>
    <w:rsid w:val="004C5FA1"/>
    <w:rsid w:val="004C6384"/>
    <w:rsid w:val="004C640C"/>
    <w:rsid w:val="004C66EB"/>
    <w:rsid w:val="004C68A3"/>
    <w:rsid w:val="004C6CEC"/>
    <w:rsid w:val="004C6F9B"/>
    <w:rsid w:val="004C7100"/>
    <w:rsid w:val="004C7419"/>
    <w:rsid w:val="004C7613"/>
    <w:rsid w:val="004C7928"/>
    <w:rsid w:val="004D010D"/>
    <w:rsid w:val="004D1101"/>
    <w:rsid w:val="004D1AD7"/>
    <w:rsid w:val="004D273E"/>
    <w:rsid w:val="004D2EE5"/>
    <w:rsid w:val="004D3493"/>
    <w:rsid w:val="004D35B2"/>
    <w:rsid w:val="004D380E"/>
    <w:rsid w:val="004D3A0A"/>
    <w:rsid w:val="004D3BA7"/>
    <w:rsid w:val="004D439E"/>
    <w:rsid w:val="004D447D"/>
    <w:rsid w:val="004D4921"/>
    <w:rsid w:val="004D4B7D"/>
    <w:rsid w:val="004D5022"/>
    <w:rsid w:val="004D52DE"/>
    <w:rsid w:val="004D5686"/>
    <w:rsid w:val="004D5AE3"/>
    <w:rsid w:val="004D5BA1"/>
    <w:rsid w:val="004D5D8B"/>
    <w:rsid w:val="004D61B8"/>
    <w:rsid w:val="004D64C9"/>
    <w:rsid w:val="004D6AF3"/>
    <w:rsid w:val="004D6CF4"/>
    <w:rsid w:val="004D707B"/>
    <w:rsid w:val="004D724C"/>
    <w:rsid w:val="004E026C"/>
    <w:rsid w:val="004E0503"/>
    <w:rsid w:val="004E0556"/>
    <w:rsid w:val="004E0D67"/>
    <w:rsid w:val="004E109D"/>
    <w:rsid w:val="004E10AC"/>
    <w:rsid w:val="004E122B"/>
    <w:rsid w:val="004E1B4A"/>
    <w:rsid w:val="004E1BCA"/>
    <w:rsid w:val="004E21A9"/>
    <w:rsid w:val="004E247F"/>
    <w:rsid w:val="004E2594"/>
    <w:rsid w:val="004E265D"/>
    <w:rsid w:val="004E42DF"/>
    <w:rsid w:val="004E460C"/>
    <w:rsid w:val="004E482E"/>
    <w:rsid w:val="004E4ED5"/>
    <w:rsid w:val="004E54D3"/>
    <w:rsid w:val="004E5DA1"/>
    <w:rsid w:val="004E6759"/>
    <w:rsid w:val="004E7398"/>
    <w:rsid w:val="004E780D"/>
    <w:rsid w:val="004F0014"/>
    <w:rsid w:val="004F0175"/>
    <w:rsid w:val="004F0424"/>
    <w:rsid w:val="004F0791"/>
    <w:rsid w:val="004F07BF"/>
    <w:rsid w:val="004F099D"/>
    <w:rsid w:val="004F0CE7"/>
    <w:rsid w:val="004F1752"/>
    <w:rsid w:val="004F1BD3"/>
    <w:rsid w:val="004F2796"/>
    <w:rsid w:val="004F2AF1"/>
    <w:rsid w:val="004F3020"/>
    <w:rsid w:val="004F34D0"/>
    <w:rsid w:val="004F34E3"/>
    <w:rsid w:val="004F3607"/>
    <w:rsid w:val="004F3790"/>
    <w:rsid w:val="004F44BB"/>
    <w:rsid w:val="004F5033"/>
    <w:rsid w:val="004F5467"/>
    <w:rsid w:val="004F5C21"/>
    <w:rsid w:val="004F5F8F"/>
    <w:rsid w:val="004F60D2"/>
    <w:rsid w:val="004F6A48"/>
    <w:rsid w:val="004F6C52"/>
    <w:rsid w:val="004F6CAD"/>
    <w:rsid w:val="004F6F3A"/>
    <w:rsid w:val="004F7AF7"/>
    <w:rsid w:val="00500483"/>
    <w:rsid w:val="005004B4"/>
    <w:rsid w:val="0050086D"/>
    <w:rsid w:val="005008AA"/>
    <w:rsid w:val="00501010"/>
    <w:rsid w:val="0050117E"/>
    <w:rsid w:val="005011E3"/>
    <w:rsid w:val="005014A6"/>
    <w:rsid w:val="00501572"/>
    <w:rsid w:val="0050157E"/>
    <w:rsid w:val="00501854"/>
    <w:rsid w:val="00501C69"/>
    <w:rsid w:val="00501DF4"/>
    <w:rsid w:val="00502485"/>
    <w:rsid w:val="0050251C"/>
    <w:rsid w:val="00503054"/>
    <w:rsid w:val="005036CD"/>
    <w:rsid w:val="00503FA2"/>
    <w:rsid w:val="0050403E"/>
    <w:rsid w:val="0050417A"/>
    <w:rsid w:val="00504386"/>
    <w:rsid w:val="005047CD"/>
    <w:rsid w:val="0050480D"/>
    <w:rsid w:val="005048BC"/>
    <w:rsid w:val="00504985"/>
    <w:rsid w:val="005049A6"/>
    <w:rsid w:val="00504F7A"/>
    <w:rsid w:val="005054B3"/>
    <w:rsid w:val="00505832"/>
    <w:rsid w:val="005059E2"/>
    <w:rsid w:val="00505AF9"/>
    <w:rsid w:val="0050613E"/>
    <w:rsid w:val="0050646E"/>
    <w:rsid w:val="005064AA"/>
    <w:rsid w:val="00506940"/>
    <w:rsid w:val="00506A99"/>
    <w:rsid w:val="005075B3"/>
    <w:rsid w:val="00507D03"/>
    <w:rsid w:val="00507E64"/>
    <w:rsid w:val="005100DD"/>
    <w:rsid w:val="00510528"/>
    <w:rsid w:val="00510A3E"/>
    <w:rsid w:val="00510F35"/>
    <w:rsid w:val="00511461"/>
    <w:rsid w:val="0051178B"/>
    <w:rsid w:val="00511F7C"/>
    <w:rsid w:val="00512770"/>
    <w:rsid w:val="00512FFC"/>
    <w:rsid w:val="00513E27"/>
    <w:rsid w:val="00513E55"/>
    <w:rsid w:val="00513E77"/>
    <w:rsid w:val="0051400D"/>
    <w:rsid w:val="0051416A"/>
    <w:rsid w:val="005148EE"/>
    <w:rsid w:val="0051495F"/>
    <w:rsid w:val="00514F23"/>
    <w:rsid w:val="00515136"/>
    <w:rsid w:val="0051513F"/>
    <w:rsid w:val="00515512"/>
    <w:rsid w:val="005156B6"/>
    <w:rsid w:val="0051613C"/>
    <w:rsid w:val="00516456"/>
    <w:rsid w:val="00516596"/>
    <w:rsid w:val="00516AD7"/>
    <w:rsid w:val="00517363"/>
    <w:rsid w:val="00517870"/>
    <w:rsid w:val="005179C6"/>
    <w:rsid w:val="00517A7A"/>
    <w:rsid w:val="00517E81"/>
    <w:rsid w:val="005207FC"/>
    <w:rsid w:val="00520D40"/>
    <w:rsid w:val="00520E62"/>
    <w:rsid w:val="0052131B"/>
    <w:rsid w:val="005219F8"/>
    <w:rsid w:val="00521B48"/>
    <w:rsid w:val="00521F83"/>
    <w:rsid w:val="0052257F"/>
    <w:rsid w:val="00522C17"/>
    <w:rsid w:val="0052326B"/>
    <w:rsid w:val="00523490"/>
    <w:rsid w:val="0052397D"/>
    <w:rsid w:val="00523AA4"/>
    <w:rsid w:val="00523EF7"/>
    <w:rsid w:val="005248E5"/>
    <w:rsid w:val="00525620"/>
    <w:rsid w:val="0052683E"/>
    <w:rsid w:val="00526E59"/>
    <w:rsid w:val="00526F9C"/>
    <w:rsid w:val="00527104"/>
    <w:rsid w:val="0052733F"/>
    <w:rsid w:val="005275D9"/>
    <w:rsid w:val="005279F5"/>
    <w:rsid w:val="00527AA1"/>
    <w:rsid w:val="0053010D"/>
    <w:rsid w:val="00530318"/>
    <w:rsid w:val="0053059F"/>
    <w:rsid w:val="00530B33"/>
    <w:rsid w:val="00530B5A"/>
    <w:rsid w:val="00530C71"/>
    <w:rsid w:val="0053101A"/>
    <w:rsid w:val="0053122B"/>
    <w:rsid w:val="005313E3"/>
    <w:rsid w:val="00531655"/>
    <w:rsid w:val="00532E0C"/>
    <w:rsid w:val="00532F99"/>
    <w:rsid w:val="0053305A"/>
    <w:rsid w:val="005331AA"/>
    <w:rsid w:val="00533BF0"/>
    <w:rsid w:val="00533D6C"/>
    <w:rsid w:val="00534414"/>
    <w:rsid w:val="00534D14"/>
    <w:rsid w:val="00534E11"/>
    <w:rsid w:val="00535827"/>
    <w:rsid w:val="00535A2A"/>
    <w:rsid w:val="00535A6B"/>
    <w:rsid w:val="0053616F"/>
    <w:rsid w:val="00536424"/>
    <w:rsid w:val="005368F0"/>
    <w:rsid w:val="0053759D"/>
    <w:rsid w:val="005400F1"/>
    <w:rsid w:val="0054017D"/>
    <w:rsid w:val="005405BB"/>
    <w:rsid w:val="00540D80"/>
    <w:rsid w:val="005411E2"/>
    <w:rsid w:val="005414CC"/>
    <w:rsid w:val="00541A48"/>
    <w:rsid w:val="00542343"/>
    <w:rsid w:val="00542F6B"/>
    <w:rsid w:val="005435F7"/>
    <w:rsid w:val="00543B90"/>
    <w:rsid w:val="0054442A"/>
    <w:rsid w:val="00544798"/>
    <w:rsid w:val="005449E7"/>
    <w:rsid w:val="00545CE9"/>
    <w:rsid w:val="00545E0F"/>
    <w:rsid w:val="00546454"/>
    <w:rsid w:val="005472E0"/>
    <w:rsid w:val="00547789"/>
    <w:rsid w:val="00547DCD"/>
    <w:rsid w:val="00547F13"/>
    <w:rsid w:val="00550D17"/>
    <w:rsid w:val="00550DA7"/>
    <w:rsid w:val="00550F17"/>
    <w:rsid w:val="00551133"/>
    <w:rsid w:val="00551427"/>
    <w:rsid w:val="00551C49"/>
    <w:rsid w:val="00551D4B"/>
    <w:rsid w:val="00551E1D"/>
    <w:rsid w:val="00551E3B"/>
    <w:rsid w:val="00552904"/>
    <w:rsid w:val="00552A05"/>
    <w:rsid w:val="00552C06"/>
    <w:rsid w:val="00552D18"/>
    <w:rsid w:val="005534A7"/>
    <w:rsid w:val="0055414E"/>
    <w:rsid w:val="00554473"/>
    <w:rsid w:val="00554749"/>
    <w:rsid w:val="0055481E"/>
    <w:rsid w:val="00554849"/>
    <w:rsid w:val="00554B1F"/>
    <w:rsid w:val="00554CFB"/>
    <w:rsid w:val="00554F4B"/>
    <w:rsid w:val="00554FF6"/>
    <w:rsid w:val="005561A9"/>
    <w:rsid w:val="005565A2"/>
    <w:rsid w:val="00556996"/>
    <w:rsid w:val="00556B10"/>
    <w:rsid w:val="00556BBF"/>
    <w:rsid w:val="00560015"/>
    <w:rsid w:val="0056032A"/>
    <w:rsid w:val="00560423"/>
    <w:rsid w:val="00561407"/>
    <w:rsid w:val="00561592"/>
    <w:rsid w:val="005616DE"/>
    <w:rsid w:val="00561832"/>
    <w:rsid w:val="005618C2"/>
    <w:rsid w:val="00561922"/>
    <w:rsid w:val="005619B1"/>
    <w:rsid w:val="00562534"/>
    <w:rsid w:val="005627D5"/>
    <w:rsid w:val="0056286D"/>
    <w:rsid w:val="00562A36"/>
    <w:rsid w:val="00562AF8"/>
    <w:rsid w:val="00563300"/>
    <w:rsid w:val="00563A2C"/>
    <w:rsid w:val="00563D37"/>
    <w:rsid w:val="00563D5A"/>
    <w:rsid w:val="005649A7"/>
    <w:rsid w:val="00564FDA"/>
    <w:rsid w:val="00565784"/>
    <w:rsid w:val="0056584C"/>
    <w:rsid w:val="00565981"/>
    <w:rsid w:val="00565D7D"/>
    <w:rsid w:val="00565E73"/>
    <w:rsid w:val="0056639B"/>
    <w:rsid w:val="00566AA5"/>
    <w:rsid w:val="00566DDE"/>
    <w:rsid w:val="00567B14"/>
    <w:rsid w:val="00567B6C"/>
    <w:rsid w:val="00567E46"/>
    <w:rsid w:val="00570026"/>
    <w:rsid w:val="0057031F"/>
    <w:rsid w:val="00570A24"/>
    <w:rsid w:val="0057236E"/>
    <w:rsid w:val="00572A96"/>
    <w:rsid w:val="00572D09"/>
    <w:rsid w:val="00572E44"/>
    <w:rsid w:val="00572E61"/>
    <w:rsid w:val="00572F2E"/>
    <w:rsid w:val="00573224"/>
    <w:rsid w:val="005732F9"/>
    <w:rsid w:val="00573C6B"/>
    <w:rsid w:val="0057419E"/>
    <w:rsid w:val="00574631"/>
    <w:rsid w:val="0057492C"/>
    <w:rsid w:val="00574959"/>
    <w:rsid w:val="00574E63"/>
    <w:rsid w:val="00575ED1"/>
    <w:rsid w:val="005762AC"/>
    <w:rsid w:val="0057659A"/>
    <w:rsid w:val="00576F48"/>
    <w:rsid w:val="005774F7"/>
    <w:rsid w:val="0057759E"/>
    <w:rsid w:val="00577674"/>
    <w:rsid w:val="00577675"/>
    <w:rsid w:val="005776C7"/>
    <w:rsid w:val="00577B72"/>
    <w:rsid w:val="005800E3"/>
    <w:rsid w:val="00580120"/>
    <w:rsid w:val="005803EC"/>
    <w:rsid w:val="0058041C"/>
    <w:rsid w:val="00580600"/>
    <w:rsid w:val="00580D28"/>
    <w:rsid w:val="00580EDD"/>
    <w:rsid w:val="00581296"/>
    <w:rsid w:val="0058159A"/>
    <w:rsid w:val="005815F0"/>
    <w:rsid w:val="005816CD"/>
    <w:rsid w:val="005831ED"/>
    <w:rsid w:val="00583365"/>
    <w:rsid w:val="005833C8"/>
    <w:rsid w:val="00583459"/>
    <w:rsid w:val="00583DCB"/>
    <w:rsid w:val="0058423D"/>
    <w:rsid w:val="0058437E"/>
    <w:rsid w:val="00584816"/>
    <w:rsid w:val="00584D0F"/>
    <w:rsid w:val="00584E0F"/>
    <w:rsid w:val="005850D9"/>
    <w:rsid w:val="00585BDE"/>
    <w:rsid w:val="005860FB"/>
    <w:rsid w:val="0058613D"/>
    <w:rsid w:val="0058681A"/>
    <w:rsid w:val="00586DCF"/>
    <w:rsid w:val="005874EC"/>
    <w:rsid w:val="005902B4"/>
    <w:rsid w:val="005905B2"/>
    <w:rsid w:val="0059093A"/>
    <w:rsid w:val="00590CAA"/>
    <w:rsid w:val="00590D73"/>
    <w:rsid w:val="0059144F"/>
    <w:rsid w:val="00591659"/>
    <w:rsid w:val="00591B72"/>
    <w:rsid w:val="00591BBD"/>
    <w:rsid w:val="00592475"/>
    <w:rsid w:val="005924B8"/>
    <w:rsid w:val="00592711"/>
    <w:rsid w:val="0059277F"/>
    <w:rsid w:val="005927B2"/>
    <w:rsid w:val="00592826"/>
    <w:rsid w:val="00592A77"/>
    <w:rsid w:val="00592BC9"/>
    <w:rsid w:val="0059313C"/>
    <w:rsid w:val="00593647"/>
    <w:rsid w:val="0059370B"/>
    <w:rsid w:val="005939AB"/>
    <w:rsid w:val="00594213"/>
    <w:rsid w:val="005951C5"/>
    <w:rsid w:val="005956BE"/>
    <w:rsid w:val="0059582B"/>
    <w:rsid w:val="005959A3"/>
    <w:rsid w:val="00595A8A"/>
    <w:rsid w:val="00596062"/>
    <w:rsid w:val="005960C9"/>
    <w:rsid w:val="00596234"/>
    <w:rsid w:val="00596305"/>
    <w:rsid w:val="0059631A"/>
    <w:rsid w:val="0059668E"/>
    <w:rsid w:val="0059686F"/>
    <w:rsid w:val="00596EEC"/>
    <w:rsid w:val="005971A9"/>
    <w:rsid w:val="005975E7"/>
    <w:rsid w:val="00597937"/>
    <w:rsid w:val="0059795C"/>
    <w:rsid w:val="00597D6D"/>
    <w:rsid w:val="005A068A"/>
    <w:rsid w:val="005A0C23"/>
    <w:rsid w:val="005A1429"/>
    <w:rsid w:val="005A1AEF"/>
    <w:rsid w:val="005A1BDD"/>
    <w:rsid w:val="005A1D7C"/>
    <w:rsid w:val="005A1FBF"/>
    <w:rsid w:val="005A2F50"/>
    <w:rsid w:val="005A3EA9"/>
    <w:rsid w:val="005A4C5D"/>
    <w:rsid w:val="005A5A81"/>
    <w:rsid w:val="005A609D"/>
    <w:rsid w:val="005A612B"/>
    <w:rsid w:val="005A647C"/>
    <w:rsid w:val="005A68D7"/>
    <w:rsid w:val="005A6AEB"/>
    <w:rsid w:val="005A6BA8"/>
    <w:rsid w:val="005A7F6F"/>
    <w:rsid w:val="005A7FD7"/>
    <w:rsid w:val="005B01A6"/>
    <w:rsid w:val="005B0894"/>
    <w:rsid w:val="005B08D6"/>
    <w:rsid w:val="005B0938"/>
    <w:rsid w:val="005B0C36"/>
    <w:rsid w:val="005B0C6B"/>
    <w:rsid w:val="005B131A"/>
    <w:rsid w:val="005B1EE5"/>
    <w:rsid w:val="005B1F9A"/>
    <w:rsid w:val="005B209D"/>
    <w:rsid w:val="005B2643"/>
    <w:rsid w:val="005B2EEE"/>
    <w:rsid w:val="005B339F"/>
    <w:rsid w:val="005B33A6"/>
    <w:rsid w:val="005B392B"/>
    <w:rsid w:val="005B3CB4"/>
    <w:rsid w:val="005B55CE"/>
    <w:rsid w:val="005B59BD"/>
    <w:rsid w:val="005B6301"/>
    <w:rsid w:val="005B6F4A"/>
    <w:rsid w:val="005B727C"/>
    <w:rsid w:val="005B7632"/>
    <w:rsid w:val="005B782F"/>
    <w:rsid w:val="005B7C19"/>
    <w:rsid w:val="005C05EE"/>
    <w:rsid w:val="005C09CE"/>
    <w:rsid w:val="005C0D0D"/>
    <w:rsid w:val="005C0FCB"/>
    <w:rsid w:val="005C1086"/>
    <w:rsid w:val="005C12C5"/>
    <w:rsid w:val="005C16F2"/>
    <w:rsid w:val="005C18A9"/>
    <w:rsid w:val="005C1994"/>
    <w:rsid w:val="005C1DEE"/>
    <w:rsid w:val="005C2B67"/>
    <w:rsid w:val="005C36F0"/>
    <w:rsid w:val="005C3D08"/>
    <w:rsid w:val="005C3E61"/>
    <w:rsid w:val="005C40D2"/>
    <w:rsid w:val="005C4661"/>
    <w:rsid w:val="005C466C"/>
    <w:rsid w:val="005C472B"/>
    <w:rsid w:val="005C47AE"/>
    <w:rsid w:val="005C4E57"/>
    <w:rsid w:val="005C504D"/>
    <w:rsid w:val="005C512B"/>
    <w:rsid w:val="005C56A6"/>
    <w:rsid w:val="005C5D8E"/>
    <w:rsid w:val="005C6586"/>
    <w:rsid w:val="005C66DA"/>
    <w:rsid w:val="005C68D1"/>
    <w:rsid w:val="005C76F9"/>
    <w:rsid w:val="005D004B"/>
    <w:rsid w:val="005D0056"/>
    <w:rsid w:val="005D0092"/>
    <w:rsid w:val="005D00D7"/>
    <w:rsid w:val="005D0576"/>
    <w:rsid w:val="005D07D6"/>
    <w:rsid w:val="005D07F6"/>
    <w:rsid w:val="005D0858"/>
    <w:rsid w:val="005D08FB"/>
    <w:rsid w:val="005D0AB7"/>
    <w:rsid w:val="005D0C8C"/>
    <w:rsid w:val="005D1368"/>
    <w:rsid w:val="005D1400"/>
    <w:rsid w:val="005D16B7"/>
    <w:rsid w:val="005D2D59"/>
    <w:rsid w:val="005D2ED1"/>
    <w:rsid w:val="005D32E0"/>
    <w:rsid w:val="005D3318"/>
    <w:rsid w:val="005D35EE"/>
    <w:rsid w:val="005D4A4B"/>
    <w:rsid w:val="005D4AA1"/>
    <w:rsid w:val="005D4BA9"/>
    <w:rsid w:val="005D54DD"/>
    <w:rsid w:val="005D5A41"/>
    <w:rsid w:val="005D5B62"/>
    <w:rsid w:val="005D5C61"/>
    <w:rsid w:val="005D5D59"/>
    <w:rsid w:val="005D5DE6"/>
    <w:rsid w:val="005D6315"/>
    <w:rsid w:val="005D7029"/>
    <w:rsid w:val="005D75F7"/>
    <w:rsid w:val="005E01EA"/>
    <w:rsid w:val="005E05EF"/>
    <w:rsid w:val="005E08E4"/>
    <w:rsid w:val="005E0C7C"/>
    <w:rsid w:val="005E1484"/>
    <w:rsid w:val="005E1639"/>
    <w:rsid w:val="005E16DD"/>
    <w:rsid w:val="005E179A"/>
    <w:rsid w:val="005E1ACF"/>
    <w:rsid w:val="005E1CCC"/>
    <w:rsid w:val="005E2190"/>
    <w:rsid w:val="005E2451"/>
    <w:rsid w:val="005E2B03"/>
    <w:rsid w:val="005E2B56"/>
    <w:rsid w:val="005E2EA2"/>
    <w:rsid w:val="005E3B96"/>
    <w:rsid w:val="005E3E48"/>
    <w:rsid w:val="005E4172"/>
    <w:rsid w:val="005E425D"/>
    <w:rsid w:val="005E443E"/>
    <w:rsid w:val="005E5608"/>
    <w:rsid w:val="005E5636"/>
    <w:rsid w:val="005E56BA"/>
    <w:rsid w:val="005E5881"/>
    <w:rsid w:val="005E597C"/>
    <w:rsid w:val="005E5BAC"/>
    <w:rsid w:val="005E5C02"/>
    <w:rsid w:val="005E5EB6"/>
    <w:rsid w:val="005E5F9C"/>
    <w:rsid w:val="005E6251"/>
    <w:rsid w:val="005E63AE"/>
    <w:rsid w:val="005E65C7"/>
    <w:rsid w:val="005E69CA"/>
    <w:rsid w:val="005E7C1D"/>
    <w:rsid w:val="005F0204"/>
    <w:rsid w:val="005F0388"/>
    <w:rsid w:val="005F1969"/>
    <w:rsid w:val="005F1B33"/>
    <w:rsid w:val="005F1E35"/>
    <w:rsid w:val="005F1FA3"/>
    <w:rsid w:val="005F22BD"/>
    <w:rsid w:val="005F2619"/>
    <w:rsid w:val="005F2797"/>
    <w:rsid w:val="005F2B6D"/>
    <w:rsid w:val="005F2E9C"/>
    <w:rsid w:val="005F2F56"/>
    <w:rsid w:val="005F302F"/>
    <w:rsid w:val="005F33B4"/>
    <w:rsid w:val="005F39F4"/>
    <w:rsid w:val="005F3E8C"/>
    <w:rsid w:val="005F3FFF"/>
    <w:rsid w:val="005F4036"/>
    <w:rsid w:val="005F43BF"/>
    <w:rsid w:val="005F4969"/>
    <w:rsid w:val="005F4C26"/>
    <w:rsid w:val="005F53A5"/>
    <w:rsid w:val="005F5B04"/>
    <w:rsid w:val="005F5D97"/>
    <w:rsid w:val="005F6111"/>
    <w:rsid w:val="005F68C4"/>
    <w:rsid w:val="005F68EA"/>
    <w:rsid w:val="005F79DC"/>
    <w:rsid w:val="005F7FAF"/>
    <w:rsid w:val="00600618"/>
    <w:rsid w:val="0060076F"/>
    <w:rsid w:val="00600D70"/>
    <w:rsid w:val="00601276"/>
    <w:rsid w:val="006017E4"/>
    <w:rsid w:val="006017E5"/>
    <w:rsid w:val="00601B77"/>
    <w:rsid w:val="00601E6F"/>
    <w:rsid w:val="00602274"/>
    <w:rsid w:val="006028CF"/>
    <w:rsid w:val="00602A7D"/>
    <w:rsid w:val="006037F5"/>
    <w:rsid w:val="00603E25"/>
    <w:rsid w:val="0060499B"/>
    <w:rsid w:val="00604F4C"/>
    <w:rsid w:val="00605177"/>
    <w:rsid w:val="00605927"/>
    <w:rsid w:val="00605BAC"/>
    <w:rsid w:val="00606035"/>
    <w:rsid w:val="006064AC"/>
    <w:rsid w:val="006067B5"/>
    <w:rsid w:val="0060747E"/>
    <w:rsid w:val="00607C65"/>
    <w:rsid w:val="00607F24"/>
    <w:rsid w:val="00610367"/>
    <w:rsid w:val="00610A29"/>
    <w:rsid w:val="00610A59"/>
    <w:rsid w:val="00610C70"/>
    <w:rsid w:val="00610E53"/>
    <w:rsid w:val="006110EA"/>
    <w:rsid w:val="00611AD6"/>
    <w:rsid w:val="006121E9"/>
    <w:rsid w:val="00612257"/>
    <w:rsid w:val="006131E5"/>
    <w:rsid w:val="006135B7"/>
    <w:rsid w:val="006136C4"/>
    <w:rsid w:val="00613ACA"/>
    <w:rsid w:val="00613C51"/>
    <w:rsid w:val="00614DBC"/>
    <w:rsid w:val="006150C9"/>
    <w:rsid w:val="006152C0"/>
    <w:rsid w:val="00615C97"/>
    <w:rsid w:val="00615E09"/>
    <w:rsid w:val="00615ED3"/>
    <w:rsid w:val="006163EA"/>
    <w:rsid w:val="0061698E"/>
    <w:rsid w:val="00616A5F"/>
    <w:rsid w:val="00616B9C"/>
    <w:rsid w:val="00616C3C"/>
    <w:rsid w:val="00616D9B"/>
    <w:rsid w:val="00617676"/>
    <w:rsid w:val="00617852"/>
    <w:rsid w:val="00617E8F"/>
    <w:rsid w:val="00617E95"/>
    <w:rsid w:val="006205B4"/>
    <w:rsid w:val="00620773"/>
    <w:rsid w:val="00621268"/>
    <w:rsid w:val="006212E0"/>
    <w:rsid w:val="006216BC"/>
    <w:rsid w:val="00621AA4"/>
    <w:rsid w:val="00621DBA"/>
    <w:rsid w:val="00622250"/>
    <w:rsid w:val="006222B8"/>
    <w:rsid w:val="006227C4"/>
    <w:rsid w:val="00622C90"/>
    <w:rsid w:val="006231DF"/>
    <w:rsid w:val="00623F6D"/>
    <w:rsid w:val="00623FDE"/>
    <w:rsid w:val="006240B2"/>
    <w:rsid w:val="0062425D"/>
    <w:rsid w:val="00624552"/>
    <w:rsid w:val="006249B0"/>
    <w:rsid w:val="00624E01"/>
    <w:rsid w:val="006250AF"/>
    <w:rsid w:val="00625136"/>
    <w:rsid w:val="00625661"/>
    <w:rsid w:val="00625BAD"/>
    <w:rsid w:val="00625BF4"/>
    <w:rsid w:val="006260E0"/>
    <w:rsid w:val="00626FFE"/>
    <w:rsid w:val="006278D7"/>
    <w:rsid w:val="00627C4F"/>
    <w:rsid w:val="00630073"/>
    <w:rsid w:val="006300D9"/>
    <w:rsid w:val="0063081E"/>
    <w:rsid w:val="00630C03"/>
    <w:rsid w:val="006311EF"/>
    <w:rsid w:val="006319C1"/>
    <w:rsid w:val="006328A2"/>
    <w:rsid w:val="006328F1"/>
    <w:rsid w:val="00633279"/>
    <w:rsid w:val="006333CD"/>
    <w:rsid w:val="00633410"/>
    <w:rsid w:val="006335B2"/>
    <w:rsid w:val="006335DD"/>
    <w:rsid w:val="006347BA"/>
    <w:rsid w:val="00634B39"/>
    <w:rsid w:val="006355E1"/>
    <w:rsid w:val="006358BB"/>
    <w:rsid w:val="00635ADD"/>
    <w:rsid w:val="00635D86"/>
    <w:rsid w:val="006361E6"/>
    <w:rsid w:val="0063676B"/>
    <w:rsid w:val="00636BDE"/>
    <w:rsid w:val="006376B1"/>
    <w:rsid w:val="0063783E"/>
    <w:rsid w:val="00637F1B"/>
    <w:rsid w:val="00637FBC"/>
    <w:rsid w:val="0064005E"/>
    <w:rsid w:val="006401C5"/>
    <w:rsid w:val="00640F5F"/>
    <w:rsid w:val="006414B9"/>
    <w:rsid w:val="0064166D"/>
    <w:rsid w:val="006419DB"/>
    <w:rsid w:val="00641B4B"/>
    <w:rsid w:val="00641B7B"/>
    <w:rsid w:val="00642077"/>
    <w:rsid w:val="006421D6"/>
    <w:rsid w:val="00642CF5"/>
    <w:rsid w:val="00642FEF"/>
    <w:rsid w:val="00643B2F"/>
    <w:rsid w:val="00643E31"/>
    <w:rsid w:val="00643E70"/>
    <w:rsid w:val="00643FD6"/>
    <w:rsid w:val="00644374"/>
    <w:rsid w:val="0064475B"/>
    <w:rsid w:val="006447CF"/>
    <w:rsid w:val="0064485C"/>
    <w:rsid w:val="006455A7"/>
    <w:rsid w:val="00645664"/>
    <w:rsid w:val="00645B53"/>
    <w:rsid w:val="00645BD2"/>
    <w:rsid w:val="00645E63"/>
    <w:rsid w:val="00646182"/>
    <w:rsid w:val="006469CB"/>
    <w:rsid w:val="00646B14"/>
    <w:rsid w:val="00646CA5"/>
    <w:rsid w:val="00646E8C"/>
    <w:rsid w:val="00647BF1"/>
    <w:rsid w:val="00650185"/>
    <w:rsid w:val="00650692"/>
    <w:rsid w:val="00650809"/>
    <w:rsid w:val="00650B03"/>
    <w:rsid w:val="00651176"/>
    <w:rsid w:val="00651192"/>
    <w:rsid w:val="00651201"/>
    <w:rsid w:val="0065124B"/>
    <w:rsid w:val="006515E1"/>
    <w:rsid w:val="006518BE"/>
    <w:rsid w:val="006518F6"/>
    <w:rsid w:val="00652939"/>
    <w:rsid w:val="0065293A"/>
    <w:rsid w:val="00652E18"/>
    <w:rsid w:val="00653123"/>
    <w:rsid w:val="006537F3"/>
    <w:rsid w:val="00654012"/>
    <w:rsid w:val="00654B17"/>
    <w:rsid w:val="00654C36"/>
    <w:rsid w:val="00654F57"/>
    <w:rsid w:val="00655465"/>
    <w:rsid w:val="006558B6"/>
    <w:rsid w:val="006558ED"/>
    <w:rsid w:val="00655A92"/>
    <w:rsid w:val="00655BAE"/>
    <w:rsid w:val="00655ED8"/>
    <w:rsid w:val="00655F90"/>
    <w:rsid w:val="0065650C"/>
    <w:rsid w:val="006566B6"/>
    <w:rsid w:val="00656AA4"/>
    <w:rsid w:val="00656AB9"/>
    <w:rsid w:val="0065709A"/>
    <w:rsid w:val="00657690"/>
    <w:rsid w:val="0065785E"/>
    <w:rsid w:val="0065799C"/>
    <w:rsid w:val="00657DC3"/>
    <w:rsid w:val="006608D6"/>
    <w:rsid w:val="00660A8A"/>
    <w:rsid w:val="00660EBF"/>
    <w:rsid w:val="006610CC"/>
    <w:rsid w:val="006610E7"/>
    <w:rsid w:val="00661442"/>
    <w:rsid w:val="00661549"/>
    <w:rsid w:val="006615CC"/>
    <w:rsid w:val="00662C4C"/>
    <w:rsid w:val="00662DEE"/>
    <w:rsid w:val="00663029"/>
    <w:rsid w:val="006631DB"/>
    <w:rsid w:val="0066346A"/>
    <w:rsid w:val="00663E3A"/>
    <w:rsid w:val="0066401E"/>
    <w:rsid w:val="00664051"/>
    <w:rsid w:val="006641FC"/>
    <w:rsid w:val="00665488"/>
    <w:rsid w:val="00665887"/>
    <w:rsid w:val="0066682F"/>
    <w:rsid w:val="00666C0B"/>
    <w:rsid w:val="006670F4"/>
    <w:rsid w:val="006675E3"/>
    <w:rsid w:val="0066786C"/>
    <w:rsid w:val="0066791C"/>
    <w:rsid w:val="006679A7"/>
    <w:rsid w:val="00667C10"/>
    <w:rsid w:val="00667D76"/>
    <w:rsid w:val="00667F05"/>
    <w:rsid w:val="00670121"/>
    <w:rsid w:val="006701CE"/>
    <w:rsid w:val="00670CF6"/>
    <w:rsid w:val="00670EB4"/>
    <w:rsid w:val="0067100E"/>
    <w:rsid w:val="0067109D"/>
    <w:rsid w:val="00671223"/>
    <w:rsid w:val="00671334"/>
    <w:rsid w:val="00671C6B"/>
    <w:rsid w:val="00671FC0"/>
    <w:rsid w:val="0067220D"/>
    <w:rsid w:val="00672B2C"/>
    <w:rsid w:val="00672C45"/>
    <w:rsid w:val="00672EE1"/>
    <w:rsid w:val="00673616"/>
    <w:rsid w:val="00673710"/>
    <w:rsid w:val="00673EFD"/>
    <w:rsid w:val="00673FC9"/>
    <w:rsid w:val="0067456C"/>
    <w:rsid w:val="00674F18"/>
    <w:rsid w:val="0067506B"/>
    <w:rsid w:val="00675C53"/>
    <w:rsid w:val="00675F00"/>
    <w:rsid w:val="00675F87"/>
    <w:rsid w:val="00676111"/>
    <w:rsid w:val="006762D6"/>
    <w:rsid w:val="0067657E"/>
    <w:rsid w:val="00676D80"/>
    <w:rsid w:val="006771B8"/>
    <w:rsid w:val="00680178"/>
    <w:rsid w:val="0068066B"/>
    <w:rsid w:val="00680945"/>
    <w:rsid w:val="00680AF1"/>
    <w:rsid w:val="00680C84"/>
    <w:rsid w:val="00680D42"/>
    <w:rsid w:val="00680DC4"/>
    <w:rsid w:val="0068146C"/>
    <w:rsid w:val="00681493"/>
    <w:rsid w:val="00681CEC"/>
    <w:rsid w:val="006822E7"/>
    <w:rsid w:val="00682CB0"/>
    <w:rsid w:val="00682EC9"/>
    <w:rsid w:val="00683F2B"/>
    <w:rsid w:val="00683F97"/>
    <w:rsid w:val="00684DA1"/>
    <w:rsid w:val="00684E0E"/>
    <w:rsid w:val="00685192"/>
    <w:rsid w:val="0068543A"/>
    <w:rsid w:val="006854C4"/>
    <w:rsid w:val="00685521"/>
    <w:rsid w:val="00685EBF"/>
    <w:rsid w:val="00686005"/>
    <w:rsid w:val="00686609"/>
    <w:rsid w:val="00690108"/>
    <w:rsid w:val="006904DD"/>
    <w:rsid w:val="0069058A"/>
    <w:rsid w:val="006910D1"/>
    <w:rsid w:val="006911E8"/>
    <w:rsid w:val="00691418"/>
    <w:rsid w:val="006920D2"/>
    <w:rsid w:val="006933C5"/>
    <w:rsid w:val="006937F7"/>
    <w:rsid w:val="0069391A"/>
    <w:rsid w:val="00694056"/>
    <w:rsid w:val="0069432D"/>
    <w:rsid w:val="00694380"/>
    <w:rsid w:val="0069450D"/>
    <w:rsid w:val="006957C3"/>
    <w:rsid w:val="0069581A"/>
    <w:rsid w:val="00695FB6"/>
    <w:rsid w:val="00696174"/>
    <w:rsid w:val="00696228"/>
    <w:rsid w:val="006976E3"/>
    <w:rsid w:val="0069773A"/>
    <w:rsid w:val="006979E7"/>
    <w:rsid w:val="00697F5E"/>
    <w:rsid w:val="006A04E2"/>
    <w:rsid w:val="006A11F4"/>
    <w:rsid w:val="006A1692"/>
    <w:rsid w:val="006A16C1"/>
    <w:rsid w:val="006A1D92"/>
    <w:rsid w:val="006A2537"/>
    <w:rsid w:val="006A2541"/>
    <w:rsid w:val="006A2711"/>
    <w:rsid w:val="006A2869"/>
    <w:rsid w:val="006A28CD"/>
    <w:rsid w:val="006A2A3E"/>
    <w:rsid w:val="006A2C90"/>
    <w:rsid w:val="006A34A8"/>
    <w:rsid w:val="006A3FC0"/>
    <w:rsid w:val="006A4093"/>
    <w:rsid w:val="006A4652"/>
    <w:rsid w:val="006A4ACC"/>
    <w:rsid w:val="006A4B10"/>
    <w:rsid w:val="006A5A32"/>
    <w:rsid w:val="006A5A57"/>
    <w:rsid w:val="006A5C6F"/>
    <w:rsid w:val="006A6071"/>
    <w:rsid w:val="006A6B12"/>
    <w:rsid w:val="006A74CB"/>
    <w:rsid w:val="006A7659"/>
    <w:rsid w:val="006A7872"/>
    <w:rsid w:val="006A7C7F"/>
    <w:rsid w:val="006A7D0E"/>
    <w:rsid w:val="006A7F6E"/>
    <w:rsid w:val="006A7FE3"/>
    <w:rsid w:val="006B02E7"/>
    <w:rsid w:val="006B032B"/>
    <w:rsid w:val="006B05EB"/>
    <w:rsid w:val="006B07AB"/>
    <w:rsid w:val="006B0FB3"/>
    <w:rsid w:val="006B10A8"/>
    <w:rsid w:val="006B1635"/>
    <w:rsid w:val="006B16A2"/>
    <w:rsid w:val="006B19FB"/>
    <w:rsid w:val="006B1A3B"/>
    <w:rsid w:val="006B1D3F"/>
    <w:rsid w:val="006B25E3"/>
    <w:rsid w:val="006B364A"/>
    <w:rsid w:val="006B3B4C"/>
    <w:rsid w:val="006B3E24"/>
    <w:rsid w:val="006B40E2"/>
    <w:rsid w:val="006B4111"/>
    <w:rsid w:val="006B42E7"/>
    <w:rsid w:val="006B46AB"/>
    <w:rsid w:val="006B4DEA"/>
    <w:rsid w:val="006B4DF3"/>
    <w:rsid w:val="006B4E99"/>
    <w:rsid w:val="006B512E"/>
    <w:rsid w:val="006B539C"/>
    <w:rsid w:val="006B5A0B"/>
    <w:rsid w:val="006B66F9"/>
    <w:rsid w:val="006B6B39"/>
    <w:rsid w:val="006B6F94"/>
    <w:rsid w:val="006B75E6"/>
    <w:rsid w:val="006B7943"/>
    <w:rsid w:val="006C1068"/>
    <w:rsid w:val="006C1171"/>
    <w:rsid w:val="006C1443"/>
    <w:rsid w:val="006C1B21"/>
    <w:rsid w:val="006C21F1"/>
    <w:rsid w:val="006C2630"/>
    <w:rsid w:val="006C279A"/>
    <w:rsid w:val="006C284D"/>
    <w:rsid w:val="006C293D"/>
    <w:rsid w:val="006C2A68"/>
    <w:rsid w:val="006C2ED4"/>
    <w:rsid w:val="006C2F5E"/>
    <w:rsid w:val="006C3025"/>
    <w:rsid w:val="006C3640"/>
    <w:rsid w:val="006C3A06"/>
    <w:rsid w:val="006C3B98"/>
    <w:rsid w:val="006C4417"/>
    <w:rsid w:val="006C4797"/>
    <w:rsid w:val="006C4869"/>
    <w:rsid w:val="006C4B4D"/>
    <w:rsid w:val="006C4C52"/>
    <w:rsid w:val="006C4E0F"/>
    <w:rsid w:val="006C4FF4"/>
    <w:rsid w:val="006C59F4"/>
    <w:rsid w:val="006C6388"/>
    <w:rsid w:val="006C6643"/>
    <w:rsid w:val="006C6769"/>
    <w:rsid w:val="006C68EE"/>
    <w:rsid w:val="006C6F3C"/>
    <w:rsid w:val="006C79B9"/>
    <w:rsid w:val="006D02DB"/>
    <w:rsid w:val="006D0932"/>
    <w:rsid w:val="006D0A5A"/>
    <w:rsid w:val="006D13CD"/>
    <w:rsid w:val="006D27A2"/>
    <w:rsid w:val="006D2E1C"/>
    <w:rsid w:val="006D2EA9"/>
    <w:rsid w:val="006D3614"/>
    <w:rsid w:val="006D38AA"/>
    <w:rsid w:val="006D39DB"/>
    <w:rsid w:val="006D4838"/>
    <w:rsid w:val="006D48E1"/>
    <w:rsid w:val="006D4BD1"/>
    <w:rsid w:val="006D4D0C"/>
    <w:rsid w:val="006D4F1C"/>
    <w:rsid w:val="006D5100"/>
    <w:rsid w:val="006D522F"/>
    <w:rsid w:val="006D5B58"/>
    <w:rsid w:val="006D685D"/>
    <w:rsid w:val="006D68D1"/>
    <w:rsid w:val="006D6A4B"/>
    <w:rsid w:val="006D7112"/>
    <w:rsid w:val="006D7238"/>
    <w:rsid w:val="006D727F"/>
    <w:rsid w:val="006D79BC"/>
    <w:rsid w:val="006E0254"/>
    <w:rsid w:val="006E0432"/>
    <w:rsid w:val="006E1C54"/>
    <w:rsid w:val="006E1F51"/>
    <w:rsid w:val="006E2606"/>
    <w:rsid w:val="006E317C"/>
    <w:rsid w:val="006E3432"/>
    <w:rsid w:val="006E3A2A"/>
    <w:rsid w:val="006E3AED"/>
    <w:rsid w:val="006E459A"/>
    <w:rsid w:val="006E4DE7"/>
    <w:rsid w:val="006E4F21"/>
    <w:rsid w:val="006E50ED"/>
    <w:rsid w:val="006E52AD"/>
    <w:rsid w:val="006E5CAA"/>
    <w:rsid w:val="006E5E84"/>
    <w:rsid w:val="006E5FD2"/>
    <w:rsid w:val="006E60CE"/>
    <w:rsid w:val="006E6C1A"/>
    <w:rsid w:val="006E71E3"/>
    <w:rsid w:val="006E7290"/>
    <w:rsid w:val="006E7641"/>
    <w:rsid w:val="006E799B"/>
    <w:rsid w:val="006E7AE5"/>
    <w:rsid w:val="006E7C4C"/>
    <w:rsid w:val="006F0443"/>
    <w:rsid w:val="006F0558"/>
    <w:rsid w:val="006F08AA"/>
    <w:rsid w:val="006F0AEE"/>
    <w:rsid w:val="006F0BD6"/>
    <w:rsid w:val="006F0E7B"/>
    <w:rsid w:val="006F13D0"/>
    <w:rsid w:val="006F140C"/>
    <w:rsid w:val="006F1FCB"/>
    <w:rsid w:val="006F2586"/>
    <w:rsid w:val="006F2AA6"/>
    <w:rsid w:val="006F2D2C"/>
    <w:rsid w:val="006F318B"/>
    <w:rsid w:val="006F3B80"/>
    <w:rsid w:val="006F404B"/>
    <w:rsid w:val="006F42FF"/>
    <w:rsid w:val="006F4465"/>
    <w:rsid w:val="006F4E9B"/>
    <w:rsid w:val="006F503D"/>
    <w:rsid w:val="006F604D"/>
    <w:rsid w:val="006F62FC"/>
    <w:rsid w:val="006F658F"/>
    <w:rsid w:val="006F65BB"/>
    <w:rsid w:val="006F661B"/>
    <w:rsid w:val="006F7327"/>
    <w:rsid w:val="006F733C"/>
    <w:rsid w:val="006F73DA"/>
    <w:rsid w:val="006F788F"/>
    <w:rsid w:val="006F7C9D"/>
    <w:rsid w:val="006F7ED8"/>
    <w:rsid w:val="00700C9E"/>
    <w:rsid w:val="007015E4"/>
    <w:rsid w:val="007018E8"/>
    <w:rsid w:val="00701ACD"/>
    <w:rsid w:val="00701BA6"/>
    <w:rsid w:val="00701D30"/>
    <w:rsid w:val="007021FA"/>
    <w:rsid w:val="0070287D"/>
    <w:rsid w:val="007030ED"/>
    <w:rsid w:val="00703586"/>
    <w:rsid w:val="0070381B"/>
    <w:rsid w:val="00703D79"/>
    <w:rsid w:val="00703F53"/>
    <w:rsid w:val="007049CF"/>
    <w:rsid w:val="00704C80"/>
    <w:rsid w:val="00704FA4"/>
    <w:rsid w:val="00705218"/>
    <w:rsid w:val="007053C5"/>
    <w:rsid w:val="00705587"/>
    <w:rsid w:val="00705625"/>
    <w:rsid w:val="00706373"/>
    <w:rsid w:val="00706D54"/>
    <w:rsid w:val="00706D77"/>
    <w:rsid w:val="00706D94"/>
    <w:rsid w:val="00706DBA"/>
    <w:rsid w:val="0070706E"/>
    <w:rsid w:val="0070756E"/>
    <w:rsid w:val="0071084E"/>
    <w:rsid w:val="00710A48"/>
    <w:rsid w:val="00710B47"/>
    <w:rsid w:val="00710BAF"/>
    <w:rsid w:val="00710D87"/>
    <w:rsid w:val="00710FD5"/>
    <w:rsid w:val="0071168E"/>
    <w:rsid w:val="00711765"/>
    <w:rsid w:val="007117E0"/>
    <w:rsid w:val="007119B8"/>
    <w:rsid w:val="00711D68"/>
    <w:rsid w:val="00711FF3"/>
    <w:rsid w:val="00712556"/>
    <w:rsid w:val="007125FF"/>
    <w:rsid w:val="0071271F"/>
    <w:rsid w:val="00712C4B"/>
    <w:rsid w:val="00712C6A"/>
    <w:rsid w:val="00713890"/>
    <w:rsid w:val="00713C61"/>
    <w:rsid w:val="00713F46"/>
    <w:rsid w:val="007140FC"/>
    <w:rsid w:val="0071425C"/>
    <w:rsid w:val="00715587"/>
    <w:rsid w:val="00715903"/>
    <w:rsid w:val="0071646D"/>
    <w:rsid w:val="00716C6F"/>
    <w:rsid w:val="00716C7A"/>
    <w:rsid w:val="00716CAD"/>
    <w:rsid w:val="00717D6D"/>
    <w:rsid w:val="007200A7"/>
    <w:rsid w:val="00720139"/>
    <w:rsid w:val="00720B46"/>
    <w:rsid w:val="007215CE"/>
    <w:rsid w:val="00721809"/>
    <w:rsid w:val="00721960"/>
    <w:rsid w:val="00721AA5"/>
    <w:rsid w:val="00721AE8"/>
    <w:rsid w:val="00721BED"/>
    <w:rsid w:val="00721C46"/>
    <w:rsid w:val="00721F9E"/>
    <w:rsid w:val="00722279"/>
    <w:rsid w:val="007222B9"/>
    <w:rsid w:val="00722E73"/>
    <w:rsid w:val="00722F1B"/>
    <w:rsid w:val="00723018"/>
    <w:rsid w:val="0072330C"/>
    <w:rsid w:val="0072349E"/>
    <w:rsid w:val="007237CF"/>
    <w:rsid w:val="007238C5"/>
    <w:rsid w:val="00723C07"/>
    <w:rsid w:val="00723CF3"/>
    <w:rsid w:val="00724452"/>
    <w:rsid w:val="00724941"/>
    <w:rsid w:val="00724A2D"/>
    <w:rsid w:val="0072500F"/>
    <w:rsid w:val="007253C7"/>
    <w:rsid w:val="0072612D"/>
    <w:rsid w:val="00726292"/>
    <w:rsid w:val="007262BD"/>
    <w:rsid w:val="00726570"/>
    <w:rsid w:val="007271C7"/>
    <w:rsid w:val="007272B8"/>
    <w:rsid w:val="007276B7"/>
    <w:rsid w:val="00727C41"/>
    <w:rsid w:val="00727D7C"/>
    <w:rsid w:val="00730290"/>
    <w:rsid w:val="007303C2"/>
    <w:rsid w:val="0073089F"/>
    <w:rsid w:val="00730CAD"/>
    <w:rsid w:val="0073139C"/>
    <w:rsid w:val="00731E1D"/>
    <w:rsid w:val="0073208E"/>
    <w:rsid w:val="00732B29"/>
    <w:rsid w:val="007336A4"/>
    <w:rsid w:val="007339F6"/>
    <w:rsid w:val="007339FF"/>
    <w:rsid w:val="007340A7"/>
    <w:rsid w:val="007340FB"/>
    <w:rsid w:val="0073441B"/>
    <w:rsid w:val="00734681"/>
    <w:rsid w:val="007347BC"/>
    <w:rsid w:val="00734B82"/>
    <w:rsid w:val="007355AD"/>
    <w:rsid w:val="00735697"/>
    <w:rsid w:val="00735703"/>
    <w:rsid w:val="007359DA"/>
    <w:rsid w:val="007359F8"/>
    <w:rsid w:val="00735C43"/>
    <w:rsid w:val="00735D67"/>
    <w:rsid w:val="00736335"/>
    <w:rsid w:val="00736489"/>
    <w:rsid w:val="007365BA"/>
    <w:rsid w:val="00736726"/>
    <w:rsid w:val="00736733"/>
    <w:rsid w:val="00736AA7"/>
    <w:rsid w:val="00736DE8"/>
    <w:rsid w:val="007373D7"/>
    <w:rsid w:val="00737A92"/>
    <w:rsid w:val="00737DDE"/>
    <w:rsid w:val="0074016A"/>
    <w:rsid w:val="007402F2"/>
    <w:rsid w:val="007406D6"/>
    <w:rsid w:val="00740EBF"/>
    <w:rsid w:val="00740FFD"/>
    <w:rsid w:val="007412AE"/>
    <w:rsid w:val="007413D2"/>
    <w:rsid w:val="00741757"/>
    <w:rsid w:val="007418CA"/>
    <w:rsid w:val="00741E68"/>
    <w:rsid w:val="0074269E"/>
    <w:rsid w:val="00742CBF"/>
    <w:rsid w:val="00742D58"/>
    <w:rsid w:val="00743140"/>
    <w:rsid w:val="00744725"/>
    <w:rsid w:val="0074477A"/>
    <w:rsid w:val="007449BA"/>
    <w:rsid w:val="00745021"/>
    <w:rsid w:val="00746080"/>
    <w:rsid w:val="007464DA"/>
    <w:rsid w:val="007466C7"/>
    <w:rsid w:val="0074697E"/>
    <w:rsid w:val="00746AEE"/>
    <w:rsid w:val="00746C72"/>
    <w:rsid w:val="00746D10"/>
    <w:rsid w:val="0074711A"/>
    <w:rsid w:val="0074740F"/>
    <w:rsid w:val="007476E0"/>
    <w:rsid w:val="00747843"/>
    <w:rsid w:val="00747A05"/>
    <w:rsid w:val="00747B37"/>
    <w:rsid w:val="0075016D"/>
    <w:rsid w:val="007505F2"/>
    <w:rsid w:val="00750A95"/>
    <w:rsid w:val="00750C64"/>
    <w:rsid w:val="00750CDA"/>
    <w:rsid w:val="00751D26"/>
    <w:rsid w:val="00752095"/>
    <w:rsid w:val="00752983"/>
    <w:rsid w:val="00752AA7"/>
    <w:rsid w:val="00752C08"/>
    <w:rsid w:val="00752C46"/>
    <w:rsid w:val="00752C7F"/>
    <w:rsid w:val="00752D9B"/>
    <w:rsid w:val="0075308E"/>
    <w:rsid w:val="0075324B"/>
    <w:rsid w:val="0075358B"/>
    <w:rsid w:val="007535F8"/>
    <w:rsid w:val="007537D1"/>
    <w:rsid w:val="00753B7F"/>
    <w:rsid w:val="007540E8"/>
    <w:rsid w:val="007542B5"/>
    <w:rsid w:val="00754543"/>
    <w:rsid w:val="00754C85"/>
    <w:rsid w:val="00754F77"/>
    <w:rsid w:val="00756429"/>
    <w:rsid w:val="00756DD5"/>
    <w:rsid w:val="007579C3"/>
    <w:rsid w:val="00757A58"/>
    <w:rsid w:val="00760108"/>
    <w:rsid w:val="0076023E"/>
    <w:rsid w:val="007604AC"/>
    <w:rsid w:val="00760736"/>
    <w:rsid w:val="007610F9"/>
    <w:rsid w:val="00761110"/>
    <w:rsid w:val="00761524"/>
    <w:rsid w:val="00761B51"/>
    <w:rsid w:val="00761C64"/>
    <w:rsid w:val="007624C1"/>
    <w:rsid w:val="00762579"/>
    <w:rsid w:val="00762CA3"/>
    <w:rsid w:val="00762E88"/>
    <w:rsid w:val="00763B0D"/>
    <w:rsid w:val="00764054"/>
    <w:rsid w:val="00764B35"/>
    <w:rsid w:val="00764D78"/>
    <w:rsid w:val="00764E0B"/>
    <w:rsid w:val="00765A01"/>
    <w:rsid w:val="00766141"/>
    <w:rsid w:val="007662BB"/>
    <w:rsid w:val="00766753"/>
    <w:rsid w:val="00766AD7"/>
    <w:rsid w:val="007673FC"/>
    <w:rsid w:val="00767924"/>
    <w:rsid w:val="007704AE"/>
    <w:rsid w:val="007705D5"/>
    <w:rsid w:val="007706BF"/>
    <w:rsid w:val="007709A8"/>
    <w:rsid w:val="00770B55"/>
    <w:rsid w:val="0077112B"/>
    <w:rsid w:val="00771425"/>
    <w:rsid w:val="00771521"/>
    <w:rsid w:val="00771C78"/>
    <w:rsid w:val="007726DF"/>
    <w:rsid w:val="0077270F"/>
    <w:rsid w:val="00772759"/>
    <w:rsid w:val="007729CE"/>
    <w:rsid w:val="00772A91"/>
    <w:rsid w:val="00772B54"/>
    <w:rsid w:val="00772C0B"/>
    <w:rsid w:val="00772CFF"/>
    <w:rsid w:val="00772D23"/>
    <w:rsid w:val="00773385"/>
    <w:rsid w:val="00773CF2"/>
    <w:rsid w:val="0077425F"/>
    <w:rsid w:val="007742EA"/>
    <w:rsid w:val="0077453E"/>
    <w:rsid w:val="007754B5"/>
    <w:rsid w:val="0077617D"/>
    <w:rsid w:val="00776A74"/>
    <w:rsid w:val="00777205"/>
    <w:rsid w:val="007778ED"/>
    <w:rsid w:val="007801B4"/>
    <w:rsid w:val="007804A1"/>
    <w:rsid w:val="0078083C"/>
    <w:rsid w:val="007809B8"/>
    <w:rsid w:val="00781255"/>
    <w:rsid w:val="00781958"/>
    <w:rsid w:val="00781C6C"/>
    <w:rsid w:val="00781D97"/>
    <w:rsid w:val="0078248A"/>
    <w:rsid w:val="00782BCE"/>
    <w:rsid w:val="00782F8A"/>
    <w:rsid w:val="00783348"/>
    <w:rsid w:val="00783436"/>
    <w:rsid w:val="007840C8"/>
    <w:rsid w:val="007840DC"/>
    <w:rsid w:val="007841DB"/>
    <w:rsid w:val="007841E7"/>
    <w:rsid w:val="007847CD"/>
    <w:rsid w:val="00785223"/>
    <w:rsid w:val="00785239"/>
    <w:rsid w:val="00785339"/>
    <w:rsid w:val="00785BF8"/>
    <w:rsid w:val="007860BC"/>
    <w:rsid w:val="0078620F"/>
    <w:rsid w:val="007866B1"/>
    <w:rsid w:val="00786C88"/>
    <w:rsid w:val="00786DE1"/>
    <w:rsid w:val="00787036"/>
    <w:rsid w:val="00787214"/>
    <w:rsid w:val="007878AD"/>
    <w:rsid w:val="00790A43"/>
    <w:rsid w:val="00791B02"/>
    <w:rsid w:val="00791C80"/>
    <w:rsid w:val="00791D64"/>
    <w:rsid w:val="0079267C"/>
    <w:rsid w:val="0079279B"/>
    <w:rsid w:val="007927A2"/>
    <w:rsid w:val="0079339E"/>
    <w:rsid w:val="00793766"/>
    <w:rsid w:val="0079389C"/>
    <w:rsid w:val="00793A03"/>
    <w:rsid w:val="0079405C"/>
    <w:rsid w:val="00794715"/>
    <w:rsid w:val="00794C79"/>
    <w:rsid w:val="00794F2F"/>
    <w:rsid w:val="00794FD7"/>
    <w:rsid w:val="0079531A"/>
    <w:rsid w:val="00795378"/>
    <w:rsid w:val="00796D2E"/>
    <w:rsid w:val="00796F62"/>
    <w:rsid w:val="00797081"/>
    <w:rsid w:val="00797C37"/>
    <w:rsid w:val="00797F5A"/>
    <w:rsid w:val="00797FCB"/>
    <w:rsid w:val="007A076F"/>
    <w:rsid w:val="007A0857"/>
    <w:rsid w:val="007A0B69"/>
    <w:rsid w:val="007A105A"/>
    <w:rsid w:val="007A1395"/>
    <w:rsid w:val="007A1458"/>
    <w:rsid w:val="007A18ED"/>
    <w:rsid w:val="007A20A4"/>
    <w:rsid w:val="007A216E"/>
    <w:rsid w:val="007A2767"/>
    <w:rsid w:val="007A2D55"/>
    <w:rsid w:val="007A3561"/>
    <w:rsid w:val="007A39D1"/>
    <w:rsid w:val="007A3E71"/>
    <w:rsid w:val="007A4419"/>
    <w:rsid w:val="007A478C"/>
    <w:rsid w:val="007A4DBB"/>
    <w:rsid w:val="007A6CDB"/>
    <w:rsid w:val="007A70A3"/>
    <w:rsid w:val="007A746E"/>
    <w:rsid w:val="007A754F"/>
    <w:rsid w:val="007A7A72"/>
    <w:rsid w:val="007A7B21"/>
    <w:rsid w:val="007A7B8F"/>
    <w:rsid w:val="007B092D"/>
    <w:rsid w:val="007B0EBA"/>
    <w:rsid w:val="007B10BA"/>
    <w:rsid w:val="007B18A1"/>
    <w:rsid w:val="007B18AC"/>
    <w:rsid w:val="007B1F3B"/>
    <w:rsid w:val="007B217E"/>
    <w:rsid w:val="007B297A"/>
    <w:rsid w:val="007B2BC0"/>
    <w:rsid w:val="007B2E34"/>
    <w:rsid w:val="007B2F45"/>
    <w:rsid w:val="007B35D8"/>
    <w:rsid w:val="007B36F0"/>
    <w:rsid w:val="007B3770"/>
    <w:rsid w:val="007B38E2"/>
    <w:rsid w:val="007B3AA8"/>
    <w:rsid w:val="007B3F07"/>
    <w:rsid w:val="007B46E2"/>
    <w:rsid w:val="007B4767"/>
    <w:rsid w:val="007B4CB5"/>
    <w:rsid w:val="007B4CEA"/>
    <w:rsid w:val="007B4D83"/>
    <w:rsid w:val="007B50A3"/>
    <w:rsid w:val="007B52E0"/>
    <w:rsid w:val="007B530B"/>
    <w:rsid w:val="007B5367"/>
    <w:rsid w:val="007B5600"/>
    <w:rsid w:val="007B62E0"/>
    <w:rsid w:val="007B660C"/>
    <w:rsid w:val="007B6C43"/>
    <w:rsid w:val="007B7128"/>
    <w:rsid w:val="007B76B3"/>
    <w:rsid w:val="007B7797"/>
    <w:rsid w:val="007C0404"/>
    <w:rsid w:val="007C04EE"/>
    <w:rsid w:val="007C0517"/>
    <w:rsid w:val="007C057B"/>
    <w:rsid w:val="007C05B1"/>
    <w:rsid w:val="007C05D1"/>
    <w:rsid w:val="007C08D6"/>
    <w:rsid w:val="007C0BC7"/>
    <w:rsid w:val="007C0CD5"/>
    <w:rsid w:val="007C0CD7"/>
    <w:rsid w:val="007C19BB"/>
    <w:rsid w:val="007C1B08"/>
    <w:rsid w:val="007C1D82"/>
    <w:rsid w:val="007C1FC9"/>
    <w:rsid w:val="007C22CE"/>
    <w:rsid w:val="007C26B3"/>
    <w:rsid w:val="007C27AD"/>
    <w:rsid w:val="007C2DD1"/>
    <w:rsid w:val="007C308C"/>
    <w:rsid w:val="007C3368"/>
    <w:rsid w:val="007C3701"/>
    <w:rsid w:val="007C396C"/>
    <w:rsid w:val="007C3A7D"/>
    <w:rsid w:val="007C3F20"/>
    <w:rsid w:val="007C4777"/>
    <w:rsid w:val="007C4FF8"/>
    <w:rsid w:val="007C5088"/>
    <w:rsid w:val="007C5152"/>
    <w:rsid w:val="007C5166"/>
    <w:rsid w:val="007C52AC"/>
    <w:rsid w:val="007C5434"/>
    <w:rsid w:val="007C5646"/>
    <w:rsid w:val="007C5E5F"/>
    <w:rsid w:val="007C6E1F"/>
    <w:rsid w:val="007C74C3"/>
    <w:rsid w:val="007D0439"/>
    <w:rsid w:val="007D0A6B"/>
    <w:rsid w:val="007D0CD6"/>
    <w:rsid w:val="007D158D"/>
    <w:rsid w:val="007D1DA0"/>
    <w:rsid w:val="007D1E74"/>
    <w:rsid w:val="007D1F53"/>
    <w:rsid w:val="007D1F71"/>
    <w:rsid w:val="007D25C4"/>
    <w:rsid w:val="007D2B3E"/>
    <w:rsid w:val="007D2EA1"/>
    <w:rsid w:val="007D344B"/>
    <w:rsid w:val="007D41A6"/>
    <w:rsid w:val="007D4741"/>
    <w:rsid w:val="007D4ECD"/>
    <w:rsid w:val="007D545A"/>
    <w:rsid w:val="007D5B1B"/>
    <w:rsid w:val="007D6176"/>
    <w:rsid w:val="007D62AB"/>
    <w:rsid w:val="007D661D"/>
    <w:rsid w:val="007D662D"/>
    <w:rsid w:val="007D68C8"/>
    <w:rsid w:val="007D6A6F"/>
    <w:rsid w:val="007D6C87"/>
    <w:rsid w:val="007D7999"/>
    <w:rsid w:val="007D7A95"/>
    <w:rsid w:val="007E018D"/>
    <w:rsid w:val="007E0F9A"/>
    <w:rsid w:val="007E1221"/>
    <w:rsid w:val="007E12E0"/>
    <w:rsid w:val="007E18BD"/>
    <w:rsid w:val="007E1E7F"/>
    <w:rsid w:val="007E2711"/>
    <w:rsid w:val="007E2E14"/>
    <w:rsid w:val="007E302C"/>
    <w:rsid w:val="007E31D2"/>
    <w:rsid w:val="007E33DB"/>
    <w:rsid w:val="007E351A"/>
    <w:rsid w:val="007E3B24"/>
    <w:rsid w:val="007E3BD7"/>
    <w:rsid w:val="007E4118"/>
    <w:rsid w:val="007E42B3"/>
    <w:rsid w:val="007E44DB"/>
    <w:rsid w:val="007E50A2"/>
    <w:rsid w:val="007E6069"/>
    <w:rsid w:val="007E6200"/>
    <w:rsid w:val="007E643A"/>
    <w:rsid w:val="007E68C9"/>
    <w:rsid w:val="007E6CC2"/>
    <w:rsid w:val="007E7BAE"/>
    <w:rsid w:val="007E7E3C"/>
    <w:rsid w:val="007E7F1F"/>
    <w:rsid w:val="007E7FE8"/>
    <w:rsid w:val="007F052C"/>
    <w:rsid w:val="007F0735"/>
    <w:rsid w:val="007F089B"/>
    <w:rsid w:val="007F096F"/>
    <w:rsid w:val="007F09A4"/>
    <w:rsid w:val="007F0C61"/>
    <w:rsid w:val="007F0DF2"/>
    <w:rsid w:val="007F0ECE"/>
    <w:rsid w:val="007F11AA"/>
    <w:rsid w:val="007F1550"/>
    <w:rsid w:val="007F18EF"/>
    <w:rsid w:val="007F1928"/>
    <w:rsid w:val="007F2587"/>
    <w:rsid w:val="007F2736"/>
    <w:rsid w:val="007F2780"/>
    <w:rsid w:val="007F2A48"/>
    <w:rsid w:val="007F2A5B"/>
    <w:rsid w:val="007F2C03"/>
    <w:rsid w:val="007F2C7A"/>
    <w:rsid w:val="007F3895"/>
    <w:rsid w:val="007F4F7B"/>
    <w:rsid w:val="007F5473"/>
    <w:rsid w:val="007F56DB"/>
    <w:rsid w:val="007F59D5"/>
    <w:rsid w:val="007F5EC4"/>
    <w:rsid w:val="007F6140"/>
    <w:rsid w:val="007F62CB"/>
    <w:rsid w:val="007F6814"/>
    <w:rsid w:val="007F68F5"/>
    <w:rsid w:val="007F6A35"/>
    <w:rsid w:val="007F6D0F"/>
    <w:rsid w:val="007F6DD6"/>
    <w:rsid w:val="007F6ED8"/>
    <w:rsid w:val="007F771E"/>
    <w:rsid w:val="007F7904"/>
    <w:rsid w:val="008000F6"/>
    <w:rsid w:val="00800341"/>
    <w:rsid w:val="0080040C"/>
    <w:rsid w:val="00800520"/>
    <w:rsid w:val="00801BB5"/>
    <w:rsid w:val="00801C90"/>
    <w:rsid w:val="0080271D"/>
    <w:rsid w:val="00802ABB"/>
    <w:rsid w:val="00802CC7"/>
    <w:rsid w:val="00802D70"/>
    <w:rsid w:val="00802D7F"/>
    <w:rsid w:val="00803AB6"/>
    <w:rsid w:val="00803B85"/>
    <w:rsid w:val="00803E62"/>
    <w:rsid w:val="00804450"/>
    <w:rsid w:val="00805850"/>
    <w:rsid w:val="0080689A"/>
    <w:rsid w:val="00806E73"/>
    <w:rsid w:val="00806EFE"/>
    <w:rsid w:val="00807287"/>
    <w:rsid w:val="0080739E"/>
    <w:rsid w:val="008074A5"/>
    <w:rsid w:val="00807D46"/>
    <w:rsid w:val="00810ECE"/>
    <w:rsid w:val="00811544"/>
    <w:rsid w:val="00811A3F"/>
    <w:rsid w:val="00811B56"/>
    <w:rsid w:val="00811E59"/>
    <w:rsid w:val="00812D4B"/>
    <w:rsid w:val="0081379C"/>
    <w:rsid w:val="00813A88"/>
    <w:rsid w:val="00813AA5"/>
    <w:rsid w:val="00813B07"/>
    <w:rsid w:val="00813E7C"/>
    <w:rsid w:val="008141CC"/>
    <w:rsid w:val="008145C9"/>
    <w:rsid w:val="0081565E"/>
    <w:rsid w:val="008158AC"/>
    <w:rsid w:val="00815A88"/>
    <w:rsid w:val="00816AC8"/>
    <w:rsid w:val="00816BAE"/>
    <w:rsid w:val="0081712F"/>
    <w:rsid w:val="008171E2"/>
    <w:rsid w:val="00817588"/>
    <w:rsid w:val="00817696"/>
    <w:rsid w:val="00817CC5"/>
    <w:rsid w:val="00817E92"/>
    <w:rsid w:val="00820236"/>
    <w:rsid w:val="0082040D"/>
    <w:rsid w:val="008205BF"/>
    <w:rsid w:val="00820745"/>
    <w:rsid w:val="00820B68"/>
    <w:rsid w:val="00820C81"/>
    <w:rsid w:val="00820E7E"/>
    <w:rsid w:val="008210A4"/>
    <w:rsid w:val="00821527"/>
    <w:rsid w:val="00821570"/>
    <w:rsid w:val="008215BB"/>
    <w:rsid w:val="00821956"/>
    <w:rsid w:val="00822079"/>
    <w:rsid w:val="008220C1"/>
    <w:rsid w:val="00822A1E"/>
    <w:rsid w:val="00822B31"/>
    <w:rsid w:val="00822CD2"/>
    <w:rsid w:val="00822CEE"/>
    <w:rsid w:val="00822F00"/>
    <w:rsid w:val="00823AAF"/>
    <w:rsid w:val="00823D98"/>
    <w:rsid w:val="00823EF7"/>
    <w:rsid w:val="00824A56"/>
    <w:rsid w:val="00825016"/>
    <w:rsid w:val="0082513B"/>
    <w:rsid w:val="00825590"/>
    <w:rsid w:val="00825AAA"/>
    <w:rsid w:val="00825C05"/>
    <w:rsid w:val="00825EB8"/>
    <w:rsid w:val="0082605F"/>
    <w:rsid w:val="00827D41"/>
    <w:rsid w:val="008300B1"/>
    <w:rsid w:val="0083040D"/>
    <w:rsid w:val="00830E54"/>
    <w:rsid w:val="00831756"/>
    <w:rsid w:val="008319D9"/>
    <w:rsid w:val="00831A17"/>
    <w:rsid w:val="008322D9"/>
    <w:rsid w:val="008324E2"/>
    <w:rsid w:val="00832982"/>
    <w:rsid w:val="0083312C"/>
    <w:rsid w:val="00833EBB"/>
    <w:rsid w:val="0083491B"/>
    <w:rsid w:val="00834C93"/>
    <w:rsid w:val="00834F1A"/>
    <w:rsid w:val="00834F52"/>
    <w:rsid w:val="0083519C"/>
    <w:rsid w:val="00835366"/>
    <w:rsid w:val="0083545A"/>
    <w:rsid w:val="008354EE"/>
    <w:rsid w:val="008355AC"/>
    <w:rsid w:val="0083625A"/>
    <w:rsid w:val="00836335"/>
    <w:rsid w:val="00836645"/>
    <w:rsid w:val="00836BEF"/>
    <w:rsid w:val="0084053E"/>
    <w:rsid w:val="0084063C"/>
    <w:rsid w:val="00840A11"/>
    <w:rsid w:val="00840B92"/>
    <w:rsid w:val="00841321"/>
    <w:rsid w:val="00841479"/>
    <w:rsid w:val="0084154B"/>
    <w:rsid w:val="008417D8"/>
    <w:rsid w:val="008419E0"/>
    <w:rsid w:val="00841B87"/>
    <w:rsid w:val="00841D75"/>
    <w:rsid w:val="00841DD7"/>
    <w:rsid w:val="0084210B"/>
    <w:rsid w:val="00842CC8"/>
    <w:rsid w:val="00843544"/>
    <w:rsid w:val="00843B1A"/>
    <w:rsid w:val="00843B51"/>
    <w:rsid w:val="00843D53"/>
    <w:rsid w:val="00844441"/>
    <w:rsid w:val="008446F5"/>
    <w:rsid w:val="00844882"/>
    <w:rsid w:val="00845583"/>
    <w:rsid w:val="0084567A"/>
    <w:rsid w:val="008458C5"/>
    <w:rsid w:val="00845D25"/>
    <w:rsid w:val="00846513"/>
    <w:rsid w:val="00846650"/>
    <w:rsid w:val="008468FD"/>
    <w:rsid w:val="008471B6"/>
    <w:rsid w:val="00847541"/>
    <w:rsid w:val="00847BE8"/>
    <w:rsid w:val="0085002D"/>
    <w:rsid w:val="0085023E"/>
    <w:rsid w:val="00850404"/>
    <w:rsid w:val="00850596"/>
    <w:rsid w:val="008507E7"/>
    <w:rsid w:val="00850D36"/>
    <w:rsid w:val="00850DF2"/>
    <w:rsid w:val="00852203"/>
    <w:rsid w:val="00852BEE"/>
    <w:rsid w:val="00853575"/>
    <w:rsid w:val="00853811"/>
    <w:rsid w:val="0085442D"/>
    <w:rsid w:val="00854475"/>
    <w:rsid w:val="00854766"/>
    <w:rsid w:val="00854E4C"/>
    <w:rsid w:val="00854EEB"/>
    <w:rsid w:val="008555FE"/>
    <w:rsid w:val="00855894"/>
    <w:rsid w:val="00855BC2"/>
    <w:rsid w:val="00855EA1"/>
    <w:rsid w:val="008564D8"/>
    <w:rsid w:val="00856E10"/>
    <w:rsid w:val="00857D10"/>
    <w:rsid w:val="0086063E"/>
    <w:rsid w:val="008609F7"/>
    <w:rsid w:val="00860E27"/>
    <w:rsid w:val="00860F68"/>
    <w:rsid w:val="00860F92"/>
    <w:rsid w:val="00861158"/>
    <w:rsid w:val="00861279"/>
    <w:rsid w:val="00861439"/>
    <w:rsid w:val="008617A5"/>
    <w:rsid w:val="00861831"/>
    <w:rsid w:val="00861BF3"/>
    <w:rsid w:val="00861C62"/>
    <w:rsid w:val="0086204C"/>
    <w:rsid w:val="0086227E"/>
    <w:rsid w:val="0086267B"/>
    <w:rsid w:val="0086279F"/>
    <w:rsid w:val="00862B3D"/>
    <w:rsid w:val="00862C29"/>
    <w:rsid w:val="00862CAF"/>
    <w:rsid w:val="00862DEB"/>
    <w:rsid w:val="00863BBF"/>
    <w:rsid w:val="00863FDA"/>
    <w:rsid w:val="008641CA"/>
    <w:rsid w:val="00864740"/>
    <w:rsid w:val="0086479E"/>
    <w:rsid w:val="00864CE2"/>
    <w:rsid w:val="00864E2B"/>
    <w:rsid w:val="00864F51"/>
    <w:rsid w:val="008652EF"/>
    <w:rsid w:val="0086579E"/>
    <w:rsid w:val="0086585D"/>
    <w:rsid w:val="008658F6"/>
    <w:rsid w:val="00865C5A"/>
    <w:rsid w:val="00865F6A"/>
    <w:rsid w:val="00866043"/>
    <w:rsid w:val="00866B46"/>
    <w:rsid w:val="00866B8E"/>
    <w:rsid w:val="00866C63"/>
    <w:rsid w:val="008671BD"/>
    <w:rsid w:val="008674DD"/>
    <w:rsid w:val="00867594"/>
    <w:rsid w:val="0086775B"/>
    <w:rsid w:val="0087029A"/>
    <w:rsid w:val="008702C1"/>
    <w:rsid w:val="00870404"/>
    <w:rsid w:val="00870551"/>
    <w:rsid w:val="008707E9"/>
    <w:rsid w:val="00870E21"/>
    <w:rsid w:val="008718C9"/>
    <w:rsid w:val="0087247A"/>
    <w:rsid w:val="00872495"/>
    <w:rsid w:val="00872DE6"/>
    <w:rsid w:val="0087321B"/>
    <w:rsid w:val="0087328C"/>
    <w:rsid w:val="00873D8C"/>
    <w:rsid w:val="008741EF"/>
    <w:rsid w:val="00875036"/>
    <w:rsid w:val="0087523C"/>
    <w:rsid w:val="00875939"/>
    <w:rsid w:val="00875B1C"/>
    <w:rsid w:val="00875CB5"/>
    <w:rsid w:val="00875F9D"/>
    <w:rsid w:val="008762E8"/>
    <w:rsid w:val="008765C9"/>
    <w:rsid w:val="008766BD"/>
    <w:rsid w:val="00876CB8"/>
    <w:rsid w:val="0087773C"/>
    <w:rsid w:val="00877AB0"/>
    <w:rsid w:val="00877C5E"/>
    <w:rsid w:val="00877E5A"/>
    <w:rsid w:val="00880CC4"/>
    <w:rsid w:val="00880F85"/>
    <w:rsid w:val="00881167"/>
    <w:rsid w:val="00881477"/>
    <w:rsid w:val="008818CF"/>
    <w:rsid w:val="00881D07"/>
    <w:rsid w:val="00881FBF"/>
    <w:rsid w:val="008822D3"/>
    <w:rsid w:val="00882478"/>
    <w:rsid w:val="008827E8"/>
    <w:rsid w:val="008828CB"/>
    <w:rsid w:val="00882FE8"/>
    <w:rsid w:val="00883444"/>
    <w:rsid w:val="00883750"/>
    <w:rsid w:val="00884CF5"/>
    <w:rsid w:val="00885158"/>
    <w:rsid w:val="008851E4"/>
    <w:rsid w:val="008859AC"/>
    <w:rsid w:val="00885B4E"/>
    <w:rsid w:val="00885F0F"/>
    <w:rsid w:val="0088634B"/>
    <w:rsid w:val="00886C8B"/>
    <w:rsid w:val="00886EF3"/>
    <w:rsid w:val="0088707F"/>
    <w:rsid w:val="00887321"/>
    <w:rsid w:val="00887470"/>
    <w:rsid w:val="008874A5"/>
    <w:rsid w:val="00887A2E"/>
    <w:rsid w:val="00887A61"/>
    <w:rsid w:val="00887E00"/>
    <w:rsid w:val="0089074A"/>
    <w:rsid w:val="00890ECD"/>
    <w:rsid w:val="0089175F"/>
    <w:rsid w:val="00891E99"/>
    <w:rsid w:val="00892E7F"/>
    <w:rsid w:val="0089307D"/>
    <w:rsid w:val="008933B6"/>
    <w:rsid w:val="008937BE"/>
    <w:rsid w:val="00893FDE"/>
    <w:rsid w:val="008943B3"/>
    <w:rsid w:val="008945CC"/>
    <w:rsid w:val="00894AF3"/>
    <w:rsid w:val="008952AE"/>
    <w:rsid w:val="00895505"/>
    <w:rsid w:val="008956C5"/>
    <w:rsid w:val="00895881"/>
    <w:rsid w:val="00895E4E"/>
    <w:rsid w:val="00896114"/>
    <w:rsid w:val="00896AB6"/>
    <w:rsid w:val="00896B5D"/>
    <w:rsid w:val="008972C8"/>
    <w:rsid w:val="00897654"/>
    <w:rsid w:val="00897A44"/>
    <w:rsid w:val="00897EA4"/>
    <w:rsid w:val="008A026C"/>
    <w:rsid w:val="008A0609"/>
    <w:rsid w:val="008A2135"/>
    <w:rsid w:val="008A2195"/>
    <w:rsid w:val="008A21C5"/>
    <w:rsid w:val="008A2549"/>
    <w:rsid w:val="008A2A61"/>
    <w:rsid w:val="008A2B1F"/>
    <w:rsid w:val="008A45A5"/>
    <w:rsid w:val="008A463F"/>
    <w:rsid w:val="008A4C67"/>
    <w:rsid w:val="008A4DDA"/>
    <w:rsid w:val="008A4F23"/>
    <w:rsid w:val="008A6328"/>
    <w:rsid w:val="008A6DF2"/>
    <w:rsid w:val="008A6F7C"/>
    <w:rsid w:val="008A713A"/>
    <w:rsid w:val="008A7304"/>
    <w:rsid w:val="008A77A9"/>
    <w:rsid w:val="008A77B1"/>
    <w:rsid w:val="008A796B"/>
    <w:rsid w:val="008A7D2D"/>
    <w:rsid w:val="008A7F73"/>
    <w:rsid w:val="008B011A"/>
    <w:rsid w:val="008B043A"/>
    <w:rsid w:val="008B053A"/>
    <w:rsid w:val="008B06D6"/>
    <w:rsid w:val="008B1040"/>
    <w:rsid w:val="008B14B6"/>
    <w:rsid w:val="008B1EE2"/>
    <w:rsid w:val="008B2055"/>
    <w:rsid w:val="008B219D"/>
    <w:rsid w:val="008B2632"/>
    <w:rsid w:val="008B26CB"/>
    <w:rsid w:val="008B29FF"/>
    <w:rsid w:val="008B300F"/>
    <w:rsid w:val="008B3102"/>
    <w:rsid w:val="008B335F"/>
    <w:rsid w:val="008B3899"/>
    <w:rsid w:val="008B3CC8"/>
    <w:rsid w:val="008B44F1"/>
    <w:rsid w:val="008B4739"/>
    <w:rsid w:val="008B4A17"/>
    <w:rsid w:val="008B4B7C"/>
    <w:rsid w:val="008B4BD9"/>
    <w:rsid w:val="008B4C3C"/>
    <w:rsid w:val="008B4CA9"/>
    <w:rsid w:val="008B524B"/>
    <w:rsid w:val="008B5560"/>
    <w:rsid w:val="008B56D1"/>
    <w:rsid w:val="008B58F8"/>
    <w:rsid w:val="008B5AF1"/>
    <w:rsid w:val="008B639F"/>
    <w:rsid w:val="008B6507"/>
    <w:rsid w:val="008B6DD5"/>
    <w:rsid w:val="008B6F92"/>
    <w:rsid w:val="008B7ABE"/>
    <w:rsid w:val="008B7C3B"/>
    <w:rsid w:val="008C00DF"/>
    <w:rsid w:val="008C0146"/>
    <w:rsid w:val="008C04B7"/>
    <w:rsid w:val="008C0662"/>
    <w:rsid w:val="008C06F2"/>
    <w:rsid w:val="008C0942"/>
    <w:rsid w:val="008C09ED"/>
    <w:rsid w:val="008C10AE"/>
    <w:rsid w:val="008C139B"/>
    <w:rsid w:val="008C1411"/>
    <w:rsid w:val="008C1A3D"/>
    <w:rsid w:val="008C22FA"/>
    <w:rsid w:val="008C2447"/>
    <w:rsid w:val="008C24C9"/>
    <w:rsid w:val="008C25DA"/>
    <w:rsid w:val="008C2DBB"/>
    <w:rsid w:val="008C3AB8"/>
    <w:rsid w:val="008C3D6E"/>
    <w:rsid w:val="008C3F32"/>
    <w:rsid w:val="008C46E3"/>
    <w:rsid w:val="008C4817"/>
    <w:rsid w:val="008C52B5"/>
    <w:rsid w:val="008C58D3"/>
    <w:rsid w:val="008C6E8E"/>
    <w:rsid w:val="008C72A5"/>
    <w:rsid w:val="008C72C1"/>
    <w:rsid w:val="008C72D7"/>
    <w:rsid w:val="008C772B"/>
    <w:rsid w:val="008C7848"/>
    <w:rsid w:val="008D022F"/>
    <w:rsid w:val="008D0273"/>
    <w:rsid w:val="008D0BF2"/>
    <w:rsid w:val="008D0DA7"/>
    <w:rsid w:val="008D0FFD"/>
    <w:rsid w:val="008D169C"/>
    <w:rsid w:val="008D1728"/>
    <w:rsid w:val="008D1731"/>
    <w:rsid w:val="008D1A7D"/>
    <w:rsid w:val="008D1B12"/>
    <w:rsid w:val="008D1E2C"/>
    <w:rsid w:val="008D1E87"/>
    <w:rsid w:val="008D1FC0"/>
    <w:rsid w:val="008D24D0"/>
    <w:rsid w:val="008D2A6B"/>
    <w:rsid w:val="008D31D9"/>
    <w:rsid w:val="008D37B9"/>
    <w:rsid w:val="008D37C3"/>
    <w:rsid w:val="008D3CBE"/>
    <w:rsid w:val="008D49FB"/>
    <w:rsid w:val="008D4B8C"/>
    <w:rsid w:val="008D4C07"/>
    <w:rsid w:val="008D5843"/>
    <w:rsid w:val="008D58B1"/>
    <w:rsid w:val="008D5E3D"/>
    <w:rsid w:val="008D5E96"/>
    <w:rsid w:val="008D630A"/>
    <w:rsid w:val="008D6E35"/>
    <w:rsid w:val="008D7695"/>
    <w:rsid w:val="008D778C"/>
    <w:rsid w:val="008D799E"/>
    <w:rsid w:val="008D7E53"/>
    <w:rsid w:val="008E08C3"/>
    <w:rsid w:val="008E0A33"/>
    <w:rsid w:val="008E0C7D"/>
    <w:rsid w:val="008E18B6"/>
    <w:rsid w:val="008E1930"/>
    <w:rsid w:val="008E1E4A"/>
    <w:rsid w:val="008E24A4"/>
    <w:rsid w:val="008E2996"/>
    <w:rsid w:val="008E30FF"/>
    <w:rsid w:val="008E3815"/>
    <w:rsid w:val="008E3C93"/>
    <w:rsid w:val="008E3D77"/>
    <w:rsid w:val="008E4025"/>
    <w:rsid w:val="008E40B7"/>
    <w:rsid w:val="008E42E7"/>
    <w:rsid w:val="008E44D3"/>
    <w:rsid w:val="008E5046"/>
    <w:rsid w:val="008E558A"/>
    <w:rsid w:val="008E56F0"/>
    <w:rsid w:val="008E572C"/>
    <w:rsid w:val="008E5EF5"/>
    <w:rsid w:val="008E5FFC"/>
    <w:rsid w:val="008E61EC"/>
    <w:rsid w:val="008E6A29"/>
    <w:rsid w:val="008E72DB"/>
    <w:rsid w:val="008F0390"/>
    <w:rsid w:val="008F04C7"/>
    <w:rsid w:val="008F058A"/>
    <w:rsid w:val="008F0845"/>
    <w:rsid w:val="008F10CE"/>
    <w:rsid w:val="008F12AD"/>
    <w:rsid w:val="008F16B7"/>
    <w:rsid w:val="008F1FC8"/>
    <w:rsid w:val="008F2175"/>
    <w:rsid w:val="008F21C2"/>
    <w:rsid w:val="008F28B2"/>
    <w:rsid w:val="008F2B37"/>
    <w:rsid w:val="008F32EB"/>
    <w:rsid w:val="008F40CB"/>
    <w:rsid w:val="008F41F3"/>
    <w:rsid w:val="008F45A7"/>
    <w:rsid w:val="008F46DF"/>
    <w:rsid w:val="008F496D"/>
    <w:rsid w:val="008F5165"/>
    <w:rsid w:val="008F58A3"/>
    <w:rsid w:val="008F6196"/>
    <w:rsid w:val="008F688F"/>
    <w:rsid w:val="008F6A69"/>
    <w:rsid w:val="008F786B"/>
    <w:rsid w:val="008F7E8C"/>
    <w:rsid w:val="008F7EDC"/>
    <w:rsid w:val="009006AF"/>
    <w:rsid w:val="00900744"/>
    <w:rsid w:val="0090159C"/>
    <w:rsid w:val="0090220C"/>
    <w:rsid w:val="00902820"/>
    <w:rsid w:val="00902B8B"/>
    <w:rsid w:val="009030C1"/>
    <w:rsid w:val="00903317"/>
    <w:rsid w:val="0090356C"/>
    <w:rsid w:val="00903782"/>
    <w:rsid w:val="0090420D"/>
    <w:rsid w:val="009046E8"/>
    <w:rsid w:val="00904824"/>
    <w:rsid w:val="0090492F"/>
    <w:rsid w:val="00904B1C"/>
    <w:rsid w:val="00904C76"/>
    <w:rsid w:val="00904E29"/>
    <w:rsid w:val="0090503A"/>
    <w:rsid w:val="00905A95"/>
    <w:rsid w:val="00905AC9"/>
    <w:rsid w:val="00905AFF"/>
    <w:rsid w:val="00905DF1"/>
    <w:rsid w:val="009061D1"/>
    <w:rsid w:val="00906772"/>
    <w:rsid w:val="00906AD8"/>
    <w:rsid w:val="00906BA3"/>
    <w:rsid w:val="00907CF9"/>
    <w:rsid w:val="00907EF2"/>
    <w:rsid w:val="0091007E"/>
    <w:rsid w:val="00910388"/>
    <w:rsid w:val="00910763"/>
    <w:rsid w:val="00910802"/>
    <w:rsid w:val="00910D26"/>
    <w:rsid w:val="00911198"/>
    <w:rsid w:val="00911440"/>
    <w:rsid w:val="0091153F"/>
    <w:rsid w:val="00911CB5"/>
    <w:rsid w:val="009122E3"/>
    <w:rsid w:val="00912524"/>
    <w:rsid w:val="00914129"/>
    <w:rsid w:val="00914C2C"/>
    <w:rsid w:val="0091515B"/>
    <w:rsid w:val="009154F4"/>
    <w:rsid w:val="00915525"/>
    <w:rsid w:val="00915F6E"/>
    <w:rsid w:val="009164EE"/>
    <w:rsid w:val="00917BB7"/>
    <w:rsid w:val="00917EDB"/>
    <w:rsid w:val="00917F1B"/>
    <w:rsid w:val="00917F3B"/>
    <w:rsid w:val="00920433"/>
    <w:rsid w:val="00920E96"/>
    <w:rsid w:val="00921EFE"/>
    <w:rsid w:val="00922743"/>
    <w:rsid w:val="00922E47"/>
    <w:rsid w:val="00923080"/>
    <w:rsid w:val="009236B1"/>
    <w:rsid w:val="00923CD0"/>
    <w:rsid w:val="00923E34"/>
    <w:rsid w:val="00924036"/>
    <w:rsid w:val="00924605"/>
    <w:rsid w:val="00924A51"/>
    <w:rsid w:val="00924AC1"/>
    <w:rsid w:val="0092518A"/>
    <w:rsid w:val="009253BE"/>
    <w:rsid w:val="00925500"/>
    <w:rsid w:val="00925DA6"/>
    <w:rsid w:val="00925DC4"/>
    <w:rsid w:val="0092634F"/>
    <w:rsid w:val="0092682A"/>
    <w:rsid w:val="0092686B"/>
    <w:rsid w:val="00926C25"/>
    <w:rsid w:val="00927467"/>
    <w:rsid w:val="00927B5F"/>
    <w:rsid w:val="00930267"/>
    <w:rsid w:val="00930677"/>
    <w:rsid w:val="00930FC3"/>
    <w:rsid w:val="00931167"/>
    <w:rsid w:val="0093166B"/>
    <w:rsid w:val="00931838"/>
    <w:rsid w:val="00931986"/>
    <w:rsid w:val="00931D3F"/>
    <w:rsid w:val="00931DDB"/>
    <w:rsid w:val="0093213C"/>
    <w:rsid w:val="0093252C"/>
    <w:rsid w:val="00932537"/>
    <w:rsid w:val="00932BEA"/>
    <w:rsid w:val="00932CA6"/>
    <w:rsid w:val="00933344"/>
    <w:rsid w:val="00933E09"/>
    <w:rsid w:val="00933FFF"/>
    <w:rsid w:val="009342A5"/>
    <w:rsid w:val="009349D5"/>
    <w:rsid w:val="00934B24"/>
    <w:rsid w:val="00934B42"/>
    <w:rsid w:val="00934EF6"/>
    <w:rsid w:val="00935517"/>
    <w:rsid w:val="00935FE1"/>
    <w:rsid w:val="00936297"/>
    <w:rsid w:val="009363E0"/>
    <w:rsid w:val="009365F9"/>
    <w:rsid w:val="00936D0F"/>
    <w:rsid w:val="0093702E"/>
    <w:rsid w:val="00937373"/>
    <w:rsid w:val="00937585"/>
    <w:rsid w:val="00937A8B"/>
    <w:rsid w:val="00937D1C"/>
    <w:rsid w:val="00937D41"/>
    <w:rsid w:val="0094050E"/>
    <w:rsid w:val="0094067D"/>
    <w:rsid w:val="00940703"/>
    <w:rsid w:val="00940E46"/>
    <w:rsid w:val="00940EAA"/>
    <w:rsid w:val="00941036"/>
    <w:rsid w:val="009419D7"/>
    <w:rsid w:val="00941D99"/>
    <w:rsid w:val="0094250B"/>
    <w:rsid w:val="00942A6B"/>
    <w:rsid w:val="00942A7C"/>
    <w:rsid w:val="00942E0B"/>
    <w:rsid w:val="00942E51"/>
    <w:rsid w:val="0094320C"/>
    <w:rsid w:val="009447DF"/>
    <w:rsid w:val="00944B67"/>
    <w:rsid w:val="00944D0B"/>
    <w:rsid w:val="00944E6B"/>
    <w:rsid w:val="00945388"/>
    <w:rsid w:val="009453B3"/>
    <w:rsid w:val="00945527"/>
    <w:rsid w:val="00945A30"/>
    <w:rsid w:val="00945C07"/>
    <w:rsid w:val="009463A9"/>
    <w:rsid w:val="009467C0"/>
    <w:rsid w:val="009467CA"/>
    <w:rsid w:val="00946990"/>
    <w:rsid w:val="00946A08"/>
    <w:rsid w:val="00947F8B"/>
    <w:rsid w:val="00947FD4"/>
    <w:rsid w:val="00950BBB"/>
    <w:rsid w:val="00950CE2"/>
    <w:rsid w:val="00951175"/>
    <w:rsid w:val="009517B3"/>
    <w:rsid w:val="00951AAE"/>
    <w:rsid w:val="00952187"/>
    <w:rsid w:val="0095301D"/>
    <w:rsid w:val="00953922"/>
    <w:rsid w:val="00953AB6"/>
    <w:rsid w:val="00954105"/>
    <w:rsid w:val="009544C9"/>
    <w:rsid w:val="00954823"/>
    <w:rsid w:val="00954A2A"/>
    <w:rsid w:val="00954F61"/>
    <w:rsid w:val="009554E4"/>
    <w:rsid w:val="0095581F"/>
    <w:rsid w:val="00955836"/>
    <w:rsid w:val="0095587C"/>
    <w:rsid w:val="00955DF8"/>
    <w:rsid w:val="0095606E"/>
    <w:rsid w:val="009560A6"/>
    <w:rsid w:val="00956171"/>
    <w:rsid w:val="00956234"/>
    <w:rsid w:val="009563AC"/>
    <w:rsid w:val="009564E2"/>
    <w:rsid w:val="00956642"/>
    <w:rsid w:val="009567FE"/>
    <w:rsid w:val="00956876"/>
    <w:rsid w:val="0095744A"/>
    <w:rsid w:val="00957493"/>
    <w:rsid w:val="00957F5A"/>
    <w:rsid w:val="009606CD"/>
    <w:rsid w:val="009607F0"/>
    <w:rsid w:val="00960E68"/>
    <w:rsid w:val="009616BC"/>
    <w:rsid w:val="00961C3C"/>
    <w:rsid w:val="00961E03"/>
    <w:rsid w:val="00961F1B"/>
    <w:rsid w:val="00962103"/>
    <w:rsid w:val="009621B5"/>
    <w:rsid w:val="00963BE1"/>
    <w:rsid w:val="00963DC4"/>
    <w:rsid w:val="009646C8"/>
    <w:rsid w:val="00964764"/>
    <w:rsid w:val="009648FF"/>
    <w:rsid w:val="00964A58"/>
    <w:rsid w:val="00965026"/>
    <w:rsid w:val="0096530C"/>
    <w:rsid w:val="00965CDB"/>
    <w:rsid w:val="00966859"/>
    <w:rsid w:val="0096691F"/>
    <w:rsid w:val="0096693C"/>
    <w:rsid w:val="00966DCA"/>
    <w:rsid w:val="00967175"/>
    <w:rsid w:val="00967D69"/>
    <w:rsid w:val="00967EEA"/>
    <w:rsid w:val="00970102"/>
    <w:rsid w:val="0097079C"/>
    <w:rsid w:val="00970884"/>
    <w:rsid w:val="0097094A"/>
    <w:rsid w:val="00970C2E"/>
    <w:rsid w:val="00970F85"/>
    <w:rsid w:val="009719F7"/>
    <w:rsid w:val="00972472"/>
    <w:rsid w:val="00972530"/>
    <w:rsid w:val="00972C03"/>
    <w:rsid w:val="00972DCC"/>
    <w:rsid w:val="00972FE7"/>
    <w:rsid w:val="00973031"/>
    <w:rsid w:val="00973308"/>
    <w:rsid w:val="00973662"/>
    <w:rsid w:val="009736BA"/>
    <w:rsid w:val="00973E90"/>
    <w:rsid w:val="00974422"/>
    <w:rsid w:val="00974825"/>
    <w:rsid w:val="00974E12"/>
    <w:rsid w:val="00975041"/>
    <w:rsid w:val="00975214"/>
    <w:rsid w:val="009753D4"/>
    <w:rsid w:val="00975738"/>
    <w:rsid w:val="00975754"/>
    <w:rsid w:val="00975C16"/>
    <w:rsid w:val="00975C64"/>
    <w:rsid w:val="00975D82"/>
    <w:rsid w:val="00975E32"/>
    <w:rsid w:val="00976AE8"/>
    <w:rsid w:val="00976CDF"/>
    <w:rsid w:val="00976E21"/>
    <w:rsid w:val="00977195"/>
    <w:rsid w:val="0097725B"/>
    <w:rsid w:val="0097728E"/>
    <w:rsid w:val="00977356"/>
    <w:rsid w:val="0097744A"/>
    <w:rsid w:val="0097793C"/>
    <w:rsid w:val="00977AD3"/>
    <w:rsid w:val="0098012C"/>
    <w:rsid w:val="0098017D"/>
    <w:rsid w:val="00980333"/>
    <w:rsid w:val="009805ED"/>
    <w:rsid w:val="00980BB8"/>
    <w:rsid w:val="0098107D"/>
    <w:rsid w:val="00981333"/>
    <w:rsid w:val="0098178D"/>
    <w:rsid w:val="0098187F"/>
    <w:rsid w:val="00981E78"/>
    <w:rsid w:val="00981FA3"/>
    <w:rsid w:val="0098243D"/>
    <w:rsid w:val="009826C4"/>
    <w:rsid w:val="00982D2D"/>
    <w:rsid w:val="00983124"/>
    <w:rsid w:val="0098450A"/>
    <w:rsid w:val="00984772"/>
    <w:rsid w:val="0098487F"/>
    <w:rsid w:val="00984EAD"/>
    <w:rsid w:val="00985615"/>
    <w:rsid w:val="009857E7"/>
    <w:rsid w:val="009857EA"/>
    <w:rsid w:val="0098591F"/>
    <w:rsid w:val="00985F46"/>
    <w:rsid w:val="00986670"/>
    <w:rsid w:val="00986734"/>
    <w:rsid w:val="00987080"/>
    <w:rsid w:val="0098710B"/>
    <w:rsid w:val="00990170"/>
    <w:rsid w:val="00990412"/>
    <w:rsid w:val="00990889"/>
    <w:rsid w:val="009909CE"/>
    <w:rsid w:val="00990A49"/>
    <w:rsid w:val="009918AE"/>
    <w:rsid w:val="009919D5"/>
    <w:rsid w:val="00991C74"/>
    <w:rsid w:val="00991D07"/>
    <w:rsid w:val="00991DE8"/>
    <w:rsid w:val="009925BE"/>
    <w:rsid w:val="00992CFB"/>
    <w:rsid w:val="009936E4"/>
    <w:rsid w:val="00993C4E"/>
    <w:rsid w:val="00993ECA"/>
    <w:rsid w:val="009940DD"/>
    <w:rsid w:val="00994567"/>
    <w:rsid w:val="00994A72"/>
    <w:rsid w:val="00995050"/>
    <w:rsid w:val="009950F0"/>
    <w:rsid w:val="009952A3"/>
    <w:rsid w:val="0099608A"/>
    <w:rsid w:val="009960BD"/>
    <w:rsid w:val="009964D1"/>
    <w:rsid w:val="00996774"/>
    <w:rsid w:val="009968B9"/>
    <w:rsid w:val="00996EB7"/>
    <w:rsid w:val="009979DE"/>
    <w:rsid w:val="00997EA3"/>
    <w:rsid w:val="009A0171"/>
    <w:rsid w:val="009A01FC"/>
    <w:rsid w:val="009A0647"/>
    <w:rsid w:val="009A16A9"/>
    <w:rsid w:val="009A1F40"/>
    <w:rsid w:val="009A226F"/>
    <w:rsid w:val="009A2507"/>
    <w:rsid w:val="009A2568"/>
    <w:rsid w:val="009A2A41"/>
    <w:rsid w:val="009A3011"/>
    <w:rsid w:val="009A3260"/>
    <w:rsid w:val="009A3CA5"/>
    <w:rsid w:val="009A3FA5"/>
    <w:rsid w:val="009A4AF4"/>
    <w:rsid w:val="009A4FB8"/>
    <w:rsid w:val="009A53E8"/>
    <w:rsid w:val="009A5C5A"/>
    <w:rsid w:val="009A6D95"/>
    <w:rsid w:val="009A7073"/>
    <w:rsid w:val="009A74C6"/>
    <w:rsid w:val="009A7C71"/>
    <w:rsid w:val="009B00DD"/>
    <w:rsid w:val="009B0595"/>
    <w:rsid w:val="009B08EA"/>
    <w:rsid w:val="009B098E"/>
    <w:rsid w:val="009B0AE5"/>
    <w:rsid w:val="009B0CCC"/>
    <w:rsid w:val="009B0DC8"/>
    <w:rsid w:val="009B0FB1"/>
    <w:rsid w:val="009B115F"/>
    <w:rsid w:val="009B16BC"/>
    <w:rsid w:val="009B1A05"/>
    <w:rsid w:val="009B1BC6"/>
    <w:rsid w:val="009B1D4D"/>
    <w:rsid w:val="009B2822"/>
    <w:rsid w:val="009B2FD2"/>
    <w:rsid w:val="009B325E"/>
    <w:rsid w:val="009B36EB"/>
    <w:rsid w:val="009B3AA3"/>
    <w:rsid w:val="009B3AC0"/>
    <w:rsid w:val="009B481B"/>
    <w:rsid w:val="009B49D2"/>
    <w:rsid w:val="009B4AC3"/>
    <w:rsid w:val="009B591D"/>
    <w:rsid w:val="009B7B96"/>
    <w:rsid w:val="009B7BC6"/>
    <w:rsid w:val="009C07CA"/>
    <w:rsid w:val="009C1862"/>
    <w:rsid w:val="009C1C9A"/>
    <w:rsid w:val="009C1C9F"/>
    <w:rsid w:val="009C1FC6"/>
    <w:rsid w:val="009C217C"/>
    <w:rsid w:val="009C22CA"/>
    <w:rsid w:val="009C2950"/>
    <w:rsid w:val="009C2B18"/>
    <w:rsid w:val="009C2C72"/>
    <w:rsid w:val="009C2DE2"/>
    <w:rsid w:val="009C32EA"/>
    <w:rsid w:val="009C3681"/>
    <w:rsid w:val="009C40C1"/>
    <w:rsid w:val="009C418E"/>
    <w:rsid w:val="009C4E76"/>
    <w:rsid w:val="009C52F8"/>
    <w:rsid w:val="009C53FC"/>
    <w:rsid w:val="009C5FE4"/>
    <w:rsid w:val="009C61B7"/>
    <w:rsid w:val="009C62D1"/>
    <w:rsid w:val="009C71E4"/>
    <w:rsid w:val="009C722B"/>
    <w:rsid w:val="009C7531"/>
    <w:rsid w:val="009C7536"/>
    <w:rsid w:val="009D05B0"/>
    <w:rsid w:val="009D06C1"/>
    <w:rsid w:val="009D074D"/>
    <w:rsid w:val="009D0E19"/>
    <w:rsid w:val="009D0F59"/>
    <w:rsid w:val="009D1832"/>
    <w:rsid w:val="009D1A69"/>
    <w:rsid w:val="009D2109"/>
    <w:rsid w:val="009D22A3"/>
    <w:rsid w:val="009D22CE"/>
    <w:rsid w:val="009D27F6"/>
    <w:rsid w:val="009D2E18"/>
    <w:rsid w:val="009D300A"/>
    <w:rsid w:val="009D38EC"/>
    <w:rsid w:val="009D3C92"/>
    <w:rsid w:val="009D454E"/>
    <w:rsid w:val="009D4DD8"/>
    <w:rsid w:val="009D4EE8"/>
    <w:rsid w:val="009D5499"/>
    <w:rsid w:val="009D54A6"/>
    <w:rsid w:val="009D58C2"/>
    <w:rsid w:val="009D5A92"/>
    <w:rsid w:val="009D5B76"/>
    <w:rsid w:val="009D5F90"/>
    <w:rsid w:val="009D6D55"/>
    <w:rsid w:val="009E0211"/>
    <w:rsid w:val="009E0463"/>
    <w:rsid w:val="009E0497"/>
    <w:rsid w:val="009E0FA1"/>
    <w:rsid w:val="009E15EF"/>
    <w:rsid w:val="009E1BB7"/>
    <w:rsid w:val="009E21FD"/>
    <w:rsid w:val="009E2305"/>
    <w:rsid w:val="009E23EB"/>
    <w:rsid w:val="009E2BDB"/>
    <w:rsid w:val="009E3D21"/>
    <w:rsid w:val="009E4399"/>
    <w:rsid w:val="009E44BA"/>
    <w:rsid w:val="009E48BB"/>
    <w:rsid w:val="009E4A20"/>
    <w:rsid w:val="009E4C15"/>
    <w:rsid w:val="009E53A1"/>
    <w:rsid w:val="009E5589"/>
    <w:rsid w:val="009E5DEB"/>
    <w:rsid w:val="009E6731"/>
    <w:rsid w:val="009E6B92"/>
    <w:rsid w:val="009E7217"/>
    <w:rsid w:val="009E7600"/>
    <w:rsid w:val="009E7B3D"/>
    <w:rsid w:val="009E7FFC"/>
    <w:rsid w:val="009F0428"/>
    <w:rsid w:val="009F04FA"/>
    <w:rsid w:val="009F0776"/>
    <w:rsid w:val="009F0C74"/>
    <w:rsid w:val="009F194B"/>
    <w:rsid w:val="009F258B"/>
    <w:rsid w:val="009F2B1B"/>
    <w:rsid w:val="009F2BB1"/>
    <w:rsid w:val="009F2C5C"/>
    <w:rsid w:val="009F3141"/>
    <w:rsid w:val="009F32EF"/>
    <w:rsid w:val="009F3627"/>
    <w:rsid w:val="009F3920"/>
    <w:rsid w:val="009F39C4"/>
    <w:rsid w:val="009F3E78"/>
    <w:rsid w:val="009F4012"/>
    <w:rsid w:val="009F4054"/>
    <w:rsid w:val="009F422D"/>
    <w:rsid w:val="009F4B1F"/>
    <w:rsid w:val="009F4BAC"/>
    <w:rsid w:val="009F4DCC"/>
    <w:rsid w:val="009F4EC6"/>
    <w:rsid w:val="009F5401"/>
    <w:rsid w:val="009F5561"/>
    <w:rsid w:val="009F5597"/>
    <w:rsid w:val="009F59A9"/>
    <w:rsid w:val="009F5A49"/>
    <w:rsid w:val="009F5F7A"/>
    <w:rsid w:val="009F6330"/>
    <w:rsid w:val="009F644A"/>
    <w:rsid w:val="009F66A5"/>
    <w:rsid w:val="009F6866"/>
    <w:rsid w:val="009F6B9D"/>
    <w:rsid w:val="009F6F15"/>
    <w:rsid w:val="009F7AE7"/>
    <w:rsid w:val="009F7D3C"/>
    <w:rsid w:val="00A00242"/>
    <w:rsid w:val="00A01134"/>
    <w:rsid w:val="00A01359"/>
    <w:rsid w:val="00A01371"/>
    <w:rsid w:val="00A01432"/>
    <w:rsid w:val="00A0160C"/>
    <w:rsid w:val="00A01AEB"/>
    <w:rsid w:val="00A01F11"/>
    <w:rsid w:val="00A01F38"/>
    <w:rsid w:val="00A01FA2"/>
    <w:rsid w:val="00A021C8"/>
    <w:rsid w:val="00A02609"/>
    <w:rsid w:val="00A027A0"/>
    <w:rsid w:val="00A02892"/>
    <w:rsid w:val="00A03BB3"/>
    <w:rsid w:val="00A041EC"/>
    <w:rsid w:val="00A0422C"/>
    <w:rsid w:val="00A047BD"/>
    <w:rsid w:val="00A04A50"/>
    <w:rsid w:val="00A04B33"/>
    <w:rsid w:val="00A04F08"/>
    <w:rsid w:val="00A05314"/>
    <w:rsid w:val="00A056D9"/>
    <w:rsid w:val="00A05A6C"/>
    <w:rsid w:val="00A05BF8"/>
    <w:rsid w:val="00A05C03"/>
    <w:rsid w:val="00A05F1A"/>
    <w:rsid w:val="00A06AB7"/>
    <w:rsid w:val="00A06B7A"/>
    <w:rsid w:val="00A07173"/>
    <w:rsid w:val="00A07206"/>
    <w:rsid w:val="00A07660"/>
    <w:rsid w:val="00A07853"/>
    <w:rsid w:val="00A07A1E"/>
    <w:rsid w:val="00A07BC9"/>
    <w:rsid w:val="00A07D63"/>
    <w:rsid w:val="00A07E3A"/>
    <w:rsid w:val="00A10211"/>
    <w:rsid w:val="00A107E0"/>
    <w:rsid w:val="00A11074"/>
    <w:rsid w:val="00A11112"/>
    <w:rsid w:val="00A116B2"/>
    <w:rsid w:val="00A11AE0"/>
    <w:rsid w:val="00A11BF8"/>
    <w:rsid w:val="00A11DEC"/>
    <w:rsid w:val="00A11EE5"/>
    <w:rsid w:val="00A121A0"/>
    <w:rsid w:val="00A12351"/>
    <w:rsid w:val="00A12D60"/>
    <w:rsid w:val="00A1308D"/>
    <w:rsid w:val="00A13522"/>
    <w:rsid w:val="00A13869"/>
    <w:rsid w:val="00A14034"/>
    <w:rsid w:val="00A14416"/>
    <w:rsid w:val="00A14641"/>
    <w:rsid w:val="00A14E9C"/>
    <w:rsid w:val="00A14F21"/>
    <w:rsid w:val="00A14FAD"/>
    <w:rsid w:val="00A15411"/>
    <w:rsid w:val="00A15704"/>
    <w:rsid w:val="00A15C0F"/>
    <w:rsid w:val="00A16A7C"/>
    <w:rsid w:val="00A16D5E"/>
    <w:rsid w:val="00A1713B"/>
    <w:rsid w:val="00A175F2"/>
    <w:rsid w:val="00A176A4"/>
    <w:rsid w:val="00A17E28"/>
    <w:rsid w:val="00A17FC8"/>
    <w:rsid w:val="00A20038"/>
    <w:rsid w:val="00A20291"/>
    <w:rsid w:val="00A20927"/>
    <w:rsid w:val="00A21311"/>
    <w:rsid w:val="00A21470"/>
    <w:rsid w:val="00A22317"/>
    <w:rsid w:val="00A225DB"/>
    <w:rsid w:val="00A22E97"/>
    <w:rsid w:val="00A231D5"/>
    <w:rsid w:val="00A2329A"/>
    <w:rsid w:val="00A23B1B"/>
    <w:rsid w:val="00A23BB7"/>
    <w:rsid w:val="00A245D9"/>
    <w:rsid w:val="00A24B36"/>
    <w:rsid w:val="00A24D02"/>
    <w:rsid w:val="00A24D7B"/>
    <w:rsid w:val="00A257F4"/>
    <w:rsid w:val="00A25C9E"/>
    <w:rsid w:val="00A26074"/>
    <w:rsid w:val="00A26A9C"/>
    <w:rsid w:val="00A26E4E"/>
    <w:rsid w:val="00A27C34"/>
    <w:rsid w:val="00A3073E"/>
    <w:rsid w:val="00A307FD"/>
    <w:rsid w:val="00A3107C"/>
    <w:rsid w:val="00A31524"/>
    <w:rsid w:val="00A320EB"/>
    <w:rsid w:val="00A32107"/>
    <w:rsid w:val="00A323D5"/>
    <w:rsid w:val="00A328CB"/>
    <w:rsid w:val="00A32D5D"/>
    <w:rsid w:val="00A32F14"/>
    <w:rsid w:val="00A32F58"/>
    <w:rsid w:val="00A334A1"/>
    <w:rsid w:val="00A33CDC"/>
    <w:rsid w:val="00A33D07"/>
    <w:rsid w:val="00A3437F"/>
    <w:rsid w:val="00A3454D"/>
    <w:rsid w:val="00A34612"/>
    <w:rsid w:val="00A34F15"/>
    <w:rsid w:val="00A3506C"/>
    <w:rsid w:val="00A35115"/>
    <w:rsid w:val="00A35759"/>
    <w:rsid w:val="00A35AC6"/>
    <w:rsid w:val="00A36587"/>
    <w:rsid w:val="00A36608"/>
    <w:rsid w:val="00A366CB"/>
    <w:rsid w:val="00A36988"/>
    <w:rsid w:val="00A36B6E"/>
    <w:rsid w:val="00A36D2A"/>
    <w:rsid w:val="00A36DFB"/>
    <w:rsid w:val="00A370D2"/>
    <w:rsid w:val="00A370DB"/>
    <w:rsid w:val="00A3781E"/>
    <w:rsid w:val="00A37836"/>
    <w:rsid w:val="00A37C48"/>
    <w:rsid w:val="00A402CE"/>
    <w:rsid w:val="00A40495"/>
    <w:rsid w:val="00A40B49"/>
    <w:rsid w:val="00A40EB3"/>
    <w:rsid w:val="00A41FEE"/>
    <w:rsid w:val="00A425C7"/>
    <w:rsid w:val="00A430A8"/>
    <w:rsid w:val="00A43457"/>
    <w:rsid w:val="00A43639"/>
    <w:rsid w:val="00A43A39"/>
    <w:rsid w:val="00A4489C"/>
    <w:rsid w:val="00A44D53"/>
    <w:rsid w:val="00A45913"/>
    <w:rsid w:val="00A46900"/>
    <w:rsid w:val="00A46BEB"/>
    <w:rsid w:val="00A476B1"/>
    <w:rsid w:val="00A47942"/>
    <w:rsid w:val="00A47C2C"/>
    <w:rsid w:val="00A501A2"/>
    <w:rsid w:val="00A50301"/>
    <w:rsid w:val="00A508FA"/>
    <w:rsid w:val="00A50935"/>
    <w:rsid w:val="00A50940"/>
    <w:rsid w:val="00A50B16"/>
    <w:rsid w:val="00A519B5"/>
    <w:rsid w:val="00A5290B"/>
    <w:rsid w:val="00A52978"/>
    <w:rsid w:val="00A52DAD"/>
    <w:rsid w:val="00A5394C"/>
    <w:rsid w:val="00A539E2"/>
    <w:rsid w:val="00A53C3B"/>
    <w:rsid w:val="00A54233"/>
    <w:rsid w:val="00A54F45"/>
    <w:rsid w:val="00A557E0"/>
    <w:rsid w:val="00A55DF4"/>
    <w:rsid w:val="00A55E02"/>
    <w:rsid w:val="00A55F4D"/>
    <w:rsid w:val="00A563FB"/>
    <w:rsid w:val="00A5656F"/>
    <w:rsid w:val="00A567A1"/>
    <w:rsid w:val="00A568E4"/>
    <w:rsid w:val="00A57569"/>
    <w:rsid w:val="00A577DA"/>
    <w:rsid w:val="00A57B8A"/>
    <w:rsid w:val="00A57E66"/>
    <w:rsid w:val="00A57F35"/>
    <w:rsid w:val="00A60470"/>
    <w:rsid w:val="00A60FB0"/>
    <w:rsid w:val="00A622F3"/>
    <w:rsid w:val="00A62777"/>
    <w:rsid w:val="00A635F8"/>
    <w:rsid w:val="00A6393B"/>
    <w:rsid w:val="00A63A08"/>
    <w:rsid w:val="00A63C3F"/>
    <w:rsid w:val="00A6422B"/>
    <w:rsid w:val="00A646C8"/>
    <w:rsid w:val="00A64BBC"/>
    <w:rsid w:val="00A64CE5"/>
    <w:rsid w:val="00A65095"/>
    <w:rsid w:val="00A6570B"/>
    <w:rsid w:val="00A65C5B"/>
    <w:rsid w:val="00A65EA2"/>
    <w:rsid w:val="00A661B9"/>
    <w:rsid w:val="00A66597"/>
    <w:rsid w:val="00A668F4"/>
    <w:rsid w:val="00A6696A"/>
    <w:rsid w:val="00A67171"/>
    <w:rsid w:val="00A67447"/>
    <w:rsid w:val="00A67817"/>
    <w:rsid w:val="00A67A0E"/>
    <w:rsid w:val="00A67DE6"/>
    <w:rsid w:val="00A70049"/>
    <w:rsid w:val="00A70182"/>
    <w:rsid w:val="00A703CC"/>
    <w:rsid w:val="00A70659"/>
    <w:rsid w:val="00A70B63"/>
    <w:rsid w:val="00A70F9E"/>
    <w:rsid w:val="00A7133C"/>
    <w:rsid w:val="00A71464"/>
    <w:rsid w:val="00A71694"/>
    <w:rsid w:val="00A716D3"/>
    <w:rsid w:val="00A71974"/>
    <w:rsid w:val="00A71AD2"/>
    <w:rsid w:val="00A71D4F"/>
    <w:rsid w:val="00A727FD"/>
    <w:rsid w:val="00A72FB8"/>
    <w:rsid w:val="00A730C0"/>
    <w:rsid w:val="00A73298"/>
    <w:rsid w:val="00A73318"/>
    <w:rsid w:val="00A738A2"/>
    <w:rsid w:val="00A73BFA"/>
    <w:rsid w:val="00A742A3"/>
    <w:rsid w:val="00A7472F"/>
    <w:rsid w:val="00A74A3D"/>
    <w:rsid w:val="00A74A7D"/>
    <w:rsid w:val="00A74B00"/>
    <w:rsid w:val="00A74BFF"/>
    <w:rsid w:val="00A74E0F"/>
    <w:rsid w:val="00A74F5E"/>
    <w:rsid w:val="00A75921"/>
    <w:rsid w:val="00A75BE9"/>
    <w:rsid w:val="00A7604E"/>
    <w:rsid w:val="00A766EC"/>
    <w:rsid w:val="00A7686A"/>
    <w:rsid w:val="00A76DC2"/>
    <w:rsid w:val="00A77067"/>
    <w:rsid w:val="00A77108"/>
    <w:rsid w:val="00A7737C"/>
    <w:rsid w:val="00A7796F"/>
    <w:rsid w:val="00A77B72"/>
    <w:rsid w:val="00A77FA9"/>
    <w:rsid w:val="00A77FFE"/>
    <w:rsid w:val="00A80A6F"/>
    <w:rsid w:val="00A80D1D"/>
    <w:rsid w:val="00A80E66"/>
    <w:rsid w:val="00A813C4"/>
    <w:rsid w:val="00A81C15"/>
    <w:rsid w:val="00A81D23"/>
    <w:rsid w:val="00A81DA5"/>
    <w:rsid w:val="00A81F46"/>
    <w:rsid w:val="00A821F3"/>
    <w:rsid w:val="00A8236B"/>
    <w:rsid w:val="00A827B1"/>
    <w:rsid w:val="00A83A00"/>
    <w:rsid w:val="00A845CA"/>
    <w:rsid w:val="00A845FC"/>
    <w:rsid w:val="00A849D7"/>
    <w:rsid w:val="00A849E0"/>
    <w:rsid w:val="00A84CBD"/>
    <w:rsid w:val="00A852FB"/>
    <w:rsid w:val="00A8553C"/>
    <w:rsid w:val="00A8587B"/>
    <w:rsid w:val="00A86242"/>
    <w:rsid w:val="00A86628"/>
    <w:rsid w:val="00A86B26"/>
    <w:rsid w:val="00A8711D"/>
    <w:rsid w:val="00A87367"/>
    <w:rsid w:val="00A87661"/>
    <w:rsid w:val="00A87A36"/>
    <w:rsid w:val="00A87E3E"/>
    <w:rsid w:val="00A87EBE"/>
    <w:rsid w:val="00A87F32"/>
    <w:rsid w:val="00A87FB0"/>
    <w:rsid w:val="00A90010"/>
    <w:rsid w:val="00A9026C"/>
    <w:rsid w:val="00A90354"/>
    <w:rsid w:val="00A908FB"/>
    <w:rsid w:val="00A90B33"/>
    <w:rsid w:val="00A90F4A"/>
    <w:rsid w:val="00A91537"/>
    <w:rsid w:val="00A917DD"/>
    <w:rsid w:val="00A91925"/>
    <w:rsid w:val="00A91AD1"/>
    <w:rsid w:val="00A91FE6"/>
    <w:rsid w:val="00A92E09"/>
    <w:rsid w:val="00A9397E"/>
    <w:rsid w:val="00A93F5E"/>
    <w:rsid w:val="00A93FB6"/>
    <w:rsid w:val="00A9457E"/>
    <w:rsid w:val="00A94810"/>
    <w:rsid w:val="00A94AC0"/>
    <w:rsid w:val="00A95000"/>
    <w:rsid w:val="00A951A1"/>
    <w:rsid w:val="00A95309"/>
    <w:rsid w:val="00A95477"/>
    <w:rsid w:val="00A95740"/>
    <w:rsid w:val="00A95A81"/>
    <w:rsid w:val="00A95E0B"/>
    <w:rsid w:val="00A95F51"/>
    <w:rsid w:val="00A96245"/>
    <w:rsid w:val="00A96B35"/>
    <w:rsid w:val="00A97076"/>
    <w:rsid w:val="00A97DA3"/>
    <w:rsid w:val="00A97F31"/>
    <w:rsid w:val="00AA0431"/>
    <w:rsid w:val="00AA0F77"/>
    <w:rsid w:val="00AA13F5"/>
    <w:rsid w:val="00AA17C2"/>
    <w:rsid w:val="00AA1982"/>
    <w:rsid w:val="00AA1ADD"/>
    <w:rsid w:val="00AA203C"/>
    <w:rsid w:val="00AA2E1D"/>
    <w:rsid w:val="00AA3699"/>
    <w:rsid w:val="00AA3A56"/>
    <w:rsid w:val="00AA4217"/>
    <w:rsid w:val="00AA4293"/>
    <w:rsid w:val="00AA4813"/>
    <w:rsid w:val="00AA5031"/>
    <w:rsid w:val="00AA563A"/>
    <w:rsid w:val="00AA5D8E"/>
    <w:rsid w:val="00AA6A7E"/>
    <w:rsid w:val="00AA6E79"/>
    <w:rsid w:val="00AA70F6"/>
    <w:rsid w:val="00AA71BB"/>
    <w:rsid w:val="00AA73DD"/>
    <w:rsid w:val="00AA7D79"/>
    <w:rsid w:val="00AB08E8"/>
    <w:rsid w:val="00AB0938"/>
    <w:rsid w:val="00AB0E4E"/>
    <w:rsid w:val="00AB17C0"/>
    <w:rsid w:val="00AB1B9B"/>
    <w:rsid w:val="00AB1D52"/>
    <w:rsid w:val="00AB1F22"/>
    <w:rsid w:val="00AB27E9"/>
    <w:rsid w:val="00AB2986"/>
    <w:rsid w:val="00AB298C"/>
    <w:rsid w:val="00AB2D9E"/>
    <w:rsid w:val="00AB2DFC"/>
    <w:rsid w:val="00AB38B8"/>
    <w:rsid w:val="00AB3B0C"/>
    <w:rsid w:val="00AB3B9C"/>
    <w:rsid w:val="00AB405A"/>
    <w:rsid w:val="00AB40A9"/>
    <w:rsid w:val="00AB42E7"/>
    <w:rsid w:val="00AB44A7"/>
    <w:rsid w:val="00AB4787"/>
    <w:rsid w:val="00AB48A1"/>
    <w:rsid w:val="00AB5348"/>
    <w:rsid w:val="00AB5B63"/>
    <w:rsid w:val="00AB626D"/>
    <w:rsid w:val="00AB6AD9"/>
    <w:rsid w:val="00AB6F32"/>
    <w:rsid w:val="00AB7382"/>
    <w:rsid w:val="00AB76D4"/>
    <w:rsid w:val="00AB7895"/>
    <w:rsid w:val="00AB7F2B"/>
    <w:rsid w:val="00AC088D"/>
    <w:rsid w:val="00AC0AC2"/>
    <w:rsid w:val="00AC0B2E"/>
    <w:rsid w:val="00AC0F14"/>
    <w:rsid w:val="00AC13A4"/>
    <w:rsid w:val="00AC2229"/>
    <w:rsid w:val="00AC2AF7"/>
    <w:rsid w:val="00AC2DC2"/>
    <w:rsid w:val="00AC2ECA"/>
    <w:rsid w:val="00AC30F9"/>
    <w:rsid w:val="00AC3DE4"/>
    <w:rsid w:val="00AC3FC5"/>
    <w:rsid w:val="00AC4028"/>
    <w:rsid w:val="00AC40A9"/>
    <w:rsid w:val="00AC42B5"/>
    <w:rsid w:val="00AC49F4"/>
    <w:rsid w:val="00AC4D6C"/>
    <w:rsid w:val="00AC51CB"/>
    <w:rsid w:val="00AC5246"/>
    <w:rsid w:val="00AC5B6E"/>
    <w:rsid w:val="00AC6191"/>
    <w:rsid w:val="00AC67A6"/>
    <w:rsid w:val="00AC67EA"/>
    <w:rsid w:val="00AC6B9A"/>
    <w:rsid w:val="00AC6C1B"/>
    <w:rsid w:val="00AC6DFA"/>
    <w:rsid w:val="00AC71A8"/>
    <w:rsid w:val="00AC740E"/>
    <w:rsid w:val="00AC7A86"/>
    <w:rsid w:val="00AC7F70"/>
    <w:rsid w:val="00AC7FC3"/>
    <w:rsid w:val="00AC7FE9"/>
    <w:rsid w:val="00AD04A8"/>
    <w:rsid w:val="00AD0543"/>
    <w:rsid w:val="00AD093D"/>
    <w:rsid w:val="00AD0965"/>
    <w:rsid w:val="00AD09B0"/>
    <w:rsid w:val="00AD0EBE"/>
    <w:rsid w:val="00AD1599"/>
    <w:rsid w:val="00AD19E6"/>
    <w:rsid w:val="00AD1ED0"/>
    <w:rsid w:val="00AD29DA"/>
    <w:rsid w:val="00AD3126"/>
    <w:rsid w:val="00AD3283"/>
    <w:rsid w:val="00AD36B3"/>
    <w:rsid w:val="00AD3B7B"/>
    <w:rsid w:val="00AD5106"/>
    <w:rsid w:val="00AD529E"/>
    <w:rsid w:val="00AD5451"/>
    <w:rsid w:val="00AD5FFF"/>
    <w:rsid w:val="00AD6005"/>
    <w:rsid w:val="00AD686F"/>
    <w:rsid w:val="00AD6E2A"/>
    <w:rsid w:val="00AD6F0D"/>
    <w:rsid w:val="00AD725B"/>
    <w:rsid w:val="00AD7C88"/>
    <w:rsid w:val="00AD7DBA"/>
    <w:rsid w:val="00AE007A"/>
    <w:rsid w:val="00AE06F5"/>
    <w:rsid w:val="00AE09CF"/>
    <w:rsid w:val="00AE0EA2"/>
    <w:rsid w:val="00AE0F27"/>
    <w:rsid w:val="00AE10A2"/>
    <w:rsid w:val="00AE12E2"/>
    <w:rsid w:val="00AE1384"/>
    <w:rsid w:val="00AE16B8"/>
    <w:rsid w:val="00AE1D69"/>
    <w:rsid w:val="00AE29E1"/>
    <w:rsid w:val="00AE2A2A"/>
    <w:rsid w:val="00AE2AB0"/>
    <w:rsid w:val="00AE2D06"/>
    <w:rsid w:val="00AE2D55"/>
    <w:rsid w:val="00AE3937"/>
    <w:rsid w:val="00AE494E"/>
    <w:rsid w:val="00AE4A14"/>
    <w:rsid w:val="00AE4C36"/>
    <w:rsid w:val="00AE5751"/>
    <w:rsid w:val="00AE65D6"/>
    <w:rsid w:val="00AE6E5E"/>
    <w:rsid w:val="00AE78DC"/>
    <w:rsid w:val="00AF0568"/>
    <w:rsid w:val="00AF0AD4"/>
    <w:rsid w:val="00AF0D0A"/>
    <w:rsid w:val="00AF0DF5"/>
    <w:rsid w:val="00AF0FBD"/>
    <w:rsid w:val="00AF0FDF"/>
    <w:rsid w:val="00AF1010"/>
    <w:rsid w:val="00AF11AB"/>
    <w:rsid w:val="00AF2471"/>
    <w:rsid w:val="00AF24F3"/>
    <w:rsid w:val="00AF2898"/>
    <w:rsid w:val="00AF31E5"/>
    <w:rsid w:val="00AF3C7C"/>
    <w:rsid w:val="00AF4687"/>
    <w:rsid w:val="00AF4B9A"/>
    <w:rsid w:val="00AF5197"/>
    <w:rsid w:val="00AF5BE9"/>
    <w:rsid w:val="00AF5EAB"/>
    <w:rsid w:val="00AF5FF9"/>
    <w:rsid w:val="00AF636E"/>
    <w:rsid w:val="00AF6580"/>
    <w:rsid w:val="00AF68D3"/>
    <w:rsid w:val="00AF69D2"/>
    <w:rsid w:val="00AF6F88"/>
    <w:rsid w:val="00AF7276"/>
    <w:rsid w:val="00AF7425"/>
    <w:rsid w:val="00AF7F9F"/>
    <w:rsid w:val="00B00438"/>
    <w:rsid w:val="00B006A2"/>
    <w:rsid w:val="00B009DD"/>
    <w:rsid w:val="00B00C0F"/>
    <w:rsid w:val="00B01315"/>
    <w:rsid w:val="00B01567"/>
    <w:rsid w:val="00B018B0"/>
    <w:rsid w:val="00B01B94"/>
    <w:rsid w:val="00B01D18"/>
    <w:rsid w:val="00B02976"/>
    <w:rsid w:val="00B039FA"/>
    <w:rsid w:val="00B049BF"/>
    <w:rsid w:val="00B04B48"/>
    <w:rsid w:val="00B05F5D"/>
    <w:rsid w:val="00B062A8"/>
    <w:rsid w:val="00B06530"/>
    <w:rsid w:val="00B0659C"/>
    <w:rsid w:val="00B06A8B"/>
    <w:rsid w:val="00B06D90"/>
    <w:rsid w:val="00B07065"/>
    <w:rsid w:val="00B0707E"/>
    <w:rsid w:val="00B07595"/>
    <w:rsid w:val="00B07CD6"/>
    <w:rsid w:val="00B07FE5"/>
    <w:rsid w:val="00B10323"/>
    <w:rsid w:val="00B10EBD"/>
    <w:rsid w:val="00B10F15"/>
    <w:rsid w:val="00B11555"/>
    <w:rsid w:val="00B116B2"/>
    <w:rsid w:val="00B11A31"/>
    <w:rsid w:val="00B125A6"/>
    <w:rsid w:val="00B12BEB"/>
    <w:rsid w:val="00B12EFA"/>
    <w:rsid w:val="00B13525"/>
    <w:rsid w:val="00B1363F"/>
    <w:rsid w:val="00B139B9"/>
    <w:rsid w:val="00B13B95"/>
    <w:rsid w:val="00B13D97"/>
    <w:rsid w:val="00B14201"/>
    <w:rsid w:val="00B14309"/>
    <w:rsid w:val="00B14370"/>
    <w:rsid w:val="00B14393"/>
    <w:rsid w:val="00B14838"/>
    <w:rsid w:val="00B154EC"/>
    <w:rsid w:val="00B15885"/>
    <w:rsid w:val="00B15B11"/>
    <w:rsid w:val="00B15C93"/>
    <w:rsid w:val="00B15DE5"/>
    <w:rsid w:val="00B15FFB"/>
    <w:rsid w:val="00B16620"/>
    <w:rsid w:val="00B167DC"/>
    <w:rsid w:val="00B16821"/>
    <w:rsid w:val="00B168FC"/>
    <w:rsid w:val="00B17347"/>
    <w:rsid w:val="00B1746B"/>
    <w:rsid w:val="00B1799B"/>
    <w:rsid w:val="00B17A22"/>
    <w:rsid w:val="00B17B94"/>
    <w:rsid w:val="00B17F25"/>
    <w:rsid w:val="00B20E8B"/>
    <w:rsid w:val="00B20FCF"/>
    <w:rsid w:val="00B210D9"/>
    <w:rsid w:val="00B21161"/>
    <w:rsid w:val="00B21306"/>
    <w:rsid w:val="00B21DB2"/>
    <w:rsid w:val="00B21DCA"/>
    <w:rsid w:val="00B21E34"/>
    <w:rsid w:val="00B21E35"/>
    <w:rsid w:val="00B21FDF"/>
    <w:rsid w:val="00B22426"/>
    <w:rsid w:val="00B226DC"/>
    <w:rsid w:val="00B22CAA"/>
    <w:rsid w:val="00B230E7"/>
    <w:rsid w:val="00B234DA"/>
    <w:rsid w:val="00B23879"/>
    <w:rsid w:val="00B24919"/>
    <w:rsid w:val="00B24BC3"/>
    <w:rsid w:val="00B24C96"/>
    <w:rsid w:val="00B251D7"/>
    <w:rsid w:val="00B2538F"/>
    <w:rsid w:val="00B25394"/>
    <w:rsid w:val="00B25EF8"/>
    <w:rsid w:val="00B265AD"/>
    <w:rsid w:val="00B26A7A"/>
    <w:rsid w:val="00B26FDE"/>
    <w:rsid w:val="00B270FB"/>
    <w:rsid w:val="00B27507"/>
    <w:rsid w:val="00B27B13"/>
    <w:rsid w:val="00B27ECB"/>
    <w:rsid w:val="00B30001"/>
    <w:rsid w:val="00B30267"/>
    <w:rsid w:val="00B30493"/>
    <w:rsid w:val="00B3051F"/>
    <w:rsid w:val="00B30520"/>
    <w:rsid w:val="00B30B66"/>
    <w:rsid w:val="00B30D73"/>
    <w:rsid w:val="00B310FB"/>
    <w:rsid w:val="00B31186"/>
    <w:rsid w:val="00B31607"/>
    <w:rsid w:val="00B31D85"/>
    <w:rsid w:val="00B31E9A"/>
    <w:rsid w:val="00B320D5"/>
    <w:rsid w:val="00B32201"/>
    <w:rsid w:val="00B33011"/>
    <w:rsid w:val="00B33EA4"/>
    <w:rsid w:val="00B340D6"/>
    <w:rsid w:val="00B34497"/>
    <w:rsid w:val="00B3520D"/>
    <w:rsid w:val="00B3556B"/>
    <w:rsid w:val="00B3563E"/>
    <w:rsid w:val="00B3603F"/>
    <w:rsid w:val="00B36373"/>
    <w:rsid w:val="00B367C4"/>
    <w:rsid w:val="00B3739C"/>
    <w:rsid w:val="00B37463"/>
    <w:rsid w:val="00B3751B"/>
    <w:rsid w:val="00B376F6"/>
    <w:rsid w:val="00B37C98"/>
    <w:rsid w:val="00B40427"/>
    <w:rsid w:val="00B41849"/>
    <w:rsid w:val="00B41A5D"/>
    <w:rsid w:val="00B42384"/>
    <w:rsid w:val="00B42571"/>
    <w:rsid w:val="00B4260F"/>
    <w:rsid w:val="00B42920"/>
    <w:rsid w:val="00B42D5D"/>
    <w:rsid w:val="00B42D7B"/>
    <w:rsid w:val="00B4310D"/>
    <w:rsid w:val="00B432AF"/>
    <w:rsid w:val="00B4348E"/>
    <w:rsid w:val="00B43BF5"/>
    <w:rsid w:val="00B43C42"/>
    <w:rsid w:val="00B43E17"/>
    <w:rsid w:val="00B442D4"/>
    <w:rsid w:val="00B443D6"/>
    <w:rsid w:val="00B4443F"/>
    <w:rsid w:val="00B44CC7"/>
    <w:rsid w:val="00B45DD1"/>
    <w:rsid w:val="00B464B4"/>
    <w:rsid w:val="00B46792"/>
    <w:rsid w:val="00B46966"/>
    <w:rsid w:val="00B46D5E"/>
    <w:rsid w:val="00B472BF"/>
    <w:rsid w:val="00B475A0"/>
    <w:rsid w:val="00B476CD"/>
    <w:rsid w:val="00B47705"/>
    <w:rsid w:val="00B47730"/>
    <w:rsid w:val="00B50695"/>
    <w:rsid w:val="00B50948"/>
    <w:rsid w:val="00B50E54"/>
    <w:rsid w:val="00B50E61"/>
    <w:rsid w:val="00B511FE"/>
    <w:rsid w:val="00B51742"/>
    <w:rsid w:val="00B51751"/>
    <w:rsid w:val="00B51CFD"/>
    <w:rsid w:val="00B5331D"/>
    <w:rsid w:val="00B5335B"/>
    <w:rsid w:val="00B53C5B"/>
    <w:rsid w:val="00B53F7B"/>
    <w:rsid w:val="00B549E8"/>
    <w:rsid w:val="00B54D50"/>
    <w:rsid w:val="00B54F7F"/>
    <w:rsid w:val="00B55530"/>
    <w:rsid w:val="00B55544"/>
    <w:rsid w:val="00B55920"/>
    <w:rsid w:val="00B5690D"/>
    <w:rsid w:val="00B571A0"/>
    <w:rsid w:val="00B5732B"/>
    <w:rsid w:val="00B57B0A"/>
    <w:rsid w:val="00B57F4D"/>
    <w:rsid w:val="00B60254"/>
    <w:rsid w:val="00B6025D"/>
    <w:rsid w:val="00B60E4F"/>
    <w:rsid w:val="00B611DC"/>
    <w:rsid w:val="00B615DE"/>
    <w:rsid w:val="00B616D3"/>
    <w:rsid w:val="00B6170E"/>
    <w:rsid w:val="00B61F26"/>
    <w:rsid w:val="00B622EA"/>
    <w:rsid w:val="00B6238F"/>
    <w:rsid w:val="00B628A9"/>
    <w:rsid w:val="00B62E51"/>
    <w:rsid w:val="00B63EA9"/>
    <w:rsid w:val="00B6483D"/>
    <w:rsid w:val="00B648FE"/>
    <w:rsid w:val="00B64C65"/>
    <w:rsid w:val="00B64D1F"/>
    <w:rsid w:val="00B651FB"/>
    <w:rsid w:val="00B65A4F"/>
    <w:rsid w:val="00B65C2D"/>
    <w:rsid w:val="00B66490"/>
    <w:rsid w:val="00B66D42"/>
    <w:rsid w:val="00B66D63"/>
    <w:rsid w:val="00B675A7"/>
    <w:rsid w:val="00B70860"/>
    <w:rsid w:val="00B70ADA"/>
    <w:rsid w:val="00B71963"/>
    <w:rsid w:val="00B71EB5"/>
    <w:rsid w:val="00B71F6D"/>
    <w:rsid w:val="00B72134"/>
    <w:rsid w:val="00B7231B"/>
    <w:rsid w:val="00B72C06"/>
    <w:rsid w:val="00B72C78"/>
    <w:rsid w:val="00B72DF3"/>
    <w:rsid w:val="00B72E82"/>
    <w:rsid w:val="00B72E8A"/>
    <w:rsid w:val="00B73D08"/>
    <w:rsid w:val="00B73D44"/>
    <w:rsid w:val="00B74049"/>
    <w:rsid w:val="00B7425F"/>
    <w:rsid w:val="00B749B6"/>
    <w:rsid w:val="00B74CFC"/>
    <w:rsid w:val="00B750F1"/>
    <w:rsid w:val="00B75411"/>
    <w:rsid w:val="00B76D53"/>
    <w:rsid w:val="00B76FB6"/>
    <w:rsid w:val="00B7755D"/>
    <w:rsid w:val="00B775B1"/>
    <w:rsid w:val="00B77C7D"/>
    <w:rsid w:val="00B77ED4"/>
    <w:rsid w:val="00B800B7"/>
    <w:rsid w:val="00B8072D"/>
    <w:rsid w:val="00B808D1"/>
    <w:rsid w:val="00B8102F"/>
    <w:rsid w:val="00B8107D"/>
    <w:rsid w:val="00B8164F"/>
    <w:rsid w:val="00B81794"/>
    <w:rsid w:val="00B81B45"/>
    <w:rsid w:val="00B821D3"/>
    <w:rsid w:val="00B82577"/>
    <w:rsid w:val="00B834F5"/>
    <w:rsid w:val="00B8359D"/>
    <w:rsid w:val="00B836CD"/>
    <w:rsid w:val="00B83BF5"/>
    <w:rsid w:val="00B84086"/>
    <w:rsid w:val="00B840CF"/>
    <w:rsid w:val="00B8419E"/>
    <w:rsid w:val="00B8489E"/>
    <w:rsid w:val="00B84B62"/>
    <w:rsid w:val="00B84F95"/>
    <w:rsid w:val="00B852E8"/>
    <w:rsid w:val="00B85D15"/>
    <w:rsid w:val="00B86964"/>
    <w:rsid w:val="00B87166"/>
    <w:rsid w:val="00B87698"/>
    <w:rsid w:val="00B87F8A"/>
    <w:rsid w:val="00B904C1"/>
    <w:rsid w:val="00B9067D"/>
    <w:rsid w:val="00B90EE1"/>
    <w:rsid w:val="00B91869"/>
    <w:rsid w:val="00B91B45"/>
    <w:rsid w:val="00B91B9C"/>
    <w:rsid w:val="00B91D84"/>
    <w:rsid w:val="00B91FF6"/>
    <w:rsid w:val="00B92795"/>
    <w:rsid w:val="00B9281B"/>
    <w:rsid w:val="00B92836"/>
    <w:rsid w:val="00B92C0E"/>
    <w:rsid w:val="00B93037"/>
    <w:rsid w:val="00B930DF"/>
    <w:rsid w:val="00B9327B"/>
    <w:rsid w:val="00B93B26"/>
    <w:rsid w:val="00B93C58"/>
    <w:rsid w:val="00B93D36"/>
    <w:rsid w:val="00B942B5"/>
    <w:rsid w:val="00B9434B"/>
    <w:rsid w:val="00B949CE"/>
    <w:rsid w:val="00B94C00"/>
    <w:rsid w:val="00B94F1F"/>
    <w:rsid w:val="00B9506B"/>
    <w:rsid w:val="00B95220"/>
    <w:rsid w:val="00B95447"/>
    <w:rsid w:val="00B95BA0"/>
    <w:rsid w:val="00B95BCB"/>
    <w:rsid w:val="00B95ECD"/>
    <w:rsid w:val="00B9665B"/>
    <w:rsid w:val="00B96DF2"/>
    <w:rsid w:val="00B970A0"/>
    <w:rsid w:val="00B971D6"/>
    <w:rsid w:val="00B97EA1"/>
    <w:rsid w:val="00B97FD0"/>
    <w:rsid w:val="00BA0183"/>
    <w:rsid w:val="00BA07AE"/>
    <w:rsid w:val="00BA0F24"/>
    <w:rsid w:val="00BA11E7"/>
    <w:rsid w:val="00BA139C"/>
    <w:rsid w:val="00BA1C81"/>
    <w:rsid w:val="00BA1DAA"/>
    <w:rsid w:val="00BA1F12"/>
    <w:rsid w:val="00BA214C"/>
    <w:rsid w:val="00BA25E0"/>
    <w:rsid w:val="00BA2633"/>
    <w:rsid w:val="00BA36A6"/>
    <w:rsid w:val="00BA41DA"/>
    <w:rsid w:val="00BA49C1"/>
    <w:rsid w:val="00BA51E7"/>
    <w:rsid w:val="00BA5C2E"/>
    <w:rsid w:val="00BA6ED7"/>
    <w:rsid w:val="00BA72D1"/>
    <w:rsid w:val="00BA7B14"/>
    <w:rsid w:val="00BA7F90"/>
    <w:rsid w:val="00BB039D"/>
    <w:rsid w:val="00BB0DDD"/>
    <w:rsid w:val="00BB0E7E"/>
    <w:rsid w:val="00BB0F48"/>
    <w:rsid w:val="00BB135E"/>
    <w:rsid w:val="00BB1442"/>
    <w:rsid w:val="00BB1598"/>
    <w:rsid w:val="00BB1AD0"/>
    <w:rsid w:val="00BB2714"/>
    <w:rsid w:val="00BB2990"/>
    <w:rsid w:val="00BB29D7"/>
    <w:rsid w:val="00BB30F6"/>
    <w:rsid w:val="00BB310F"/>
    <w:rsid w:val="00BB3913"/>
    <w:rsid w:val="00BB3916"/>
    <w:rsid w:val="00BB4358"/>
    <w:rsid w:val="00BB43BE"/>
    <w:rsid w:val="00BB4444"/>
    <w:rsid w:val="00BB48A8"/>
    <w:rsid w:val="00BB5301"/>
    <w:rsid w:val="00BB585E"/>
    <w:rsid w:val="00BB5C4D"/>
    <w:rsid w:val="00BB656D"/>
    <w:rsid w:val="00BB6693"/>
    <w:rsid w:val="00BB75B5"/>
    <w:rsid w:val="00BB7B28"/>
    <w:rsid w:val="00BC07F9"/>
    <w:rsid w:val="00BC0AE6"/>
    <w:rsid w:val="00BC1376"/>
    <w:rsid w:val="00BC1573"/>
    <w:rsid w:val="00BC1637"/>
    <w:rsid w:val="00BC2A29"/>
    <w:rsid w:val="00BC2F68"/>
    <w:rsid w:val="00BC32F9"/>
    <w:rsid w:val="00BC3576"/>
    <w:rsid w:val="00BC3704"/>
    <w:rsid w:val="00BC3834"/>
    <w:rsid w:val="00BC392F"/>
    <w:rsid w:val="00BC3A10"/>
    <w:rsid w:val="00BC3BE1"/>
    <w:rsid w:val="00BC3D3B"/>
    <w:rsid w:val="00BC3E5D"/>
    <w:rsid w:val="00BC4175"/>
    <w:rsid w:val="00BC4651"/>
    <w:rsid w:val="00BC4DA3"/>
    <w:rsid w:val="00BC571C"/>
    <w:rsid w:val="00BC5D72"/>
    <w:rsid w:val="00BC6569"/>
    <w:rsid w:val="00BC7021"/>
    <w:rsid w:val="00BC7028"/>
    <w:rsid w:val="00BC77D6"/>
    <w:rsid w:val="00BC7D49"/>
    <w:rsid w:val="00BC7E85"/>
    <w:rsid w:val="00BD01DA"/>
    <w:rsid w:val="00BD187A"/>
    <w:rsid w:val="00BD1B07"/>
    <w:rsid w:val="00BD1BF5"/>
    <w:rsid w:val="00BD285D"/>
    <w:rsid w:val="00BD33AB"/>
    <w:rsid w:val="00BD342F"/>
    <w:rsid w:val="00BD3B71"/>
    <w:rsid w:val="00BD3D47"/>
    <w:rsid w:val="00BD3FE7"/>
    <w:rsid w:val="00BD43A9"/>
    <w:rsid w:val="00BD5231"/>
    <w:rsid w:val="00BD5714"/>
    <w:rsid w:val="00BD6179"/>
    <w:rsid w:val="00BD64F1"/>
    <w:rsid w:val="00BD6638"/>
    <w:rsid w:val="00BD68ED"/>
    <w:rsid w:val="00BD6ABA"/>
    <w:rsid w:val="00BD6B99"/>
    <w:rsid w:val="00BD6F96"/>
    <w:rsid w:val="00BD7842"/>
    <w:rsid w:val="00BD7C44"/>
    <w:rsid w:val="00BD7DAA"/>
    <w:rsid w:val="00BD7EDE"/>
    <w:rsid w:val="00BE075B"/>
    <w:rsid w:val="00BE09CA"/>
    <w:rsid w:val="00BE1167"/>
    <w:rsid w:val="00BE1B9E"/>
    <w:rsid w:val="00BE1CA6"/>
    <w:rsid w:val="00BE1D98"/>
    <w:rsid w:val="00BE3463"/>
    <w:rsid w:val="00BE3741"/>
    <w:rsid w:val="00BE4A53"/>
    <w:rsid w:val="00BE4B64"/>
    <w:rsid w:val="00BE4EFE"/>
    <w:rsid w:val="00BE4FBE"/>
    <w:rsid w:val="00BE53A6"/>
    <w:rsid w:val="00BE583C"/>
    <w:rsid w:val="00BE6B3A"/>
    <w:rsid w:val="00BE6E81"/>
    <w:rsid w:val="00BE6ED0"/>
    <w:rsid w:val="00BE7201"/>
    <w:rsid w:val="00BE7F5D"/>
    <w:rsid w:val="00BF06BC"/>
    <w:rsid w:val="00BF098A"/>
    <w:rsid w:val="00BF0D71"/>
    <w:rsid w:val="00BF104C"/>
    <w:rsid w:val="00BF125D"/>
    <w:rsid w:val="00BF13A9"/>
    <w:rsid w:val="00BF1535"/>
    <w:rsid w:val="00BF1868"/>
    <w:rsid w:val="00BF192F"/>
    <w:rsid w:val="00BF1E5A"/>
    <w:rsid w:val="00BF255F"/>
    <w:rsid w:val="00BF2898"/>
    <w:rsid w:val="00BF2E1A"/>
    <w:rsid w:val="00BF322B"/>
    <w:rsid w:val="00BF34BB"/>
    <w:rsid w:val="00BF34E7"/>
    <w:rsid w:val="00BF360C"/>
    <w:rsid w:val="00BF4896"/>
    <w:rsid w:val="00BF48F5"/>
    <w:rsid w:val="00BF4B61"/>
    <w:rsid w:val="00BF540C"/>
    <w:rsid w:val="00BF5E9E"/>
    <w:rsid w:val="00BF6080"/>
    <w:rsid w:val="00BF657E"/>
    <w:rsid w:val="00BF69FE"/>
    <w:rsid w:val="00BF7684"/>
    <w:rsid w:val="00C00017"/>
    <w:rsid w:val="00C000DF"/>
    <w:rsid w:val="00C00635"/>
    <w:rsid w:val="00C00D88"/>
    <w:rsid w:val="00C01247"/>
    <w:rsid w:val="00C01432"/>
    <w:rsid w:val="00C01C6B"/>
    <w:rsid w:val="00C01CC2"/>
    <w:rsid w:val="00C01D21"/>
    <w:rsid w:val="00C02078"/>
    <w:rsid w:val="00C02344"/>
    <w:rsid w:val="00C02DC0"/>
    <w:rsid w:val="00C031D9"/>
    <w:rsid w:val="00C03970"/>
    <w:rsid w:val="00C03E41"/>
    <w:rsid w:val="00C04A6E"/>
    <w:rsid w:val="00C05115"/>
    <w:rsid w:val="00C05386"/>
    <w:rsid w:val="00C05441"/>
    <w:rsid w:val="00C05682"/>
    <w:rsid w:val="00C05B47"/>
    <w:rsid w:val="00C063A5"/>
    <w:rsid w:val="00C065AF"/>
    <w:rsid w:val="00C0666C"/>
    <w:rsid w:val="00C06BA4"/>
    <w:rsid w:val="00C06D07"/>
    <w:rsid w:val="00C06E83"/>
    <w:rsid w:val="00C06EA2"/>
    <w:rsid w:val="00C077AA"/>
    <w:rsid w:val="00C078E0"/>
    <w:rsid w:val="00C07D72"/>
    <w:rsid w:val="00C07E79"/>
    <w:rsid w:val="00C07F4C"/>
    <w:rsid w:val="00C1053D"/>
    <w:rsid w:val="00C10A6B"/>
    <w:rsid w:val="00C10B61"/>
    <w:rsid w:val="00C10B66"/>
    <w:rsid w:val="00C10F07"/>
    <w:rsid w:val="00C111B1"/>
    <w:rsid w:val="00C115B1"/>
    <w:rsid w:val="00C11994"/>
    <w:rsid w:val="00C121D4"/>
    <w:rsid w:val="00C12990"/>
    <w:rsid w:val="00C12A0B"/>
    <w:rsid w:val="00C1311A"/>
    <w:rsid w:val="00C13288"/>
    <w:rsid w:val="00C1330D"/>
    <w:rsid w:val="00C137A7"/>
    <w:rsid w:val="00C13911"/>
    <w:rsid w:val="00C13DAB"/>
    <w:rsid w:val="00C144FE"/>
    <w:rsid w:val="00C146E3"/>
    <w:rsid w:val="00C14B76"/>
    <w:rsid w:val="00C154D3"/>
    <w:rsid w:val="00C15507"/>
    <w:rsid w:val="00C15C23"/>
    <w:rsid w:val="00C166DD"/>
    <w:rsid w:val="00C167E7"/>
    <w:rsid w:val="00C16AAA"/>
    <w:rsid w:val="00C16BA9"/>
    <w:rsid w:val="00C16E83"/>
    <w:rsid w:val="00C16EE5"/>
    <w:rsid w:val="00C16F5A"/>
    <w:rsid w:val="00C1701B"/>
    <w:rsid w:val="00C17D6C"/>
    <w:rsid w:val="00C20183"/>
    <w:rsid w:val="00C20286"/>
    <w:rsid w:val="00C203C9"/>
    <w:rsid w:val="00C2040C"/>
    <w:rsid w:val="00C20465"/>
    <w:rsid w:val="00C20FE0"/>
    <w:rsid w:val="00C21158"/>
    <w:rsid w:val="00C211CC"/>
    <w:rsid w:val="00C212C3"/>
    <w:rsid w:val="00C216B9"/>
    <w:rsid w:val="00C21D7F"/>
    <w:rsid w:val="00C21DF2"/>
    <w:rsid w:val="00C222D0"/>
    <w:rsid w:val="00C2243E"/>
    <w:rsid w:val="00C22B13"/>
    <w:rsid w:val="00C22CBA"/>
    <w:rsid w:val="00C23DAB"/>
    <w:rsid w:val="00C24356"/>
    <w:rsid w:val="00C24890"/>
    <w:rsid w:val="00C249EB"/>
    <w:rsid w:val="00C2513F"/>
    <w:rsid w:val="00C25692"/>
    <w:rsid w:val="00C25B6E"/>
    <w:rsid w:val="00C2648A"/>
    <w:rsid w:val="00C26F0B"/>
    <w:rsid w:val="00C275B8"/>
    <w:rsid w:val="00C2796C"/>
    <w:rsid w:val="00C308A4"/>
    <w:rsid w:val="00C30BD3"/>
    <w:rsid w:val="00C31117"/>
    <w:rsid w:val="00C32010"/>
    <w:rsid w:val="00C32563"/>
    <w:rsid w:val="00C3294A"/>
    <w:rsid w:val="00C33196"/>
    <w:rsid w:val="00C33545"/>
    <w:rsid w:val="00C3376F"/>
    <w:rsid w:val="00C33889"/>
    <w:rsid w:val="00C338C5"/>
    <w:rsid w:val="00C33AE4"/>
    <w:rsid w:val="00C33C56"/>
    <w:rsid w:val="00C3424E"/>
    <w:rsid w:val="00C34258"/>
    <w:rsid w:val="00C347FC"/>
    <w:rsid w:val="00C34D49"/>
    <w:rsid w:val="00C3595F"/>
    <w:rsid w:val="00C35C07"/>
    <w:rsid w:val="00C362E6"/>
    <w:rsid w:val="00C36978"/>
    <w:rsid w:val="00C36A86"/>
    <w:rsid w:val="00C36BDA"/>
    <w:rsid w:val="00C37061"/>
    <w:rsid w:val="00C3714F"/>
    <w:rsid w:val="00C40F4E"/>
    <w:rsid w:val="00C4212C"/>
    <w:rsid w:val="00C424E1"/>
    <w:rsid w:val="00C42CC7"/>
    <w:rsid w:val="00C42DD1"/>
    <w:rsid w:val="00C43723"/>
    <w:rsid w:val="00C4387D"/>
    <w:rsid w:val="00C439D3"/>
    <w:rsid w:val="00C43A50"/>
    <w:rsid w:val="00C43B04"/>
    <w:rsid w:val="00C43C9E"/>
    <w:rsid w:val="00C43E81"/>
    <w:rsid w:val="00C43F54"/>
    <w:rsid w:val="00C43FCF"/>
    <w:rsid w:val="00C450A3"/>
    <w:rsid w:val="00C451CC"/>
    <w:rsid w:val="00C4538D"/>
    <w:rsid w:val="00C458AA"/>
    <w:rsid w:val="00C45E0F"/>
    <w:rsid w:val="00C462BF"/>
    <w:rsid w:val="00C4637C"/>
    <w:rsid w:val="00C46907"/>
    <w:rsid w:val="00C46BFB"/>
    <w:rsid w:val="00C46C75"/>
    <w:rsid w:val="00C47125"/>
    <w:rsid w:val="00C472B9"/>
    <w:rsid w:val="00C4745B"/>
    <w:rsid w:val="00C47D99"/>
    <w:rsid w:val="00C50211"/>
    <w:rsid w:val="00C502EB"/>
    <w:rsid w:val="00C5050B"/>
    <w:rsid w:val="00C50789"/>
    <w:rsid w:val="00C50AC6"/>
    <w:rsid w:val="00C50BF6"/>
    <w:rsid w:val="00C50FFF"/>
    <w:rsid w:val="00C51035"/>
    <w:rsid w:val="00C511B1"/>
    <w:rsid w:val="00C51478"/>
    <w:rsid w:val="00C51AB9"/>
    <w:rsid w:val="00C52487"/>
    <w:rsid w:val="00C52A91"/>
    <w:rsid w:val="00C5339E"/>
    <w:rsid w:val="00C533BC"/>
    <w:rsid w:val="00C53922"/>
    <w:rsid w:val="00C53ABC"/>
    <w:rsid w:val="00C53FA6"/>
    <w:rsid w:val="00C54289"/>
    <w:rsid w:val="00C54CCA"/>
    <w:rsid w:val="00C54E8B"/>
    <w:rsid w:val="00C554FD"/>
    <w:rsid w:val="00C555BA"/>
    <w:rsid w:val="00C55BA0"/>
    <w:rsid w:val="00C55EA8"/>
    <w:rsid w:val="00C5673E"/>
    <w:rsid w:val="00C5697A"/>
    <w:rsid w:val="00C570E8"/>
    <w:rsid w:val="00C572D5"/>
    <w:rsid w:val="00C57550"/>
    <w:rsid w:val="00C577CC"/>
    <w:rsid w:val="00C57838"/>
    <w:rsid w:val="00C60110"/>
    <w:rsid w:val="00C604E0"/>
    <w:rsid w:val="00C60EDF"/>
    <w:rsid w:val="00C61A22"/>
    <w:rsid w:val="00C61A40"/>
    <w:rsid w:val="00C61A6B"/>
    <w:rsid w:val="00C62418"/>
    <w:rsid w:val="00C6273A"/>
    <w:rsid w:val="00C6339F"/>
    <w:rsid w:val="00C63E4E"/>
    <w:rsid w:val="00C646D1"/>
    <w:rsid w:val="00C64771"/>
    <w:rsid w:val="00C6477A"/>
    <w:rsid w:val="00C64AA7"/>
    <w:rsid w:val="00C65698"/>
    <w:rsid w:val="00C6570E"/>
    <w:rsid w:val="00C65C8E"/>
    <w:rsid w:val="00C660F9"/>
    <w:rsid w:val="00C662C0"/>
    <w:rsid w:val="00C66C2D"/>
    <w:rsid w:val="00C672E5"/>
    <w:rsid w:val="00C675DF"/>
    <w:rsid w:val="00C67C62"/>
    <w:rsid w:val="00C67C85"/>
    <w:rsid w:val="00C701A3"/>
    <w:rsid w:val="00C704C7"/>
    <w:rsid w:val="00C706E1"/>
    <w:rsid w:val="00C708CC"/>
    <w:rsid w:val="00C71337"/>
    <w:rsid w:val="00C71A46"/>
    <w:rsid w:val="00C71C29"/>
    <w:rsid w:val="00C71E82"/>
    <w:rsid w:val="00C721F9"/>
    <w:rsid w:val="00C72C99"/>
    <w:rsid w:val="00C732C1"/>
    <w:rsid w:val="00C73908"/>
    <w:rsid w:val="00C73E25"/>
    <w:rsid w:val="00C7403F"/>
    <w:rsid w:val="00C74256"/>
    <w:rsid w:val="00C74BAE"/>
    <w:rsid w:val="00C7524A"/>
    <w:rsid w:val="00C752C6"/>
    <w:rsid w:val="00C757FF"/>
    <w:rsid w:val="00C75999"/>
    <w:rsid w:val="00C75A10"/>
    <w:rsid w:val="00C75D48"/>
    <w:rsid w:val="00C75FD9"/>
    <w:rsid w:val="00C76134"/>
    <w:rsid w:val="00C7631E"/>
    <w:rsid w:val="00C765EA"/>
    <w:rsid w:val="00C76A7D"/>
    <w:rsid w:val="00C76C77"/>
    <w:rsid w:val="00C77063"/>
    <w:rsid w:val="00C7726D"/>
    <w:rsid w:val="00C772EA"/>
    <w:rsid w:val="00C77ADD"/>
    <w:rsid w:val="00C80C2B"/>
    <w:rsid w:val="00C80CF7"/>
    <w:rsid w:val="00C8181B"/>
    <w:rsid w:val="00C82157"/>
    <w:rsid w:val="00C835AF"/>
    <w:rsid w:val="00C837EA"/>
    <w:rsid w:val="00C8398A"/>
    <w:rsid w:val="00C83B98"/>
    <w:rsid w:val="00C83CE5"/>
    <w:rsid w:val="00C83E77"/>
    <w:rsid w:val="00C84329"/>
    <w:rsid w:val="00C84C13"/>
    <w:rsid w:val="00C8574D"/>
    <w:rsid w:val="00C85AF8"/>
    <w:rsid w:val="00C85DD8"/>
    <w:rsid w:val="00C85FDA"/>
    <w:rsid w:val="00C86533"/>
    <w:rsid w:val="00C86620"/>
    <w:rsid w:val="00C86711"/>
    <w:rsid w:val="00C86BFC"/>
    <w:rsid w:val="00C86F44"/>
    <w:rsid w:val="00C87002"/>
    <w:rsid w:val="00C87E39"/>
    <w:rsid w:val="00C87E68"/>
    <w:rsid w:val="00C907EE"/>
    <w:rsid w:val="00C90A6A"/>
    <w:rsid w:val="00C90FDE"/>
    <w:rsid w:val="00C91237"/>
    <w:rsid w:val="00C918C0"/>
    <w:rsid w:val="00C9197E"/>
    <w:rsid w:val="00C91D0E"/>
    <w:rsid w:val="00C91D63"/>
    <w:rsid w:val="00C920AF"/>
    <w:rsid w:val="00C9237E"/>
    <w:rsid w:val="00C9266F"/>
    <w:rsid w:val="00C92D33"/>
    <w:rsid w:val="00C92EEA"/>
    <w:rsid w:val="00C9375B"/>
    <w:rsid w:val="00C93D45"/>
    <w:rsid w:val="00C93DB8"/>
    <w:rsid w:val="00C94130"/>
    <w:rsid w:val="00C9429D"/>
    <w:rsid w:val="00C94BDD"/>
    <w:rsid w:val="00C94C8D"/>
    <w:rsid w:val="00C9527D"/>
    <w:rsid w:val="00C9598D"/>
    <w:rsid w:val="00C964A1"/>
    <w:rsid w:val="00C96B0B"/>
    <w:rsid w:val="00C96E86"/>
    <w:rsid w:val="00C975B5"/>
    <w:rsid w:val="00C977D8"/>
    <w:rsid w:val="00CA0923"/>
    <w:rsid w:val="00CA10D8"/>
    <w:rsid w:val="00CA1133"/>
    <w:rsid w:val="00CA1188"/>
    <w:rsid w:val="00CA182D"/>
    <w:rsid w:val="00CA1E9F"/>
    <w:rsid w:val="00CA1EE3"/>
    <w:rsid w:val="00CA238B"/>
    <w:rsid w:val="00CA244A"/>
    <w:rsid w:val="00CA2660"/>
    <w:rsid w:val="00CA3FF2"/>
    <w:rsid w:val="00CA464F"/>
    <w:rsid w:val="00CA4815"/>
    <w:rsid w:val="00CA49E1"/>
    <w:rsid w:val="00CA52D1"/>
    <w:rsid w:val="00CA579B"/>
    <w:rsid w:val="00CA5D07"/>
    <w:rsid w:val="00CA653A"/>
    <w:rsid w:val="00CA6713"/>
    <w:rsid w:val="00CA6AC6"/>
    <w:rsid w:val="00CA6BC0"/>
    <w:rsid w:val="00CA715A"/>
    <w:rsid w:val="00CA72E9"/>
    <w:rsid w:val="00CA76CC"/>
    <w:rsid w:val="00CA78ED"/>
    <w:rsid w:val="00CB00E5"/>
    <w:rsid w:val="00CB0958"/>
    <w:rsid w:val="00CB0BDC"/>
    <w:rsid w:val="00CB1775"/>
    <w:rsid w:val="00CB1E6F"/>
    <w:rsid w:val="00CB1F4D"/>
    <w:rsid w:val="00CB21F9"/>
    <w:rsid w:val="00CB3028"/>
    <w:rsid w:val="00CB30D1"/>
    <w:rsid w:val="00CB3683"/>
    <w:rsid w:val="00CB3B85"/>
    <w:rsid w:val="00CB404A"/>
    <w:rsid w:val="00CB4053"/>
    <w:rsid w:val="00CB4127"/>
    <w:rsid w:val="00CB426F"/>
    <w:rsid w:val="00CB4A04"/>
    <w:rsid w:val="00CB4B8D"/>
    <w:rsid w:val="00CB4D74"/>
    <w:rsid w:val="00CB5AF1"/>
    <w:rsid w:val="00CB6DE8"/>
    <w:rsid w:val="00CB6E49"/>
    <w:rsid w:val="00CB7337"/>
    <w:rsid w:val="00CB7421"/>
    <w:rsid w:val="00CB756A"/>
    <w:rsid w:val="00CB78D4"/>
    <w:rsid w:val="00CB7A8C"/>
    <w:rsid w:val="00CB7B40"/>
    <w:rsid w:val="00CC087F"/>
    <w:rsid w:val="00CC0B85"/>
    <w:rsid w:val="00CC0B94"/>
    <w:rsid w:val="00CC0EC0"/>
    <w:rsid w:val="00CC0F54"/>
    <w:rsid w:val="00CC1664"/>
    <w:rsid w:val="00CC190D"/>
    <w:rsid w:val="00CC2888"/>
    <w:rsid w:val="00CC2E4C"/>
    <w:rsid w:val="00CC2FD2"/>
    <w:rsid w:val="00CC31E6"/>
    <w:rsid w:val="00CC31E9"/>
    <w:rsid w:val="00CC3475"/>
    <w:rsid w:val="00CC3E4F"/>
    <w:rsid w:val="00CC3ED4"/>
    <w:rsid w:val="00CC47F9"/>
    <w:rsid w:val="00CC54F3"/>
    <w:rsid w:val="00CC5859"/>
    <w:rsid w:val="00CC595D"/>
    <w:rsid w:val="00CC5E62"/>
    <w:rsid w:val="00CC5E6D"/>
    <w:rsid w:val="00CC5FD7"/>
    <w:rsid w:val="00CC6C80"/>
    <w:rsid w:val="00CC6D78"/>
    <w:rsid w:val="00CC7097"/>
    <w:rsid w:val="00CC7127"/>
    <w:rsid w:val="00CC734C"/>
    <w:rsid w:val="00CC7528"/>
    <w:rsid w:val="00CC7B51"/>
    <w:rsid w:val="00CD0BF9"/>
    <w:rsid w:val="00CD150F"/>
    <w:rsid w:val="00CD19E3"/>
    <w:rsid w:val="00CD1E1C"/>
    <w:rsid w:val="00CD1F12"/>
    <w:rsid w:val="00CD25AB"/>
    <w:rsid w:val="00CD2869"/>
    <w:rsid w:val="00CD2E53"/>
    <w:rsid w:val="00CD2EE3"/>
    <w:rsid w:val="00CD2F3C"/>
    <w:rsid w:val="00CD370D"/>
    <w:rsid w:val="00CD3749"/>
    <w:rsid w:val="00CD3F1B"/>
    <w:rsid w:val="00CD455A"/>
    <w:rsid w:val="00CD499D"/>
    <w:rsid w:val="00CD5984"/>
    <w:rsid w:val="00CD5A55"/>
    <w:rsid w:val="00CD5DDF"/>
    <w:rsid w:val="00CD60E1"/>
    <w:rsid w:val="00CD63DF"/>
    <w:rsid w:val="00CE01D1"/>
    <w:rsid w:val="00CE0534"/>
    <w:rsid w:val="00CE0B75"/>
    <w:rsid w:val="00CE100D"/>
    <w:rsid w:val="00CE1154"/>
    <w:rsid w:val="00CE1B67"/>
    <w:rsid w:val="00CE1F87"/>
    <w:rsid w:val="00CE22A0"/>
    <w:rsid w:val="00CE236A"/>
    <w:rsid w:val="00CE246B"/>
    <w:rsid w:val="00CE2FD6"/>
    <w:rsid w:val="00CE353A"/>
    <w:rsid w:val="00CE3588"/>
    <w:rsid w:val="00CE384D"/>
    <w:rsid w:val="00CE38B2"/>
    <w:rsid w:val="00CE3B05"/>
    <w:rsid w:val="00CE413F"/>
    <w:rsid w:val="00CE428A"/>
    <w:rsid w:val="00CE42C4"/>
    <w:rsid w:val="00CE42CC"/>
    <w:rsid w:val="00CE4527"/>
    <w:rsid w:val="00CE535D"/>
    <w:rsid w:val="00CE53C3"/>
    <w:rsid w:val="00CE5B09"/>
    <w:rsid w:val="00CE5EAF"/>
    <w:rsid w:val="00CE697B"/>
    <w:rsid w:val="00CE722E"/>
    <w:rsid w:val="00CE78F4"/>
    <w:rsid w:val="00CE7CED"/>
    <w:rsid w:val="00CE7FE3"/>
    <w:rsid w:val="00CF150A"/>
    <w:rsid w:val="00CF18B6"/>
    <w:rsid w:val="00CF1A7E"/>
    <w:rsid w:val="00CF1C6F"/>
    <w:rsid w:val="00CF2849"/>
    <w:rsid w:val="00CF2980"/>
    <w:rsid w:val="00CF3939"/>
    <w:rsid w:val="00CF3C76"/>
    <w:rsid w:val="00CF3F09"/>
    <w:rsid w:val="00CF422B"/>
    <w:rsid w:val="00CF566C"/>
    <w:rsid w:val="00CF6A6B"/>
    <w:rsid w:val="00CF6C1D"/>
    <w:rsid w:val="00D006D2"/>
    <w:rsid w:val="00D00955"/>
    <w:rsid w:val="00D00E04"/>
    <w:rsid w:val="00D00F2E"/>
    <w:rsid w:val="00D013B2"/>
    <w:rsid w:val="00D018D5"/>
    <w:rsid w:val="00D01D0C"/>
    <w:rsid w:val="00D01D2D"/>
    <w:rsid w:val="00D025E0"/>
    <w:rsid w:val="00D025EE"/>
    <w:rsid w:val="00D02740"/>
    <w:rsid w:val="00D02D01"/>
    <w:rsid w:val="00D03062"/>
    <w:rsid w:val="00D03B84"/>
    <w:rsid w:val="00D04023"/>
    <w:rsid w:val="00D04B08"/>
    <w:rsid w:val="00D05163"/>
    <w:rsid w:val="00D05499"/>
    <w:rsid w:val="00D055C3"/>
    <w:rsid w:val="00D05FCA"/>
    <w:rsid w:val="00D06100"/>
    <w:rsid w:val="00D062E7"/>
    <w:rsid w:val="00D06626"/>
    <w:rsid w:val="00D07747"/>
    <w:rsid w:val="00D07A49"/>
    <w:rsid w:val="00D07D31"/>
    <w:rsid w:val="00D102DC"/>
    <w:rsid w:val="00D1081B"/>
    <w:rsid w:val="00D10C3A"/>
    <w:rsid w:val="00D11613"/>
    <w:rsid w:val="00D116A6"/>
    <w:rsid w:val="00D118BE"/>
    <w:rsid w:val="00D11A91"/>
    <w:rsid w:val="00D11D2C"/>
    <w:rsid w:val="00D12876"/>
    <w:rsid w:val="00D13204"/>
    <w:rsid w:val="00D1325B"/>
    <w:rsid w:val="00D14223"/>
    <w:rsid w:val="00D14227"/>
    <w:rsid w:val="00D14925"/>
    <w:rsid w:val="00D14A3A"/>
    <w:rsid w:val="00D14BB6"/>
    <w:rsid w:val="00D15A5E"/>
    <w:rsid w:val="00D16011"/>
    <w:rsid w:val="00D161DC"/>
    <w:rsid w:val="00D1624E"/>
    <w:rsid w:val="00D16262"/>
    <w:rsid w:val="00D1651C"/>
    <w:rsid w:val="00D166B8"/>
    <w:rsid w:val="00D166BF"/>
    <w:rsid w:val="00D16DD1"/>
    <w:rsid w:val="00D17462"/>
    <w:rsid w:val="00D1750A"/>
    <w:rsid w:val="00D1763D"/>
    <w:rsid w:val="00D177BE"/>
    <w:rsid w:val="00D1786C"/>
    <w:rsid w:val="00D17B1B"/>
    <w:rsid w:val="00D2029A"/>
    <w:rsid w:val="00D202E7"/>
    <w:rsid w:val="00D20433"/>
    <w:rsid w:val="00D208CF"/>
    <w:rsid w:val="00D2093B"/>
    <w:rsid w:val="00D21354"/>
    <w:rsid w:val="00D21911"/>
    <w:rsid w:val="00D21A66"/>
    <w:rsid w:val="00D22780"/>
    <w:rsid w:val="00D22C0F"/>
    <w:rsid w:val="00D2367E"/>
    <w:rsid w:val="00D23D5B"/>
    <w:rsid w:val="00D24345"/>
    <w:rsid w:val="00D247C9"/>
    <w:rsid w:val="00D25067"/>
    <w:rsid w:val="00D2513D"/>
    <w:rsid w:val="00D25605"/>
    <w:rsid w:val="00D2574F"/>
    <w:rsid w:val="00D2598B"/>
    <w:rsid w:val="00D2655D"/>
    <w:rsid w:val="00D26DB3"/>
    <w:rsid w:val="00D2708F"/>
    <w:rsid w:val="00D27A0A"/>
    <w:rsid w:val="00D30383"/>
    <w:rsid w:val="00D3044F"/>
    <w:rsid w:val="00D307D0"/>
    <w:rsid w:val="00D30BA7"/>
    <w:rsid w:val="00D30CC7"/>
    <w:rsid w:val="00D30F66"/>
    <w:rsid w:val="00D31445"/>
    <w:rsid w:val="00D31490"/>
    <w:rsid w:val="00D319E1"/>
    <w:rsid w:val="00D330C6"/>
    <w:rsid w:val="00D345DF"/>
    <w:rsid w:val="00D346F2"/>
    <w:rsid w:val="00D348A3"/>
    <w:rsid w:val="00D349FA"/>
    <w:rsid w:val="00D363A3"/>
    <w:rsid w:val="00D3645C"/>
    <w:rsid w:val="00D364A3"/>
    <w:rsid w:val="00D36B0F"/>
    <w:rsid w:val="00D36C03"/>
    <w:rsid w:val="00D36C27"/>
    <w:rsid w:val="00D36F1F"/>
    <w:rsid w:val="00D3707E"/>
    <w:rsid w:val="00D37BE7"/>
    <w:rsid w:val="00D37BE9"/>
    <w:rsid w:val="00D4045E"/>
    <w:rsid w:val="00D40AB6"/>
    <w:rsid w:val="00D4117B"/>
    <w:rsid w:val="00D41E11"/>
    <w:rsid w:val="00D423EB"/>
    <w:rsid w:val="00D425E6"/>
    <w:rsid w:val="00D42808"/>
    <w:rsid w:val="00D43190"/>
    <w:rsid w:val="00D43D17"/>
    <w:rsid w:val="00D44199"/>
    <w:rsid w:val="00D448E4"/>
    <w:rsid w:val="00D44A6B"/>
    <w:rsid w:val="00D45343"/>
    <w:rsid w:val="00D4536A"/>
    <w:rsid w:val="00D453CF"/>
    <w:rsid w:val="00D45442"/>
    <w:rsid w:val="00D45A94"/>
    <w:rsid w:val="00D45FA6"/>
    <w:rsid w:val="00D45FEE"/>
    <w:rsid w:val="00D4674B"/>
    <w:rsid w:val="00D47957"/>
    <w:rsid w:val="00D502DF"/>
    <w:rsid w:val="00D506AB"/>
    <w:rsid w:val="00D50F34"/>
    <w:rsid w:val="00D51361"/>
    <w:rsid w:val="00D5144D"/>
    <w:rsid w:val="00D514DB"/>
    <w:rsid w:val="00D51F88"/>
    <w:rsid w:val="00D52131"/>
    <w:rsid w:val="00D52710"/>
    <w:rsid w:val="00D53259"/>
    <w:rsid w:val="00D53619"/>
    <w:rsid w:val="00D53A50"/>
    <w:rsid w:val="00D53B08"/>
    <w:rsid w:val="00D54483"/>
    <w:rsid w:val="00D54AC4"/>
    <w:rsid w:val="00D552BE"/>
    <w:rsid w:val="00D55882"/>
    <w:rsid w:val="00D559DB"/>
    <w:rsid w:val="00D55DC0"/>
    <w:rsid w:val="00D56370"/>
    <w:rsid w:val="00D56791"/>
    <w:rsid w:val="00D575FE"/>
    <w:rsid w:val="00D5774C"/>
    <w:rsid w:val="00D57C31"/>
    <w:rsid w:val="00D57C4E"/>
    <w:rsid w:val="00D57D12"/>
    <w:rsid w:val="00D57D50"/>
    <w:rsid w:val="00D57FA4"/>
    <w:rsid w:val="00D605A2"/>
    <w:rsid w:val="00D60FF2"/>
    <w:rsid w:val="00D6154D"/>
    <w:rsid w:val="00D6221D"/>
    <w:rsid w:val="00D6370C"/>
    <w:rsid w:val="00D6372F"/>
    <w:rsid w:val="00D63ACB"/>
    <w:rsid w:val="00D63BF2"/>
    <w:rsid w:val="00D63CF0"/>
    <w:rsid w:val="00D63E69"/>
    <w:rsid w:val="00D644EC"/>
    <w:rsid w:val="00D64668"/>
    <w:rsid w:val="00D647EE"/>
    <w:rsid w:val="00D64884"/>
    <w:rsid w:val="00D64932"/>
    <w:rsid w:val="00D64A71"/>
    <w:rsid w:val="00D64A7B"/>
    <w:rsid w:val="00D64DB8"/>
    <w:rsid w:val="00D65034"/>
    <w:rsid w:val="00D6505A"/>
    <w:rsid w:val="00D651D7"/>
    <w:rsid w:val="00D656BB"/>
    <w:rsid w:val="00D65FF9"/>
    <w:rsid w:val="00D6653A"/>
    <w:rsid w:val="00D66786"/>
    <w:rsid w:val="00D667AF"/>
    <w:rsid w:val="00D67199"/>
    <w:rsid w:val="00D67336"/>
    <w:rsid w:val="00D6752C"/>
    <w:rsid w:val="00D70919"/>
    <w:rsid w:val="00D709E5"/>
    <w:rsid w:val="00D71E52"/>
    <w:rsid w:val="00D723AD"/>
    <w:rsid w:val="00D72745"/>
    <w:rsid w:val="00D727A9"/>
    <w:rsid w:val="00D72930"/>
    <w:rsid w:val="00D72A6D"/>
    <w:rsid w:val="00D72C11"/>
    <w:rsid w:val="00D72F45"/>
    <w:rsid w:val="00D73235"/>
    <w:rsid w:val="00D73AAD"/>
    <w:rsid w:val="00D73DB4"/>
    <w:rsid w:val="00D73E8F"/>
    <w:rsid w:val="00D7417D"/>
    <w:rsid w:val="00D748FA"/>
    <w:rsid w:val="00D749F8"/>
    <w:rsid w:val="00D74FA9"/>
    <w:rsid w:val="00D75219"/>
    <w:rsid w:val="00D755B7"/>
    <w:rsid w:val="00D7574A"/>
    <w:rsid w:val="00D75C35"/>
    <w:rsid w:val="00D75E14"/>
    <w:rsid w:val="00D76271"/>
    <w:rsid w:val="00D76BB0"/>
    <w:rsid w:val="00D76DCB"/>
    <w:rsid w:val="00D76F6B"/>
    <w:rsid w:val="00D77025"/>
    <w:rsid w:val="00D7765B"/>
    <w:rsid w:val="00D77710"/>
    <w:rsid w:val="00D77F26"/>
    <w:rsid w:val="00D8038B"/>
    <w:rsid w:val="00D807B3"/>
    <w:rsid w:val="00D809F0"/>
    <w:rsid w:val="00D80C37"/>
    <w:rsid w:val="00D80C4D"/>
    <w:rsid w:val="00D81368"/>
    <w:rsid w:val="00D813AB"/>
    <w:rsid w:val="00D814F5"/>
    <w:rsid w:val="00D8167D"/>
    <w:rsid w:val="00D81910"/>
    <w:rsid w:val="00D8218D"/>
    <w:rsid w:val="00D82549"/>
    <w:rsid w:val="00D829F7"/>
    <w:rsid w:val="00D83393"/>
    <w:rsid w:val="00D83642"/>
    <w:rsid w:val="00D836D8"/>
    <w:rsid w:val="00D8371E"/>
    <w:rsid w:val="00D839DD"/>
    <w:rsid w:val="00D841D3"/>
    <w:rsid w:val="00D84654"/>
    <w:rsid w:val="00D84BA8"/>
    <w:rsid w:val="00D84E27"/>
    <w:rsid w:val="00D8527B"/>
    <w:rsid w:val="00D85570"/>
    <w:rsid w:val="00D8592A"/>
    <w:rsid w:val="00D85FD7"/>
    <w:rsid w:val="00D8630C"/>
    <w:rsid w:val="00D86542"/>
    <w:rsid w:val="00D86672"/>
    <w:rsid w:val="00D86CD5"/>
    <w:rsid w:val="00D875D0"/>
    <w:rsid w:val="00D875D5"/>
    <w:rsid w:val="00D8793C"/>
    <w:rsid w:val="00D879C9"/>
    <w:rsid w:val="00D87C56"/>
    <w:rsid w:val="00D906B3"/>
    <w:rsid w:val="00D912DE"/>
    <w:rsid w:val="00D91553"/>
    <w:rsid w:val="00D91C52"/>
    <w:rsid w:val="00D91E8A"/>
    <w:rsid w:val="00D9205C"/>
    <w:rsid w:val="00D92B86"/>
    <w:rsid w:val="00D933C2"/>
    <w:rsid w:val="00D9347C"/>
    <w:rsid w:val="00D9394B"/>
    <w:rsid w:val="00D93A7A"/>
    <w:rsid w:val="00D9438C"/>
    <w:rsid w:val="00D9446D"/>
    <w:rsid w:val="00D949EC"/>
    <w:rsid w:val="00D95650"/>
    <w:rsid w:val="00D956E0"/>
    <w:rsid w:val="00D95706"/>
    <w:rsid w:val="00D958C5"/>
    <w:rsid w:val="00D95E92"/>
    <w:rsid w:val="00D9620B"/>
    <w:rsid w:val="00D96C45"/>
    <w:rsid w:val="00D97247"/>
    <w:rsid w:val="00D97C47"/>
    <w:rsid w:val="00D97FA9"/>
    <w:rsid w:val="00DA08EB"/>
    <w:rsid w:val="00DA0D87"/>
    <w:rsid w:val="00DA0D93"/>
    <w:rsid w:val="00DA135D"/>
    <w:rsid w:val="00DA136C"/>
    <w:rsid w:val="00DA15C5"/>
    <w:rsid w:val="00DA17B0"/>
    <w:rsid w:val="00DA1947"/>
    <w:rsid w:val="00DA195C"/>
    <w:rsid w:val="00DA1E8D"/>
    <w:rsid w:val="00DA3DE1"/>
    <w:rsid w:val="00DA4C80"/>
    <w:rsid w:val="00DA5771"/>
    <w:rsid w:val="00DA5C0A"/>
    <w:rsid w:val="00DA5EFB"/>
    <w:rsid w:val="00DA615B"/>
    <w:rsid w:val="00DA6236"/>
    <w:rsid w:val="00DA6458"/>
    <w:rsid w:val="00DA65C4"/>
    <w:rsid w:val="00DA66C1"/>
    <w:rsid w:val="00DA671C"/>
    <w:rsid w:val="00DA67C4"/>
    <w:rsid w:val="00DA69B0"/>
    <w:rsid w:val="00DA6D15"/>
    <w:rsid w:val="00DA7485"/>
    <w:rsid w:val="00DA787A"/>
    <w:rsid w:val="00DA788C"/>
    <w:rsid w:val="00DB032D"/>
    <w:rsid w:val="00DB03B9"/>
    <w:rsid w:val="00DB1048"/>
    <w:rsid w:val="00DB156C"/>
    <w:rsid w:val="00DB1AD6"/>
    <w:rsid w:val="00DB2081"/>
    <w:rsid w:val="00DB24F9"/>
    <w:rsid w:val="00DB2991"/>
    <w:rsid w:val="00DB2A68"/>
    <w:rsid w:val="00DB2AAF"/>
    <w:rsid w:val="00DB318C"/>
    <w:rsid w:val="00DB328C"/>
    <w:rsid w:val="00DB379D"/>
    <w:rsid w:val="00DB396C"/>
    <w:rsid w:val="00DB3AA4"/>
    <w:rsid w:val="00DB3DD3"/>
    <w:rsid w:val="00DB465E"/>
    <w:rsid w:val="00DB478D"/>
    <w:rsid w:val="00DB4A17"/>
    <w:rsid w:val="00DB5436"/>
    <w:rsid w:val="00DB5A1E"/>
    <w:rsid w:val="00DB5A3E"/>
    <w:rsid w:val="00DB6478"/>
    <w:rsid w:val="00DB6CA6"/>
    <w:rsid w:val="00DB725A"/>
    <w:rsid w:val="00DB7DCB"/>
    <w:rsid w:val="00DB7F91"/>
    <w:rsid w:val="00DB7FF1"/>
    <w:rsid w:val="00DC0161"/>
    <w:rsid w:val="00DC01FE"/>
    <w:rsid w:val="00DC043D"/>
    <w:rsid w:val="00DC0B47"/>
    <w:rsid w:val="00DC0E4E"/>
    <w:rsid w:val="00DC1060"/>
    <w:rsid w:val="00DC1079"/>
    <w:rsid w:val="00DC10B2"/>
    <w:rsid w:val="00DC1D01"/>
    <w:rsid w:val="00DC2125"/>
    <w:rsid w:val="00DC2416"/>
    <w:rsid w:val="00DC2614"/>
    <w:rsid w:val="00DC3201"/>
    <w:rsid w:val="00DC3578"/>
    <w:rsid w:val="00DC3A9D"/>
    <w:rsid w:val="00DC3E2E"/>
    <w:rsid w:val="00DC3F17"/>
    <w:rsid w:val="00DC4EF5"/>
    <w:rsid w:val="00DC5B5A"/>
    <w:rsid w:val="00DC5F9E"/>
    <w:rsid w:val="00DC64D0"/>
    <w:rsid w:val="00DC6984"/>
    <w:rsid w:val="00DC6ACE"/>
    <w:rsid w:val="00DC7108"/>
    <w:rsid w:val="00DC7A58"/>
    <w:rsid w:val="00DC7D2B"/>
    <w:rsid w:val="00DD00C0"/>
    <w:rsid w:val="00DD040F"/>
    <w:rsid w:val="00DD0964"/>
    <w:rsid w:val="00DD09C9"/>
    <w:rsid w:val="00DD0A28"/>
    <w:rsid w:val="00DD10A4"/>
    <w:rsid w:val="00DD1548"/>
    <w:rsid w:val="00DD15A1"/>
    <w:rsid w:val="00DD15D6"/>
    <w:rsid w:val="00DD1782"/>
    <w:rsid w:val="00DD19BA"/>
    <w:rsid w:val="00DD1CCB"/>
    <w:rsid w:val="00DD1DC8"/>
    <w:rsid w:val="00DD23C9"/>
    <w:rsid w:val="00DD28E5"/>
    <w:rsid w:val="00DD2EE6"/>
    <w:rsid w:val="00DD317B"/>
    <w:rsid w:val="00DD3DB3"/>
    <w:rsid w:val="00DD3DF2"/>
    <w:rsid w:val="00DD414C"/>
    <w:rsid w:val="00DD4193"/>
    <w:rsid w:val="00DD444D"/>
    <w:rsid w:val="00DD4A78"/>
    <w:rsid w:val="00DD4BAD"/>
    <w:rsid w:val="00DD5DB1"/>
    <w:rsid w:val="00DD6AA8"/>
    <w:rsid w:val="00DD6BCD"/>
    <w:rsid w:val="00DD6CE0"/>
    <w:rsid w:val="00DD6D10"/>
    <w:rsid w:val="00DD6F38"/>
    <w:rsid w:val="00DD7470"/>
    <w:rsid w:val="00DD7593"/>
    <w:rsid w:val="00DE0090"/>
    <w:rsid w:val="00DE0172"/>
    <w:rsid w:val="00DE0228"/>
    <w:rsid w:val="00DE0384"/>
    <w:rsid w:val="00DE054B"/>
    <w:rsid w:val="00DE08DB"/>
    <w:rsid w:val="00DE08F2"/>
    <w:rsid w:val="00DE0A5E"/>
    <w:rsid w:val="00DE19BC"/>
    <w:rsid w:val="00DE1B22"/>
    <w:rsid w:val="00DE25DD"/>
    <w:rsid w:val="00DE3810"/>
    <w:rsid w:val="00DE3F8F"/>
    <w:rsid w:val="00DE406E"/>
    <w:rsid w:val="00DE443F"/>
    <w:rsid w:val="00DE4B2B"/>
    <w:rsid w:val="00DE5927"/>
    <w:rsid w:val="00DE6128"/>
    <w:rsid w:val="00DE61C3"/>
    <w:rsid w:val="00DE63D1"/>
    <w:rsid w:val="00DE6A4E"/>
    <w:rsid w:val="00DE7003"/>
    <w:rsid w:val="00DE7089"/>
    <w:rsid w:val="00DE7143"/>
    <w:rsid w:val="00DE75C9"/>
    <w:rsid w:val="00DE7A73"/>
    <w:rsid w:val="00DE7CAC"/>
    <w:rsid w:val="00DF17AC"/>
    <w:rsid w:val="00DF19B0"/>
    <w:rsid w:val="00DF1CD0"/>
    <w:rsid w:val="00DF1ECC"/>
    <w:rsid w:val="00DF20ED"/>
    <w:rsid w:val="00DF2921"/>
    <w:rsid w:val="00DF2B98"/>
    <w:rsid w:val="00DF2C9C"/>
    <w:rsid w:val="00DF2E6C"/>
    <w:rsid w:val="00DF2FAF"/>
    <w:rsid w:val="00DF394B"/>
    <w:rsid w:val="00DF3C16"/>
    <w:rsid w:val="00DF3CAC"/>
    <w:rsid w:val="00DF44C0"/>
    <w:rsid w:val="00DF4D70"/>
    <w:rsid w:val="00DF5374"/>
    <w:rsid w:val="00DF5506"/>
    <w:rsid w:val="00DF55E7"/>
    <w:rsid w:val="00DF56CA"/>
    <w:rsid w:val="00DF5864"/>
    <w:rsid w:val="00DF5EC2"/>
    <w:rsid w:val="00DF6C48"/>
    <w:rsid w:val="00DF6E6F"/>
    <w:rsid w:val="00DF729A"/>
    <w:rsid w:val="00DF783A"/>
    <w:rsid w:val="00DF7C5E"/>
    <w:rsid w:val="00E00059"/>
    <w:rsid w:val="00E00131"/>
    <w:rsid w:val="00E00145"/>
    <w:rsid w:val="00E003EE"/>
    <w:rsid w:val="00E00524"/>
    <w:rsid w:val="00E00551"/>
    <w:rsid w:val="00E006D4"/>
    <w:rsid w:val="00E0098F"/>
    <w:rsid w:val="00E01075"/>
    <w:rsid w:val="00E01407"/>
    <w:rsid w:val="00E0142C"/>
    <w:rsid w:val="00E0146A"/>
    <w:rsid w:val="00E01823"/>
    <w:rsid w:val="00E01E53"/>
    <w:rsid w:val="00E02196"/>
    <w:rsid w:val="00E02628"/>
    <w:rsid w:val="00E0270C"/>
    <w:rsid w:val="00E02BD2"/>
    <w:rsid w:val="00E02D31"/>
    <w:rsid w:val="00E02E82"/>
    <w:rsid w:val="00E02F4D"/>
    <w:rsid w:val="00E032B3"/>
    <w:rsid w:val="00E039D3"/>
    <w:rsid w:val="00E0418B"/>
    <w:rsid w:val="00E046F6"/>
    <w:rsid w:val="00E05B41"/>
    <w:rsid w:val="00E06552"/>
    <w:rsid w:val="00E068CB"/>
    <w:rsid w:val="00E06D10"/>
    <w:rsid w:val="00E108BB"/>
    <w:rsid w:val="00E10910"/>
    <w:rsid w:val="00E10CE9"/>
    <w:rsid w:val="00E10E04"/>
    <w:rsid w:val="00E111F7"/>
    <w:rsid w:val="00E11E3F"/>
    <w:rsid w:val="00E12959"/>
    <w:rsid w:val="00E12D2E"/>
    <w:rsid w:val="00E13398"/>
    <w:rsid w:val="00E1355B"/>
    <w:rsid w:val="00E1380F"/>
    <w:rsid w:val="00E13890"/>
    <w:rsid w:val="00E14CCE"/>
    <w:rsid w:val="00E14FF5"/>
    <w:rsid w:val="00E151B3"/>
    <w:rsid w:val="00E15834"/>
    <w:rsid w:val="00E15B54"/>
    <w:rsid w:val="00E15CA7"/>
    <w:rsid w:val="00E1658C"/>
    <w:rsid w:val="00E16770"/>
    <w:rsid w:val="00E16CC5"/>
    <w:rsid w:val="00E16DBC"/>
    <w:rsid w:val="00E170D4"/>
    <w:rsid w:val="00E171D5"/>
    <w:rsid w:val="00E1727D"/>
    <w:rsid w:val="00E17B82"/>
    <w:rsid w:val="00E200C1"/>
    <w:rsid w:val="00E206F5"/>
    <w:rsid w:val="00E207B3"/>
    <w:rsid w:val="00E20FC3"/>
    <w:rsid w:val="00E20FD0"/>
    <w:rsid w:val="00E21672"/>
    <w:rsid w:val="00E226E3"/>
    <w:rsid w:val="00E2290E"/>
    <w:rsid w:val="00E230B3"/>
    <w:rsid w:val="00E2313F"/>
    <w:rsid w:val="00E236B9"/>
    <w:rsid w:val="00E238DD"/>
    <w:rsid w:val="00E239E7"/>
    <w:rsid w:val="00E23B33"/>
    <w:rsid w:val="00E23F40"/>
    <w:rsid w:val="00E24035"/>
    <w:rsid w:val="00E243B3"/>
    <w:rsid w:val="00E25B77"/>
    <w:rsid w:val="00E25E84"/>
    <w:rsid w:val="00E272C9"/>
    <w:rsid w:val="00E27AE5"/>
    <w:rsid w:val="00E27DF7"/>
    <w:rsid w:val="00E31146"/>
    <w:rsid w:val="00E314BC"/>
    <w:rsid w:val="00E32163"/>
    <w:rsid w:val="00E32A38"/>
    <w:rsid w:val="00E33200"/>
    <w:rsid w:val="00E33223"/>
    <w:rsid w:val="00E333C8"/>
    <w:rsid w:val="00E334FF"/>
    <w:rsid w:val="00E33735"/>
    <w:rsid w:val="00E3373C"/>
    <w:rsid w:val="00E33A4D"/>
    <w:rsid w:val="00E348A8"/>
    <w:rsid w:val="00E34970"/>
    <w:rsid w:val="00E3589D"/>
    <w:rsid w:val="00E35CB4"/>
    <w:rsid w:val="00E360E2"/>
    <w:rsid w:val="00E3620C"/>
    <w:rsid w:val="00E3668B"/>
    <w:rsid w:val="00E3681C"/>
    <w:rsid w:val="00E36840"/>
    <w:rsid w:val="00E369DC"/>
    <w:rsid w:val="00E36F5D"/>
    <w:rsid w:val="00E37270"/>
    <w:rsid w:val="00E37955"/>
    <w:rsid w:val="00E400E6"/>
    <w:rsid w:val="00E40450"/>
    <w:rsid w:val="00E40672"/>
    <w:rsid w:val="00E40AC9"/>
    <w:rsid w:val="00E40B3A"/>
    <w:rsid w:val="00E411A8"/>
    <w:rsid w:val="00E4120F"/>
    <w:rsid w:val="00E412A7"/>
    <w:rsid w:val="00E41721"/>
    <w:rsid w:val="00E41A26"/>
    <w:rsid w:val="00E42607"/>
    <w:rsid w:val="00E42875"/>
    <w:rsid w:val="00E42922"/>
    <w:rsid w:val="00E42B5B"/>
    <w:rsid w:val="00E42E68"/>
    <w:rsid w:val="00E431F5"/>
    <w:rsid w:val="00E43548"/>
    <w:rsid w:val="00E43633"/>
    <w:rsid w:val="00E43B88"/>
    <w:rsid w:val="00E440F1"/>
    <w:rsid w:val="00E4457A"/>
    <w:rsid w:val="00E44638"/>
    <w:rsid w:val="00E44DF9"/>
    <w:rsid w:val="00E45038"/>
    <w:rsid w:val="00E45536"/>
    <w:rsid w:val="00E45AF7"/>
    <w:rsid w:val="00E4660F"/>
    <w:rsid w:val="00E46844"/>
    <w:rsid w:val="00E46D64"/>
    <w:rsid w:val="00E46FE0"/>
    <w:rsid w:val="00E4737D"/>
    <w:rsid w:val="00E478B8"/>
    <w:rsid w:val="00E47D44"/>
    <w:rsid w:val="00E47ED5"/>
    <w:rsid w:val="00E50159"/>
    <w:rsid w:val="00E507B6"/>
    <w:rsid w:val="00E508E4"/>
    <w:rsid w:val="00E51130"/>
    <w:rsid w:val="00E514C5"/>
    <w:rsid w:val="00E517D3"/>
    <w:rsid w:val="00E51C01"/>
    <w:rsid w:val="00E5216F"/>
    <w:rsid w:val="00E523C7"/>
    <w:rsid w:val="00E5260F"/>
    <w:rsid w:val="00E527AF"/>
    <w:rsid w:val="00E52844"/>
    <w:rsid w:val="00E5285A"/>
    <w:rsid w:val="00E52CE7"/>
    <w:rsid w:val="00E52F2A"/>
    <w:rsid w:val="00E53237"/>
    <w:rsid w:val="00E532AC"/>
    <w:rsid w:val="00E532F1"/>
    <w:rsid w:val="00E53FB8"/>
    <w:rsid w:val="00E5410D"/>
    <w:rsid w:val="00E544F9"/>
    <w:rsid w:val="00E54984"/>
    <w:rsid w:val="00E5499F"/>
    <w:rsid w:val="00E54D7C"/>
    <w:rsid w:val="00E55FC6"/>
    <w:rsid w:val="00E5657D"/>
    <w:rsid w:val="00E566EF"/>
    <w:rsid w:val="00E56775"/>
    <w:rsid w:val="00E56C07"/>
    <w:rsid w:val="00E56CE3"/>
    <w:rsid w:val="00E56CFC"/>
    <w:rsid w:val="00E56DC8"/>
    <w:rsid w:val="00E577B9"/>
    <w:rsid w:val="00E57CB5"/>
    <w:rsid w:val="00E57EE3"/>
    <w:rsid w:val="00E57F1F"/>
    <w:rsid w:val="00E6024A"/>
    <w:rsid w:val="00E606BC"/>
    <w:rsid w:val="00E60F55"/>
    <w:rsid w:val="00E60F98"/>
    <w:rsid w:val="00E6132B"/>
    <w:rsid w:val="00E61469"/>
    <w:rsid w:val="00E6218D"/>
    <w:rsid w:val="00E621C2"/>
    <w:rsid w:val="00E623C7"/>
    <w:rsid w:val="00E62606"/>
    <w:rsid w:val="00E62C1D"/>
    <w:rsid w:val="00E62D1E"/>
    <w:rsid w:val="00E6335A"/>
    <w:rsid w:val="00E63463"/>
    <w:rsid w:val="00E63A7B"/>
    <w:rsid w:val="00E63F61"/>
    <w:rsid w:val="00E643BF"/>
    <w:rsid w:val="00E64735"/>
    <w:rsid w:val="00E64D4E"/>
    <w:rsid w:val="00E65268"/>
    <w:rsid w:val="00E656AC"/>
    <w:rsid w:val="00E65BE6"/>
    <w:rsid w:val="00E65E2C"/>
    <w:rsid w:val="00E65F4D"/>
    <w:rsid w:val="00E66077"/>
    <w:rsid w:val="00E6652C"/>
    <w:rsid w:val="00E66CFD"/>
    <w:rsid w:val="00E67749"/>
    <w:rsid w:val="00E7023F"/>
    <w:rsid w:val="00E705B1"/>
    <w:rsid w:val="00E708A0"/>
    <w:rsid w:val="00E70DA9"/>
    <w:rsid w:val="00E710FE"/>
    <w:rsid w:val="00E716DD"/>
    <w:rsid w:val="00E727F0"/>
    <w:rsid w:val="00E729B0"/>
    <w:rsid w:val="00E729CF"/>
    <w:rsid w:val="00E737ED"/>
    <w:rsid w:val="00E73B4B"/>
    <w:rsid w:val="00E73C11"/>
    <w:rsid w:val="00E74286"/>
    <w:rsid w:val="00E75094"/>
    <w:rsid w:val="00E7535D"/>
    <w:rsid w:val="00E754AB"/>
    <w:rsid w:val="00E7585D"/>
    <w:rsid w:val="00E75BC2"/>
    <w:rsid w:val="00E75CD7"/>
    <w:rsid w:val="00E75E81"/>
    <w:rsid w:val="00E7662B"/>
    <w:rsid w:val="00E76C28"/>
    <w:rsid w:val="00E76CDB"/>
    <w:rsid w:val="00E7702E"/>
    <w:rsid w:val="00E771E1"/>
    <w:rsid w:val="00E773CD"/>
    <w:rsid w:val="00E7771F"/>
    <w:rsid w:val="00E80139"/>
    <w:rsid w:val="00E8044A"/>
    <w:rsid w:val="00E80499"/>
    <w:rsid w:val="00E809CE"/>
    <w:rsid w:val="00E80E75"/>
    <w:rsid w:val="00E80F04"/>
    <w:rsid w:val="00E8174A"/>
    <w:rsid w:val="00E81796"/>
    <w:rsid w:val="00E81FFB"/>
    <w:rsid w:val="00E8256E"/>
    <w:rsid w:val="00E82773"/>
    <w:rsid w:val="00E82B82"/>
    <w:rsid w:val="00E8311D"/>
    <w:rsid w:val="00E835FB"/>
    <w:rsid w:val="00E838F5"/>
    <w:rsid w:val="00E83A20"/>
    <w:rsid w:val="00E84677"/>
    <w:rsid w:val="00E84D83"/>
    <w:rsid w:val="00E85782"/>
    <w:rsid w:val="00E85AA3"/>
    <w:rsid w:val="00E85AD9"/>
    <w:rsid w:val="00E85BFD"/>
    <w:rsid w:val="00E86085"/>
    <w:rsid w:val="00E86285"/>
    <w:rsid w:val="00E86F09"/>
    <w:rsid w:val="00E87612"/>
    <w:rsid w:val="00E87E2C"/>
    <w:rsid w:val="00E90038"/>
    <w:rsid w:val="00E90278"/>
    <w:rsid w:val="00E9036B"/>
    <w:rsid w:val="00E90CDF"/>
    <w:rsid w:val="00E90F95"/>
    <w:rsid w:val="00E91571"/>
    <w:rsid w:val="00E916DF"/>
    <w:rsid w:val="00E91F1C"/>
    <w:rsid w:val="00E92236"/>
    <w:rsid w:val="00E9275A"/>
    <w:rsid w:val="00E9332C"/>
    <w:rsid w:val="00E9334E"/>
    <w:rsid w:val="00E949A1"/>
    <w:rsid w:val="00E94C78"/>
    <w:rsid w:val="00E94CDE"/>
    <w:rsid w:val="00E95041"/>
    <w:rsid w:val="00E95680"/>
    <w:rsid w:val="00E957BD"/>
    <w:rsid w:val="00E96301"/>
    <w:rsid w:val="00E964CC"/>
    <w:rsid w:val="00E96AD0"/>
    <w:rsid w:val="00E97501"/>
    <w:rsid w:val="00EA051A"/>
    <w:rsid w:val="00EA07E2"/>
    <w:rsid w:val="00EA1206"/>
    <w:rsid w:val="00EA1343"/>
    <w:rsid w:val="00EA1478"/>
    <w:rsid w:val="00EA155A"/>
    <w:rsid w:val="00EA1566"/>
    <w:rsid w:val="00EA1972"/>
    <w:rsid w:val="00EA25C4"/>
    <w:rsid w:val="00EA296A"/>
    <w:rsid w:val="00EA2C6D"/>
    <w:rsid w:val="00EA3549"/>
    <w:rsid w:val="00EA36F5"/>
    <w:rsid w:val="00EA38A7"/>
    <w:rsid w:val="00EA3B90"/>
    <w:rsid w:val="00EA414E"/>
    <w:rsid w:val="00EA4382"/>
    <w:rsid w:val="00EA43E4"/>
    <w:rsid w:val="00EA474F"/>
    <w:rsid w:val="00EA4782"/>
    <w:rsid w:val="00EA4A2C"/>
    <w:rsid w:val="00EA4C0F"/>
    <w:rsid w:val="00EA4CEC"/>
    <w:rsid w:val="00EA4DF6"/>
    <w:rsid w:val="00EA4E12"/>
    <w:rsid w:val="00EA4F52"/>
    <w:rsid w:val="00EA52D1"/>
    <w:rsid w:val="00EA5E68"/>
    <w:rsid w:val="00EA6017"/>
    <w:rsid w:val="00EA656D"/>
    <w:rsid w:val="00EA68E1"/>
    <w:rsid w:val="00EA6C9B"/>
    <w:rsid w:val="00EA6E55"/>
    <w:rsid w:val="00EA6F75"/>
    <w:rsid w:val="00EA7806"/>
    <w:rsid w:val="00EA7BA6"/>
    <w:rsid w:val="00EA7ED4"/>
    <w:rsid w:val="00EB0146"/>
    <w:rsid w:val="00EB0341"/>
    <w:rsid w:val="00EB0401"/>
    <w:rsid w:val="00EB0685"/>
    <w:rsid w:val="00EB0EE2"/>
    <w:rsid w:val="00EB10AF"/>
    <w:rsid w:val="00EB1538"/>
    <w:rsid w:val="00EB1E41"/>
    <w:rsid w:val="00EB1E52"/>
    <w:rsid w:val="00EB2A8B"/>
    <w:rsid w:val="00EB2CCC"/>
    <w:rsid w:val="00EB2E86"/>
    <w:rsid w:val="00EB34DD"/>
    <w:rsid w:val="00EB3ADE"/>
    <w:rsid w:val="00EB4F91"/>
    <w:rsid w:val="00EB4FC5"/>
    <w:rsid w:val="00EB510F"/>
    <w:rsid w:val="00EB55E0"/>
    <w:rsid w:val="00EB58B2"/>
    <w:rsid w:val="00EB60ED"/>
    <w:rsid w:val="00EB67CA"/>
    <w:rsid w:val="00EB6C8D"/>
    <w:rsid w:val="00EB7063"/>
    <w:rsid w:val="00EB706F"/>
    <w:rsid w:val="00EB72CD"/>
    <w:rsid w:val="00EB7615"/>
    <w:rsid w:val="00EB79E9"/>
    <w:rsid w:val="00EB7BF5"/>
    <w:rsid w:val="00EC03CC"/>
    <w:rsid w:val="00EC040C"/>
    <w:rsid w:val="00EC0FA6"/>
    <w:rsid w:val="00EC13AF"/>
    <w:rsid w:val="00EC2619"/>
    <w:rsid w:val="00EC2A38"/>
    <w:rsid w:val="00EC301E"/>
    <w:rsid w:val="00EC30FD"/>
    <w:rsid w:val="00EC337B"/>
    <w:rsid w:val="00EC3C0B"/>
    <w:rsid w:val="00EC4D38"/>
    <w:rsid w:val="00EC4FCC"/>
    <w:rsid w:val="00EC510A"/>
    <w:rsid w:val="00EC5187"/>
    <w:rsid w:val="00EC55DF"/>
    <w:rsid w:val="00EC5B13"/>
    <w:rsid w:val="00EC5DBC"/>
    <w:rsid w:val="00EC6189"/>
    <w:rsid w:val="00EC64C3"/>
    <w:rsid w:val="00EC6A84"/>
    <w:rsid w:val="00EC6BC0"/>
    <w:rsid w:val="00EC6C21"/>
    <w:rsid w:val="00EC7144"/>
    <w:rsid w:val="00EC747E"/>
    <w:rsid w:val="00EC76BA"/>
    <w:rsid w:val="00EC7A25"/>
    <w:rsid w:val="00EC7B8E"/>
    <w:rsid w:val="00ED0328"/>
    <w:rsid w:val="00ED0478"/>
    <w:rsid w:val="00ED1B7B"/>
    <w:rsid w:val="00ED1D7D"/>
    <w:rsid w:val="00ED23B3"/>
    <w:rsid w:val="00ED277B"/>
    <w:rsid w:val="00ED2933"/>
    <w:rsid w:val="00ED2A4E"/>
    <w:rsid w:val="00ED2F8D"/>
    <w:rsid w:val="00ED3B1F"/>
    <w:rsid w:val="00ED403F"/>
    <w:rsid w:val="00ED414C"/>
    <w:rsid w:val="00ED48AF"/>
    <w:rsid w:val="00ED4F13"/>
    <w:rsid w:val="00ED4F1B"/>
    <w:rsid w:val="00ED514C"/>
    <w:rsid w:val="00ED518A"/>
    <w:rsid w:val="00ED539B"/>
    <w:rsid w:val="00ED53FC"/>
    <w:rsid w:val="00ED56AD"/>
    <w:rsid w:val="00ED5A58"/>
    <w:rsid w:val="00ED64C9"/>
    <w:rsid w:val="00ED682F"/>
    <w:rsid w:val="00ED7388"/>
    <w:rsid w:val="00ED7481"/>
    <w:rsid w:val="00ED74FF"/>
    <w:rsid w:val="00ED77D6"/>
    <w:rsid w:val="00ED7AA0"/>
    <w:rsid w:val="00ED7F7A"/>
    <w:rsid w:val="00ED7FC7"/>
    <w:rsid w:val="00EE040F"/>
    <w:rsid w:val="00EE04AB"/>
    <w:rsid w:val="00EE06E9"/>
    <w:rsid w:val="00EE0730"/>
    <w:rsid w:val="00EE09DD"/>
    <w:rsid w:val="00EE0AA8"/>
    <w:rsid w:val="00EE0D86"/>
    <w:rsid w:val="00EE0F17"/>
    <w:rsid w:val="00EE174B"/>
    <w:rsid w:val="00EE1BF4"/>
    <w:rsid w:val="00EE1C7B"/>
    <w:rsid w:val="00EE1EA3"/>
    <w:rsid w:val="00EE2193"/>
    <w:rsid w:val="00EE22B0"/>
    <w:rsid w:val="00EE22F0"/>
    <w:rsid w:val="00EE234E"/>
    <w:rsid w:val="00EE2756"/>
    <w:rsid w:val="00EE2ABF"/>
    <w:rsid w:val="00EE31FD"/>
    <w:rsid w:val="00EE3599"/>
    <w:rsid w:val="00EE362E"/>
    <w:rsid w:val="00EE3E50"/>
    <w:rsid w:val="00EE3EB1"/>
    <w:rsid w:val="00EE4A30"/>
    <w:rsid w:val="00EE4BF8"/>
    <w:rsid w:val="00EE4DF6"/>
    <w:rsid w:val="00EE52DB"/>
    <w:rsid w:val="00EE5577"/>
    <w:rsid w:val="00EE65C9"/>
    <w:rsid w:val="00EE68C6"/>
    <w:rsid w:val="00EE6B01"/>
    <w:rsid w:val="00EE6D68"/>
    <w:rsid w:val="00EE71DF"/>
    <w:rsid w:val="00EE7B03"/>
    <w:rsid w:val="00EE7B6B"/>
    <w:rsid w:val="00EE7D1E"/>
    <w:rsid w:val="00EF00FF"/>
    <w:rsid w:val="00EF0225"/>
    <w:rsid w:val="00EF10D0"/>
    <w:rsid w:val="00EF116B"/>
    <w:rsid w:val="00EF1492"/>
    <w:rsid w:val="00EF14E7"/>
    <w:rsid w:val="00EF1587"/>
    <w:rsid w:val="00EF1660"/>
    <w:rsid w:val="00EF17DD"/>
    <w:rsid w:val="00EF2081"/>
    <w:rsid w:val="00EF23A4"/>
    <w:rsid w:val="00EF26A1"/>
    <w:rsid w:val="00EF275E"/>
    <w:rsid w:val="00EF28D9"/>
    <w:rsid w:val="00EF30D4"/>
    <w:rsid w:val="00EF323C"/>
    <w:rsid w:val="00EF3DB4"/>
    <w:rsid w:val="00EF47E2"/>
    <w:rsid w:val="00EF4C74"/>
    <w:rsid w:val="00EF4E48"/>
    <w:rsid w:val="00EF5538"/>
    <w:rsid w:val="00EF577A"/>
    <w:rsid w:val="00EF5AD4"/>
    <w:rsid w:val="00EF5BDA"/>
    <w:rsid w:val="00EF6529"/>
    <w:rsid w:val="00EF65C9"/>
    <w:rsid w:val="00EF678B"/>
    <w:rsid w:val="00EF6920"/>
    <w:rsid w:val="00EF6E15"/>
    <w:rsid w:val="00EF6EFF"/>
    <w:rsid w:val="00EF6FCB"/>
    <w:rsid w:val="00EF7094"/>
    <w:rsid w:val="00EF7C66"/>
    <w:rsid w:val="00EF7CC0"/>
    <w:rsid w:val="00EF7CD6"/>
    <w:rsid w:val="00EF7D94"/>
    <w:rsid w:val="00F000DC"/>
    <w:rsid w:val="00F00100"/>
    <w:rsid w:val="00F005D2"/>
    <w:rsid w:val="00F01134"/>
    <w:rsid w:val="00F0184A"/>
    <w:rsid w:val="00F02A61"/>
    <w:rsid w:val="00F02C13"/>
    <w:rsid w:val="00F03776"/>
    <w:rsid w:val="00F03858"/>
    <w:rsid w:val="00F03D06"/>
    <w:rsid w:val="00F03DC0"/>
    <w:rsid w:val="00F03E29"/>
    <w:rsid w:val="00F0446F"/>
    <w:rsid w:val="00F05961"/>
    <w:rsid w:val="00F0598E"/>
    <w:rsid w:val="00F059CA"/>
    <w:rsid w:val="00F05AC4"/>
    <w:rsid w:val="00F05E89"/>
    <w:rsid w:val="00F069DA"/>
    <w:rsid w:val="00F06B06"/>
    <w:rsid w:val="00F06E07"/>
    <w:rsid w:val="00F076CE"/>
    <w:rsid w:val="00F07CB3"/>
    <w:rsid w:val="00F1035C"/>
    <w:rsid w:val="00F10653"/>
    <w:rsid w:val="00F10DD3"/>
    <w:rsid w:val="00F11025"/>
    <w:rsid w:val="00F11444"/>
    <w:rsid w:val="00F11509"/>
    <w:rsid w:val="00F118C5"/>
    <w:rsid w:val="00F11B1F"/>
    <w:rsid w:val="00F11B61"/>
    <w:rsid w:val="00F12352"/>
    <w:rsid w:val="00F125B8"/>
    <w:rsid w:val="00F1282C"/>
    <w:rsid w:val="00F12926"/>
    <w:rsid w:val="00F12B42"/>
    <w:rsid w:val="00F12BCE"/>
    <w:rsid w:val="00F12EC8"/>
    <w:rsid w:val="00F12F61"/>
    <w:rsid w:val="00F12FA3"/>
    <w:rsid w:val="00F1368D"/>
    <w:rsid w:val="00F138EF"/>
    <w:rsid w:val="00F13B05"/>
    <w:rsid w:val="00F13EB1"/>
    <w:rsid w:val="00F147F9"/>
    <w:rsid w:val="00F14922"/>
    <w:rsid w:val="00F14B9D"/>
    <w:rsid w:val="00F14DB6"/>
    <w:rsid w:val="00F14DF8"/>
    <w:rsid w:val="00F14EB5"/>
    <w:rsid w:val="00F14EC3"/>
    <w:rsid w:val="00F151E8"/>
    <w:rsid w:val="00F165CB"/>
    <w:rsid w:val="00F167C6"/>
    <w:rsid w:val="00F17383"/>
    <w:rsid w:val="00F173CF"/>
    <w:rsid w:val="00F1769C"/>
    <w:rsid w:val="00F176FD"/>
    <w:rsid w:val="00F17B69"/>
    <w:rsid w:val="00F20094"/>
    <w:rsid w:val="00F208E1"/>
    <w:rsid w:val="00F21100"/>
    <w:rsid w:val="00F21833"/>
    <w:rsid w:val="00F21E5E"/>
    <w:rsid w:val="00F21EB7"/>
    <w:rsid w:val="00F22293"/>
    <w:rsid w:val="00F22477"/>
    <w:rsid w:val="00F2265A"/>
    <w:rsid w:val="00F228C7"/>
    <w:rsid w:val="00F22978"/>
    <w:rsid w:val="00F232F7"/>
    <w:rsid w:val="00F2344A"/>
    <w:rsid w:val="00F23487"/>
    <w:rsid w:val="00F239E6"/>
    <w:rsid w:val="00F23FA1"/>
    <w:rsid w:val="00F2413B"/>
    <w:rsid w:val="00F24698"/>
    <w:rsid w:val="00F24D06"/>
    <w:rsid w:val="00F256EC"/>
    <w:rsid w:val="00F2575A"/>
    <w:rsid w:val="00F25958"/>
    <w:rsid w:val="00F25960"/>
    <w:rsid w:val="00F25CB9"/>
    <w:rsid w:val="00F25F51"/>
    <w:rsid w:val="00F2634E"/>
    <w:rsid w:val="00F2665D"/>
    <w:rsid w:val="00F26667"/>
    <w:rsid w:val="00F266A5"/>
    <w:rsid w:val="00F26DFC"/>
    <w:rsid w:val="00F26EE6"/>
    <w:rsid w:val="00F27101"/>
    <w:rsid w:val="00F278B7"/>
    <w:rsid w:val="00F278BE"/>
    <w:rsid w:val="00F30C3C"/>
    <w:rsid w:val="00F313C4"/>
    <w:rsid w:val="00F316C5"/>
    <w:rsid w:val="00F31AAC"/>
    <w:rsid w:val="00F3276D"/>
    <w:rsid w:val="00F32B4F"/>
    <w:rsid w:val="00F32ED9"/>
    <w:rsid w:val="00F3338B"/>
    <w:rsid w:val="00F33B3B"/>
    <w:rsid w:val="00F33FB1"/>
    <w:rsid w:val="00F340AE"/>
    <w:rsid w:val="00F346DD"/>
    <w:rsid w:val="00F3471D"/>
    <w:rsid w:val="00F3479A"/>
    <w:rsid w:val="00F3487D"/>
    <w:rsid w:val="00F34888"/>
    <w:rsid w:val="00F34BDE"/>
    <w:rsid w:val="00F3545F"/>
    <w:rsid w:val="00F35626"/>
    <w:rsid w:val="00F35754"/>
    <w:rsid w:val="00F35970"/>
    <w:rsid w:val="00F359FB"/>
    <w:rsid w:val="00F3612F"/>
    <w:rsid w:val="00F368E4"/>
    <w:rsid w:val="00F36C6D"/>
    <w:rsid w:val="00F36D55"/>
    <w:rsid w:val="00F376B4"/>
    <w:rsid w:val="00F37799"/>
    <w:rsid w:val="00F4023D"/>
    <w:rsid w:val="00F40400"/>
    <w:rsid w:val="00F4129C"/>
    <w:rsid w:val="00F41C80"/>
    <w:rsid w:val="00F41DED"/>
    <w:rsid w:val="00F42601"/>
    <w:rsid w:val="00F42688"/>
    <w:rsid w:val="00F4272C"/>
    <w:rsid w:val="00F42746"/>
    <w:rsid w:val="00F4275F"/>
    <w:rsid w:val="00F42B89"/>
    <w:rsid w:val="00F43FB5"/>
    <w:rsid w:val="00F44269"/>
    <w:rsid w:val="00F44574"/>
    <w:rsid w:val="00F44608"/>
    <w:rsid w:val="00F44909"/>
    <w:rsid w:val="00F44BE6"/>
    <w:rsid w:val="00F44C0F"/>
    <w:rsid w:val="00F44ED6"/>
    <w:rsid w:val="00F45082"/>
    <w:rsid w:val="00F458B5"/>
    <w:rsid w:val="00F45921"/>
    <w:rsid w:val="00F45F6A"/>
    <w:rsid w:val="00F468A7"/>
    <w:rsid w:val="00F46D78"/>
    <w:rsid w:val="00F4707F"/>
    <w:rsid w:val="00F4779B"/>
    <w:rsid w:val="00F47958"/>
    <w:rsid w:val="00F47D5C"/>
    <w:rsid w:val="00F47E51"/>
    <w:rsid w:val="00F502BA"/>
    <w:rsid w:val="00F51023"/>
    <w:rsid w:val="00F51413"/>
    <w:rsid w:val="00F51651"/>
    <w:rsid w:val="00F51C9C"/>
    <w:rsid w:val="00F51EE2"/>
    <w:rsid w:val="00F52125"/>
    <w:rsid w:val="00F5247C"/>
    <w:rsid w:val="00F526B1"/>
    <w:rsid w:val="00F52F0B"/>
    <w:rsid w:val="00F532FE"/>
    <w:rsid w:val="00F54152"/>
    <w:rsid w:val="00F54367"/>
    <w:rsid w:val="00F5441F"/>
    <w:rsid w:val="00F5471E"/>
    <w:rsid w:val="00F54BD3"/>
    <w:rsid w:val="00F55082"/>
    <w:rsid w:val="00F550DC"/>
    <w:rsid w:val="00F556A1"/>
    <w:rsid w:val="00F55F6E"/>
    <w:rsid w:val="00F55FB6"/>
    <w:rsid w:val="00F55FE5"/>
    <w:rsid w:val="00F56013"/>
    <w:rsid w:val="00F56062"/>
    <w:rsid w:val="00F563C3"/>
    <w:rsid w:val="00F564CD"/>
    <w:rsid w:val="00F5750B"/>
    <w:rsid w:val="00F5755D"/>
    <w:rsid w:val="00F5796F"/>
    <w:rsid w:val="00F60C90"/>
    <w:rsid w:val="00F60FD0"/>
    <w:rsid w:val="00F615B5"/>
    <w:rsid w:val="00F6172A"/>
    <w:rsid w:val="00F61F92"/>
    <w:rsid w:val="00F62813"/>
    <w:rsid w:val="00F62A88"/>
    <w:rsid w:val="00F62BE1"/>
    <w:rsid w:val="00F62DD2"/>
    <w:rsid w:val="00F62FED"/>
    <w:rsid w:val="00F631D2"/>
    <w:rsid w:val="00F6440A"/>
    <w:rsid w:val="00F6448A"/>
    <w:rsid w:val="00F648B0"/>
    <w:rsid w:val="00F64C0F"/>
    <w:rsid w:val="00F64C3A"/>
    <w:rsid w:val="00F65073"/>
    <w:rsid w:val="00F6511A"/>
    <w:rsid w:val="00F6600B"/>
    <w:rsid w:val="00F67308"/>
    <w:rsid w:val="00F677CF"/>
    <w:rsid w:val="00F677F7"/>
    <w:rsid w:val="00F6790F"/>
    <w:rsid w:val="00F679B0"/>
    <w:rsid w:val="00F67B74"/>
    <w:rsid w:val="00F67D51"/>
    <w:rsid w:val="00F67DBF"/>
    <w:rsid w:val="00F70165"/>
    <w:rsid w:val="00F7185E"/>
    <w:rsid w:val="00F71C96"/>
    <w:rsid w:val="00F71EB0"/>
    <w:rsid w:val="00F7218E"/>
    <w:rsid w:val="00F72336"/>
    <w:rsid w:val="00F723BA"/>
    <w:rsid w:val="00F731C2"/>
    <w:rsid w:val="00F7328B"/>
    <w:rsid w:val="00F734E5"/>
    <w:rsid w:val="00F7353A"/>
    <w:rsid w:val="00F7478D"/>
    <w:rsid w:val="00F7506A"/>
    <w:rsid w:val="00F75205"/>
    <w:rsid w:val="00F75AB6"/>
    <w:rsid w:val="00F75CC6"/>
    <w:rsid w:val="00F767EC"/>
    <w:rsid w:val="00F76BD0"/>
    <w:rsid w:val="00F76D75"/>
    <w:rsid w:val="00F76E36"/>
    <w:rsid w:val="00F76E5A"/>
    <w:rsid w:val="00F77563"/>
    <w:rsid w:val="00F77A4B"/>
    <w:rsid w:val="00F77EB9"/>
    <w:rsid w:val="00F77FEC"/>
    <w:rsid w:val="00F80C57"/>
    <w:rsid w:val="00F81197"/>
    <w:rsid w:val="00F81991"/>
    <w:rsid w:val="00F82228"/>
    <w:rsid w:val="00F82627"/>
    <w:rsid w:val="00F8269D"/>
    <w:rsid w:val="00F828B5"/>
    <w:rsid w:val="00F82C77"/>
    <w:rsid w:val="00F82E37"/>
    <w:rsid w:val="00F83002"/>
    <w:rsid w:val="00F83038"/>
    <w:rsid w:val="00F832FD"/>
    <w:rsid w:val="00F835A6"/>
    <w:rsid w:val="00F841C8"/>
    <w:rsid w:val="00F8420E"/>
    <w:rsid w:val="00F84C76"/>
    <w:rsid w:val="00F84C8C"/>
    <w:rsid w:val="00F85AD7"/>
    <w:rsid w:val="00F85CB5"/>
    <w:rsid w:val="00F85EC1"/>
    <w:rsid w:val="00F862D5"/>
    <w:rsid w:val="00F86520"/>
    <w:rsid w:val="00F8679D"/>
    <w:rsid w:val="00F86F88"/>
    <w:rsid w:val="00F87632"/>
    <w:rsid w:val="00F9085E"/>
    <w:rsid w:val="00F90BC2"/>
    <w:rsid w:val="00F910DF"/>
    <w:rsid w:val="00F9171C"/>
    <w:rsid w:val="00F91EE9"/>
    <w:rsid w:val="00F91F69"/>
    <w:rsid w:val="00F921A5"/>
    <w:rsid w:val="00F92638"/>
    <w:rsid w:val="00F926D9"/>
    <w:rsid w:val="00F929BA"/>
    <w:rsid w:val="00F92ADB"/>
    <w:rsid w:val="00F931FF"/>
    <w:rsid w:val="00F93246"/>
    <w:rsid w:val="00F93815"/>
    <w:rsid w:val="00F93816"/>
    <w:rsid w:val="00F938BF"/>
    <w:rsid w:val="00F93908"/>
    <w:rsid w:val="00F93B10"/>
    <w:rsid w:val="00F93B92"/>
    <w:rsid w:val="00F93C7C"/>
    <w:rsid w:val="00F9433F"/>
    <w:rsid w:val="00F944BB"/>
    <w:rsid w:val="00F957E7"/>
    <w:rsid w:val="00F95C0B"/>
    <w:rsid w:val="00F95DE7"/>
    <w:rsid w:val="00F95FB0"/>
    <w:rsid w:val="00F9665C"/>
    <w:rsid w:val="00F96CD1"/>
    <w:rsid w:val="00F97009"/>
    <w:rsid w:val="00F970B3"/>
    <w:rsid w:val="00F971FD"/>
    <w:rsid w:val="00F97397"/>
    <w:rsid w:val="00F974E4"/>
    <w:rsid w:val="00F97503"/>
    <w:rsid w:val="00FA00F3"/>
    <w:rsid w:val="00FA048D"/>
    <w:rsid w:val="00FA06CC"/>
    <w:rsid w:val="00FA0923"/>
    <w:rsid w:val="00FA1034"/>
    <w:rsid w:val="00FA1331"/>
    <w:rsid w:val="00FA136C"/>
    <w:rsid w:val="00FA1E8B"/>
    <w:rsid w:val="00FA1FFA"/>
    <w:rsid w:val="00FA21E9"/>
    <w:rsid w:val="00FA2337"/>
    <w:rsid w:val="00FA3188"/>
    <w:rsid w:val="00FA335E"/>
    <w:rsid w:val="00FA34FA"/>
    <w:rsid w:val="00FA38A8"/>
    <w:rsid w:val="00FA4991"/>
    <w:rsid w:val="00FA4C73"/>
    <w:rsid w:val="00FA4D47"/>
    <w:rsid w:val="00FA52BE"/>
    <w:rsid w:val="00FA5912"/>
    <w:rsid w:val="00FA5ABE"/>
    <w:rsid w:val="00FA64DB"/>
    <w:rsid w:val="00FA7067"/>
    <w:rsid w:val="00FA70EA"/>
    <w:rsid w:val="00FA7274"/>
    <w:rsid w:val="00FA762A"/>
    <w:rsid w:val="00FA7ADD"/>
    <w:rsid w:val="00FA7C52"/>
    <w:rsid w:val="00FB0A1C"/>
    <w:rsid w:val="00FB0C81"/>
    <w:rsid w:val="00FB0D0E"/>
    <w:rsid w:val="00FB1407"/>
    <w:rsid w:val="00FB1455"/>
    <w:rsid w:val="00FB194B"/>
    <w:rsid w:val="00FB1B16"/>
    <w:rsid w:val="00FB1CD0"/>
    <w:rsid w:val="00FB2633"/>
    <w:rsid w:val="00FB2F85"/>
    <w:rsid w:val="00FB2FDF"/>
    <w:rsid w:val="00FB3225"/>
    <w:rsid w:val="00FB3701"/>
    <w:rsid w:val="00FB3AF5"/>
    <w:rsid w:val="00FB3D28"/>
    <w:rsid w:val="00FB3D5F"/>
    <w:rsid w:val="00FB3E67"/>
    <w:rsid w:val="00FB53A3"/>
    <w:rsid w:val="00FB565F"/>
    <w:rsid w:val="00FB571F"/>
    <w:rsid w:val="00FB5D14"/>
    <w:rsid w:val="00FB60ED"/>
    <w:rsid w:val="00FB6446"/>
    <w:rsid w:val="00FB6B85"/>
    <w:rsid w:val="00FB6D9D"/>
    <w:rsid w:val="00FB7301"/>
    <w:rsid w:val="00FB7881"/>
    <w:rsid w:val="00FB788C"/>
    <w:rsid w:val="00FB7A9D"/>
    <w:rsid w:val="00FB7AF2"/>
    <w:rsid w:val="00FB7BFC"/>
    <w:rsid w:val="00FB7E7C"/>
    <w:rsid w:val="00FB7EA8"/>
    <w:rsid w:val="00FC15D6"/>
    <w:rsid w:val="00FC23BE"/>
    <w:rsid w:val="00FC3321"/>
    <w:rsid w:val="00FC4545"/>
    <w:rsid w:val="00FC45EA"/>
    <w:rsid w:val="00FC471C"/>
    <w:rsid w:val="00FC4B83"/>
    <w:rsid w:val="00FC5260"/>
    <w:rsid w:val="00FC54E2"/>
    <w:rsid w:val="00FC5BB2"/>
    <w:rsid w:val="00FC5CEC"/>
    <w:rsid w:val="00FC61A6"/>
    <w:rsid w:val="00FC61BA"/>
    <w:rsid w:val="00FC6AAE"/>
    <w:rsid w:val="00FC6EBC"/>
    <w:rsid w:val="00FC709B"/>
    <w:rsid w:val="00FC7108"/>
    <w:rsid w:val="00FC725B"/>
    <w:rsid w:val="00FC7509"/>
    <w:rsid w:val="00FC7640"/>
    <w:rsid w:val="00FC776D"/>
    <w:rsid w:val="00FC786E"/>
    <w:rsid w:val="00FC79CF"/>
    <w:rsid w:val="00FC7AF6"/>
    <w:rsid w:val="00FD01F1"/>
    <w:rsid w:val="00FD02F3"/>
    <w:rsid w:val="00FD0868"/>
    <w:rsid w:val="00FD08CB"/>
    <w:rsid w:val="00FD1CD7"/>
    <w:rsid w:val="00FD231A"/>
    <w:rsid w:val="00FD3490"/>
    <w:rsid w:val="00FD35C9"/>
    <w:rsid w:val="00FD3A74"/>
    <w:rsid w:val="00FD3E5C"/>
    <w:rsid w:val="00FD41CD"/>
    <w:rsid w:val="00FD426F"/>
    <w:rsid w:val="00FD43D3"/>
    <w:rsid w:val="00FD515B"/>
    <w:rsid w:val="00FD53C8"/>
    <w:rsid w:val="00FD5729"/>
    <w:rsid w:val="00FD59CD"/>
    <w:rsid w:val="00FD5B7F"/>
    <w:rsid w:val="00FD5C3B"/>
    <w:rsid w:val="00FD5D36"/>
    <w:rsid w:val="00FD66DF"/>
    <w:rsid w:val="00FD6A27"/>
    <w:rsid w:val="00FD6A76"/>
    <w:rsid w:val="00FD77B8"/>
    <w:rsid w:val="00FD77E9"/>
    <w:rsid w:val="00FD7A03"/>
    <w:rsid w:val="00FE0827"/>
    <w:rsid w:val="00FE109B"/>
    <w:rsid w:val="00FE237A"/>
    <w:rsid w:val="00FE34A1"/>
    <w:rsid w:val="00FE36E8"/>
    <w:rsid w:val="00FE39D7"/>
    <w:rsid w:val="00FE3B28"/>
    <w:rsid w:val="00FE3DB9"/>
    <w:rsid w:val="00FE3F3D"/>
    <w:rsid w:val="00FE4715"/>
    <w:rsid w:val="00FE4CA6"/>
    <w:rsid w:val="00FE51DE"/>
    <w:rsid w:val="00FE536A"/>
    <w:rsid w:val="00FE5A97"/>
    <w:rsid w:val="00FE5AA0"/>
    <w:rsid w:val="00FE5DEB"/>
    <w:rsid w:val="00FE5EB5"/>
    <w:rsid w:val="00FE62C7"/>
    <w:rsid w:val="00FE66A5"/>
    <w:rsid w:val="00FE68C0"/>
    <w:rsid w:val="00FE69D7"/>
    <w:rsid w:val="00FE6DC6"/>
    <w:rsid w:val="00FE6F59"/>
    <w:rsid w:val="00FE77C5"/>
    <w:rsid w:val="00FE7A69"/>
    <w:rsid w:val="00FF010A"/>
    <w:rsid w:val="00FF0194"/>
    <w:rsid w:val="00FF08D4"/>
    <w:rsid w:val="00FF0E0B"/>
    <w:rsid w:val="00FF0FF8"/>
    <w:rsid w:val="00FF1342"/>
    <w:rsid w:val="00FF14AC"/>
    <w:rsid w:val="00FF181A"/>
    <w:rsid w:val="00FF1A9D"/>
    <w:rsid w:val="00FF2263"/>
    <w:rsid w:val="00FF22F6"/>
    <w:rsid w:val="00FF267D"/>
    <w:rsid w:val="00FF2A2F"/>
    <w:rsid w:val="00FF3BBC"/>
    <w:rsid w:val="00FF3D23"/>
    <w:rsid w:val="00FF4086"/>
    <w:rsid w:val="00FF4639"/>
    <w:rsid w:val="00FF4BEB"/>
    <w:rsid w:val="00FF4C28"/>
    <w:rsid w:val="00FF4C4A"/>
    <w:rsid w:val="00FF4FF3"/>
    <w:rsid w:val="00FF5075"/>
    <w:rsid w:val="00FF54B5"/>
    <w:rsid w:val="00FF5579"/>
    <w:rsid w:val="00FF5614"/>
    <w:rsid w:val="00FF5EB3"/>
    <w:rsid w:val="00FF6056"/>
    <w:rsid w:val="00FF6721"/>
    <w:rsid w:val="00FF6BF4"/>
    <w:rsid w:val="00FF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73B44"/>
  <w15:chartTrackingRefBased/>
  <w15:docId w15:val="{A21DEB63-48DC-40E3-9416-A64716FF9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0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8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11F7"/>
    <w:pPr>
      <w:ind w:left="720"/>
      <w:contextualSpacing/>
    </w:pPr>
  </w:style>
  <w:style w:type="character" w:customStyle="1" w:styleId="Heading2Char">
    <w:name w:val="Heading 2 Char"/>
    <w:basedOn w:val="DefaultParagraphFont"/>
    <w:link w:val="Heading2"/>
    <w:uiPriority w:val="9"/>
    <w:rsid w:val="00D0095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21D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DCA"/>
    <w:rPr>
      <w:rFonts w:ascii="Segoe UI" w:hAnsi="Segoe UI" w:cs="Segoe UI"/>
      <w:sz w:val="18"/>
      <w:szCs w:val="18"/>
    </w:rPr>
  </w:style>
  <w:style w:type="table" w:styleId="TableGrid">
    <w:name w:val="Table Grid"/>
    <w:basedOn w:val="TableNormal"/>
    <w:uiPriority w:val="39"/>
    <w:rsid w:val="00D64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1">
    <w:name w:val="List Table 7 Colorful Accent 1"/>
    <w:basedOn w:val="TableNormal"/>
    <w:uiPriority w:val="52"/>
    <w:rsid w:val="002007E1"/>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0E18D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63F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3F61"/>
    <w:rPr>
      <w:sz w:val="20"/>
      <w:szCs w:val="20"/>
    </w:rPr>
  </w:style>
  <w:style w:type="character" w:styleId="FootnoteReference">
    <w:name w:val="footnote reference"/>
    <w:basedOn w:val="DefaultParagraphFont"/>
    <w:uiPriority w:val="99"/>
    <w:semiHidden/>
    <w:unhideWhenUsed/>
    <w:rsid w:val="00E63F61"/>
    <w:rPr>
      <w:vertAlign w:val="superscript"/>
    </w:rPr>
  </w:style>
  <w:style w:type="paragraph" w:styleId="Header">
    <w:name w:val="header"/>
    <w:basedOn w:val="Normal"/>
    <w:link w:val="HeaderChar"/>
    <w:uiPriority w:val="99"/>
    <w:unhideWhenUsed/>
    <w:rsid w:val="006037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7F5"/>
  </w:style>
  <w:style w:type="paragraph" w:styleId="Footer">
    <w:name w:val="footer"/>
    <w:basedOn w:val="Normal"/>
    <w:link w:val="FooterChar"/>
    <w:uiPriority w:val="99"/>
    <w:unhideWhenUsed/>
    <w:rsid w:val="006037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7F5"/>
  </w:style>
  <w:style w:type="table" w:styleId="PlainTable3">
    <w:name w:val="Plain Table 3"/>
    <w:basedOn w:val="TableNormal"/>
    <w:uiPriority w:val="43"/>
    <w:rsid w:val="00F357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575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F3575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1D404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1D404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41A5D"/>
    <w:rPr>
      <w:sz w:val="16"/>
      <w:szCs w:val="16"/>
    </w:rPr>
  </w:style>
  <w:style w:type="paragraph" w:styleId="CommentText">
    <w:name w:val="annotation text"/>
    <w:basedOn w:val="Normal"/>
    <w:link w:val="CommentTextChar"/>
    <w:uiPriority w:val="99"/>
    <w:semiHidden/>
    <w:unhideWhenUsed/>
    <w:rsid w:val="00B41A5D"/>
    <w:pPr>
      <w:spacing w:line="240" w:lineRule="auto"/>
    </w:pPr>
    <w:rPr>
      <w:sz w:val="20"/>
      <w:szCs w:val="20"/>
    </w:rPr>
  </w:style>
  <w:style w:type="character" w:customStyle="1" w:styleId="CommentTextChar">
    <w:name w:val="Comment Text Char"/>
    <w:basedOn w:val="DefaultParagraphFont"/>
    <w:link w:val="CommentText"/>
    <w:uiPriority w:val="99"/>
    <w:semiHidden/>
    <w:rsid w:val="00B41A5D"/>
    <w:rPr>
      <w:sz w:val="20"/>
      <w:szCs w:val="20"/>
    </w:rPr>
  </w:style>
  <w:style w:type="paragraph" w:styleId="CommentSubject">
    <w:name w:val="annotation subject"/>
    <w:basedOn w:val="CommentText"/>
    <w:next w:val="CommentText"/>
    <w:link w:val="CommentSubjectChar"/>
    <w:uiPriority w:val="99"/>
    <w:semiHidden/>
    <w:unhideWhenUsed/>
    <w:rsid w:val="00B41A5D"/>
    <w:rPr>
      <w:b/>
      <w:bCs/>
    </w:rPr>
  </w:style>
  <w:style w:type="character" w:customStyle="1" w:styleId="CommentSubjectChar">
    <w:name w:val="Comment Subject Char"/>
    <w:basedOn w:val="CommentTextChar"/>
    <w:link w:val="CommentSubject"/>
    <w:uiPriority w:val="99"/>
    <w:semiHidden/>
    <w:rsid w:val="00B41A5D"/>
    <w:rPr>
      <w:b/>
      <w:bCs/>
      <w:sz w:val="20"/>
      <w:szCs w:val="20"/>
    </w:rPr>
  </w:style>
  <w:style w:type="paragraph" w:styleId="TOCHeading">
    <w:name w:val="TOC Heading"/>
    <w:basedOn w:val="Heading1"/>
    <w:next w:val="Normal"/>
    <w:uiPriority w:val="39"/>
    <w:unhideWhenUsed/>
    <w:qFormat/>
    <w:rsid w:val="00DA788C"/>
    <w:pPr>
      <w:outlineLvl w:val="9"/>
    </w:pPr>
  </w:style>
  <w:style w:type="paragraph" w:styleId="TOC2">
    <w:name w:val="toc 2"/>
    <w:basedOn w:val="Normal"/>
    <w:next w:val="Normal"/>
    <w:autoRedefine/>
    <w:uiPriority w:val="39"/>
    <w:unhideWhenUsed/>
    <w:rsid w:val="00DA788C"/>
    <w:pPr>
      <w:spacing w:after="100"/>
      <w:ind w:left="220"/>
    </w:pPr>
    <w:rPr>
      <w:rFonts w:eastAsiaTheme="minorEastAsia" w:cs="Times New Roman"/>
    </w:rPr>
  </w:style>
  <w:style w:type="paragraph" w:styleId="TOC1">
    <w:name w:val="toc 1"/>
    <w:basedOn w:val="Normal"/>
    <w:next w:val="Normal"/>
    <w:autoRedefine/>
    <w:uiPriority w:val="39"/>
    <w:unhideWhenUsed/>
    <w:rsid w:val="00DA788C"/>
    <w:pPr>
      <w:spacing w:after="100"/>
    </w:pPr>
    <w:rPr>
      <w:rFonts w:eastAsiaTheme="minorEastAsia" w:cs="Times New Roman"/>
    </w:rPr>
  </w:style>
  <w:style w:type="paragraph" w:styleId="TOC3">
    <w:name w:val="toc 3"/>
    <w:basedOn w:val="Normal"/>
    <w:next w:val="Normal"/>
    <w:autoRedefine/>
    <w:uiPriority w:val="39"/>
    <w:unhideWhenUsed/>
    <w:rsid w:val="00DA788C"/>
    <w:pPr>
      <w:spacing w:after="100"/>
      <w:ind w:left="440"/>
    </w:pPr>
    <w:rPr>
      <w:rFonts w:eastAsiaTheme="minorEastAsia" w:cs="Times New Roman"/>
    </w:rPr>
  </w:style>
  <w:style w:type="character" w:styleId="Hyperlink">
    <w:name w:val="Hyperlink"/>
    <w:basedOn w:val="DefaultParagraphFont"/>
    <w:uiPriority w:val="99"/>
    <w:unhideWhenUsed/>
    <w:rsid w:val="002B31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978697">
      <w:bodyDiv w:val="1"/>
      <w:marLeft w:val="0"/>
      <w:marRight w:val="0"/>
      <w:marTop w:val="0"/>
      <w:marBottom w:val="0"/>
      <w:divBdr>
        <w:top w:val="none" w:sz="0" w:space="0" w:color="auto"/>
        <w:left w:val="none" w:sz="0" w:space="0" w:color="auto"/>
        <w:bottom w:val="none" w:sz="0" w:space="0" w:color="auto"/>
        <w:right w:val="none" w:sz="0" w:space="0" w:color="auto"/>
      </w:divBdr>
    </w:div>
    <w:div w:id="944266249">
      <w:bodyDiv w:val="1"/>
      <w:marLeft w:val="0"/>
      <w:marRight w:val="0"/>
      <w:marTop w:val="0"/>
      <w:marBottom w:val="0"/>
      <w:divBdr>
        <w:top w:val="none" w:sz="0" w:space="0" w:color="auto"/>
        <w:left w:val="none" w:sz="0" w:space="0" w:color="auto"/>
        <w:bottom w:val="none" w:sz="0" w:space="0" w:color="auto"/>
        <w:right w:val="none" w:sz="0" w:space="0" w:color="auto"/>
      </w:divBdr>
    </w:div>
    <w:div w:id="1093207384">
      <w:bodyDiv w:val="1"/>
      <w:marLeft w:val="0"/>
      <w:marRight w:val="0"/>
      <w:marTop w:val="0"/>
      <w:marBottom w:val="0"/>
      <w:divBdr>
        <w:top w:val="none" w:sz="0" w:space="0" w:color="auto"/>
        <w:left w:val="none" w:sz="0" w:space="0" w:color="auto"/>
        <w:bottom w:val="none" w:sz="0" w:space="0" w:color="auto"/>
        <w:right w:val="none" w:sz="0" w:space="0" w:color="auto"/>
      </w:divBdr>
    </w:div>
    <w:div w:id="1453406290">
      <w:bodyDiv w:val="1"/>
      <w:marLeft w:val="0"/>
      <w:marRight w:val="0"/>
      <w:marTop w:val="0"/>
      <w:marBottom w:val="0"/>
      <w:divBdr>
        <w:top w:val="none" w:sz="0" w:space="0" w:color="auto"/>
        <w:left w:val="none" w:sz="0" w:space="0" w:color="auto"/>
        <w:bottom w:val="none" w:sz="0" w:space="0" w:color="auto"/>
        <w:right w:val="none" w:sz="0" w:space="0" w:color="auto"/>
      </w:divBdr>
    </w:div>
    <w:div w:id="159392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C51F77-656C-40E8-A8E0-3AA755384DC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A877B8C8C777E4698F7F65EA6483A1F" ma:contentTypeVersion="8" ma:contentTypeDescription="Create a new document." ma:contentTypeScope="" ma:versionID="60ee7a92a900a4002975faf40e54ee4a">
  <xsd:schema xmlns:xsd="http://www.w3.org/2001/XMLSchema" xmlns:xs="http://www.w3.org/2001/XMLSchema" xmlns:p="http://schemas.microsoft.com/office/2006/metadata/properties" xmlns:ns3="f33a27be-e8ee-4a61-93dc-ff7c4d5ce17c" targetNamespace="http://schemas.microsoft.com/office/2006/metadata/properties" ma:root="true" ma:fieldsID="3b7cb6751f0c9241d9a0cc942a703435" ns3:_="">
    <xsd:import namespace="f33a27be-e8ee-4a61-93dc-ff7c4d5ce17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a27be-e8ee-4a61-93dc-ff7c4d5ce1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D6F158-B9C9-4AA9-88E1-5D208866A4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78925E-BFD0-4B2F-A9A2-531CEDA356E0}">
  <ds:schemaRefs>
    <ds:schemaRef ds:uri="http://schemas.openxmlformats.org/officeDocument/2006/bibliography"/>
  </ds:schemaRefs>
</ds:datastoreItem>
</file>

<file path=customXml/itemProps3.xml><?xml version="1.0" encoding="utf-8"?>
<ds:datastoreItem xmlns:ds="http://schemas.openxmlformats.org/officeDocument/2006/customXml" ds:itemID="{136307D0-ECCE-4DE8-A84C-0C21E30C1C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a27be-e8ee-4a61-93dc-ff7c4d5ce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E4876F-89BE-4ED8-8DFA-63CC4AF91D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23463</TotalTime>
  <Pages>52</Pages>
  <Words>21097</Words>
  <Characters>120257</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Peter</dc:creator>
  <cp:keywords/>
  <dc:description/>
  <cp:lastModifiedBy>Carpenter, Peter</cp:lastModifiedBy>
  <cp:revision>1296</cp:revision>
  <cp:lastPrinted>2021-04-27T09:55:00Z</cp:lastPrinted>
  <dcterms:created xsi:type="dcterms:W3CDTF">2021-03-10T11:38:00Z</dcterms:created>
  <dcterms:modified xsi:type="dcterms:W3CDTF">2021-04-27T09:55:00Z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0x0101007A877B8C8C777E4698F7F65EA6483A1F</vt:lpwstr>
  </property>
  <property fmtid="{D5CDD505-2E9C-101B-9397-08002B2CF9AE}" pid="3" name="_AdHocReviewCycleID">
    <vt:i4>1983719976</vt:i4>
  </property>
  <property fmtid="{D5CDD505-2E9C-101B-9397-08002B2CF9AE}" pid="4" name="_NewReviewCycle">
    <vt:lpwstr/>
  </property>
  <property fmtid="{D5CDD505-2E9C-101B-9397-08002B2CF9AE}" pid="5" name="_EmailSubject">
    <vt:lpwstr>Dissertation - Analysis of the Firm-Level Factors That Influence the Export Performance of Indigenous Irish Companies</vt:lpwstr>
  </property>
  <property fmtid="{D5CDD505-2E9C-101B-9397-08002B2CF9AE}" pid="6" name="_AuthorEmail">
    <vt:lpwstr>Peter.Carpenter@enterprise-ireland.com</vt:lpwstr>
  </property>
  <property fmtid="{D5CDD505-2E9C-101B-9397-08002B2CF9AE}" pid="7" name="_AuthorEmailDisplayName">
    <vt:lpwstr>Carpenter, Peter</vt:lpwstr>
  </property>
  <property fmtid="{D5CDD505-2E9C-101B-9397-08002B2CF9AE}" pid="8" name="_PreviousAdHocReviewCycleID">
    <vt:i4>1124684962</vt:i4>
  </property>
</Properties>
</file>