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40"/>
      </w:pPr>
      <w:r>
        <w:rPr>
          <w:b/>
          <w:sz w:val="34"/>
          <w:szCs w:val="34"/>
        </w:rPr>
        <w:t xml:space="preserve">教育 · 本科录取要求</w:t>
      </w:r>
    </w:p>
    <w:p>
      <w:pPr>
        <w:spacing w:before="0" w:after="20"/>
      </w:pPr>
      <w:r>
        <w:rPr>
          <w:color w:val="333333"/>
          <w:sz w:val="18"/>
          <w:szCs w:val="18"/>
        </w:rPr>
        <w:t xml:space="preserve">2026 年 9 月入学　·　收录 17 个专业　·　数据核对 2026-09　·　完整可搜索版 https://mtennnn.cn</w:t>
      </w:r>
    </w:p>
    <w:p>
      <w:pPr>
        <w:pBdr>
          <w:top w:val="single" w:sz="4" w:space="3" w:color="CCCCCC"/>
        </w:pBdr>
        <w:spacing w:before="0" w:after="140"/>
      </w:pPr>
      <w:r>
        <w:rPr>
          <w:color w:val="555555"/>
          <w:sz w:val="15"/>
          <w:szCs w:val="15"/>
        </w:rPr>
        <w:t xml:space="preserve">本册为选编：收录各校在 10 个热门学科方向（生化医药 / 物理 / 工程 / 经管金融 / 计算机数据 / 统计数学 / 教育 / 人文语言 / 社科法律 / 传媒）的本科课程，不是完整的本科专业目录；各校全部课程请以官网为准。</w:t>
      </w:r>
    </w:p>
    <w:p>
      <w:pPr>
        <w:keepNext/>
        <w:spacing w:before="0" w:after="30"/>
      </w:pPr>
      <w:r>
        <w:rPr>
          <w:b/>
          <w:color w:val="0F7A6C"/>
          <w:sz w:val="30"/>
          <w:szCs w:val="30"/>
        </w:rPr>
        <w:t xml:space="preserve">教育</w:t>
      </w:r>
      <w:r>
        <w:rPr>
          <w:i/>
          <w:color w:val="555555"/>
          <w:sz w:val="19"/>
          <w:szCs w:val="19"/>
        </w:rPr>
        <w:t xml:space="preserve">  Education University of Hong Kong</w:t>
      </w:r>
    </w:p>
    <w:p>
      <w:pPr>
        <w:keepNext/>
        <w:spacing w:before="0" w:after="60"/>
      </w:pPr>
      <w:r>
        <w:rPr>
          <w:color w:val="666666"/>
          <w:sz w:val="16"/>
          <w:szCs w:val="16"/>
        </w:rPr>
        <w:t xml:space="preserve">A-Level </w:t>
      </w:r>
      <w:r>
        <w:rPr>
          <w:b/>
          <w:sz w:val="18"/>
          <w:szCs w:val="18"/>
        </w:rPr>
        <w:t xml:space="preserve">3 AL ≥ D</w:t>
      </w:r>
      <w:r>
        <w:rPr>
          <w:color w:val="666666"/>
          <w:sz w:val="16"/>
          <w:szCs w:val="16"/>
        </w:rPr>
        <w:t xml:space="preserve">　·　IB </w:t>
      </w:r>
      <w:r>
        <w:rPr>
          <w:b/>
          <w:sz w:val="18"/>
          <w:szCs w:val="18"/>
        </w:rPr>
        <w:t xml:space="preserve">文凭（平均录取 30/45）</w:t>
      </w:r>
      <w:r>
        <w:rPr>
          <w:color w:val="666666"/>
          <w:sz w:val="16"/>
          <w:szCs w:val="16"/>
        </w:rPr>
        <w:t xml:space="preserve">　·　面试 / 附加</w:t>
      </w:r>
      <w:r>
        <w:rPr>
          <w:b/>
          <w:sz w:val="18"/>
          <w:szCs w:val="18"/>
        </w:rPr>
        <w:t xml:space="preserve"> 17 / 17 项需要</w:t>
      </w:r>
      <w:r>
        <w:rPr>
          <w:color w:val="666666"/>
          <w:sz w:val="16"/>
          <w:szCs w:val="16"/>
        </w:rPr>
        <w:t xml:space="preserve">　·　国际生学费 </w:t>
      </w:r>
      <w:r>
        <w:rPr>
          <w:b/>
          <w:sz w:val="18"/>
          <w:szCs w:val="18"/>
        </w:rPr>
        <w:t xml:space="preserve">HK$180,000 / 年（2026/27 口径）</w:t>
      </w:r>
      <w:r>
        <w:rPr>
          <w:color w:val="666666"/>
          <w:sz w:val="16"/>
          <w:szCs w:val="16"/>
        </w:rPr>
        <w:t xml:space="preserve">　·　最好学科名次 </w:t>
      </w:r>
      <w:r>
        <w:rPr>
          <w:b/>
          <w:sz w:val="18"/>
          <w:szCs w:val="18"/>
        </w:rPr>
        <w:t xml:space="preserve">教育与培训 #7</w:t>
      </w:r>
      <w:r>
        <w:rPr>
          <w:color w:val="666666"/>
          <w:sz w:val="16"/>
          <w:szCs w:val="16"/>
        </w:rPr>
        <w:t xml:space="preserve">　·　数据核对 2026-09</w:t>
      </w:r>
    </w:p>
    <w:tbl>
      <w:tblPr>
        <w:tblW w:w="15818" w:type="dxa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  <w:tblLayout w:type="fixed"/>
      </w:tblPr>
      <w:tblGrid>
        <w:gridCol w:w="3164"/>
        <w:gridCol w:w="1265"/>
        <w:gridCol w:w="1107"/>
        <w:gridCol w:w="2373"/>
        <w:gridCol w:w="949"/>
        <w:gridCol w:w="1107"/>
        <w:gridCol w:w="2215"/>
        <w:gridCol w:w="1740"/>
        <w:gridCol w:w="1898"/>
      </w:tblGrid>
      <w:tr>
        <w:trPr>
          <w:tblHeader/>
        </w:trPr>
        <w:tc>
          <w:tcPr>
            <w:tcW w:w="15818" w:type="dxa"/>
            <w:gridSpan w:val="9"/>
            <w:shd w:val="clear" w:color="auto" w:fill="E9F3F2"/>
            <w:vAlign w:val="top"/>
          </w:tcPr>
          <w:p>
            <w:pPr>
              <w:spacing w:before="0" w:after="0"/>
            </w:pPr>
            <w:r>
              <w:rPr>
                <w:color w:val="444444"/>
                <w:sz w:val="15"/>
                <w:szCs w:val="15"/>
              </w:rPr>
              <w:t xml:space="preserve">教育 · 收录 17 项　|　来源 mtennnn.cn　|　数据核对 2026-09</w:t>
            </w:r>
          </w:p>
        </w:tc>
      </w:tr>
      <w:tr>
        <w:trPr>
          <w:tblHeader/>
        </w:trPr>
        <w:tc>
          <w:tcPr>
            <w:tcW w:w="3164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专业</w:t>
            </w:r>
          </w:p>
        </w:tc>
        <w:tc>
          <w:tcPr>
            <w:tcW w:w="1265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代码 / 学制</w:t>
            </w:r>
          </w:p>
        </w:tc>
        <w:tc>
          <w:tcPr>
            <w:tcW w:w="1107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A-Level</w:t>
            </w:r>
          </w:p>
        </w:tc>
        <w:tc>
          <w:tcPr>
            <w:tcW w:w="2373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科目 / 要求</w:t>
            </w:r>
          </w:p>
        </w:tc>
        <w:tc>
          <w:tcPr>
            <w:tcW w:w="949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IB</w:t>
            </w:r>
          </w:p>
        </w:tc>
        <w:tc>
          <w:tcPr>
            <w:tcW w:w="1107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笔试 / 面试</w:t>
            </w:r>
          </w:p>
        </w:tc>
        <w:tc>
          <w:tcPr>
            <w:tcW w:w="2215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英语要求</w:t>
            </w:r>
          </w:p>
        </w:tc>
        <w:tc>
          <w:tcPr>
            <w:tcW w:w="1740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QS2026 学科</w:t>
            </w:r>
          </w:p>
        </w:tc>
        <w:tc>
          <w:tcPr>
            <w:tcW w:w="1898" w:type="dxa"/>
            <w:shd w:val="clear" w:color="auto" w:fill="D4E7E5"/>
            <w:vAlign w:val="top"/>
          </w:tcPr>
          <w:p>
            <w:pPr>
              <w:spacing w:before="0" w:after="0"/>
            </w:pPr>
            <w:r>
              <w:rPr>
                <w:b/>
                <w:sz w:val="15"/>
                <w:szCs w:val="15"/>
              </w:rPr>
              <w:t xml:space="preserve">备注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Artificial Intelligence and Educational Technology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JS8714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不含中文 / 英文科目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教大旗舰科技课程：机器学习、计算机视觉、自然语言处理、数据科学；设业界实习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人工智能与教育科技理学士及小学数学教育学士（双学位）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AI and Educational Technology &amp; BEd (Hons) (Primary Mathematics)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JS8009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AI 教育科技 + 小学数学教育，毕业可申请注册教师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言语病理学及复康（荣誉理学士）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Speech Pathology and Rehabilitation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JS8727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须能以流利粤语及英语沟通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言语治疗与复康方向，属健康科学类本科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个人理财文学士及企业、会计与财务概论教育学士（双学位）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Personal Finance &amp; BEd (Hons) (Business, Accounting and Financial Studies)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JS8007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个人理财 + 商科（会计与财务）教育，毕业可申请注册教师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特殊教育（荣誉文学士）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Special Education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JS8663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特殊教育方向；非教师教育课程，可另读 PGDE 取得教师资格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心理学（荣誉社会科学学士）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JS8651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心理学方向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综合环境管理理学士及科学教育学士（双学位）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Integrated Environmental Management &amp; BEd (Hons) (Science)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环境管理 + 中学科学教育（生物 / 化学方向）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英语研究及数码传讯文学士及英文教育学士（双学位）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 &amp; BEd (Hons) (English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JS8004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年制双学位，须由推荐人提交网上评核报告；英语授课，中文要求可按个案豁免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英语研究 + 英文教育；第一学年结束前分派小学或中学教学重点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心理学社会科学学士及幼儿教育学士（双学位）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BSocSc (Hons) in Psychology &amp; BEd (Hons) (Early Childhood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JS8006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心理学 + 幼儿教育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运动科学及教练理学士及体育教育学士（双学位）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BSc (Hons) in Sports Science and Coaching &amp; BEd (Hons) (Physical Education)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JS8010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年制双学位，须由推荐人提交网上评核报告；另设笔试、体能测试与游泳测试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运动科学 + 体育教育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创意艺术与数码艺术文学士及视觉艺术教育学士（双学位）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(Visual Arts)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JS8002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年制双学位，须由推荐人提交网上评核报告；须通过实务测试，非本地申请人须上载作品集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创意艺术 + 视觉艺术教育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数码中国文化与传意文学士及中文教育学士（双学位）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 &amp; BEd (Hons) (Chinese Language)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JS8003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【中文资历受限】教大明列本课程不接受 GCE / GCSE 等替代中文资历，中文要求不获豁免；5 年制双学位，须由推荐人提交网上评核报告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中文教育方向；申请前须先向教大确认中文资历是否受理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创意与数码艺术文学士及音乐教育学士（双学位）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 &amp; BEd (Hons) (Music)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JS8001 · 5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5 年制双学位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教育与培训 #7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音乐教育师资路线，涵盖西方与中国音乐及 STEAM 音乐教育；对应视觉艺术教育的双学位版本为 JS8002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文化遗产教育与艺术管理文学士（荣誉）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Heritage Education and Arts Management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JS8687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面向艺术、文化、遗产与博物馆教育；与本地及国家遗产和艺术机构合作，设高级学年（2 年）入学及双学位版本（JS8005）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数码中国文化与传意文学士（荣誉）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Digital Chinese Culture and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JS8674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结合中文语言文化与媒体、创意艺术及数码素养，面向创意产业、旅游、零售及知识产权服务；另设双学位版本（JS8003）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英语研究与数码传意文学士（荣誉）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English Studies and Digital Communication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JS8675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英语语言、语言学与数码素养并重，训练以数码工具进行语言教学、内容创作与出版；另设双学位版本（JS8004）</w:t>
            </w:r>
          </w:p>
        </w:tc>
      </w:tr>
      <w:tr>
        <w:trPr>
          <w:cantSplit/>
        </w:trPr>
        <w:tc>
          <w:tcPr>
            <w:tcW w:w="3164" w:type="dxa"/>
            <w:vAlign w:val="top"/>
          </w:tcPr>
          <w:p>
            <w:pPr>
              <w:spacing w:before="0" w:after="0"/>
            </w:pPr>
            <w:r>
              <w:rPr>
                <w:b/>
                <w:sz w:val="16"/>
                <w:szCs w:val="16"/>
              </w:rPr>
              <w:t xml:space="preserve">创意与数码艺术文学士（荣誉）（音乐／视觉艺术）</w:t>
            </w:r>
            <w:r>
              <w:br/>
            </w:r>
            <w:r>
              <w:rPr>
                <w:i/>
                <w:color w:val="666666"/>
                <w:sz w:val="13"/>
                <w:szCs w:val="13"/>
              </w:rPr>
              <w:t xml:space="preserve">BA (Hons) in Creative and Digital Arts</w:t>
            </w:r>
          </w:p>
        </w:tc>
        <w:tc>
          <w:tcPr>
            <w:tcW w:w="126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JS8685 / JS8686 · 4 年制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3 AL ≥ D</w:t>
            </w:r>
          </w:p>
        </w:tc>
        <w:tc>
          <w:tcPr>
            <w:tcW w:w="2373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949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文凭（平均录取 30/45）</w:t>
            </w:r>
          </w:p>
        </w:tc>
        <w:tc>
          <w:tcPr>
            <w:tcW w:w="1107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面试（入围）</w:t>
            </w:r>
          </w:p>
        </w:tc>
        <w:tc>
          <w:tcPr>
            <w:tcW w:w="2215" w:type="dxa"/>
            <w:vAlign w:val="top"/>
          </w:tcPr>
          <w:p>
            <w:pPr>
              <w:spacing w:before="0" w:after="0"/>
            </w:pPr>
            <w:r>
              <w:rPr>
                <w:sz w:val="16"/>
                <w:szCs w:val="16"/>
              </w:rPr>
              <w:t xml:space="preserve">IELTS 6.0</w:t>
            </w:r>
            <w:r>
              <w:br/>
            </w:r>
            <w:r>
              <w:rPr>
                <w:color w:val="555555"/>
                <w:sz w:val="14"/>
                <w:szCs w:val="14"/>
              </w:rPr>
              <w:t xml:space="preserve">TOEFL 80 / 4</w:t>
            </w:r>
            <w:r>
              <w:br/>
            </w:r>
            <w:r>
              <w:rPr>
                <w:color w:val="666666"/>
                <w:sz w:val="13"/>
                <w:szCs w:val="13"/>
              </w:rPr>
              <w:t xml:space="preserve">EFL 未区分 · ESL 未区分</w:t>
            </w:r>
          </w:p>
        </w:tc>
        <w:tc>
          <w:tcPr>
            <w:tcW w:w="1740" w:type="dxa"/>
            <w:vAlign w:val="top"/>
          </w:tcPr>
          <w:p>
            <w:pPr>
              <w:spacing w:before="0" w:after="0"/>
            </w:pPr>
            <w:r>
              <w:rPr>
                <w:color w:val="999999"/>
                <w:sz w:val="16"/>
                <w:szCs w:val="16"/>
              </w:rPr>
              <w:t xml:space="preserve">—</w:t>
            </w:r>
          </w:p>
        </w:tc>
        <w:tc>
          <w:tcPr>
            <w:tcW w:w="1898" w:type="dxa"/>
            <w:vAlign w:val="top"/>
          </w:tcPr>
          <w:p>
            <w:pPr>
              <w:spacing w:before="0" w:after="0"/>
            </w:pPr>
            <w:r>
              <w:rPr>
                <w:sz w:val="15"/>
                <w:szCs w:val="15"/>
              </w:rPr>
              <w:t xml:space="preserve">JS8685 为音乐组、JS8686 为视觉艺术组；面向艺术科技、娱乐及多媒体领域，设实习；另设双学位版本（JS8001／JS8002）</w:t>
            </w:r>
          </w:p>
        </w:tc>
      </w:tr>
    </w:tbl>
    <w:sectPr>
      <w:pgSz w:w="16838" w:h="11906" w:orient="landscape"/>
      <w:pgMar w:top="510" w:right="510" w:bottom="510" w:left="510" w:header="425" w:footer="425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微软雅黑" w:cs="Calibri"/>
        <w:sz w:val="18"/>
        <w:szCs w:val="18"/>
      </w:rPr>
    </w:rPrDefault>
  </w:docDefaults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