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岭南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18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8C1D40"/>
          <w:sz w:val="30"/>
          <w:szCs w:val="30"/>
        </w:rPr>
        <w:t xml:space="preserve">岭南</w:t>
      </w:r>
      <w:r>
        <w:rPr>
          <w:i/>
          <w:color w:val="555555"/>
          <w:sz w:val="19"/>
          <w:szCs w:val="19"/>
        </w:rPr>
        <w:t xml:space="preserve">  Lingnan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合格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 / 18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HK$175,000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哲学 #151–200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5EBEE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岭南 · 收录 18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会计与企业管治（工商管理荣誉学士）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and Corporate Governance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 BBA（荣誉）学士主修之一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 CFA 相关选修与专业团体考试豁免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风险及保险管理（工商管理荣誉学士）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Risk and Insurance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同时设 UGC 资助及自资学额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市场学与社交媒体（工商管理荣誉学士）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Marketing and Social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 Global Economics &amp; Banking 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官网未公布 A-Level / IB 数学先修要求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数据科学学院开办，结合计算机、统计与人工智能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可选辅导心理学方向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政府与国际事务学（社会科学荣誉学士）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Government and International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中文（荣誉文学士）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设创意写作方向，兼及文学与专业写作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英语语言文学（荣誉文学士）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JS7503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设文学 / 语言学方向；前称当代英语研究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设跨文化传意 / 数码企业传意方向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环球可持续发展（环球博雅荣誉文学士）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BLA (Hons) in Global Development and Sustainability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伍絜宜跨学科研究学院，含多校区全球体验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社会科学学院社会学及社会政策系；可选「社会创新与社会研究」专修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社会及公共政策研究（社会科学荣誉学士）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Social and Public Policy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由经济系与社会学及社会政策系合办；可选「智慧城市与数码社会」专修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文化研究（荣誉文学士）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Cultural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JS7606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#151–200；传媒与媒体研究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文学院；跨学科，着重批判写作与媒体素养，可选「数码文化与媒体实践／文化公地」「社会创新与创意」等专修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JS7709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历史系；可选「亚洲史／全球史」专修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JS7802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哲学系；着重理解与构建哲学论证，兼及分析思维、沟通与写作训练，涵盖东西方思想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电影与视觉艺术（荣誉文学士）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Visual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JS7905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数码艺术与创意产业系（DACI）；涵盖影视、动画、博物馆与策展、艺术史及数码艺术与沉浸式媒体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