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岭南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18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岭南</w:t>
      </w:r>
      <w:r>
        <w:rPr>
          <w:i/>
          <w:color w:val="555555"/>
          <w:sz w:val="19"/>
          <w:szCs w:val="19"/>
        </w:rPr>
        <w:t xml:space="preserve">  Lingnan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合格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 / 18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HK$175,000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哲学 #151–200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岭南 · 收录 18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会计与企业管治（工商管理荣誉学士）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and Corporate Governance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 BBA（荣誉）学士主修之一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 CFA 相关选修与专业团体考试豁免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风险及保险管理（工商管理荣誉学士）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Risk and Insurance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同时设 UGC 资助及自资学额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市场学与社交媒体（工商管理荣誉学士）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Marketing and Social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 Global Economics &amp; Banking 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官网未公布 A-Level / IB 数学先修要求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数据科学学院开办，结合计算机、统计与人工智能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可选辅导心理学方向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政府与国际事务学（社会科学荣誉学士）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Government and International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中文（荣誉文学士）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设创意写作方向，兼及文学与专业写作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英语语言文学（荣誉文学士）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JS7503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设文学 / 语言学方向；前称当代英语研究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设跨文化传意 / 数码企业传意方向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环球可持续发展（环球博雅荣誉文学士）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BLA (Hons) in Global Development and Sustainability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伍絜宜跨学科研究学院，含多校区全球体验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社会科学学院社会学及社会政策系；可选「社会创新与社会研究」专修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社会及公共政策研究（社会科学荣誉学士）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Social and Public Policy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由经济系与社会学及社会政策系合办；可选「智慧城市与数码社会」专修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文化研究（荣誉文学士）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Cultural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JS7606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#151–200；传媒与媒体研究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文学院；跨学科，着重批判写作与媒体素养，可选「数码文化与媒体实践／文化公地」「社会创新与创意」等专修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JS7709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历史系；可选「亚洲史／全球史」专修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JS7802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哲学系；着重理解与构建哲学论证，兼及分析思维、沟通与写作训练，涵盖东西方思想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电影与视觉艺术（荣誉文学士）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Visual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JS7905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数码艺术与创意产业系（DACI）；涵盖影视、动画、博物馆与策展、艺术史及数码艺术与沉浸式媒体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