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40"/>
      </w:pPr>
      <w:r>
        <w:rPr>
          <w:b/>
          <w:sz w:val="34"/>
          <w:szCs w:val="34"/>
        </w:rPr>
        <w:t xml:space="preserve">城大 · 本科录取要求</w:t>
      </w:r>
    </w:p>
    <w:p>
      <w:pPr>
        <w:spacing w:before="0" w:after="140"/>
      </w:pPr>
      <w:r>
        <w:rPr>
          <w:color w:val="333333"/>
          <w:sz w:val="18"/>
          <w:szCs w:val="18"/>
        </w:rPr>
        <w:t xml:space="preserve">2026 年 9 月入学　·　24 个专业　·　数据核对 2026-09　·　完整可搜索版 https://mtennnn.cn</w:t>
      </w:r>
    </w:p>
    <w:p>
      <w:pPr>
        <w:keepNext/>
        <w:spacing w:before="0" w:after="30"/>
      </w:pPr>
      <w:r>
        <w:rPr>
          <w:b/>
          <w:sz w:val="30"/>
          <w:szCs w:val="30"/>
        </w:rPr>
        <w:t xml:space="preserve">城大</w:t>
      </w:r>
      <w:r>
        <w:rPr>
          <w:i/>
          <w:color w:val="555555"/>
          <w:sz w:val="19"/>
          <w:szCs w:val="19"/>
        </w:rPr>
        <w:t xml:space="preserve">  City University of Hong Kong</w:t>
      </w:r>
    </w:p>
    <w:p>
      <w:pPr>
        <w:keepNext/>
        <w:spacing w:before="0" w:after="60"/>
      </w:pPr>
      <w:r>
        <w:rPr>
          <w:color w:val="666666"/>
          <w:sz w:val="16"/>
          <w:szCs w:val="16"/>
        </w:rPr>
        <w:t xml:space="preserve">A-Level </w:t>
      </w:r>
      <w:r>
        <w:rPr>
          <w:b/>
          <w:sz w:val="18"/>
          <w:szCs w:val="18"/>
        </w:rPr>
        <w:t xml:space="preserve">3 AL ≥ E</w:t>
      </w:r>
      <w:r>
        <w:rPr>
          <w:color w:val="666666"/>
          <w:sz w:val="16"/>
          <w:szCs w:val="16"/>
        </w:rPr>
        <w:t xml:space="preserve">　·　IB </w:t>
      </w:r>
      <w:r>
        <w:rPr>
          <w:b/>
          <w:sz w:val="18"/>
          <w:szCs w:val="18"/>
        </w:rPr>
        <w:t xml:space="preserve">—</w:t>
      </w:r>
      <w:r>
        <w:rPr>
          <w:color w:val="666666"/>
          <w:sz w:val="16"/>
          <w:szCs w:val="16"/>
        </w:rPr>
        <w:t xml:space="preserve">　·　面试 / 附加</w:t>
      </w:r>
      <w:r>
        <w:rPr>
          <w:b/>
          <w:sz w:val="18"/>
          <w:szCs w:val="18"/>
        </w:rPr>
        <w:t xml:space="preserve"> 2 / 24 项需要</w:t>
      </w:r>
      <w:r>
        <w:rPr>
          <w:color w:val="666666"/>
          <w:sz w:val="16"/>
          <w:szCs w:val="16"/>
        </w:rPr>
        <w:t xml:space="preserve">　·　国际生学费 </w:t>
      </w:r>
      <w:r>
        <w:rPr>
          <w:b/>
          <w:sz w:val="18"/>
          <w:szCs w:val="18"/>
        </w:rPr>
        <w:t xml:space="preserve">HK$190,000 / 年（2026-27 口径）</w:t>
      </w:r>
      <w:r>
        <w:rPr>
          <w:color w:val="666666"/>
          <w:sz w:val="16"/>
          <w:szCs w:val="16"/>
        </w:rPr>
        <w:t xml:space="preserve">　·　最好学科名次 </w:t>
      </w:r>
      <w:r>
        <w:rPr>
          <w:b/>
          <w:sz w:val="18"/>
          <w:szCs w:val="18"/>
        </w:rPr>
        <w:t xml:space="preserve">语言学 #36</w:t>
      </w:r>
      <w:r>
        <w:rPr>
          <w:color w:val="666666"/>
          <w:sz w:val="16"/>
          <w:szCs w:val="16"/>
        </w:rPr>
        <w:t xml:space="preserve">　·　数据核对 2026-09</w:t>
      </w:r>
    </w:p>
    <w:tbl>
      <w:tblPr>
        <w:tblW w:w="15818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</w:tblPr>
      <w:tblGrid>
        <w:gridCol w:w="3164"/>
        <w:gridCol w:w="1265"/>
        <w:gridCol w:w="1107"/>
        <w:gridCol w:w="2373"/>
        <w:gridCol w:w="949"/>
        <w:gridCol w:w="1107"/>
        <w:gridCol w:w="2215"/>
        <w:gridCol w:w="1740"/>
        <w:gridCol w:w="1898"/>
      </w:tblGrid>
      <w:tr>
        <w:trPr>
          <w:tblHeader/>
        </w:trPr>
        <w:tc>
          <w:tcPr>
            <w:tcW w:w="15818" w:type="dxa"/>
            <w:gridSpan w:val="9"/>
            <w:shd w:val="clear" w:color="auto" w:fill="F2F2F2"/>
            <w:vAlign w:val="top"/>
          </w:tcPr>
          <w:p>
            <w:pPr>
              <w:spacing w:before="0" w:after="0"/>
            </w:pPr>
            <w:r>
              <w:rPr>
                <w:color w:val="444444"/>
                <w:sz w:val="15"/>
                <w:szCs w:val="15"/>
              </w:rPr>
              <w:t xml:space="preserve">城大 · 24 项　|　来源 mtennnn.cn　|　数据核对 2026-09</w:t>
            </w:r>
          </w:p>
        </w:tc>
      </w:tr>
      <w:tr>
        <w:trPr>
          <w:tblHeader/>
        </w:trPr>
        <w:tc>
          <w:tcPr>
            <w:tcW w:w="3164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专业</w:t>
            </w:r>
          </w:p>
        </w:tc>
        <w:tc>
          <w:tcPr>
            <w:tcW w:w="126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代码 / 学制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A-Level</w:t>
            </w:r>
          </w:p>
        </w:tc>
        <w:tc>
          <w:tcPr>
            <w:tcW w:w="2373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科目 / 要求</w:t>
            </w:r>
          </w:p>
        </w:tc>
        <w:tc>
          <w:tcPr>
            <w:tcW w:w="949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IB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笔试 / 面试</w:t>
            </w:r>
          </w:p>
        </w:tc>
        <w:tc>
          <w:tcPr>
            <w:tcW w:w="221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英语要求</w:t>
            </w:r>
          </w:p>
        </w:tc>
        <w:tc>
          <w:tcPr>
            <w:tcW w:w="1740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QS2026 学科</w:t>
            </w:r>
          </w:p>
        </w:tc>
        <w:tc>
          <w:tcPr>
            <w:tcW w:w="1898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备注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数据科学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Data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JS1072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数学为最低科目背景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Diploma（Year1 无分数下限）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数据科学与AI #51–100；计算机与信息系统 #=67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College of Computing–数据科学系；专修含 AI/统计学习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计算机科学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Computer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JS1204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#=67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网络安全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Cybersecurity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JS1218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#=67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电机工程（大类，入学后选主修）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Electrical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JS1205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电子电气工程 #=71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主修：计算机与数据/电子及电机/资讯/微电子工程；工程另见 JS1207 机械、JS1211 生医工程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会计学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BBA Accountancy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JS1002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会计与金融 #52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专业会计 / ESG 与科技两流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金融学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BBA Finance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JS1014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会计与金融 #52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商业经济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BBA Business 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JS1013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#=74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经济与金融系方案（商业经济/金融）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Economics and Finance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JS1012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#=74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入系一年后按成绩分流主修（前 40% 自由选）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计算金融与金融科技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Computational Finance &amp; FinTech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JS1000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#=67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计算金融/金融科技两流；含 CityU–Columbia 双学位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环球商业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BBA Global Business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JS1001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商业与管理 #=73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商业决策分析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BBA Business Decision Analytics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JS1026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商业与管理 #=73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决策分析/数据信息学两流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化学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Chemistry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JS1202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偏好化学/理科背景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化学 #=91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计算数学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Computing Mathematics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JS1206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#=67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数学系本科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物理（含医学物理方向）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Physics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JS1208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偏好理科背景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物理与天文 #144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媒体与传播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Media and Communication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JS1106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传媒与媒体研究 #=49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首年不定主修，主修：数码电视与广播 / 媒体与传播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创意媒体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Creative Media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JS1041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作品集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传媒与媒体研究 #=49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主修：文学士 / 理学士（创意媒体）、文理学士（新媒体）；作品集 1 月下旬提交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文学士（英语语言）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English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JS1104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英语要求高于全校门槛：GCE AL 英语文学 C、或 GCSE 英语 B、或 IELTS 7、或 TOEFL 102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英语语言与文学 #93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方向：英语及专业传意 / 语言及文学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文学士（中文及历史）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Chinese and History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JS1103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【中文资历受限】须提交认可中文能力证明；无中文资历者实际难以申请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语言学 #36；现代语言 #79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方向：中文 / 历史及文化遗产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社会科学学士（心理学）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BSocSc Psychology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JS1112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心理学 #151–200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专修：健康与人类发展 / 大脑与认知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社会科学学士（公共事务与管理）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BSocSc Public Affairs and Management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JS1108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#=46；社会学 #101–150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专修：公共事务与管治 / 公共政策与管理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社会科学学士（社会工作）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BSocSc Social Work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JS1113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#=46；社会学 #101–150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人文社会科学院社会及行为科学系；面试表现与选科次序为重要考虑；毕业可申请注册为社会工作者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文学士（语言学及语言应用）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Linguistics and Language Applications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JS1109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语言学 #36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人文社会科学院语言学及翻译系；方向含普通语言学 / 计算语言学 / 语料库语言学 / 实验语言学 / 语言科技及应用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社会科学学士（国际关系及全球事务）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BSocSc International Relations and Global Affairs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JS1102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#=46；政治学 #=91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人文社会科学院公共及国际事务学系；前称亚洲及国际研究；专修：亚洲研究 / 国际研究 / 发展研究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社会科学学士（犯罪科学）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BSocSc Crime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JS1111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法学 #41；社会政策与行政 #=46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人文社会科学院社会及行为科学系；方向：犯罪预防 / 保安实务 / 全球警务 / 犯罪分析 / 网络与未来犯罪</w:t>
            </w:r>
          </w:p>
        </w:tc>
      </w:tr>
    </w:tbl>
    <w:sectPr>
      <w:pgSz w:w="16838" w:h="11906" w:orient="landscape"/>
      <w:pgMar w:top="510" w:right="510" w:bottom="510" w:left="510" w:header="425" w:footer="425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微软雅黑" w:cs="Calibri"/>
        <w:sz w:val="18"/>
        <w:szCs w:val="18"/>
      </w:rPr>
    </w:rPrDefault>
  </w:docDefaults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