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港中文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30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港中文</w:t>
      </w:r>
      <w:r>
        <w:rPr>
          <w:i/>
          <w:color w:val="555555"/>
          <w:sz w:val="19"/>
          <w:szCs w:val="19"/>
        </w:rPr>
        <w:t xml:space="preserve">  Chinese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BBB–ABB – A*A*A*A–A*A*A*A*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31–33 – 42–43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6 / 30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HK$214,000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#16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港中文 · 30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MBChB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JS4501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42–43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GCE 另需平均 UMS ≥95%（含化学/生物）；IB 须化学或生物 HL（6/7/7）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理学大类（化学/生化/生物/物理/数学/统计主修）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#41；化学 #=98；生物科学 #110；物理与天文 #=131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数学精研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Enrichment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Business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商学院旗舰、全场最高档之一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综合工商管理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Integrated BBA (IBBA)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JS4252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勿与 JS4276（Quantitative Finance &amp; Risk Management Science）混淆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精算金融分析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Insurance, Financial &amp; Actuarial Analysis (IFAA)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JS4238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JS4824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属社会科学院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JS4428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计算机科学与工程（2026 大一 CS 主入口）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&amp;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热门专业实际收生远高于区间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人工智能（系统与科技）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AI: Systems and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Computational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工程学院+统计系合办，非联招最热之一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Risk 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JS4719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统计系，可衔接精算 SOA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中国语言及文学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Chinese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宜修 Chinese A: Literature 且宜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文学院王牌学系，设中大—北大双学位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 English HL；A-Level 宜修英国文学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偏好中文及英文，两科至少一科宜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亚洲最早设立的翻译学系之一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JS4862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偏好数学（SL/HL）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政治与行政学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Government and Public Administration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JS4848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新闻与传播学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Journalism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香港历史最悠久的传播学院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JS4903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要求 English A（SL/HL）或 English B（HL）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JS4056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文学院历史系；设历史与英文、历史与日本研究双主修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文学院哲学系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文学院语言学及现代语言系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日本研究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Japanese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文学院日本研究学系；设历史与日本研究双主修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文学院音乐系；须提交演奏／演唱录像及笔试，主修乐器或声乐宜达 ABRSM／Trinity 八级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#30；社会政策与行政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社会科学院社会工作学系；毕业可申请注册为社会工作者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文学士（英国语文研究）及教育学士（英国语文教育）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Studies (BA) and English Language Education (BEd)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JS4343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教育学院；文学士＋教育学士双学位，5 年制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