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34"/>
          <w:szCs w:val="34"/>
        </w:rPr>
        <w:t xml:space="preserve">帝国理工 · 本科录取要求</w:t>
      </w:r>
    </w:p>
    <w:p>
      <w:pPr>
        <w:spacing w:before="0" w:after="140"/>
      </w:pPr>
      <w:r>
        <w:rPr>
          <w:color w:val="333333"/>
          <w:sz w:val="18"/>
          <w:szCs w:val="18"/>
        </w:rPr>
        <w:t xml:space="preserve">2027 年 9 月入学　·　16 个专业　·　数据核对 2026-09　·　完整可搜索版 https://mtennnn.cn</w:t>
      </w:r>
    </w:p>
    <w:p>
      <w:pPr>
        <w:keepNext/>
        <w:spacing w:before="0" w:after="30"/>
      </w:pPr>
      <w:r>
        <w:rPr>
          <w:b/>
          <w:sz w:val="30"/>
          <w:szCs w:val="30"/>
        </w:rPr>
        <w:t xml:space="preserve">帝国理工</w:t>
      </w:r>
      <w:r>
        <w:rPr>
          <w:i/>
          <w:color w:val="555555"/>
          <w:sz w:val="19"/>
          <w:szCs w:val="19"/>
        </w:rPr>
        <w:t xml:space="preserve">  Imperial College London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AAA – A*A*A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38（HL 生物 6 + 相关科 6） – 41（HL 数学 7 + 相关科 7）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13 / 16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£42,700–58,600 / 年（2026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化学工程 #4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帝国理工 · 16 项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医学生物科学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Medical Biosciences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 A + 化学/数学/高数/物理之一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生物 6 + 相关科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最低档与典型档相同；无笔试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 A + 生物/数学/物理之一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化学 6 + 相关科）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#=7；化学 #10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须考 ESAT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Biological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/ MSci · 3–4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 A + 化学/数学/物理之一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生物 6 + 相关科）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起须 ESAT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 A、数学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化学+数学各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#10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典型A*AA；无笔试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A*、物理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数学 7、物理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#12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典型A*A*A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航空工程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Aeronautical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A*、物理 A*（3 科制须 A*）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数学 7、物理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#=9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典型A*A*A*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机械工程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Mechanical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A*；物理 3 科制须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数学、物理各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#=9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典型A*A*A*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电子与电气工程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Electrical and Electronic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A*、物理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数学 7、物理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电子电气工程 #9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典型A*A*A；官方名为 Electrical and Electronic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土木工程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Civil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A*、物理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数学 7、物理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土木与结构工程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典型A*A*A/A*AAA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 A*、数学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数学 7、化学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化学工程 #4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典型A*A*A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设计工程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Design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 + 两门 AA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7 + 一科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#=9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典型A*AA；戴森设计学院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Biomedical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A*、物理 A、第三科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6、物理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#=9；电子电气工程 #9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页面未列笔试（与其他工程系不同，留意）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经济学、金融与数据科学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Economics, Finance and Data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7 + 两门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#12；数据科学与AI #=15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商学院本科；TMUA + 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41（HL 数学 7 + 相关科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#12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典型A*A*A；TMUA + 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计算机（三年制）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41（HL 数学 7 + 相关科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#12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与 Computing MEng 同系同要求；TMUA + 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 + 高数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#=8；统计与运筹 #10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典型A*A*A；数学系各方向要求一致</w:t>
            </w:r>
          </w:p>
        </w:tc>
      </w:tr>
    </w:tbl>
    <w:sectPr>
      <w:pgSz w:w="16838" w:h="11906" w:orient="landscape"/>
      <w:pgMar w:top="510" w:right="510" w:bottom="510" w:left="510" w:header="425" w:footer="425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软雅黑" w:cs="Calibri"/>
        <w:sz w:val="18"/>
        <w:szCs w:val="18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