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岭南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18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岭南</w:t>
      </w:r>
      <w:r>
        <w:rPr>
          <w:i/>
          <w:color w:val="555555"/>
          <w:sz w:val="19"/>
          <w:szCs w:val="19"/>
        </w:rPr>
        <w:t xml:space="preserve">  Lingnan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合格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 / 18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HK$175,000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哲学 #151–200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岭南 · 18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会计与企业管治（工商管理荣誉学士）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and Corporate Governance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 BBA（荣誉）学士主修之一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 CFA 相关选修与专业团体考试豁免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风险及保险管理（工商管理荣誉学士）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Risk and Insurance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同时设 UGC 资助及自资学额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市场学与社交媒体（工商管理荣誉学士）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Marketing and Social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 Global Economics &amp; Banking 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官网未公布 A-Level / IB 数学先修要求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数据科学学院开办，结合计算机、统计与人工智能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可选辅导心理学方向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政府与国际事务学（社会科学荣誉学士）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Government and International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中文（荣誉文学士）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设创意写作方向，兼及文学与专业写作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英语语言文学（荣誉文学士）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JS7503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设文学 / 语言学方向；前称当代英语研究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设跨文化传意 / 数码企业传意方向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环球可持续发展（环球博雅荣誉文学士）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BLA (Hons) in Global Development and Sustainability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伍絜宜跨学科研究学院，含多校区全球体验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社会科学学院社会学及社会政策系；可选「社会创新与社会研究」专修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社会及公共政策研究（社会科学荣誉学士）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Social and Public Policy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由经济系与社会学及社会政策系合办；可选「智慧城市与数码社会」专修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文化研究（荣誉文学士）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Cultural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JS7606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#151–200；传媒与媒体研究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文学院；跨学科，着重批判写作与媒体素养，可选「数码文化与媒体实践／文化公地」「社会创新与创意」等专修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JS7709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历史系；可选「亚洲史／全球史」专修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JS7802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哲学系；着重理解与构建哲学论证，兼及分析思维、沟通与写作训练，涵盖东西方思想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电影与视觉艺术（荣誉文学士）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Visual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JS7905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数码艺术与创意产业系（DACI）；涵盖影视、动画、博物馆与策展、艺术史及数码艺术与沉浸式媒体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