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/>
      </w:pPr>
      <w:r>
        <w:rPr>
          <w:b/>
          <w:sz w:val="34"/>
          <w:szCs w:val="34"/>
        </w:rPr>
        <w:t xml:space="preserve">浸会 · 本科录取要求</w:t>
      </w:r>
    </w:p>
    <w:p>
      <w:pPr>
        <w:spacing w:before="0" w:after="20"/>
      </w:pPr>
      <w:r>
        <w:rPr>
          <w:color w:val="333333"/>
          <w:sz w:val="18"/>
          <w:szCs w:val="18"/>
        </w:rPr>
        <w:t xml:space="preserve">2026 年 9 月入学　·　收录 19 个专业　·　数据核对 2026-09　·　完整可搜索版 https://mtennnn.cn</w:t>
      </w:r>
    </w:p>
    <w:p>
      <w:pPr>
        <w:pBdr>
          <w:top w:val="single" w:sz="4" w:space="3" w:color="CCCCCC"/>
        </w:pBdr>
        <w:spacing w:before="0" w:after="140"/>
      </w:pPr>
      <w:r>
        <w:rPr>
          <w:color w:val="555555"/>
          <w:sz w:val="15"/>
          <w:szCs w:val="15"/>
        </w:rPr>
        <w:t xml:space="preserve">本册为选编：收录各校在 10 个热门学科方向（生化医药 / 物理 / 工程 / 经管金融 / 计算机数据 / 统计数学 / 教育 / 人文语言 / 社科法律 / 传媒）的本科课程，不是完整的本科专业目录；各校全部课程请以官网为准。</w:t>
      </w:r>
    </w:p>
    <w:p>
      <w:pPr>
        <w:keepNext/>
        <w:spacing w:before="0" w:after="30"/>
      </w:pPr>
      <w:r>
        <w:rPr>
          <w:b/>
          <w:color w:val="A15C11"/>
          <w:sz w:val="30"/>
          <w:szCs w:val="30"/>
        </w:rPr>
        <w:t xml:space="preserve">浸会</w:t>
      </w:r>
      <w:r>
        <w:rPr>
          <w:i/>
          <w:color w:val="555555"/>
          <w:sz w:val="19"/>
          <w:szCs w:val="19"/>
        </w:rPr>
        <w:t xml:space="preserve">  Hong Kong Baptist University</w:t>
      </w:r>
    </w:p>
    <w:p>
      <w:pPr>
        <w:keepNext/>
        <w:spacing w:before="0" w:after="60"/>
      </w:pPr>
      <w:r>
        <w:rPr>
          <w:color w:val="666666"/>
          <w:sz w:val="16"/>
          <w:szCs w:val="16"/>
        </w:rPr>
        <w:t xml:space="preserve">A-Level </w:t>
      </w:r>
      <w:r>
        <w:rPr>
          <w:b/>
          <w:sz w:val="18"/>
          <w:szCs w:val="18"/>
        </w:rPr>
        <w:t xml:space="preserve">3 AL ≥ E</w:t>
      </w:r>
      <w:r>
        <w:rPr>
          <w:color w:val="666666"/>
          <w:sz w:val="16"/>
          <w:szCs w:val="16"/>
        </w:rPr>
        <w:t xml:space="preserve">　·　IB </w:t>
      </w:r>
      <w:r>
        <w:rPr>
          <w:b/>
          <w:sz w:val="18"/>
          <w:szCs w:val="18"/>
        </w:rPr>
        <w:t xml:space="preserve">文凭（2025 录取 30–35）</w:t>
      </w:r>
      <w:r>
        <w:rPr>
          <w:color w:val="666666"/>
          <w:sz w:val="16"/>
          <w:szCs w:val="16"/>
        </w:rPr>
        <w:t xml:space="preserve">　·　面试 / 附加</w:t>
      </w:r>
      <w:r>
        <w:rPr>
          <w:b/>
          <w:sz w:val="18"/>
          <w:szCs w:val="18"/>
        </w:rPr>
        <w:t xml:space="preserve"> 11 / 19 项需要</w:t>
      </w:r>
      <w:r>
        <w:rPr>
          <w:color w:val="666666"/>
          <w:sz w:val="16"/>
          <w:szCs w:val="16"/>
        </w:rPr>
        <w:t xml:space="preserve">　·　国际生学费 </w:t>
      </w:r>
      <w:r>
        <w:rPr>
          <w:b/>
          <w:sz w:val="18"/>
          <w:szCs w:val="18"/>
        </w:rPr>
        <w:t xml:space="preserve">HK$190,000 / 年（2026/27 口径）</w:t>
      </w:r>
      <w:r>
        <w:rPr>
          <w:color w:val="666666"/>
          <w:sz w:val="16"/>
          <w:szCs w:val="16"/>
        </w:rPr>
        <w:t xml:space="preserve">　·　最好学科名次 </w:t>
      </w:r>
      <w:r>
        <w:rPr>
          <w:b/>
          <w:sz w:val="18"/>
          <w:szCs w:val="18"/>
        </w:rPr>
        <w:t xml:space="preserve">传媒与媒体研究 #48</w:t>
      </w:r>
      <w:r>
        <w:rPr>
          <w:color w:val="666666"/>
          <w:sz w:val="16"/>
          <w:szCs w:val="16"/>
        </w:rPr>
        <w:t xml:space="preserve">　·　数据核对 2026-09</w:t>
      </w:r>
    </w:p>
    <w:tbl>
      <w:tblPr>
        <w:tblW w:w="15818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</w:tblPr>
      <w:tblGrid>
        <w:gridCol w:w="3164"/>
        <w:gridCol w:w="1265"/>
        <w:gridCol w:w="1107"/>
        <w:gridCol w:w="2373"/>
        <w:gridCol w:w="949"/>
        <w:gridCol w:w="1107"/>
        <w:gridCol w:w="2215"/>
        <w:gridCol w:w="1740"/>
        <w:gridCol w:w="1898"/>
      </w:tblGrid>
      <w:tr>
        <w:trPr>
          <w:tblHeader/>
        </w:trPr>
        <w:tc>
          <w:tcPr>
            <w:tcW w:w="15818" w:type="dxa"/>
            <w:gridSpan w:val="9"/>
            <w:shd w:val="clear" w:color="auto" w:fill="F7F0EA"/>
            <w:vAlign w:val="top"/>
          </w:tcPr>
          <w:p>
            <w:pPr>
              <w:spacing w:before="0" w:after="0"/>
            </w:pPr>
            <w:r>
              <w:rPr>
                <w:color w:val="444444"/>
                <w:sz w:val="15"/>
                <w:szCs w:val="15"/>
              </w:rPr>
              <w:t xml:space="preserve">浸会 · 收录 19 项　|　来源 mtennnn.cn　|　数据核对 2026-09</w:t>
            </w:r>
          </w:p>
        </w:tc>
      </w:tr>
      <w:tr>
        <w:trPr>
          <w:tblHeader/>
        </w:trPr>
        <w:tc>
          <w:tcPr>
            <w:tcW w:w="3164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专业</w:t>
            </w:r>
          </w:p>
        </w:tc>
        <w:tc>
          <w:tcPr>
            <w:tcW w:w="1265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代码 / 学制</w:t>
            </w:r>
          </w:p>
        </w:tc>
        <w:tc>
          <w:tcPr>
            <w:tcW w:w="1107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A-Level</w:t>
            </w:r>
          </w:p>
        </w:tc>
        <w:tc>
          <w:tcPr>
            <w:tcW w:w="2373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科目 / 要求</w:t>
            </w:r>
          </w:p>
        </w:tc>
        <w:tc>
          <w:tcPr>
            <w:tcW w:w="949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IB</w:t>
            </w:r>
          </w:p>
        </w:tc>
        <w:tc>
          <w:tcPr>
            <w:tcW w:w="1107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笔试 / 面试</w:t>
            </w:r>
          </w:p>
        </w:tc>
        <w:tc>
          <w:tcPr>
            <w:tcW w:w="2215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英语要求</w:t>
            </w:r>
          </w:p>
        </w:tc>
        <w:tc>
          <w:tcPr>
            <w:tcW w:w="1740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QS2026 学科</w:t>
            </w:r>
          </w:p>
        </w:tc>
        <w:tc>
          <w:tcPr>
            <w:tcW w:w="1898" w:type="dxa"/>
            <w:shd w:val="clear" w:color="auto" w:fill="EEE2D4"/>
            <w:vAlign w:val="top"/>
          </w:tcPr>
          <w:p>
            <w:pPr>
              <w:spacing w:before="0" w:after="0"/>
            </w:pPr>
            <w:r>
              <w:rPr>
                <w:b/>
                <w:sz w:val="15"/>
                <w:szCs w:val="15"/>
              </w:rPr>
              <w:t xml:space="preserve">备注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工商管理学士（荣誉）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JS2120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商学院大类招生，入学后可选经济及数据分析、财务、市场学、人力资源、资讯系统及商业智能等专修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工商管理学士（荣誉）— 会计学专修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BBA (Hons) — Accounting Concentration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JS2110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会计与金融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会计学专修，课程获专业会计团体认可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商业计算及数据分析（荣誉理学士）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 in Business Computing and Data Analytics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JS2910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理学院与商学院合办，结合商业应用与数据科学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理学士（荣誉）（应用生物/计算机/数学统计/物理等主修）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BSc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JS2510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理学院大类招生，第一年通识理科，其后选主修（含应用生物、生物化学及检测科学、计算机科学、人工智能、数学及统计、数据科学、物理及绿色能源等）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中医学学士及生物医学理学士（荣誉）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BCM &amp; BSc (Hons) in Biomedical Science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JS2410 · 6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须修读生物或化学；并须具备认可中文资历（GCE A/AS 中文 E 或 GCSE/IGCSE 中文 C/4）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6 年制中医与生物医学双学位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中药学学士（荣誉）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BPharm (Hons) in Chinese Medicine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JS2420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须修读化学；并须具备认可中文资历（GCE A/AS 中文 E 或 GCSE/IGCSE 中文 C/4）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传理学学士（荣誉）（新闻与数码媒体／公关及广告）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BComm (Hons) (Journalism and Digital Media / Public Relations and Advertising)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JS2310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#48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传理学院大类招生，含新闻与数码媒体、公关及广告两个主修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传理学学士（荣誉）— 游戏设计与动画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BComm (Hons) in Game Design and Animation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JS2370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入围的国际申请人须提交作品集（创意、视觉及设计、动画及／或游戏设计）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文学士（荣誉）（中国语言文学／创意及专业写作／英国语言文学／人文学／翻译学）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(Chinese Language and Literature / Creative and Professional Writing / English Language and Literature / Humanities / Translation)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JS2020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拟修中国语言文学、创意及专业写作、人文学或翻译学主修者，须具备认可中文资历（GCE A/AS 中文 E 或 GCSE/IGCSE 中文 C/4）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语言学 #101–150；现代语言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文学院大类招生，第一年后再选主修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电影电视文学士（荣誉）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Film and Television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JS2330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须提交数字作品集（含影像作品）及推荐信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#48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视觉艺术文学士（荣誉）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Visual Arts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JS2810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须提交作品集；入围者须参加实务测试及面试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文学士（荣誉）／音乐学士（荣誉）（音乐／创意产业）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/ BMus (Hons) (Music / Creative Industries)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JS2060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音乐课程须具 ABRSM 8 级演奏及 5 级乐理或同等资历，并提交作品集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入围者或须参加能力测试、面试及／或试演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艺术及科技文理学士（荣誉）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BASc (Hons) in Arts and Technology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JS2920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须经网上系统提交三件作品的作品集，未提交者不予处理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跨学科文理学士，融合艺术与科技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文学士／社会科学学士（荣誉）（欧洲研究[法/德组]／地理／全球及中国研究／政治及国际关系／历史／社会学）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/ BSocSc (Hons) (European Studies / Geography / Global and China Studies / Government and International Studies / History / Sociology)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JS2610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文学院与社会科学院联合招生；首年后经内部申请选主修：欧洲研究（法/德组）、地理、全球及中国研究、政治及国际关系、历史、社会学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社会工作学士（荣誉）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Bachelor of Social Work (Hons)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JS2660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社会政策与行政 #101–150；社会学 #101–150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社会工作学系；四年制专业社工训练，毕业可向香港社会工作者注册局注册为注册社工（RSW）；具英语及中文以外语言能力（如乌尔都语、尼泊尔语、印地语）者或获邀面试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宗教、哲学及伦理学文学士（荣誉）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Religion, Philosophy and Ethics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JS2025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跨学科课程，系统研习世界主要宗教、哲学传统与伦理学派，并结合当代社会文化议题（生命与死亡、性别平等、社会公义等）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体育及康乐管理文学士（荣誉）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 (Hons) in Physical Education and Recreation Management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JS2620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体育、运动及康乐管理方向；申请人须提交国际体育比赛或运动相关活动的成就证书／证明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数码未来与人文学文理学士（荣誉）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BASc (Hons) in Digital Futures and Humanities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JS2960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面试（入围）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传媒与媒体研究 #48；现代语言 #101–150；语言学 #101–150；历史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跨学科文理学士，结合人文学与数码科技，涵盖数码文化资源管理、创新政策、数码转型；申请人或获邀面试，并可提交个人档案</w:t>
            </w:r>
          </w:p>
        </w:tc>
      </w:tr>
      <w:tr>
        <w:trPr>
          <w:cantSplit/>
        </w:trPr>
        <w:tc>
          <w:tcPr>
            <w:tcW w:w="3164" w:type="dxa"/>
            <w:vAlign w:val="top"/>
          </w:tcPr>
          <w:p>
            <w:pPr>
              <w:spacing w:before="0" w:after="0"/>
            </w:pPr>
            <w:r>
              <w:rPr>
                <w:b/>
                <w:sz w:val="16"/>
                <w:szCs w:val="16"/>
              </w:rPr>
              <w:t xml:space="preserve">健康及社会福祉创新社会科学学士／理学士（荣誉）</w:t>
            </w:r>
            <w:r>
              <w:br/>
            </w:r>
            <w:r>
              <w:rPr>
                <w:i/>
                <w:color w:val="666666"/>
                <w:sz w:val="13"/>
                <w:szCs w:val="13"/>
              </w:rPr>
              <w:t xml:space="preserve">BSocSc (Hons) / BSc (Hons) in Innovation in Health and Social Well-Being</w:t>
            </w:r>
          </w:p>
        </w:tc>
        <w:tc>
          <w:tcPr>
            <w:tcW w:w="126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JS2940 · 4 年制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 AL ≥ E</w:t>
            </w:r>
          </w:p>
        </w:tc>
        <w:tc>
          <w:tcPr>
            <w:tcW w:w="2373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949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文凭（2025 录取 30–35）</w:t>
            </w:r>
          </w:p>
        </w:tc>
        <w:tc>
          <w:tcPr>
            <w:tcW w:w="1107" w:type="dxa"/>
            <w:vAlign w:val="top"/>
          </w:tcPr>
          <w:p>
            <w:pPr>
              <w:spacing w:before="0" w:after="0"/>
            </w:pPr>
            <w:r>
              <w:rPr>
                <w:color w:val="999999"/>
                <w:sz w:val="16"/>
                <w:szCs w:val="16"/>
              </w:rPr>
              <w:t xml:space="preserve">—</w:t>
            </w:r>
          </w:p>
        </w:tc>
        <w:tc>
          <w:tcPr>
            <w:tcW w:w="2215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IELTS 6.0</w:t>
            </w:r>
            <w:r>
              <w:br/>
            </w:r>
            <w:r>
              <w:rPr>
                <w:color w:val="555555"/>
                <w:sz w:val="14"/>
                <w:szCs w:val="14"/>
              </w:rPr>
              <w:t xml:space="preserve">TOEFL 79 / —</w:t>
            </w:r>
            <w:r>
              <w:br/>
            </w:r>
            <w:r>
              <w:rPr>
                <w:color w:val="666666"/>
                <w:sz w:val="13"/>
                <w:szCs w:val="13"/>
              </w:rPr>
              <w:t xml:space="preserve">EFL C · ESL B</w:t>
            </w:r>
          </w:p>
        </w:tc>
        <w:tc>
          <w:tcPr>
            <w:tcW w:w="1740" w:type="dxa"/>
            <w:vAlign w:val="top"/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社会学 #101–150；社会政策与行政 #101–150；地理 #151–200</w:t>
            </w:r>
          </w:p>
        </w:tc>
        <w:tc>
          <w:tcPr>
            <w:tcW w:w="1898" w:type="dxa"/>
            <w:vAlign w:val="top"/>
          </w:tcPr>
          <w:p>
            <w:pPr>
              <w:spacing w:before="0" w:after="0"/>
            </w:pPr>
            <w:r>
              <w:rPr>
                <w:sz w:val="15"/>
                <w:szCs w:val="15"/>
              </w:rPr>
              <w:t xml:space="preserve">跨学科课程，设健康及社会福祉、健康科技与信息学两个方向，结合科技与健康／社会领域知识</w:t>
            </w:r>
          </w:p>
        </w:tc>
      </w:tr>
    </w:tbl>
    <w:sectPr>
      <w:pgSz w:w="16838" w:h="11906" w:orient="landscape"/>
      <w:pgMar w:top="510" w:right="510" w:bottom="510" w:left="510" w:header="425" w:footer="425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软雅黑" w:cs="Calibri"/>
        <w:sz w:val="18"/>
        <w:szCs w:val="18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