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9B72BA" w14:textId="5AD816A1" w:rsidR="00FB5EFF" w:rsidRPr="00160BD0" w:rsidRDefault="00160BD0" w:rsidP="00663B1A">
      <w:pPr>
        <w:spacing w:after="160"/>
        <w:rPr>
          <w:rFonts w:ascii="Aptos" w:hAnsi="Aptos"/>
          <w:b/>
          <w:bCs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I-GUIDE PRIMER ON THE EUROPEAN UNION ARTIFICIAL INTELLIGENCE ACT</w:t>
      </w:r>
    </w:p>
    <w:p w14:paraId="73E76357" w14:textId="1056C003" w:rsidR="00371057" w:rsidRPr="00160BD0" w:rsidRDefault="00FB5EFF" w:rsidP="00663B1A">
      <w:pPr>
        <w:spacing w:before="100" w:beforeAutospacing="1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sz w:val="22"/>
          <w:szCs w:val="22"/>
        </w:rPr>
        <w:t xml:space="preserve">The </w:t>
      </w:r>
      <w:r w:rsidR="00371057" w:rsidRPr="00160BD0">
        <w:rPr>
          <w:rFonts w:ascii="Aptos" w:hAnsi="Aptos"/>
          <w:sz w:val="22"/>
          <w:szCs w:val="22"/>
        </w:rPr>
        <w:t xml:space="preserve">European Union </w:t>
      </w:r>
      <w:r w:rsidRPr="00160BD0">
        <w:rPr>
          <w:rFonts w:ascii="Aptos" w:hAnsi="Aptos"/>
          <w:sz w:val="22"/>
          <w:szCs w:val="22"/>
        </w:rPr>
        <w:t xml:space="preserve">Artificial Intelligence Act </w:t>
      </w:r>
      <w:r w:rsidR="00371057" w:rsidRPr="00160BD0">
        <w:rPr>
          <w:rFonts w:ascii="Aptos" w:hAnsi="Aptos"/>
          <w:sz w:val="22"/>
          <w:szCs w:val="22"/>
        </w:rPr>
        <w:t xml:space="preserve">(EU AI Act) </w:t>
      </w:r>
      <w:r w:rsidRPr="00160BD0">
        <w:rPr>
          <w:rFonts w:ascii="Aptos" w:hAnsi="Aptos"/>
          <w:sz w:val="22"/>
          <w:szCs w:val="22"/>
        </w:rPr>
        <w:t xml:space="preserve">is the world’s first broad regulatory framework for AI. </w:t>
      </w:r>
      <w:r w:rsidR="00371057" w:rsidRPr="00160BD0">
        <w:rPr>
          <w:rFonts w:ascii="Aptos" w:hAnsi="Aptos"/>
          <w:sz w:val="22"/>
          <w:szCs w:val="22"/>
        </w:rPr>
        <w:t xml:space="preserve">It was enacted into law in August 2024. The Act </w:t>
      </w:r>
      <w:r w:rsidRPr="00160BD0">
        <w:rPr>
          <w:rFonts w:ascii="Aptos" w:hAnsi="Aptos"/>
          <w:sz w:val="22"/>
          <w:szCs w:val="22"/>
        </w:rPr>
        <w:t xml:space="preserve">classifies AI systems by risk to </w:t>
      </w:r>
      <w:r w:rsidR="00371057" w:rsidRPr="00160BD0">
        <w:rPr>
          <w:rFonts w:ascii="Aptos" w:hAnsi="Aptos"/>
          <w:sz w:val="22"/>
          <w:szCs w:val="22"/>
        </w:rPr>
        <w:t xml:space="preserve">human </w:t>
      </w:r>
      <w:r w:rsidRPr="00160BD0">
        <w:rPr>
          <w:rFonts w:ascii="Aptos" w:hAnsi="Aptos"/>
          <w:sz w:val="22"/>
          <w:szCs w:val="22"/>
        </w:rPr>
        <w:t>rights, safety, and well</w:t>
      </w:r>
      <w:r w:rsidR="00371057" w:rsidRPr="00160BD0">
        <w:rPr>
          <w:rFonts w:ascii="Aptos" w:hAnsi="Aptos"/>
          <w:sz w:val="22"/>
          <w:szCs w:val="22"/>
        </w:rPr>
        <w:t>-</w:t>
      </w:r>
      <w:r w:rsidRPr="00160BD0">
        <w:rPr>
          <w:rFonts w:ascii="Aptos" w:hAnsi="Aptos"/>
          <w:sz w:val="22"/>
          <w:szCs w:val="22"/>
        </w:rPr>
        <w:t xml:space="preserve">being, and imposes tailored obligations. Even </w:t>
      </w:r>
      <w:r w:rsidR="00371057" w:rsidRPr="00160BD0">
        <w:rPr>
          <w:rFonts w:ascii="Aptos" w:hAnsi="Aptos"/>
          <w:sz w:val="22"/>
          <w:szCs w:val="22"/>
        </w:rPr>
        <w:t>researchers not based in the EU</w:t>
      </w:r>
      <w:r w:rsidRPr="00160BD0">
        <w:rPr>
          <w:rFonts w:ascii="Aptos" w:hAnsi="Aptos"/>
          <w:sz w:val="22"/>
          <w:szCs w:val="22"/>
        </w:rPr>
        <w:t xml:space="preserve"> researchers may </w:t>
      </w:r>
      <w:r w:rsidR="00371057" w:rsidRPr="00160BD0">
        <w:rPr>
          <w:rFonts w:ascii="Aptos" w:hAnsi="Aptos"/>
          <w:sz w:val="22"/>
          <w:szCs w:val="22"/>
        </w:rPr>
        <w:t>have to comply with the Act</w:t>
      </w:r>
      <w:r w:rsidRPr="00160BD0">
        <w:rPr>
          <w:rFonts w:ascii="Aptos" w:hAnsi="Aptos"/>
          <w:sz w:val="22"/>
          <w:szCs w:val="22"/>
        </w:rPr>
        <w:t xml:space="preserve"> if</w:t>
      </w:r>
      <w:r w:rsidR="00371057" w:rsidRPr="00160BD0">
        <w:rPr>
          <w:rFonts w:ascii="Aptos" w:hAnsi="Aptos"/>
          <w:sz w:val="22"/>
          <w:szCs w:val="22"/>
        </w:rPr>
        <w:t xml:space="preserve">: </w:t>
      </w:r>
    </w:p>
    <w:p w14:paraId="1236AF5A" w14:textId="77777777" w:rsidR="00371057" w:rsidRPr="00160BD0" w:rsidRDefault="00FB5EFF" w:rsidP="00663B1A">
      <w:pPr>
        <w:pStyle w:val="ListParagraph"/>
        <w:numPr>
          <w:ilvl w:val="0"/>
          <w:numId w:val="6"/>
        </w:numPr>
        <w:spacing w:after="100" w:afterAutospacing="1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sz w:val="22"/>
          <w:szCs w:val="22"/>
        </w:rPr>
        <w:t xml:space="preserve">AI </w:t>
      </w:r>
      <w:r w:rsidR="00371057" w:rsidRPr="00160BD0">
        <w:rPr>
          <w:rFonts w:ascii="Aptos" w:hAnsi="Aptos"/>
          <w:sz w:val="22"/>
          <w:szCs w:val="22"/>
        </w:rPr>
        <w:t>systems they develop a</w:t>
      </w:r>
      <w:r w:rsidRPr="00160BD0">
        <w:rPr>
          <w:rFonts w:ascii="Aptos" w:hAnsi="Aptos"/>
          <w:sz w:val="22"/>
          <w:szCs w:val="22"/>
        </w:rPr>
        <w:t xml:space="preserve">re </w:t>
      </w:r>
      <w:r w:rsidR="00371057" w:rsidRPr="00160BD0">
        <w:rPr>
          <w:rFonts w:ascii="Aptos" w:hAnsi="Aptos"/>
          <w:sz w:val="22"/>
          <w:szCs w:val="22"/>
        </w:rPr>
        <w:t xml:space="preserve">shared with researchers who deploy them in the </w:t>
      </w:r>
      <w:proofErr w:type="gramStart"/>
      <w:r w:rsidR="00371057" w:rsidRPr="00160BD0">
        <w:rPr>
          <w:rFonts w:ascii="Aptos" w:hAnsi="Aptos"/>
          <w:sz w:val="22"/>
          <w:szCs w:val="22"/>
        </w:rPr>
        <w:t>EU;</w:t>
      </w:r>
      <w:proofErr w:type="gramEnd"/>
      <w:r w:rsidR="00371057" w:rsidRPr="00160BD0">
        <w:rPr>
          <w:rFonts w:ascii="Aptos" w:hAnsi="Aptos"/>
          <w:sz w:val="22"/>
          <w:szCs w:val="22"/>
        </w:rPr>
        <w:t xml:space="preserve"> </w:t>
      </w:r>
    </w:p>
    <w:p w14:paraId="17EE1981" w14:textId="62E54FE3" w:rsidR="00371057" w:rsidRPr="00160BD0" w:rsidRDefault="00371057" w:rsidP="00663B1A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sz w:val="22"/>
          <w:szCs w:val="22"/>
        </w:rPr>
        <w:t>AI systems they use support policy- or decision-making that affects EU citizens.</w:t>
      </w:r>
    </w:p>
    <w:p w14:paraId="00FC10F3" w14:textId="64DC3228" w:rsidR="00FB5EFF" w:rsidRPr="00160BD0" w:rsidRDefault="00FB5EFF" w:rsidP="00663B1A">
      <w:pPr>
        <w:spacing w:before="100" w:beforeAutospacing="1" w:after="100" w:afterAutospacing="1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sz w:val="22"/>
          <w:szCs w:val="22"/>
        </w:rPr>
        <w:t>AI models in geospatial science are often used in infrastructure planning, climate prediction, land management, and emergency response</w:t>
      </w:r>
      <w:r w:rsidR="00371057" w:rsidRPr="00160BD0">
        <w:rPr>
          <w:rFonts w:ascii="Aptos" w:hAnsi="Aptos"/>
          <w:sz w:val="22"/>
          <w:szCs w:val="22"/>
        </w:rPr>
        <w:t xml:space="preserve">, which can fall under the Act’s definition of “High Risk”, making them subject to stringent requirements for documentation, transparency, and </w:t>
      </w:r>
      <w:r w:rsidR="00663B1A" w:rsidRPr="00160BD0">
        <w:rPr>
          <w:rFonts w:ascii="Aptos" w:hAnsi="Aptos"/>
          <w:sz w:val="22"/>
          <w:szCs w:val="22"/>
        </w:rPr>
        <w:t>governance.</w:t>
      </w:r>
      <w:r w:rsidR="00371057" w:rsidRPr="00160BD0">
        <w:rPr>
          <w:rFonts w:ascii="Aptos" w:hAnsi="Aptos"/>
          <w:sz w:val="22"/>
          <w:szCs w:val="22"/>
        </w:rPr>
        <w:t xml:space="preserve"> </w:t>
      </w:r>
    </w:p>
    <w:p w14:paraId="2A221980" w14:textId="6E7D1FE4" w:rsidR="00371057" w:rsidRPr="00160BD0" w:rsidRDefault="00371057" w:rsidP="00663B1A">
      <w:pPr>
        <w:rPr>
          <w:rFonts w:ascii="Aptos" w:hAnsi="Aptos"/>
          <w:b/>
          <w:bCs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EU AI Act Risk Levels</w:t>
      </w:r>
    </w:p>
    <w:p w14:paraId="33AB0DC1" w14:textId="3366C0C7" w:rsidR="00371057" w:rsidRPr="00160BD0" w:rsidRDefault="00371057" w:rsidP="00663B1A">
      <w:pPr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sz w:val="22"/>
          <w:szCs w:val="22"/>
        </w:rPr>
        <w:t xml:space="preserve">The Act classifies AI systems at four risk levels, each with accompanying requirements. </w:t>
      </w:r>
    </w:p>
    <w:p w14:paraId="1720B9DC" w14:textId="712F69CA" w:rsidR="00371057" w:rsidRPr="00160BD0" w:rsidRDefault="00371057" w:rsidP="00663B1A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Unacceptable Risk (highest risk): </w:t>
      </w:r>
      <w:r w:rsidRPr="00160BD0">
        <w:rPr>
          <w:rFonts w:ascii="Aptos" w:hAnsi="Aptos"/>
          <w:sz w:val="22"/>
          <w:szCs w:val="22"/>
        </w:rPr>
        <w:t xml:space="preserve">AI use that violates fundamental rights or </w:t>
      </w:r>
      <w:r w:rsidR="00870BF4" w:rsidRPr="00160BD0">
        <w:rPr>
          <w:rFonts w:ascii="Aptos" w:hAnsi="Aptos"/>
          <w:sz w:val="22"/>
          <w:szCs w:val="22"/>
        </w:rPr>
        <w:t xml:space="preserve">that </w:t>
      </w:r>
      <w:r w:rsidRPr="00160BD0">
        <w:rPr>
          <w:rFonts w:ascii="Aptos" w:hAnsi="Aptos"/>
          <w:sz w:val="22"/>
          <w:szCs w:val="22"/>
        </w:rPr>
        <w:t>enables mass manipulation or social scoring</w:t>
      </w:r>
    </w:p>
    <w:p w14:paraId="263C7CCF" w14:textId="169D6704" w:rsidR="00371057" w:rsidRPr="00160BD0" w:rsidRDefault="00371057" w:rsidP="00663B1A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Examples:</w:t>
      </w:r>
      <w:r w:rsidRPr="00160BD0">
        <w:rPr>
          <w:rFonts w:ascii="Aptos" w:hAnsi="Aptos"/>
          <w:sz w:val="22"/>
          <w:szCs w:val="22"/>
        </w:rPr>
        <w:t xml:space="preserve"> </w:t>
      </w:r>
      <w:r w:rsidR="00663B1A" w:rsidRPr="00160BD0">
        <w:rPr>
          <w:rFonts w:ascii="Aptos" w:hAnsi="Aptos"/>
          <w:sz w:val="22"/>
          <w:szCs w:val="22"/>
        </w:rPr>
        <w:t>T</w:t>
      </w:r>
      <w:r w:rsidRPr="00160BD0">
        <w:rPr>
          <w:rFonts w:ascii="Aptos" w:hAnsi="Aptos"/>
          <w:sz w:val="22"/>
          <w:szCs w:val="22"/>
        </w:rPr>
        <w:t xml:space="preserve">ools used for </w:t>
      </w:r>
      <w:r w:rsidR="00663B1A" w:rsidRPr="00160BD0">
        <w:rPr>
          <w:rFonts w:ascii="Aptos" w:hAnsi="Aptos"/>
          <w:sz w:val="22"/>
          <w:szCs w:val="22"/>
        </w:rPr>
        <w:t>unfair</w:t>
      </w:r>
      <w:r w:rsidRPr="00160BD0">
        <w:rPr>
          <w:rFonts w:ascii="Aptos" w:hAnsi="Aptos"/>
          <w:sz w:val="22"/>
          <w:szCs w:val="22"/>
        </w:rPr>
        <w:t xml:space="preserve"> profiling of communities; covert biometric </w:t>
      </w:r>
      <w:r w:rsidR="00663B1A" w:rsidRPr="00160BD0">
        <w:rPr>
          <w:rFonts w:ascii="Aptos" w:hAnsi="Aptos"/>
          <w:sz w:val="22"/>
          <w:szCs w:val="22"/>
        </w:rPr>
        <w:t>surveillance</w:t>
      </w:r>
    </w:p>
    <w:p w14:paraId="512DD410" w14:textId="79C066EF" w:rsidR="00371057" w:rsidRPr="00160BD0" w:rsidRDefault="00663B1A" w:rsidP="00160BD0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Obligations</w:t>
      </w:r>
      <w:r w:rsidR="00870BF4" w:rsidRPr="00160BD0">
        <w:rPr>
          <w:rFonts w:ascii="Aptos" w:hAnsi="Aptos"/>
          <w:b/>
          <w:bCs/>
          <w:sz w:val="22"/>
          <w:szCs w:val="22"/>
        </w:rPr>
        <w:t xml:space="preserve"> under EU AI Act</w:t>
      </w:r>
      <w:r w:rsidR="00371057" w:rsidRPr="00160BD0">
        <w:rPr>
          <w:rFonts w:ascii="Aptos" w:hAnsi="Aptos"/>
          <w:b/>
          <w:bCs/>
          <w:sz w:val="22"/>
          <w:szCs w:val="22"/>
        </w:rPr>
        <w:t xml:space="preserve">: </w:t>
      </w:r>
      <w:r w:rsidR="00371057" w:rsidRPr="00160BD0">
        <w:rPr>
          <w:rFonts w:ascii="Aptos" w:hAnsi="Aptos"/>
          <w:sz w:val="22"/>
          <w:szCs w:val="22"/>
        </w:rPr>
        <w:t>Banned</w:t>
      </w:r>
    </w:p>
    <w:p w14:paraId="508A2A89" w14:textId="7BF05A65" w:rsidR="00371057" w:rsidRPr="00160BD0" w:rsidRDefault="00371057" w:rsidP="00663B1A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High Risk: </w:t>
      </w:r>
      <w:r w:rsidRPr="00160BD0">
        <w:rPr>
          <w:rFonts w:ascii="Aptos" w:hAnsi="Aptos"/>
          <w:sz w:val="22"/>
          <w:szCs w:val="22"/>
        </w:rPr>
        <w:t>AI used in decision-making regarding the operation of critical infrastructure, education, employment, justice, or safety-related decisions.</w:t>
      </w:r>
    </w:p>
    <w:p w14:paraId="11FCAE54" w14:textId="24E917F7" w:rsidR="00FB5EFF" w:rsidRPr="00160BD0" w:rsidRDefault="00371057" w:rsidP="00870BF4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Examples:</w:t>
      </w:r>
      <w:r w:rsidRPr="00160BD0">
        <w:rPr>
          <w:rFonts w:ascii="Aptos" w:hAnsi="Aptos"/>
          <w:sz w:val="22"/>
          <w:szCs w:val="22"/>
        </w:rPr>
        <w:t xml:space="preserve"> Flood risk prediction systems used in public warnings; land use models used in zoning</w:t>
      </w:r>
    </w:p>
    <w:p w14:paraId="0FBB1884" w14:textId="123425BE" w:rsidR="00663B1A" w:rsidRPr="00160BD0" w:rsidRDefault="00870BF4" w:rsidP="00870BF4">
      <w:pPr>
        <w:ind w:left="1440"/>
        <w:textAlignment w:val="baseline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Obligations under EU AI Act: </w:t>
      </w:r>
      <w:r w:rsidR="00663B1A" w:rsidRPr="00160BD0">
        <w:rPr>
          <w:rFonts w:ascii="Aptos" w:hAnsi="Aptos"/>
          <w:b/>
          <w:bCs/>
          <w:sz w:val="22"/>
          <w:szCs w:val="22"/>
        </w:rPr>
        <w:t>include</w:t>
      </w:r>
      <w:r w:rsidR="00371057" w:rsidRPr="00160BD0">
        <w:rPr>
          <w:rFonts w:ascii="Aptos" w:hAnsi="Aptos"/>
          <w:b/>
          <w:bCs/>
          <w:sz w:val="22"/>
          <w:szCs w:val="22"/>
        </w:rPr>
        <w:t>:</w:t>
      </w:r>
      <w:r w:rsidR="00371057" w:rsidRPr="00160BD0">
        <w:rPr>
          <w:rFonts w:ascii="Aptos" w:hAnsi="Aptos"/>
          <w:sz w:val="22"/>
          <w:szCs w:val="22"/>
        </w:rPr>
        <w:t xml:space="preserve"> </w:t>
      </w:r>
    </w:p>
    <w:p w14:paraId="23E1E656" w14:textId="522E23B9" w:rsidR="00663B1A" w:rsidRPr="00160BD0" w:rsidRDefault="00663B1A" w:rsidP="00160BD0">
      <w:pPr>
        <w:pStyle w:val="ListParagraph"/>
        <w:numPr>
          <w:ilvl w:val="0"/>
          <w:numId w:val="8"/>
        </w:numPr>
        <w:textAlignment w:val="baseline"/>
        <w:rPr>
          <w:rFonts w:ascii="Aptos" w:hAnsi="Aptos"/>
          <w:color w:val="000000" w:themeColor="text1"/>
          <w:sz w:val="22"/>
          <w:szCs w:val="22"/>
        </w:rPr>
      </w:pPr>
      <w:r w:rsidRPr="00160BD0">
        <w:rPr>
          <w:rFonts w:ascii="Aptos" w:hAnsi="Aptos"/>
          <w:color w:val="000000" w:themeColor="text1"/>
          <w:sz w:val="22"/>
          <w:szCs w:val="22"/>
        </w:rPr>
        <w:t>Establish a </w:t>
      </w:r>
      <w:r w:rsidRPr="00160BD0">
        <w:rPr>
          <w:rStyle w:val="Strong"/>
          <w:rFonts w:ascii="Aptos" w:eastAsiaTheme="majorEastAsia" w:hAnsi="Aptos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 xml:space="preserve">system to discern and manage </w:t>
      </w:r>
      <w:proofErr w:type="gramStart"/>
      <w:r w:rsidRPr="00160BD0">
        <w:rPr>
          <w:rStyle w:val="Strong"/>
          <w:rFonts w:ascii="Aptos" w:eastAsiaTheme="majorEastAsia" w:hAnsi="Aptos"/>
          <w:b w:val="0"/>
          <w:bCs w:val="0"/>
          <w:color w:val="000000" w:themeColor="text1"/>
          <w:sz w:val="22"/>
          <w:szCs w:val="22"/>
          <w:bdr w:val="none" w:sz="0" w:space="0" w:color="auto" w:frame="1"/>
        </w:rPr>
        <w:t>risk</w:t>
      </w:r>
      <w:r w:rsidRPr="00160BD0">
        <w:rPr>
          <w:rFonts w:ascii="Aptos" w:hAnsi="Aptos"/>
          <w:color w:val="000000" w:themeColor="text1"/>
          <w:sz w:val="22"/>
          <w:szCs w:val="22"/>
        </w:rPr>
        <w:t>;</w:t>
      </w:r>
      <w:proofErr w:type="gramEnd"/>
    </w:p>
    <w:p w14:paraId="4CFA7888" w14:textId="1286EA73" w:rsidR="00663B1A" w:rsidRPr="00160BD0" w:rsidRDefault="00663B1A" w:rsidP="00160BD0">
      <w:pPr>
        <w:pStyle w:val="ListParagraph"/>
        <w:numPr>
          <w:ilvl w:val="0"/>
          <w:numId w:val="8"/>
        </w:numPr>
        <w:textAlignment w:val="baseline"/>
        <w:rPr>
          <w:rFonts w:ascii="Aptos" w:hAnsi="Aptos"/>
          <w:color w:val="000000" w:themeColor="text1"/>
          <w:sz w:val="22"/>
          <w:szCs w:val="22"/>
        </w:rPr>
      </w:pPr>
      <w:r w:rsidRPr="00160BD0">
        <w:rPr>
          <w:rFonts w:ascii="Aptos" w:hAnsi="Aptos"/>
          <w:color w:val="000000" w:themeColor="text1"/>
          <w:sz w:val="22"/>
          <w:szCs w:val="22"/>
        </w:rPr>
        <w:t xml:space="preserve">Ensure training and testing datasets are representative and </w:t>
      </w:r>
      <w:r w:rsidR="00160BD0">
        <w:rPr>
          <w:rFonts w:ascii="Aptos" w:hAnsi="Aptos"/>
          <w:color w:val="000000" w:themeColor="text1"/>
          <w:sz w:val="22"/>
          <w:szCs w:val="22"/>
        </w:rPr>
        <w:t xml:space="preserve">of </w:t>
      </w:r>
      <w:r w:rsidRPr="00160BD0">
        <w:rPr>
          <w:rFonts w:ascii="Aptos" w:hAnsi="Aptos"/>
          <w:color w:val="000000" w:themeColor="text1"/>
          <w:sz w:val="22"/>
          <w:szCs w:val="22"/>
        </w:rPr>
        <w:t xml:space="preserve">high </w:t>
      </w:r>
      <w:proofErr w:type="gramStart"/>
      <w:r w:rsidRPr="00160BD0">
        <w:rPr>
          <w:rFonts w:ascii="Aptos" w:hAnsi="Aptos"/>
          <w:color w:val="000000" w:themeColor="text1"/>
          <w:sz w:val="22"/>
          <w:szCs w:val="22"/>
        </w:rPr>
        <w:t>quality;</w:t>
      </w:r>
      <w:proofErr w:type="gramEnd"/>
    </w:p>
    <w:p w14:paraId="368A8D00" w14:textId="77777777" w:rsidR="00160BD0" w:rsidRPr="00160BD0" w:rsidRDefault="00663B1A" w:rsidP="00160BD0">
      <w:pPr>
        <w:pStyle w:val="ListParagraph"/>
        <w:numPr>
          <w:ilvl w:val="0"/>
          <w:numId w:val="8"/>
        </w:numPr>
        <w:textAlignment w:val="baseline"/>
        <w:rPr>
          <w:rFonts w:ascii="Aptos" w:hAnsi="Aptos"/>
          <w:color w:val="000000" w:themeColor="text1"/>
          <w:sz w:val="22"/>
          <w:szCs w:val="22"/>
        </w:rPr>
      </w:pPr>
      <w:r w:rsidRPr="00160BD0">
        <w:rPr>
          <w:rFonts w:ascii="Aptos" w:hAnsi="Aptos"/>
          <w:color w:val="000000" w:themeColor="text1"/>
          <w:sz w:val="22"/>
          <w:szCs w:val="22"/>
        </w:rPr>
        <w:t xml:space="preserve">Maintain technical </w:t>
      </w:r>
      <w:proofErr w:type="gramStart"/>
      <w:r w:rsidRPr="00160BD0">
        <w:rPr>
          <w:rFonts w:ascii="Aptos" w:hAnsi="Aptos"/>
          <w:color w:val="000000" w:themeColor="text1"/>
          <w:sz w:val="22"/>
          <w:szCs w:val="22"/>
        </w:rPr>
        <w:t>documentation;</w:t>
      </w:r>
      <w:proofErr w:type="gramEnd"/>
    </w:p>
    <w:p w14:paraId="3AAEE229" w14:textId="5B3C620E" w:rsidR="00160BD0" w:rsidRPr="00160BD0" w:rsidRDefault="00663B1A" w:rsidP="00160BD0">
      <w:pPr>
        <w:pStyle w:val="ListParagraph"/>
        <w:numPr>
          <w:ilvl w:val="0"/>
          <w:numId w:val="8"/>
        </w:numPr>
        <w:textAlignment w:val="baseline"/>
        <w:rPr>
          <w:rFonts w:ascii="Aptos" w:hAnsi="Aptos"/>
          <w:color w:val="000000" w:themeColor="text1"/>
          <w:sz w:val="22"/>
          <w:szCs w:val="22"/>
        </w:rPr>
      </w:pPr>
      <w:r w:rsidRPr="00160BD0">
        <w:rPr>
          <w:rFonts w:ascii="Aptos" w:hAnsi="Aptos"/>
          <w:color w:val="000000" w:themeColor="text1"/>
          <w:sz w:val="22"/>
          <w:szCs w:val="22"/>
        </w:rPr>
        <w:t xml:space="preserve">Ensure the system achieves an acceptable level of performance </w:t>
      </w:r>
    </w:p>
    <w:p w14:paraId="2DFB1C7B" w14:textId="72A83966" w:rsidR="00663B1A" w:rsidRPr="00160BD0" w:rsidRDefault="00371057" w:rsidP="00782E02">
      <w:pPr>
        <w:pStyle w:val="ListParagraph"/>
        <w:numPr>
          <w:ilvl w:val="0"/>
          <w:numId w:val="5"/>
        </w:numPr>
        <w:textAlignment w:val="baseline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Limited Risk: </w:t>
      </w:r>
      <w:r w:rsidR="00663B1A" w:rsidRPr="00160BD0">
        <w:rPr>
          <w:rFonts w:ascii="Aptos" w:hAnsi="Aptos"/>
          <w:sz w:val="22"/>
          <w:szCs w:val="22"/>
        </w:rPr>
        <w:t>AI systems that interact with humans, generate content, or pose low-level risks of misunderstanding or misuse.</w:t>
      </w:r>
    </w:p>
    <w:p w14:paraId="6F260C9F" w14:textId="77AC978B" w:rsidR="00663B1A" w:rsidRPr="00160BD0" w:rsidRDefault="00663B1A" w:rsidP="00870BF4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Examples:</w:t>
      </w:r>
      <w:r w:rsidRPr="00160BD0">
        <w:rPr>
          <w:rFonts w:ascii="Aptos" w:hAnsi="Aptos"/>
          <w:sz w:val="22"/>
          <w:szCs w:val="22"/>
        </w:rPr>
        <w:t xml:space="preserve"> Interactive dashboards using AI-generated maps</w:t>
      </w:r>
    </w:p>
    <w:p w14:paraId="30390E19" w14:textId="225B07EF" w:rsidR="00663B1A" w:rsidRPr="00160BD0" w:rsidRDefault="00663B1A" w:rsidP="00160BD0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Obligations:</w:t>
      </w:r>
      <w:r w:rsidRPr="00160BD0">
        <w:rPr>
          <w:rFonts w:ascii="Aptos" w:hAnsi="Aptos"/>
          <w:sz w:val="22"/>
          <w:szCs w:val="22"/>
        </w:rPr>
        <w:t xml:space="preserve"> Developers and operators need to disclose the use of AI to end users of the system and its outputs</w:t>
      </w:r>
    </w:p>
    <w:p w14:paraId="55D0441F" w14:textId="021832BF" w:rsidR="00663B1A" w:rsidRPr="00160BD0" w:rsidRDefault="00663B1A" w:rsidP="00870BF4">
      <w:pPr>
        <w:pStyle w:val="ListParagraph"/>
        <w:numPr>
          <w:ilvl w:val="0"/>
          <w:numId w:val="5"/>
        </w:numPr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Minimal or No Risk: </w:t>
      </w:r>
      <w:r w:rsidRPr="00160BD0">
        <w:rPr>
          <w:rFonts w:ascii="Aptos" w:hAnsi="Aptos"/>
          <w:sz w:val="22"/>
          <w:szCs w:val="22"/>
        </w:rPr>
        <w:t>Systems that do not fall into the other three categories</w:t>
      </w:r>
    </w:p>
    <w:p w14:paraId="68A55A38" w14:textId="7D0B3C15" w:rsidR="00663B1A" w:rsidRPr="00160BD0" w:rsidRDefault="00663B1A" w:rsidP="00870BF4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Examples:</w:t>
      </w:r>
      <w:r w:rsidRPr="00160BD0">
        <w:rPr>
          <w:rFonts w:ascii="Aptos" w:hAnsi="Aptos"/>
          <w:sz w:val="22"/>
          <w:szCs w:val="22"/>
        </w:rPr>
        <w:t xml:space="preserve"> Visualization</w:t>
      </w:r>
      <w:r w:rsidR="00870BF4" w:rsidRPr="00160BD0">
        <w:rPr>
          <w:rFonts w:ascii="Aptos" w:hAnsi="Aptos"/>
          <w:sz w:val="22"/>
          <w:szCs w:val="22"/>
        </w:rPr>
        <w:t>s</w:t>
      </w:r>
      <w:r w:rsidRPr="00160BD0">
        <w:rPr>
          <w:rFonts w:ascii="Aptos" w:hAnsi="Aptos"/>
          <w:sz w:val="22"/>
          <w:szCs w:val="22"/>
        </w:rPr>
        <w:t xml:space="preserve"> using </w:t>
      </w:r>
      <w:r w:rsidR="00870BF4" w:rsidRPr="00160BD0">
        <w:rPr>
          <w:rFonts w:ascii="Aptos" w:hAnsi="Aptos"/>
          <w:sz w:val="22"/>
          <w:szCs w:val="22"/>
        </w:rPr>
        <w:t>AI</w:t>
      </w:r>
      <w:r w:rsidRPr="00160BD0">
        <w:rPr>
          <w:rFonts w:ascii="Aptos" w:hAnsi="Aptos"/>
          <w:sz w:val="22"/>
          <w:szCs w:val="22"/>
        </w:rPr>
        <w:t xml:space="preserve"> for aesthetics; simulation</w:t>
      </w:r>
      <w:r w:rsidR="00870BF4" w:rsidRPr="00160BD0">
        <w:rPr>
          <w:rFonts w:ascii="Aptos" w:hAnsi="Aptos"/>
          <w:sz w:val="22"/>
          <w:szCs w:val="22"/>
        </w:rPr>
        <w:t>s</w:t>
      </w:r>
      <w:r w:rsidRPr="00160BD0">
        <w:rPr>
          <w:rFonts w:ascii="Aptos" w:hAnsi="Aptos"/>
          <w:sz w:val="22"/>
          <w:szCs w:val="22"/>
        </w:rPr>
        <w:t xml:space="preserve"> used in education</w:t>
      </w:r>
    </w:p>
    <w:p w14:paraId="3AF0F9E7" w14:textId="0AC14452" w:rsidR="00870BF4" w:rsidRPr="00160BD0" w:rsidRDefault="00663B1A" w:rsidP="00160BD0">
      <w:pPr>
        <w:pStyle w:val="ListParagraph"/>
        <w:ind w:left="1440"/>
        <w:rPr>
          <w:rFonts w:ascii="Aptos" w:hAnsi="Aptos"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>Obligations:</w:t>
      </w:r>
      <w:r w:rsidRPr="00160BD0">
        <w:rPr>
          <w:rFonts w:ascii="Aptos" w:hAnsi="Aptos"/>
          <w:sz w:val="22"/>
          <w:szCs w:val="22"/>
        </w:rPr>
        <w:t xml:space="preserve"> No action needed to comply with the EU AI Act</w:t>
      </w:r>
    </w:p>
    <w:p w14:paraId="6A9A86E8" w14:textId="77777777" w:rsidR="00870BF4" w:rsidRPr="00160BD0" w:rsidRDefault="00870BF4" w:rsidP="00870BF4">
      <w:pPr>
        <w:pStyle w:val="ListParagraph"/>
        <w:ind w:left="1440"/>
        <w:rPr>
          <w:rFonts w:ascii="Aptos" w:hAnsi="Aptos"/>
          <w:b/>
          <w:bCs/>
          <w:sz w:val="22"/>
          <w:szCs w:val="22"/>
        </w:rPr>
      </w:pPr>
    </w:p>
    <w:p w14:paraId="3D3A8FDD" w14:textId="0641DB49" w:rsidR="00FB5EFF" w:rsidRDefault="00870BF4" w:rsidP="00870BF4">
      <w:pPr>
        <w:rPr>
          <w:rFonts w:ascii="Aptos" w:hAnsi="Aptos"/>
          <w:b/>
          <w:bCs/>
          <w:sz w:val="22"/>
          <w:szCs w:val="22"/>
        </w:rPr>
      </w:pPr>
      <w:r w:rsidRPr="00160BD0">
        <w:rPr>
          <w:rFonts w:ascii="Aptos" w:hAnsi="Aptos"/>
          <w:b/>
          <w:bCs/>
          <w:sz w:val="22"/>
          <w:szCs w:val="22"/>
        </w:rPr>
        <w:t xml:space="preserve">Learn more: </w:t>
      </w:r>
      <w:hyperlink r:id="rId7" w:history="1">
        <w:r w:rsidRPr="00160BD0">
          <w:rPr>
            <w:rStyle w:val="Hyperlink"/>
            <w:rFonts w:ascii="Aptos" w:hAnsi="Aptos"/>
            <w:b/>
            <w:bCs/>
            <w:sz w:val="22"/>
            <w:szCs w:val="22"/>
          </w:rPr>
          <w:t>https://digital-strategy.ec.europa.eu/en/policies/regulatory-framework-ai</w:t>
        </w:r>
      </w:hyperlink>
      <w:r w:rsidRPr="00160BD0">
        <w:rPr>
          <w:rFonts w:ascii="Aptos" w:hAnsi="Aptos"/>
          <w:b/>
          <w:bCs/>
          <w:sz w:val="22"/>
          <w:szCs w:val="22"/>
        </w:rPr>
        <w:t xml:space="preserve"> </w:t>
      </w:r>
    </w:p>
    <w:p w14:paraId="7A2BDD2B" w14:textId="77777777" w:rsidR="00160BD0" w:rsidRPr="00160BD0" w:rsidRDefault="00160BD0" w:rsidP="00870BF4">
      <w:pPr>
        <w:rPr>
          <w:rFonts w:ascii="Aptos" w:hAnsi="Aptos"/>
          <w:b/>
          <w:bCs/>
          <w:sz w:val="22"/>
          <w:szCs w:val="22"/>
        </w:rPr>
      </w:pPr>
    </w:p>
    <w:p w14:paraId="5A8576E6" w14:textId="6B911BBC" w:rsidR="00A93C78" w:rsidRPr="00160BD0" w:rsidRDefault="00160BD0" w:rsidP="00663B1A">
      <w:pPr>
        <w:rPr>
          <w:rFonts w:ascii="Aptos" w:hAnsi="Aptos"/>
          <w:sz w:val="22"/>
          <w:szCs w:val="22"/>
        </w:rPr>
      </w:pPr>
      <w:r>
        <w:fldChar w:fldCharType="begin"/>
      </w:r>
      <w:r>
        <w:instrText xml:space="preserve"> INCLUDEPICTURE "https://i-guide.io/wp-content/themes/iguide-v2/assets/images/logo-color.png"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E1E386" wp14:editId="4CE258A1">
            <wp:extent cx="2590391" cy="1261641"/>
            <wp:effectExtent l="0" t="0" r="635" b="0"/>
            <wp:docPr id="549733" name="Picture 1" descr="A logo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33" name="Picture 1" descr="A logo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96" cy="136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A93C78" w:rsidRPr="00160B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69A62" w14:textId="77777777" w:rsidR="00B048EE" w:rsidRDefault="00B048EE" w:rsidP="00160BD0">
      <w:r>
        <w:separator/>
      </w:r>
    </w:p>
  </w:endnote>
  <w:endnote w:type="continuationSeparator" w:id="0">
    <w:p w14:paraId="5189EA17" w14:textId="77777777" w:rsidR="00B048EE" w:rsidRDefault="00B048EE" w:rsidP="0016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23A65" w14:textId="337EDC78" w:rsidR="00160BD0" w:rsidRPr="00160BD0" w:rsidRDefault="00160BD0" w:rsidP="00160BD0">
    <w:pPr>
      <w:spacing w:after="160"/>
      <w:rPr>
        <w:rFonts w:ascii="Aptos" w:hAnsi="Aptos"/>
        <w:b/>
        <w:bCs/>
        <w:sz w:val="22"/>
        <w:szCs w:val="22"/>
      </w:rPr>
    </w:pPr>
    <w:r w:rsidRPr="00160BD0">
      <w:rPr>
        <w:rFonts w:ascii="Aptos" w:hAnsi="Aptos"/>
        <w:b/>
        <w:bCs/>
        <w:sz w:val="22"/>
        <w:szCs w:val="22"/>
      </w:rPr>
      <w:t>I-GUIDE PRIMER ON THE EUROPEAN UNION ARTIFICIAL INTELLIGENCE ACT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2F42A2" w14:textId="77777777" w:rsidR="00B048EE" w:rsidRDefault="00B048EE" w:rsidP="00160BD0">
      <w:r>
        <w:separator/>
      </w:r>
    </w:p>
  </w:footnote>
  <w:footnote w:type="continuationSeparator" w:id="0">
    <w:p w14:paraId="7386BD7F" w14:textId="77777777" w:rsidR="00B048EE" w:rsidRDefault="00B048EE" w:rsidP="00160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343EC" w14:textId="5D73B592" w:rsidR="00160BD0" w:rsidRDefault="00160BD0" w:rsidP="00160BD0">
    <w:pPr>
      <w:pStyle w:val="Header"/>
      <w:tabs>
        <w:tab w:val="clear" w:pos="4680"/>
        <w:tab w:val="clear" w:pos="9360"/>
      </w:tabs>
    </w:pPr>
    <w:r>
      <w:fldChar w:fldCharType="begin"/>
    </w:r>
    <w:r>
      <w:instrText xml:space="preserve"> INCLUDEPICTURE "https://i-guide.io/wp-content/themes/iguide-v2/assets/images/logo-color.png" \* MERGEFORMATINET </w:instrText>
    </w:r>
    <w:r>
      <w:fldChar w:fldCharType="separate"/>
    </w:r>
    <w:r>
      <w:rPr>
        <w:noProof/>
      </w:rPr>
      <w:drawing>
        <wp:inline distT="0" distB="0" distL="0" distR="0" wp14:anchorId="77777531" wp14:editId="3CD7DF5F">
          <wp:extent cx="833377" cy="405893"/>
          <wp:effectExtent l="0" t="0" r="5080" b="635"/>
          <wp:docPr id="290094894" name="Picture 1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9733" name="Picture 1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7993" cy="447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B5B51"/>
    <w:multiLevelType w:val="hybridMultilevel"/>
    <w:tmpl w:val="0D26A59E"/>
    <w:lvl w:ilvl="0" w:tplc="3A66B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46FD4"/>
    <w:multiLevelType w:val="multilevel"/>
    <w:tmpl w:val="D082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1FD6"/>
    <w:multiLevelType w:val="hybridMultilevel"/>
    <w:tmpl w:val="253CE5F6"/>
    <w:lvl w:ilvl="0" w:tplc="18AE1AF8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5343806"/>
    <w:multiLevelType w:val="hybridMultilevel"/>
    <w:tmpl w:val="A73E733C"/>
    <w:lvl w:ilvl="0" w:tplc="1424294C">
      <w:start w:val="3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672E8"/>
    <w:multiLevelType w:val="multilevel"/>
    <w:tmpl w:val="0D18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00082"/>
    <w:multiLevelType w:val="multilevel"/>
    <w:tmpl w:val="387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6318F"/>
    <w:multiLevelType w:val="hybridMultilevel"/>
    <w:tmpl w:val="E83241E6"/>
    <w:lvl w:ilvl="0" w:tplc="99ACFCC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EA439BC"/>
    <w:multiLevelType w:val="multilevel"/>
    <w:tmpl w:val="56D46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1069310886">
    <w:abstractNumId w:val="5"/>
  </w:num>
  <w:num w:numId="2" w16cid:durableId="1414429888">
    <w:abstractNumId w:val="4"/>
  </w:num>
  <w:num w:numId="3" w16cid:durableId="408816367">
    <w:abstractNumId w:val="1"/>
  </w:num>
  <w:num w:numId="4" w16cid:durableId="1135105189">
    <w:abstractNumId w:val="6"/>
  </w:num>
  <w:num w:numId="5" w16cid:durableId="1399090284">
    <w:abstractNumId w:val="0"/>
  </w:num>
  <w:num w:numId="6" w16cid:durableId="1068072721">
    <w:abstractNumId w:val="3"/>
  </w:num>
  <w:num w:numId="7" w16cid:durableId="233126384">
    <w:abstractNumId w:val="7"/>
  </w:num>
  <w:num w:numId="8" w16cid:durableId="723912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78"/>
    <w:rsid w:val="000C0441"/>
    <w:rsid w:val="00160BD0"/>
    <w:rsid w:val="00371057"/>
    <w:rsid w:val="005D389B"/>
    <w:rsid w:val="00601FBB"/>
    <w:rsid w:val="00663B1A"/>
    <w:rsid w:val="00784D53"/>
    <w:rsid w:val="00870BF4"/>
    <w:rsid w:val="00A93C78"/>
    <w:rsid w:val="00B048EE"/>
    <w:rsid w:val="00C41C69"/>
    <w:rsid w:val="00EC06F5"/>
    <w:rsid w:val="00FB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6079"/>
  <w15:chartTrackingRefBased/>
  <w15:docId w15:val="{B1FB8C27-F2FE-6741-BEB8-A89B4FF9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B1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3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3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7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B5EFF"/>
    <w:rPr>
      <w:b/>
      <w:bCs/>
    </w:rPr>
  </w:style>
  <w:style w:type="character" w:styleId="Hyperlink">
    <w:name w:val="Hyperlink"/>
    <w:basedOn w:val="DefaultParagraphFont"/>
    <w:uiPriority w:val="99"/>
    <w:unhideWhenUsed/>
    <w:rsid w:val="00870B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B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0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BD0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60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BD0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0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igital-strategy.ec.europa.eu/en/policies/regulatory-framework-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2142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Darch</dc:creator>
  <cp:keywords/>
  <dc:description/>
  <cp:lastModifiedBy>Peter Darch</cp:lastModifiedBy>
  <cp:revision>3</cp:revision>
  <dcterms:created xsi:type="dcterms:W3CDTF">2025-03-23T23:27:00Z</dcterms:created>
  <dcterms:modified xsi:type="dcterms:W3CDTF">2025-03-23T23:27:00Z</dcterms:modified>
</cp:coreProperties>
</file>