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33D9" w14:textId="78ECF5C2" w:rsidR="00784D53" w:rsidRPr="006A0C6B" w:rsidRDefault="006A0C6B" w:rsidP="006A0C6B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A0C6B">
        <w:rPr>
          <w:rFonts w:ascii="Aptos" w:hAnsi="Aptos"/>
          <w:b/>
          <w:bCs/>
          <w:sz w:val="22"/>
          <w:szCs w:val="22"/>
        </w:rPr>
        <w:t>I-GUIDE PRIMER ON THE GENERAL DATA PROTECTION REGULATION (GDPR)</w:t>
      </w:r>
    </w:p>
    <w:p w14:paraId="3D3C3FE0" w14:textId="3883E921" w:rsidR="008F67A5" w:rsidRPr="008F67A5" w:rsidRDefault="008F67A5" w:rsidP="006A0C6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The 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European Union’s (EU) </w:t>
      </w: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General Data Protection Regulation (GDPR) 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was enacted in May 2018, and </w:t>
      </w: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governs the collection, use, sharing, and storage of personal data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. The Act </w:t>
      </w: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applies to research 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involving</w:t>
      </w: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data about 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EU citizens</w:t>
      </w: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even if the research is conducted elsewhere.</w:t>
      </w:r>
    </w:p>
    <w:p w14:paraId="6FD517F1" w14:textId="1FB63D58" w:rsidR="008F67A5" w:rsidRPr="008F67A5" w:rsidRDefault="008F67A5" w:rsidP="006A0C6B">
      <w:pPr>
        <w:spacing w:before="100" w:beforeAutospacing="1" w:after="0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What Counts as Personal Data?</w:t>
      </w:r>
    </w:p>
    <w:p w14:paraId="5D046977" w14:textId="3B2CB87F" w:rsidR="008F67A5" w:rsidRPr="008F67A5" w:rsidRDefault="006A0C6B" w:rsidP="006A0C6B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Personal data is a</w:t>
      </w:r>
      <w:r w:rsidR="008F67A5"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ny data that can directly or indirectly identify an individual, including:</w:t>
      </w:r>
    </w:p>
    <w:p w14:paraId="0D4EF03F" w14:textId="03F1EEF5" w:rsidR="008F67A5" w:rsidRPr="008F67A5" w:rsidRDefault="008F67A5" w:rsidP="006A0C6B">
      <w:pPr>
        <w:numPr>
          <w:ilvl w:val="0"/>
          <w:numId w:val="4"/>
        </w:numPr>
        <w:spacing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Names, addresses, national ID </w:t>
      </w:r>
      <w:proofErr w:type="gramStart"/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numbers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;</w:t>
      </w:r>
      <w:proofErr w:type="gramEnd"/>
    </w:p>
    <w:p w14:paraId="28635796" w14:textId="7368DDC8" w:rsidR="008F67A5" w:rsidRPr="008F67A5" w:rsidRDefault="008F67A5" w:rsidP="006A0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Geolocation or GPS coordinates tied to individuals or </w:t>
      </w:r>
      <w:proofErr w:type="gramStart"/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homes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;</w:t>
      </w:r>
      <w:proofErr w:type="gramEnd"/>
    </w:p>
    <w:p w14:paraId="0623DFE6" w14:textId="19112504" w:rsidR="008F67A5" w:rsidRPr="008F67A5" w:rsidRDefault="008F67A5" w:rsidP="006A0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Drone or satellite imagery revealing private </w:t>
      </w:r>
      <w:proofErr w:type="gramStart"/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property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;</w:t>
      </w:r>
      <w:proofErr w:type="gramEnd"/>
    </w:p>
    <w:p w14:paraId="2C7F0223" w14:textId="3B4B652C" w:rsidR="008F67A5" w:rsidRPr="008F67A5" w:rsidRDefault="008F67A5" w:rsidP="006A0C6B">
      <w:pPr>
        <w:numPr>
          <w:ilvl w:val="0"/>
          <w:numId w:val="4"/>
        </w:numPr>
        <w:spacing w:before="100" w:beforeAutospacing="1"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Survey responses with demographic or spatial informatio</w:t>
      </w:r>
      <w:r w:rsidR="006A0C6B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n</w:t>
      </w:r>
    </w:p>
    <w:p w14:paraId="5528BBCF" w14:textId="3B5D3BFD" w:rsidR="008F67A5" w:rsidRPr="008F67A5" w:rsidRDefault="008F67A5" w:rsidP="006A0C6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F67A5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Key GDPR Principles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3064"/>
        <w:gridCol w:w="3834"/>
      </w:tblGrid>
      <w:tr w:rsidR="006A0C6B" w:rsidRPr="006A0C6B" w14:paraId="367751C7" w14:textId="77777777" w:rsidTr="006A0C6B"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  <w:hideMark/>
          </w:tcPr>
          <w:p w14:paraId="16B9C81F" w14:textId="367070CD" w:rsidR="008F67A5" w:rsidRPr="008F67A5" w:rsidRDefault="006A0C6B" w:rsidP="006A0C6B">
            <w:pPr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6A0C6B"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GDPR PRINCIPLE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hideMark/>
          </w:tcPr>
          <w:p w14:paraId="703F1185" w14:textId="12526450" w:rsidR="008F67A5" w:rsidRPr="008F67A5" w:rsidRDefault="006A0C6B" w:rsidP="006A0C6B">
            <w:pPr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6A0C6B"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  <w:hideMark/>
          </w:tcPr>
          <w:p w14:paraId="3E90075D" w14:textId="11F29EDB" w:rsidR="008F67A5" w:rsidRPr="008F67A5" w:rsidRDefault="006A0C6B" w:rsidP="006A0C6B">
            <w:pPr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6A0C6B"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8F67A5" w:rsidRPr="008F67A5" w14:paraId="02ECCD4E" w14:textId="77777777" w:rsidTr="006A0C6B">
        <w:tc>
          <w:tcPr>
            <w:tcW w:w="0" w:type="auto"/>
            <w:hideMark/>
          </w:tcPr>
          <w:p w14:paraId="1A8914B7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Lawfulness, Fairness &amp; Transparency</w:t>
            </w:r>
          </w:p>
        </w:tc>
        <w:tc>
          <w:tcPr>
            <w:tcW w:w="0" w:type="auto"/>
            <w:hideMark/>
          </w:tcPr>
          <w:p w14:paraId="17EC66A8" w14:textId="23C4E438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Obtain consent and be clear about how data will be used</w:t>
            </w:r>
          </w:p>
        </w:tc>
        <w:tc>
          <w:tcPr>
            <w:tcW w:w="0" w:type="auto"/>
            <w:hideMark/>
          </w:tcPr>
          <w:p w14:paraId="632AFB05" w14:textId="5373F5B6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Inform participants how their mapping contributions will be used and archived</w:t>
            </w:r>
          </w:p>
        </w:tc>
      </w:tr>
      <w:tr w:rsidR="008F67A5" w:rsidRPr="008F67A5" w14:paraId="0FC65908" w14:textId="77777777" w:rsidTr="006A0C6B">
        <w:tc>
          <w:tcPr>
            <w:tcW w:w="0" w:type="auto"/>
            <w:hideMark/>
          </w:tcPr>
          <w:p w14:paraId="518CDEAF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 Limitation</w:t>
            </w:r>
          </w:p>
        </w:tc>
        <w:tc>
          <w:tcPr>
            <w:tcW w:w="0" w:type="auto"/>
            <w:hideMark/>
          </w:tcPr>
          <w:p w14:paraId="2447C601" w14:textId="22A617E4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Use data only for the purpose stated at the time of collection</w:t>
            </w:r>
          </w:p>
        </w:tc>
        <w:tc>
          <w:tcPr>
            <w:tcW w:w="0" w:type="auto"/>
            <w:hideMark/>
          </w:tcPr>
          <w:p w14:paraId="7083EA74" w14:textId="58EF5853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Avoid using land parcel data from one study for a commercial analysis</w:t>
            </w:r>
          </w:p>
        </w:tc>
      </w:tr>
      <w:tr w:rsidR="008F67A5" w:rsidRPr="008F67A5" w14:paraId="61CC99D2" w14:textId="77777777" w:rsidTr="006A0C6B">
        <w:tc>
          <w:tcPr>
            <w:tcW w:w="0" w:type="auto"/>
            <w:hideMark/>
          </w:tcPr>
          <w:p w14:paraId="4752492B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Data Minimization</w:t>
            </w:r>
          </w:p>
        </w:tc>
        <w:tc>
          <w:tcPr>
            <w:tcW w:w="0" w:type="auto"/>
            <w:hideMark/>
          </w:tcPr>
          <w:p w14:paraId="3ACDD87A" w14:textId="711C41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Only collect what is truly necessary</w:t>
            </w:r>
          </w:p>
        </w:tc>
        <w:tc>
          <w:tcPr>
            <w:tcW w:w="0" w:type="auto"/>
            <w:hideMark/>
          </w:tcPr>
          <w:p w14:paraId="05F6A2B4" w14:textId="64085FD9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Collect data at the neighborhood level instead of household level when appropriate</w:t>
            </w:r>
          </w:p>
        </w:tc>
      </w:tr>
      <w:tr w:rsidR="008F67A5" w:rsidRPr="008F67A5" w14:paraId="6A469FCC" w14:textId="77777777" w:rsidTr="006A0C6B">
        <w:tc>
          <w:tcPr>
            <w:tcW w:w="0" w:type="auto"/>
            <w:hideMark/>
          </w:tcPr>
          <w:p w14:paraId="0136039B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034FD85" w14:textId="3051FE25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Keep data up to date and correct</w:t>
            </w:r>
          </w:p>
        </w:tc>
        <w:tc>
          <w:tcPr>
            <w:tcW w:w="0" w:type="auto"/>
            <w:hideMark/>
          </w:tcPr>
          <w:p w14:paraId="5BEE913C" w14:textId="548FA403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Validate remote sensing classifications of land cover when used in decision-making</w:t>
            </w:r>
          </w:p>
        </w:tc>
      </w:tr>
      <w:tr w:rsidR="008F67A5" w:rsidRPr="008F67A5" w14:paraId="158B4C23" w14:textId="77777777" w:rsidTr="006A0C6B">
        <w:tc>
          <w:tcPr>
            <w:tcW w:w="0" w:type="auto"/>
            <w:hideMark/>
          </w:tcPr>
          <w:p w14:paraId="326D340B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Storage Limitation</w:t>
            </w:r>
          </w:p>
        </w:tc>
        <w:tc>
          <w:tcPr>
            <w:tcW w:w="0" w:type="auto"/>
            <w:hideMark/>
          </w:tcPr>
          <w:p w14:paraId="22726928" w14:textId="2593E760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Do not keep data longer than needed</w:t>
            </w:r>
          </w:p>
        </w:tc>
        <w:tc>
          <w:tcPr>
            <w:tcW w:w="0" w:type="auto"/>
            <w:hideMark/>
          </w:tcPr>
          <w:p w14:paraId="1A38F13C" w14:textId="36201103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Set automated deletion dates for personal location logs after model testing</w:t>
            </w:r>
          </w:p>
        </w:tc>
      </w:tr>
      <w:tr w:rsidR="008F67A5" w:rsidRPr="008F67A5" w14:paraId="030BF31D" w14:textId="77777777" w:rsidTr="006A0C6B">
        <w:tc>
          <w:tcPr>
            <w:tcW w:w="0" w:type="auto"/>
            <w:hideMark/>
          </w:tcPr>
          <w:p w14:paraId="1BF49D2E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Integrity &amp; Confidentiality</w:t>
            </w:r>
          </w:p>
        </w:tc>
        <w:tc>
          <w:tcPr>
            <w:tcW w:w="0" w:type="auto"/>
            <w:hideMark/>
          </w:tcPr>
          <w:p w14:paraId="123EA59C" w14:textId="07397058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Protect data from unauthorized access or leaks</w:t>
            </w:r>
          </w:p>
        </w:tc>
        <w:tc>
          <w:tcPr>
            <w:tcW w:w="0" w:type="auto"/>
            <w:hideMark/>
          </w:tcPr>
          <w:p w14:paraId="0864187C" w14:textId="419781B0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Use secure servers and access controls when storing GPS-tagged fieldwork data</w:t>
            </w:r>
          </w:p>
        </w:tc>
      </w:tr>
      <w:tr w:rsidR="008F67A5" w:rsidRPr="008F67A5" w14:paraId="360FA78C" w14:textId="77777777" w:rsidTr="006A0C6B">
        <w:tc>
          <w:tcPr>
            <w:tcW w:w="0" w:type="auto"/>
            <w:hideMark/>
          </w:tcPr>
          <w:p w14:paraId="7C7A5D7F" w14:textId="77777777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b/>
                <w:bCs/>
                <w:kern w:val="0"/>
                <w:sz w:val="22"/>
                <w:szCs w:val="22"/>
                <w14:ligatures w14:val="none"/>
              </w:rPr>
              <w:t>Accountability</w:t>
            </w:r>
          </w:p>
        </w:tc>
        <w:tc>
          <w:tcPr>
            <w:tcW w:w="0" w:type="auto"/>
            <w:hideMark/>
          </w:tcPr>
          <w:p w14:paraId="7D61D9A8" w14:textId="6C570CBC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Be able to demonstrate compliance</w:t>
            </w:r>
          </w:p>
        </w:tc>
        <w:tc>
          <w:tcPr>
            <w:tcW w:w="0" w:type="auto"/>
            <w:hideMark/>
          </w:tcPr>
          <w:p w14:paraId="2DE7F0DA" w14:textId="6290734B" w:rsidR="008F67A5" w:rsidRPr="008F67A5" w:rsidRDefault="008F67A5" w:rsidP="006A0C6B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8F67A5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Keep documentation showing how data were collected, anonymized, and shared</w:t>
            </w:r>
          </w:p>
        </w:tc>
      </w:tr>
    </w:tbl>
    <w:p w14:paraId="3BCACE8F" w14:textId="07C93A78" w:rsidR="006A0C6B" w:rsidRDefault="006A0C6B" w:rsidP="006A0C6B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153BAE7E" w14:textId="77777777" w:rsidR="006A0C6B" w:rsidRDefault="006A0C6B" w:rsidP="006A0C6B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32D104D9" w14:textId="77777777" w:rsidR="006A0C6B" w:rsidRDefault="006A0C6B" w:rsidP="006A0C6B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29C0823E" w14:textId="595140B1" w:rsidR="006A0C6B" w:rsidRPr="008F67A5" w:rsidRDefault="006A0C6B" w:rsidP="006A0C6B">
      <w:pPr>
        <w:spacing w:after="0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2B9AAC" wp14:editId="2CD98031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6A0C6B" w:rsidRPr="008F67A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B8CFD" w14:textId="77777777" w:rsidR="00C2020F" w:rsidRDefault="00C2020F" w:rsidP="006A0C6B">
      <w:pPr>
        <w:spacing w:after="0" w:line="240" w:lineRule="auto"/>
      </w:pPr>
      <w:r>
        <w:separator/>
      </w:r>
    </w:p>
  </w:endnote>
  <w:endnote w:type="continuationSeparator" w:id="0">
    <w:p w14:paraId="01585B84" w14:textId="77777777" w:rsidR="00C2020F" w:rsidRDefault="00C2020F" w:rsidP="006A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35220393"/>
      <w:docPartObj>
        <w:docPartGallery w:val="Page Numbers (Bottom of Page)"/>
        <w:docPartUnique/>
      </w:docPartObj>
    </w:sdtPr>
    <w:sdtContent>
      <w:p w14:paraId="706A7B52" w14:textId="57F5AD37" w:rsidR="006A0C6B" w:rsidRDefault="006A0C6B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71F255" w14:textId="77777777" w:rsidR="006A0C6B" w:rsidRDefault="006A0C6B" w:rsidP="006A0C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8987474"/>
      <w:docPartObj>
        <w:docPartGallery w:val="Page Numbers (Bottom of Page)"/>
        <w:docPartUnique/>
      </w:docPartObj>
    </w:sdtPr>
    <w:sdtContent>
      <w:p w14:paraId="7EC96E15" w14:textId="36A18E79" w:rsidR="006A0C6B" w:rsidRDefault="006A0C6B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2F58E0" w14:textId="4FB371A3" w:rsidR="006A0C6B" w:rsidRPr="006A0C6B" w:rsidRDefault="006A0C6B" w:rsidP="006A0C6B">
    <w:pPr>
      <w:spacing w:line="240" w:lineRule="auto"/>
      <w:ind w:right="360"/>
      <w:rPr>
        <w:rFonts w:ascii="Aptos" w:hAnsi="Aptos"/>
        <w:b/>
        <w:bCs/>
        <w:sz w:val="22"/>
        <w:szCs w:val="22"/>
      </w:rPr>
    </w:pPr>
    <w:r w:rsidRPr="006A0C6B">
      <w:rPr>
        <w:rFonts w:ascii="Aptos" w:hAnsi="Aptos"/>
        <w:b/>
        <w:bCs/>
        <w:sz w:val="22"/>
        <w:szCs w:val="22"/>
      </w:rPr>
      <w:t>I-GUIDE PRIMER ON THE GENERAL DATA PROTECTION REGULATION (GDPR)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500C9" w14:textId="77777777" w:rsidR="00C2020F" w:rsidRDefault="00C2020F" w:rsidP="006A0C6B">
      <w:pPr>
        <w:spacing w:after="0" w:line="240" w:lineRule="auto"/>
      </w:pPr>
      <w:r>
        <w:separator/>
      </w:r>
    </w:p>
  </w:footnote>
  <w:footnote w:type="continuationSeparator" w:id="0">
    <w:p w14:paraId="75F381AD" w14:textId="77777777" w:rsidR="00C2020F" w:rsidRDefault="00C2020F" w:rsidP="006A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9736" w14:textId="3AD01B23" w:rsidR="006A0C6B" w:rsidRDefault="006A0C6B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5CADD86B" wp14:editId="14545E62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0E19"/>
    <w:multiLevelType w:val="hybridMultilevel"/>
    <w:tmpl w:val="1F242426"/>
    <w:lvl w:ilvl="0" w:tplc="18AE1AF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10DE9"/>
    <w:multiLevelType w:val="multilevel"/>
    <w:tmpl w:val="A8D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7FCF"/>
    <w:multiLevelType w:val="multilevel"/>
    <w:tmpl w:val="E96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90B9A"/>
    <w:multiLevelType w:val="multilevel"/>
    <w:tmpl w:val="7390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C6D17"/>
    <w:multiLevelType w:val="multilevel"/>
    <w:tmpl w:val="12A49FC6"/>
    <w:lvl w:ilvl="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90492">
    <w:abstractNumId w:val="2"/>
  </w:num>
  <w:num w:numId="2" w16cid:durableId="1765153177">
    <w:abstractNumId w:val="1"/>
  </w:num>
  <w:num w:numId="3" w16cid:durableId="2103254088">
    <w:abstractNumId w:val="3"/>
  </w:num>
  <w:num w:numId="4" w16cid:durableId="1206256950">
    <w:abstractNumId w:val="4"/>
  </w:num>
  <w:num w:numId="5" w16cid:durableId="175069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0B"/>
    <w:rsid w:val="000C0441"/>
    <w:rsid w:val="002E2A0B"/>
    <w:rsid w:val="005D389B"/>
    <w:rsid w:val="00601FBB"/>
    <w:rsid w:val="006A0C6B"/>
    <w:rsid w:val="00784D53"/>
    <w:rsid w:val="008F67A5"/>
    <w:rsid w:val="00C2020F"/>
    <w:rsid w:val="00C4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369E7"/>
  <w15:chartTrackingRefBased/>
  <w15:docId w15:val="{A97A8327-8A68-7A4F-9E55-A62B6777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67A5"/>
    <w:rPr>
      <w:b/>
      <w:bCs/>
    </w:rPr>
  </w:style>
  <w:style w:type="table" w:styleId="TableGrid">
    <w:name w:val="Table Grid"/>
    <w:basedOn w:val="TableNormal"/>
    <w:uiPriority w:val="39"/>
    <w:rsid w:val="006A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6B"/>
  </w:style>
  <w:style w:type="paragraph" w:styleId="Footer">
    <w:name w:val="footer"/>
    <w:basedOn w:val="Normal"/>
    <w:link w:val="FooterChar"/>
    <w:uiPriority w:val="99"/>
    <w:unhideWhenUsed/>
    <w:rsid w:val="006A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6B"/>
  </w:style>
  <w:style w:type="character" w:styleId="PageNumber">
    <w:name w:val="page number"/>
    <w:basedOn w:val="DefaultParagraphFont"/>
    <w:uiPriority w:val="99"/>
    <w:semiHidden/>
    <w:unhideWhenUsed/>
    <w:rsid w:val="006A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1557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1</cp:revision>
  <dcterms:created xsi:type="dcterms:W3CDTF">2025-03-23T17:38:00Z</dcterms:created>
  <dcterms:modified xsi:type="dcterms:W3CDTF">2025-03-23T23:43:00Z</dcterms:modified>
</cp:coreProperties>
</file>