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6"/>
          <w:szCs w:val="36"/>
        </w:rPr>
        <w:t xml:space="preserve">NỘI DUNG THUYẾT TRÌNH – NHÓM 5</w:t>
      </w:r>
    </w:p>
    <w:p>
      <w:pPr>
        <w:spacing w:after="40"/>
        <w:jc w:val="center"/>
      </w:pPr>
      <w:r>
        <w:rPr>
          <w:color w:val="44546A"/>
          <w:sz w:val="24"/>
          <w:szCs w:val="24"/>
        </w:rPr>
        <w:t xml:space="preserve">Môn: Tư tưởng Hồ Chí Minh</w:t>
      </w:r>
    </w:p>
    <w:p>
      <w:pPr>
        <w:spacing w:after="40"/>
        <w:jc w:val="center"/>
      </w:pPr>
      <w:r>
        <w:rPr>
          <w:i/>
          <w:iCs/>
          <w:color w:val="44546A"/>
          <w:sz w:val="24"/>
          <w:szCs w:val="24"/>
        </w:rPr>
        <w:t xml:space="preserve">Chương 5, Mục 5.1 – Tư tưởng Hồ Chí Minh về đại đoàn kết toàn dân tộc</w:t>
      </w:r>
    </w:p>
    <w:p>
      <w:pPr>
        <w:spacing w:after="300"/>
        <w:jc w:val="center"/>
      </w:pPr>
      <w:r>
        <w:rPr>
          <w:color w:val="808080"/>
          <w:sz w:val="20"/>
          <w:szCs w:val="20"/>
        </w:rPr>
        <w:t xml:space="preserve">Slot 19–20 · Tài liệu tham khảo: Giáo trình Tư tưởng Hồ Chí Minh, tr. 169–184</w:t>
      </w:r>
    </w:p>
    <w:p>
      <w:pPr>
        <w:spacing w:after="120" w:line="300"/>
      </w:pPr>
      <w:r>
        <w:rPr>
          <w:i/>
          <w:iCs/>
          <w:color w:val="44546A"/>
          <w:sz w:val="20"/>
          <w:szCs w:val="20"/>
        </w:rPr>
        <w:t xml:space="preserve">Câu hỏi thảo luận trong lớp (CQ7): Khi xác định chủ thể của khối đại đoàn kết dân tộc, vì sao Hồ Chí Minh không chỉ lựa chọn đoàn kết trong giai cấp công nhân mà xác định là toàn thể nhân dân Việt Nam? Điều này có đi ngược lại lý luận “Vô sản toàn thế giới, đoàn kết lại” của Mác - Ăngghen không? Câu trả lời được lồng vào Phần 2 bên dưới.</w:t>
      </w:r>
    </w:p>
    <w:p>
      <w:pPr>
        <w:pStyle w:val="Heading1"/>
        <w:pBdr>
          <w:bottom w:val="single" w:color="1F4E79" w:sz="6" w:space="4"/>
        </w:pBdr>
        <w:spacing w:after="160" w:before="360"/>
      </w:pPr>
      <w:r>
        <w:rPr>
          <w:b/>
          <w:bCs/>
          <w:color w:val="1F4E79"/>
          <w:sz w:val="30"/>
          <w:szCs w:val="30"/>
        </w:rPr>
        <w:t xml:space="preserve">Phần 1 — Vai trò của đại đoàn kết toàn dân tộc (tr. 169–172)</w:t>
      </w:r>
    </w:p>
    <w:p>
      <w:pPr>
        <w:pStyle w:val="Heading2"/>
        <w:spacing w:after="100" w:before="240"/>
      </w:pPr>
      <w:r>
        <w:rPr>
          <w:b/>
          <w:bCs/>
          <w:color w:val="2E5B8A"/>
          <w:sz w:val="24"/>
          <w:szCs w:val="24"/>
        </w:rPr>
        <w:t xml:space="preserve">a. Là vấn đề có ý nghĩa chiến lược, quyết định thành công của cách mạng</w:t>
      </w:r>
    </w:p>
    <w:p>
      <w:pPr>
        <w:pStyle w:val="ListParagraph"/>
        <w:numPr>
          <w:ilvl w:val="0"/>
          <w:numId w:val="2"/>
        </w:numPr>
        <w:spacing w:after="80" w:line="300"/>
      </w:pPr>
      <w:r>
        <w:rPr>
          <w:sz w:val="22"/>
          <w:szCs w:val="22"/>
        </w:rPr>
        <w:t xml:space="preserve">Không phải sách lược nhất thời mà là chiến lược lâu dài, nhất quán, xuyên suốt cả cách mạng dân tộc dân chủ nhân dân và cách mạng xã hội chủ nghĩa.</w:t>
      </w:r>
    </w:p>
    <w:p>
      <w:pPr>
        <w:pStyle w:val="ListParagraph"/>
        <w:numPr>
          <w:ilvl w:val="0"/>
          <w:numId w:val="2"/>
        </w:numPr>
        <w:spacing w:after="80" w:line="300"/>
      </w:pPr>
      <w:r>
        <w:rPr>
          <w:sz w:val="22"/>
          <w:szCs w:val="22"/>
        </w:rPr>
        <w:t xml:space="preserve">Chính sách, phương pháp tập hợp lực lượng có thể điều chỉnh theo từng đối tượng, từng giai đoạn, nhưng chủ trương đại đoàn kết thì không đổi — vì đây là nhân tố quyết định thành bại của cách mạng.</w:t>
      </w:r>
    </w:p>
    <w:p>
      <w:pPr>
        <w:pStyle w:val="ListParagraph"/>
        <w:numPr>
          <w:ilvl w:val="0"/>
          <w:numId w:val="2"/>
        </w:numPr>
        <w:spacing w:after="80" w:line="300"/>
      </w:pPr>
      <w:r>
        <w:rPr>
          <w:sz w:val="22"/>
          <w:szCs w:val="22"/>
        </w:rPr>
        <w:t xml:space="preserve">Từ thực tiễn, Hồ Chí Minh đúc kết thành nhiều luận điểm về vai trò và sức mạnh của đoàn kết, và đi đến kết luận nổi tiếng — câu nên dùng mở đầu slide:</w:t>
      </w:r>
    </w:p>
    <w:p>
      <w:pPr>
        <w:pStyle w:val="ListParagraph"/>
        <w:numPr>
          <w:ilvl w:val="1"/>
          <w:numId w:val="2"/>
        </w:numPr>
        <w:spacing w:after="80" w:line="300"/>
      </w:pPr>
      <w:r>
        <w:rPr>
          <w:sz w:val="22"/>
          <w:szCs w:val="22"/>
        </w:rPr>
        <w:t xml:space="preserve">“Đoàn kết, đoàn kết, đại đoàn kết. Thành công, thành công, đại thành công.” (Hồ Chí Minh: Toàn tập, t.13, tr.119)</w:t>
      </w:r>
    </w:p>
    <w:p>
      <w:pPr>
        <w:pStyle w:val="Heading2"/>
        <w:spacing w:after="100" w:before="240"/>
      </w:pPr>
      <w:r>
        <w:rPr>
          <w:b/>
          <w:bCs/>
          <w:color w:val="2E5B8A"/>
          <w:sz w:val="24"/>
          <w:szCs w:val="24"/>
        </w:rPr>
        <w:t xml:space="preserve">b. Là mục tiêu, nhiệm vụ hàng đầu của cách mạng Việt Nam</w:t>
      </w:r>
    </w:p>
    <w:p>
      <w:pPr>
        <w:pStyle w:val="ListParagraph"/>
        <w:numPr>
          <w:ilvl w:val="0"/>
          <w:numId w:val="2"/>
        </w:numPr>
        <w:spacing w:after="80" w:line="300"/>
      </w:pPr>
      <w:r>
        <w:rPr>
          <w:sz w:val="22"/>
          <w:szCs w:val="22"/>
        </w:rPr>
        <w:t xml:space="preserve">Với Hồ Chí Minh, đại đoàn kết không chỉ là khẩu hiệu chiến lược mà là mục tiêu lâu dài; vì Đảng là lực lượng lãnh đạo nên đại đoàn kết phải là nhiệm vụ hàng đầu, quán triệt trong mọi lĩnh vực từ đường lối, chính sách đến hoạt động thực tiễn.</w:t>
      </w:r>
    </w:p>
    <w:p>
      <w:pPr>
        <w:pStyle w:val="ListParagraph"/>
        <w:numPr>
          <w:ilvl w:val="0"/>
          <w:numId w:val="2"/>
        </w:numPr>
        <w:spacing w:after="80" w:line="300"/>
      </w:pPr>
      <w:r>
        <w:rPr>
          <w:sz w:val="22"/>
          <w:szCs w:val="22"/>
        </w:rPr>
        <w:t xml:space="preserve">Tại lễ ra mắt Đảng Lao động Việt Nam (3/3/1951), Người tuyên bố mục đích của Đảng gói gọn trong 8 chữ: “Đoàn kết toàn dân, phụng sự Tổ quốc” (Hồ Chí Minh: Toàn tập, t.7, tr.49).</w:t>
      </w:r>
    </w:p>
    <w:p>
      <w:pPr>
        <w:pStyle w:val="ListParagraph"/>
        <w:numPr>
          <w:ilvl w:val="0"/>
          <w:numId w:val="2"/>
        </w:numPr>
        <w:spacing w:after="80" w:line="300"/>
      </w:pPr>
      <w:r>
        <w:rPr>
          <w:sz w:val="22"/>
          <w:szCs w:val="22"/>
        </w:rPr>
        <w:t xml:space="preserve">Cách mạng là sự nghiệp của quần chúng, do quần chúng và vì quần chúng — đoàn kết vừa là đòi hỏi của Đảng, vừa là đòi hỏi khách quan từ chính nhân dân trong cuộc đấu tranh tự giải phóng.</w:t>
      </w:r>
    </w:p>
    <w:p>
      <w:pPr>
        <w:pStyle w:val="Heading1"/>
        <w:pBdr>
          <w:bottom w:val="single" w:color="1F4E79" w:sz="6" w:space="4"/>
        </w:pBdr>
        <w:spacing w:after="160" w:before="360"/>
      </w:pPr>
      <w:r>
        <w:rPr>
          <w:b/>
          <w:bCs/>
          <w:color w:val="1F4E79"/>
          <w:sz w:val="30"/>
          <w:szCs w:val="30"/>
        </w:rPr>
        <w:t xml:space="preserve">Phần 2 — Lực lượng của khối đại đoàn kết toàn dân tộc (tr. 172–174)</w:t>
      </w:r>
    </w:p>
    <w:p>
      <w:pPr>
        <w:pStyle w:val="Heading2"/>
        <w:spacing w:after="100" w:before="240"/>
      </w:pPr>
      <w:r>
        <w:rPr>
          <w:b/>
          <w:bCs/>
          <w:color w:val="2E5B8A"/>
          <w:sz w:val="24"/>
          <w:szCs w:val="24"/>
        </w:rPr>
        <w:t xml:space="preserve">a. Chủ thể của khối đại đoàn kết</w:t>
      </w:r>
    </w:p>
    <w:p>
      <w:pPr>
        <w:pStyle w:val="ListParagraph"/>
        <w:numPr>
          <w:ilvl w:val="0"/>
          <w:numId w:val="2"/>
        </w:numPr>
        <w:spacing w:after="80" w:line="300"/>
      </w:pPr>
      <w:r>
        <w:rPr>
          <w:sz w:val="22"/>
          <w:szCs w:val="22"/>
        </w:rPr>
        <w:t xml:space="preserve">Chủ thể là toàn thể nhân dân — mọi người Việt Nam yêu nước, không phân biệt giai cấp, ngành nghề, giới tính, lứa tuổi, dân tộc, tôn giáo, đảng phái, trong nước hay ngoài nước.</w:t>
      </w:r>
    </w:p>
    <w:p>
      <w:pPr>
        <w:pStyle w:val="ListParagraph"/>
        <w:numPr>
          <w:ilvl w:val="0"/>
          <w:numId w:val="2"/>
        </w:numPr>
        <w:spacing w:after="80" w:line="300"/>
      </w:pPr>
      <w:r>
        <w:rPr>
          <w:sz w:val="22"/>
          <w:szCs w:val="22"/>
        </w:rPr>
        <w:t xml:space="preserve">“Nhân dân” mang hai nghĩa: vừa là từng con người Việt Nam cụ thể, vừa là cả một tập hợp quần chúng đông đảo — cả hai đều là chủ thể của khối đại đoàn kết.</w:t>
      </w:r>
    </w:p>
    <w:p>
      <w:pPr>
        <w:pStyle w:val="ListParagraph"/>
        <w:numPr>
          <w:ilvl w:val="0"/>
          <w:numId w:val="2"/>
        </w:numPr>
        <w:spacing w:after="80" w:line="300"/>
      </w:pPr>
      <w:r>
        <w:rPr>
          <w:sz w:val="22"/>
          <w:szCs w:val="22"/>
        </w:rPr>
        <w:t xml:space="preserve">Nguyên tắc tập hợp của Người: ai có tài, có đức, có sức, có lòng phụng sự Tổ quốc và phục vụ nhân dân thì đều được đoàn kết cùng (Hồ Chí Minh: Toàn tập, t.9, tr.244).</w:t>
      </w:r>
    </w:p>
    <w:p>
      <w:pPr>
        <w:pStyle w:val="ListParagraph"/>
        <w:numPr>
          <w:ilvl w:val="0"/>
          <w:numId w:val="2"/>
        </w:numPr>
        <w:spacing w:after="80" w:line="300"/>
      </w:pPr>
      <w:r>
        <w:rPr>
          <w:sz w:val="22"/>
          <w:szCs w:val="22"/>
        </w:rPr>
        <w:t xml:space="preserve">Vẫn đứng vững trên lập trường giai cấp công nhân, giải quyết hài hòa quan hệ giữa lợi ích giai cấp và lợi ích dân tộc, không bỏ sót lực lượng nào miễn trung thành, sẵn sàng phục vụ Tổ quốc.</w:t>
      </w:r>
    </w:p>
    <w:p>
      <w:pPr>
        <w:pStyle w:val="ListParagraph"/>
        <w:numPr>
          <w:ilvl w:val="0"/>
          <w:numId w:val="2"/>
        </w:numPr>
        <w:spacing w:after="80" w:line="300"/>
      </w:pPr>
      <w:r>
        <w:rPr>
          <w:b/>
          <w:bCs/>
          <w:sz w:val="22"/>
          <w:szCs w:val="22"/>
        </w:rPr>
        <w:t xml:space="preserve">Trả lời CQ7: </w:t>
      </w:r>
      <w:r>
        <w:rPr>
          <w:sz w:val="22"/>
          <w:szCs w:val="22"/>
        </w:rPr>
        <w:t xml:space="preserve">Hồ Chí Minh không bỏ lập trường giai cấp công nhân, mà đặt lợi ích dân tộc (độc lập, tự do) làm mẫu số chung để quy tụ mọi giai cấp. Đây không đi ngược lý luận Mác - Ăngghen mà là vận dụng sáng tạo vào hoàn cảnh một nước thuộc địa, nơi mâu thuẫn dân tộc nổi trội hơn mâu thuẫn giai cấp.</w:t>
      </w:r>
    </w:p>
    <w:p>
      <w:pPr>
        <w:pStyle w:val="Heading2"/>
        <w:spacing w:after="100" w:before="240"/>
      </w:pPr>
      <w:r>
        <w:rPr>
          <w:b/>
          <w:bCs/>
          <w:color w:val="2E5B8A"/>
          <w:sz w:val="24"/>
          <w:szCs w:val="24"/>
        </w:rPr>
        <w:t xml:space="preserve">b. Nền tảng của khối đại đoàn kết</w:t>
      </w:r>
    </w:p>
    <w:p>
      <w:pPr>
        <w:pStyle w:val="ListParagraph"/>
        <w:numPr>
          <w:ilvl w:val="0"/>
          <w:numId w:val="2"/>
        </w:numPr>
        <w:spacing w:after="80" w:line="300"/>
      </w:pPr>
      <w:r>
        <w:rPr>
          <w:sz w:val="22"/>
          <w:szCs w:val="22"/>
        </w:rPr>
        <w:t xml:space="preserve">Nền tảng là công nhân, nông dân và trí thức. Hồ Chí Minh ví lực lượng nền tảng này “như cái nền của nhà, gốc của cây” (Hồ Chí Minh: Toàn tập, t.9, tr.244) — nền tảng càng vững chắc thì khối đại đoàn kết càng mở rộng, không thế lực nào làm suy yếu được.</w:t>
      </w:r>
    </w:p>
    <w:p>
      <w:pPr>
        <w:pStyle w:val="ListParagraph"/>
        <w:numPr>
          <w:ilvl w:val="0"/>
          <w:numId w:val="2"/>
        </w:numPr>
        <w:spacing w:after="80" w:line="300"/>
      </w:pPr>
      <w:r>
        <w:rPr>
          <w:sz w:val="22"/>
          <w:szCs w:val="22"/>
        </w:rPr>
        <w:t xml:space="preserve">“Hạt nhân” đặc biệt quan trọng là sự đoàn kết, thống nhất trong Đảng — điều kiện cho sự đoàn kết ngoài xã hội.</w:t>
      </w:r>
    </w:p>
    <w:p>
      <w:pPr>
        <w:pStyle w:val="Heading1"/>
        <w:pBdr>
          <w:bottom w:val="single" w:color="1F4E79" w:sz="6" w:space="4"/>
        </w:pBdr>
        <w:spacing w:after="160" w:before="360"/>
      </w:pPr>
      <w:r>
        <w:rPr>
          <w:b/>
          <w:bCs/>
          <w:color w:val="1F4E79"/>
          <w:sz w:val="30"/>
          <w:szCs w:val="30"/>
        </w:rPr>
        <w:t xml:space="preserve">Phần 3 — Điều kiện để xây dựng khối đại đoàn kết toàn dân tộc (tr. 174–177)</w:t>
      </w:r>
    </w:p>
    <w:p>
      <w:pPr>
        <w:pStyle w:val="ListParagraph"/>
        <w:numPr>
          <w:ilvl w:val="0"/>
          <w:numId w:val="2"/>
        </w:numPr>
        <w:spacing w:after="80" w:line="300"/>
      </w:pPr>
      <w:r>
        <w:rPr>
          <w:b/>
          <w:bCs/>
          <w:sz w:val="22"/>
          <w:szCs w:val="22"/>
        </w:rPr>
        <w:t xml:space="preserve">Một là, </w:t>
      </w:r>
      <w:r>
        <w:rPr>
          <w:sz w:val="22"/>
          <w:szCs w:val="22"/>
        </w:rPr>
        <w:t xml:space="preserve">phải lấy lợi ích chung làm điểm quy tụ, đồng thời tôn trọng các lợi ích khác biệt chính đáng — xử lý hài hòa các mối quan hệ lợi ích đa dạng trong xã hội Việt Nam; đại đoàn kết phải xuất phát từ mục tiêu vì nước, vì dân, lấy lợi ích tối cao của dân tộc làm mẫu số chung để quy tụ mọi tầng lớp, giai cấp, đảng phái, tôn giáo.</w:t>
      </w:r>
    </w:p>
    <w:p>
      <w:pPr>
        <w:pStyle w:val="ListParagraph"/>
        <w:numPr>
          <w:ilvl w:val="0"/>
          <w:numId w:val="2"/>
        </w:numPr>
        <w:spacing w:after="80" w:line="300"/>
      </w:pPr>
      <w:r>
        <w:rPr>
          <w:b/>
          <w:bCs/>
          <w:sz w:val="22"/>
          <w:szCs w:val="22"/>
        </w:rPr>
        <w:t xml:space="preserve">Hai là, </w:t>
      </w:r>
      <w:r>
        <w:rPr>
          <w:sz w:val="22"/>
          <w:szCs w:val="22"/>
        </w:rPr>
        <w:t xml:space="preserve">phải kế thừa truyền thống yêu nước, nhân nghĩa, đoàn kết của dân tộc — giá trị hình thành, củng cố qua hàng nghìn năm dựng nước, giữ nước, đã thấm sâu vào tư tưởng, tình cảm mỗi người Việt Nam, là cội nguồn sức mạnh giúp dân tộc vượt qua thiên tai, địch họa.</w:t>
      </w:r>
    </w:p>
    <w:p>
      <w:pPr>
        <w:pStyle w:val="ListParagraph"/>
        <w:numPr>
          <w:ilvl w:val="0"/>
          <w:numId w:val="2"/>
        </w:numPr>
        <w:spacing w:after="80" w:line="300"/>
      </w:pPr>
      <w:r>
        <w:rPr>
          <w:b/>
          <w:bCs/>
          <w:sz w:val="22"/>
          <w:szCs w:val="22"/>
        </w:rPr>
        <w:t xml:space="preserve">Ba là, </w:t>
      </w:r>
      <w:r>
        <w:rPr>
          <w:sz w:val="22"/>
          <w:szCs w:val="22"/>
        </w:rPr>
        <w:t xml:space="preserve">phải có lòng khoan dung, độ lượng với con người — mỗi cá nhân, mỗi cộng đồng đều có ưu điểm và hạn chế; cần trân trọng phần thiện dù nhỏ nhất ở mỗi người, kể cả những người từng lầm đường lạc lối, mới tập hợp, quy tụ được rộng rãi mọi lực lượng.</w:t>
      </w:r>
    </w:p>
    <w:p>
      <w:pPr>
        <w:pStyle w:val="ListParagraph"/>
        <w:numPr>
          <w:ilvl w:val="0"/>
          <w:numId w:val="2"/>
        </w:numPr>
        <w:spacing w:after="80" w:line="300"/>
      </w:pPr>
      <w:r>
        <w:rPr>
          <w:b/>
          <w:bCs/>
          <w:sz w:val="22"/>
          <w:szCs w:val="22"/>
        </w:rPr>
        <w:t xml:space="preserve">Bốn là, </w:t>
      </w:r>
      <w:r>
        <w:rPr>
          <w:sz w:val="22"/>
          <w:szCs w:val="22"/>
        </w:rPr>
        <w:t xml:space="preserve">phải có niềm tin vào nhân dân — kế thừa truyền thống “nước lấy dân làm gốc”, dân vừa là chỗ dựa vững chắc, vừa là nguồn sức mạnh vô địch quyết định thắng lợi của cách mạng.</w:t>
      </w:r>
    </w:p>
    <w:p>
      <w:pPr>
        <w:pStyle w:val="Heading1"/>
        <w:pBdr>
          <w:bottom w:val="single" w:color="1F4E79" w:sz="6" w:space="4"/>
        </w:pBdr>
        <w:spacing w:after="160" w:before="360"/>
      </w:pPr>
      <w:r>
        <w:rPr>
          <w:b/>
          <w:bCs/>
          <w:color w:val="1F4E79"/>
          <w:sz w:val="30"/>
          <w:szCs w:val="30"/>
        </w:rPr>
        <w:t xml:space="preserve">Phần 4 — Hình thức và nguyên tắc tổ chức: Mặt trận dân tộc thống nhất (tr. 177–181)</w:t>
      </w:r>
    </w:p>
    <w:p>
      <w:pPr>
        <w:pStyle w:val="Heading2"/>
        <w:spacing w:after="100" w:before="240"/>
      </w:pPr>
      <w:r>
        <w:rPr>
          <w:b/>
          <w:bCs/>
          <w:color w:val="2E5B8A"/>
          <w:sz w:val="24"/>
          <w:szCs w:val="24"/>
        </w:rPr>
        <w:t xml:space="preserve">a. Mặt trận dân tộc thống nhất — hình thức tổ chức</w:t>
      </w:r>
    </w:p>
    <w:p>
      <w:pPr>
        <w:pStyle w:val="ListParagraph"/>
        <w:numPr>
          <w:ilvl w:val="0"/>
          <w:numId w:val="2"/>
        </w:numPr>
        <w:spacing w:after="80" w:line="300"/>
      </w:pPr>
      <w:r>
        <w:rPr>
          <w:sz w:val="22"/>
          <w:szCs w:val="22"/>
        </w:rPr>
        <w:t xml:space="preserve">Khối đại đoàn kết chỉ trở thành lực lượng to lớn, có sức mạnh khi được tập hợp, tổ chức lại thành một khối vững chắc — đó là Mặt trận dân tộc thống nhất, quy tụ mọi tổ chức và cá nhân yêu nước, cả trong nước và kiều bào ở nước ngoài.</w:t>
      </w:r>
    </w:p>
    <w:p>
      <w:pPr>
        <w:pStyle w:val="ListParagraph"/>
        <w:numPr>
          <w:ilvl w:val="0"/>
          <w:numId w:val="2"/>
        </w:numPr>
        <w:spacing w:after="80" w:line="300"/>
      </w:pPr>
      <w:r>
        <w:rPr>
          <w:sz w:val="22"/>
          <w:szCs w:val="22"/>
        </w:rPr>
        <w:t xml:space="preserve">Do yêu cầu, nhiệm vụ của từng chặng đường lịch sử, Mặt trận mang nhiều tên gọi khác nhau (đúng theo giáo trình):</w:t>
      </w:r>
    </w:p>
    <w:p>
      <w:pPr>
        <w:pStyle w:val="ListParagraph"/>
        <w:numPr>
          <w:ilvl w:val="1"/>
          <w:numId w:val="2"/>
        </w:numPr>
        <w:spacing w:after="80" w:line="300"/>
      </w:pPr>
      <w:r>
        <w:rPr>
          <w:sz w:val="22"/>
          <w:szCs w:val="22"/>
        </w:rPr>
        <w:t xml:space="preserve">Hội Phản đế đồng minh (1930)</w:t>
      </w:r>
    </w:p>
    <w:p>
      <w:pPr>
        <w:pStyle w:val="ListParagraph"/>
        <w:numPr>
          <w:ilvl w:val="1"/>
          <w:numId w:val="2"/>
        </w:numPr>
        <w:spacing w:after="80" w:line="300"/>
      </w:pPr>
      <w:r>
        <w:rPr>
          <w:sz w:val="22"/>
          <w:szCs w:val="22"/>
        </w:rPr>
        <w:t xml:space="preserve">Mặt trận Dân chủ Đông Dương (1936)</w:t>
      </w:r>
    </w:p>
    <w:p>
      <w:pPr>
        <w:pStyle w:val="ListParagraph"/>
        <w:numPr>
          <w:ilvl w:val="1"/>
          <w:numId w:val="2"/>
        </w:numPr>
        <w:spacing w:after="80" w:line="300"/>
      </w:pPr>
      <w:r>
        <w:rPr>
          <w:sz w:val="22"/>
          <w:szCs w:val="22"/>
        </w:rPr>
        <w:t xml:space="preserve">Mặt trận Nhân dân phản đế Đông Dương (1939)</w:t>
      </w:r>
    </w:p>
    <w:p>
      <w:pPr>
        <w:pStyle w:val="ListParagraph"/>
        <w:numPr>
          <w:ilvl w:val="1"/>
          <w:numId w:val="2"/>
        </w:numPr>
        <w:spacing w:after="80" w:line="300"/>
      </w:pPr>
      <w:r>
        <w:rPr>
          <w:sz w:val="22"/>
          <w:szCs w:val="22"/>
        </w:rPr>
        <w:t xml:space="preserve">Mặt trận Việt Minh (1941)</w:t>
      </w:r>
    </w:p>
    <w:p>
      <w:pPr>
        <w:pStyle w:val="ListParagraph"/>
        <w:numPr>
          <w:ilvl w:val="1"/>
          <w:numId w:val="2"/>
        </w:numPr>
        <w:spacing w:after="80" w:line="300"/>
      </w:pPr>
      <w:r>
        <w:rPr>
          <w:sz w:val="22"/>
          <w:szCs w:val="22"/>
        </w:rPr>
        <w:t xml:space="preserve">Mặt trận Liên Việt (1951)</w:t>
      </w:r>
    </w:p>
    <w:p>
      <w:pPr>
        <w:pStyle w:val="ListParagraph"/>
        <w:numPr>
          <w:ilvl w:val="1"/>
          <w:numId w:val="2"/>
        </w:numPr>
        <w:spacing w:after="80" w:line="300"/>
      </w:pPr>
      <w:r>
        <w:rPr>
          <w:sz w:val="22"/>
          <w:szCs w:val="22"/>
        </w:rPr>
        <w:t xml:space="preserve">Mặt trận Dân tộc giải phóng miền Nam Việt Nam (1960)</w:t>
      </w:r>
    </w:p>
    <w:p>
      <w:pPr>
        <w:pStyle w:val="ListParagraph"/>
        <w:numPr>
          <w:ilvl w:val="1"/>
          <w:numId w:val="2"/>
        </w:numPr>
        <w:spacing w:after="80" w:line="300"/>
      </w:pPr>
      <w:r>
        <w:rPr>
          <w:sz w:val="22"/>
          <w:szCs w:val="22"/>
        </w:rPr>
        <w:t xml:space="preserve">Liên minh các lực lượng dân tộc, dân chủ và hòa bình Việt Nam (1968)</w:t>
      </w:r>
    </w:p>
    <w:p>
      <w:pPr>
        <w:pStyle w:val="ListParagraph"/>
        <w:numPr>
          <w:ilvl w:val="1"/>
          <w:numId w:val="2"/>
        </w:numPr>
        <w:spacing w:after="80" w:line="300"/>
      </w:pPr>
      <w:r>
        <w:rPr>
          <w:sz w:val="22"/>
          <w:szCs w:val="22"/>
        </w:rPr>
        <w:t xml:space="preserve">Mặt trận Tổ quốc Việt Nam (1955, 1976 — tồn tại đến nay)</w:t>
      </w:r>
    </w:p>
    <w:p>
      <w:pPr>
        <w:pStyle w:val="ListParagraph"/>
        <w:numPr>
          <w:ilvl w:val="0"/>
          <w:numId w:val="2"/>
        </w:numPr>
        <w:spacing w:after="80" w:line="300"/>
      </w:pPr>
      <w:r>
        <w:rPr>
          <w:sz w:val="22"/>
          <w:szCs w:val="22"/>
        </w:rPr>
        <w:t xml:space="preserve">Dù tên gọi khác nhau, bản chất vẫn là một tổ chức chính trị - xã hội tập hợp đông đảo các giai cấp, tầng lớp, dân tộc, tôn giáo, đảng phái, cá nhân yêu nước vì mục tiêu chung: độc lập, thống nhất Tổ quốc, tự do và hạnh phúc của nhân dân.</w:t>
      </w:r>
    </w:p>
    <w:p>
      <w:pPr>
        <w:pStyle w:val="Heading2"/>
        <w:spacing w:after="100" w:before="240"/>
      </w:pPr>
      <w:r>
        <w:rPr>
          <w:b/>
          <w:bCs/>
          <w:color w:val="2E5B8A"/>
          <w:sz w:val="24"/>
          <w:szCs w:val="24"/>
        </w:rPr>
        <w:t xml:space="preserve">b. Nguyên tắc xây dựng và hoạt động của Mặt trận (chỉ 3 nguyên tắc)</w:t>
      </w:r>
    </w:p>
    <w:p>
      <w:pPr>
        <w:pStyle w:val="ListParagraph"/>
        <w:numPr>
          <w:ilvl w:val="0"/>
          <w:numId w:val="2"/>
        </w:numPr>
        <w:spacing w:after="80" w:line="300"/>
      </w:pPr>
      <w:r>
        <w:rPr>
          <w:b/>
          <w:bCs/>
          <w:sz w:val="22"/>
          <w:szCs w:val="22"/>
        </w:rPr>
        <w:t xml:space="preserve">Một là, </w:t>
      </w:r>
      <w:r>
        <w:rPr>
          <w:sz w:val="22"/>
          <w:szCs w:val="22"/>
        </w:rPr>
        <w:t xml:space="preserve">phải được xây dựng trên nền tảng liên minh công nhân — nông dân — trí thức, đặt dưới sự lãnh đạo của Đảng. Đảng vừa là thành viên, vừa là lực lượng lãnh đạo Mặt trận, không có lợi ích riêng ngoài lợi ích toàn dân tộc.</w:t>
      </w:r>
    </w:p>
    <w:p>
      <w:pPr>
        <w:pStyle w:val="ListParagraph"/>
        <w:numPr>
          <w:ilvl w:val="0"/>
          <w:numId w:val="2"/>
        </w:numPr>
        <w:spacing w:after="80" w:line="300"/>
      </w:pPr>
      <w:r>
        <w:rPr>
          <w:b/>
          <w:bCs/>
          <w:sz w:val="22"/>
          <w:szCs w:val="22"/>
        </w:rPr>
        <w:t xml:space="preserve">Hai là, </w:t>
      </w:r>
      <w:r>
        <w:rPr>
          <w:sz w:val="22"/>
          <w:szCs w:val="22"/>
        </w:rPr>
        <w:t xml:space="preserve">phải hoạt động theo nguyên tắc hiệp thương dân chủ — mọi vấn đề của Mặt trận đều được các thành viên bàn bạc công khai, đi đến nhất trí, loại trừ mọi áp đặt hay dân chủ hình thức; lợi ích riêng chính đáng được tôn trọng nhưng phải hài hòa với lợi ích chung.</w:t>
      </w:r>
    </w:p>
    <w:p>
      <w:pPr>
        <w:pStyle w:val="ListParagraph"/>
        <w:numPr>
          <w:ilvl w:val="0"/>
          <w:numId w:val="2"/>
        </w:numPr>
        <w:spacing w:after="80" w:line="300"/>
      </w:pPr>
      <w:r>
        <w:rPr>
          <w:b/>
          <w:bCs/>
          <w:sz w:val="22"/>
          <w:szCs w:val="22"/>
        </w:rPr>
        <w:t xml:space="preserve">Ba là, </w:t>
      </w:r>
      <w:r>
        <w:rPr>
          <w:sz w:val="22"/>
          <w:szCs w:val="22"/>
        </w:rPr>
        <w:t xml:space="preserve">phải đoàn kết lâu dài, chặt chẽ, đoàn kết thật sự, chân thành, thân ái giúp đỡ nhau cùng tiến bộ — theo phương châm “cầu đồng tồn dị” (tìm điểm chung, thu hẹp khác biệt): vừa đoàn kết vừa đấu tranh, học điều tốt và phê bình điều sai của nhau trên tinh thần vì nước, vì dân.</w:t>
      </w:r>
    </w:p>
    <w:p>
      <w:pPr>
        <w:pBdr>
          <w:left w:val="single" w:color="9DC3E6" w:sz="12" w:space="8"/>
        </w:pBdr>
        <w:spacing w:after="160" w:before="80"/>
        <w:ind w:left="215"/>
      </w:pPr>
      <w:r>
        <w:rPr>
          <w:i/>
          <w:iCs/>
          <w:color w:val="44546A"/>
          <w:sz w:val="20"/>
          <w:szCs w:val="20"/>
        </w:rPr>
        <w:t xml:space="preserve">Lưu ý: ý “xuất phát từ mục tiêu vì nước, vì dân” thuộc Phần 3 (điều kiện xây dựng khối đại đoàn kết), không phải nguyên tắc riêng của Mặt trận — tránh nhầm lẫn khi soạn slide.</w:t>
      </w:r>
    </w:p>
    <w:p>
      <w:pPr>
        <w:pStyle w:val="Heading1"/>
        <w:pBdr>
          <w:bottom w:val="single" w:color="1F4E79" w:sz="6" w:space="4"/>
        </w:pBdr>
        <w:spacing w:after="160" w:before="360"/>
      </w:pPr>
      <w:r>
        <w:rPr>
          <w:b/>
          <w:bCs/>
          <w:color w:val="1F4E79"/>
          <w:sz w:val="30"/>
          <w:szCs w:val="30"/>
        </w:rPr>
        <w:t xml:space="preserve">Phần 5 — Phương thức xây dựng khối đại đoàn kết dân tộc (tr. 181–184)</w:t>
      </w:r>
    </w:p>
    <w:p>
      <w:pPr>
        <w:pStyle w:val="ListParagraph"/>
        <w:numPr>
          <w:ilvl w:val="0"/>
          <w:numId w:val="2"/>
        </w:numPr>
        <w:spacing w:after="80" w:line="300"/>
      </w:pPr>
      <w:r>
        <w:rPr>
          <w:b/>
          <w:bCs/>
          <w:sz w:val="22"/>
          <w:szCs w:val="22"/>
        </w:rPr>
        <w:t xml:space="preserve">Một là, </w:t>
      </w:r>
      <w:r>
        <w:rPr>
          <w:sz w:val="22"/>
          <w:szCs w:val="22"/>
        </w:rPr>
        <w:t xml:space="preserve">làm tốt công tác vận động quần chúng (dân vận): Đảng, Nhà nước, cán bộ đảng viên phải giáo dục, tuyên truyền, hướng dẫn để quần chúng thực hiện chủ trương, chính sách; giúp dân hiểu quyền lợi, trách nhiệm, nghĩa vụ của mình để tự giác, chủ động cống hiến. Phương pháp vận động phải phù hợp tâm tư, nguyện vọng và xuất phát từ trình độ dân trí, phong tục tập quán cụ thể của từng địa phương, từng đối tượng.</w:t>
      </w:r>
    </w:p>
    <w:p>
      <w:pPr>
        <w:pStyle w:val="ListParagraph"/>
        <w:numPr>
          <w:ilvl w:val="0"/>
          <w:numId w:val="2"/>
        </w:numPr>
        <w:spacing w:after="80" w:line="300"/>
      </w:pPr>
      <w:r>
        <w:rPr>
          <w:b/>
          <w:bCs/>
          <w:sz w:val="22"/>
          <w:szCs w:val="22"/>
        </w:rPr>
        <w:t xml:space="preserve">Hai là, </w:t>
      </w:r>
      <w:r>
        <w:rPr>
          <w:sz w:val="22"/>
          <w:szCs w:val="22"/>
        </w:rPr>
        <w:t xml:space="preserve">thành lập đoàn thể, tổ chức quần chúng phù hợp từng đối tượng: mỗi giai cấp, tầng lớp, tôn giáo, lứa tuổi, giới tính, vùng miền có tổ chức riêng để tập hợp, giáo dục, rèn luyện — Công đoàn, Hội Nông dân, Đoàn Thanh niên, Hội Phụ nữ... Các đoàn thể giáo dục, động viên, phát huy tính tích cực của thành viên, góp phần thực hiện nhiệm vụ cách mạng từng giai đoạn.</w:t>
      </w:r>
    </w:p>
    <w:p>
      <w:pPr>
        <w:pStyle w:val="ListParagraph"/>
        <w:numPr>
          <w:ilvl w:val="0"/>
          <w:numId w:val="2"/>
        </w:numPr>
        <w:spacing w:after="80" w:line="300"/>
      </w:pPr>
      <w:r>
        <w:rPr>
          <w:b/>
          <w:bCs/>
          <w:sz w:val="22"/>
          <w:szCs w:val="22"/>
        </w:rPr>
        <w:t xml:space="preserve">Ba là, </w:t>
      </w:r>
      <w:r>
        <w:rPr>
          <w:sz w:val="22"/>
          <w:szCs w:val="22"/>
        </w:rPr>
        <w:t xml:space="preserve">các đoàn thể, tổ chức quần chúng được tập hợp và đoàn kết trong Mặt trận dân tộc thống nhất: đoàn thể là tổ chức của dân, là sợi dây gắn kết Đảng với nhân dân; Mặt trận dân tộc thống nhất càng rộng rãi, chặt chẽ, thống nhất thì khối đại đoàn kết toàn dân tộc càng mạnh mẽ, bền vững.</w:t>
      </w:r>
    </w:p>
    <w:p>
      <w:pPr>
        <w:pBdr>
          <w:top w:val="single" w:color="BFBFBF" w:sz="4" w:space="4"/>
        </w:pBdr>
        <w:spacing w:before="300"/>
      </w:pPr>
    </w:p>
    <w:p>
      <w:pPr>
        <w:pBdr>
          <w:left w:val="single" w:color="9DC3E6" w:sz="12" w:space="8"/>
        </w:pBdr>
        <w:spacing w:after="160" w:before="80"/>
        <w:ind w:left="215"/>
      </w:pPr>
      <w:r>
        <w:rPr>
          <w:i/>
          <w:iCs/>
          <w:color w:val="44546A"/>
          <w:sz w:val="20"/>
          <w:szCs w:val="20"/>
        </w:rPr>
        <w:t xml:space="preserve">Nguồn: Giáo trình Tư tưởng Hồ Chí Minh (Bộ Giáo dục và Đào tạo, dành cho bậc đại học hệ không chuyên lý luận chính trị, Nxb Chính trị Quốc gia Sự thật, Hà Nội, 2021), Chương 5, Mục I, tr. 169–184. Nội dung đã được diễn giải lại theo văn phong thuyết trình; các câu trích dẫn ngắn giữ nguyên văn kèm chú thích nguồn “Hồ Chí Minh: Toàn tập” như trong giáo trình.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2026-09-27T19:14:17.645Z</dcterms:created>
  <dcterms:modified xsi:type="dcterms:W3CDTF">2026-09-27T19:14:17.653Z</dcterms:modified>
</cp:coreProperties>
</file>

<file path=docProps/custom.xml><?xml version="1.0" encoding="utf-8"?>
<Properties xmlns="http://schemas.openxmlformats.org/officeDocument/2006/custom-properties" xmlns:vt="http://schemas.openxmlformats.org/officeDocument/2006/docPropsVTypes"/>
</file>