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Pr>
          <w:rFonts w:ascii="Arial" w:hAnsi="Arial"/>
          <w:b/>
          <w:i w:val="0"/>
          <w:color w:val="C00000"/>
          <w:sz w:val="51"/>
        </w:rPr>
        <w:t>Capstone Project Report</w:t>
      </w:r>
    </w:p>
    <w:p w14:paraId="42EFA7F4" w14:textId="77777777" w:rsidR="00C87F08" w:rsidRPr="002E0C5F" w:rsidRDefault="00C87F08" w:rsidP="00C87F08">
      <w:pPr>
        <w:jc w:val="center"/>
        <w:rPr>
          <w:b/>
          <w:color w:val="C00000"/>
          <w:sz w:val="44"/>
        </w:rPr>
      </w:pPr>
      <w:r>
        <w:rPr>
          <w:rFonts w:ascii="Arial" w:hAnsi="Arial"/>
          <w:b/>
          <w:i w:val="0"/>
          <w:color w:val="C00000"/>
          <w:sz w:val="40"/>
        </w:rPr>
        <w:t>Report 5 — Software Test Documentation</w:t>
      </w:r>
    </w:p>
    <w:p w14:paraId="7F0B00CC" w14:textId="77777777" w:rsidR="00C87F08" w:rsidRDefault="00C87F08" w:rsidP="00C87F08">
      <w:pPr>
        <w:jc w:val="center"/>
        <w:rPr>
          <w:b/>
          <w:sz w:val="44"/>
        </w:rPr>
      </w:pPr>
      <w:r>
        <w:rPr>
          <w:rFonts w:ascii="Arial" w:hAnsi="Arial"/>
          <w:b/>
          <w:i w:val="0"/>
          <w:color w:val="1F4D78"/>
          <w:sz w:val="30"/>
        </w:rPr>
        <w:t>PTEPrep</w:t>
      </w:r>
    </w:p>
    <w:p w14:paraId="642A850C" w14:textId="77777777" w:rsidR="00C87F08" w:rsidRDefault="00C87F08" w:rsidP="00C87F08">
      <w:pPr>
        <w:jc w:val="center"/>
        <w:rPr>
          <w:b/>
          <w:sz w:val="44"/>
        </w:rPr>
      </w:pPr>
      <w:r>
        <w:rPr>
          <w:rFonts w:ascii="Arial" w:hAnsi="Arial"/>
          <w:b w:val="0"/>
          <w:i w:val="0"/>
          <w:color w:val="666666"/>
          <w:sz w:val="22"/>
        </w:rPr>
        <w:t>FA26SE182</w:t>
      </w:r>
    </w:p>
    <w:p w14:paraId="4E3F0FC6" w14:textId="77777777" w:rsidR="00C87F08" w:rsidRDefault="00C87F08" w:rsidP="00C87F08">
      <w:pPr>
        <w:jc w:val="center"/>
        <w:rPr>
          <w:b/>
          <w:sz w:val="44"/>
        </w:rPr>
      </w:pPr>
      <w:r>
        <w:rPr>
          <w:rFonts w:ascii="Arial" w:hAnsi="Arial"/>
          <w:b w:val="0"/>
          <w:i w:val="0"/>
          <w:color w:val="666666"/>
          <w:sz w:val="20"/>
        </w:rPr>
        <w:t>Version 1.1 · 22 October 2026</w:t>
      </w:r>
    </w:p>
    <w:p w14:paraId="644D06C7" w14:textId="77777777" w:rsidR="00C87F08" w:rsidRDefault="00C87F08" w:rsidP="00C87F08">
      <w:pPr>
        <w:jc w:val="center"/>
        <w:rPr>
          <w:b/>
          <w:sz w:val="44"/>
        </w:rPr>
      </w:pP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Pr>
          <w:rFonts w:ascii="Arial" w:hAnsi="Arial"/>
          <w:b w:val="0"/>
          <w:i w:val="0"/>
          <w:sz w:val="24"/>
        </w:rPr>
        <w:t>— Ho Chi Minh City, 22 October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pPr>
            <w:pStyle w:val="TOCHeading"/>
          </w:pPr>
          <w:r>
            <w:rPr>
              <w:b/>
            </w:rPr>
            <w:t>Table of Contents</w:t>
          </w:r>
        </w:p>
        <w:p>
          <w:pPr>
            <w:pStyle w:val="TOC1"/>
          </w:pPr>
          <w:r>
            <w:rPr/>
            <w:t>I. Record of Changes</w:t>
          </w:r>
        </w:p>
        <w:p>
          <w:pPr>
            <w:pStyle w:val="TOC1"/>
          </w:pPr>
          <w:r>
            <w:rPr/>
            <w:t>II. Testing Documentation</w:t>
          </w:r>
        </w:p>
        <w:p>
          <w:pPr>
            <w:pStyle w:val="TOC2"/>
          </w:pPr>
          <w:r>
            <w:rPr/>
            <w:t>1. Scope of Testing</w:t>
          </w:r>
        </w:p>
        <w:p>
          <w:pPr>
            <w:pStyle w:val="TOC3"/>
          </w:pPr>
          <w:r>
            <w:rPr/>
            <w:t>1.1 Test objective</w:t>
          </w:r>
        </w:p>
        <w:p>
          <w:pPr>
            <w:pStyle w:val="TOC3"/>
          </w:pPr>
          <w:r>
            <w:rPr/>
            <w:t>1.2 In-scope product surfaces</w:t>
          </w:r>
        </w:p>
        <w:p>
          <w:pPr>
            <w:pStyle w:val="TOC3"/>
          </w:pPr>
          <w:r>
            <w:rPr/>
            <w:t>1.3 Functional coverage</w:t>
          </w:r>
        </w:p>
        <w:p>
          <w:pPr>
            <w:pStyle w:val="TOC3"/>
          </w:pPr>
          <w:r>
            <w:rPr/>
            <w:t>1.4 In-scope quality attributes</w:t>
          </w:r>
        </w:p>
        <w:p>
          <w:pPr>
            <w:pStyle w:val="TOC3"/>
          </w:pPr>
          <w:r>
            <w:rPr/>
            <w:t>1.5 Out of scope</w:t>
          </w:r>
        </w:p>
        <w:p>
          <w:pPr>
            <w:pStyle w:val="TOC3"/>
          </w:pPr>
          <w:r>
            <w:rPr/>
            <w:t>1.6 Test personnel and responsibilities</w:t>
          </w:r>
        </w:p>
        <w:p>
          <w:pPr>
            <w:pStyle w:val="TOC3"/>
          </w:pPr>
          <w:r>
            <w:rPr/>
            <w:t>1.7 Entry and exit conditions</w:t>
          </w:r>
        </w:p>
        <w:p>
          <w:pPr>
            <w:pStyle w:val="TOC3"/>
          </w:pPr>
          <w:r>
            <w:rPr/>
            <w:t>1.8 Evidence rules</w:t>
          </w:r>
        </w:p>
        <w:p>
          <w:pPr>
            <w:pStyle w:val="TOC3"/>
          </w:pPr>
          <w:r>
            <w:rPr/>
            <w:t>1.9 Scope revision coverage</w:t>
          </w:r>
        </w:p>
        <w:p>
          <w:pPr>
            <w:pStyle w:val="TOC2"/>
          </w:pPr>
          <w:r>
            <w:rPr/>
            <w:t>2. Test Strategy</w:t>
          </w:r>
        </w:p>
        <w:p>
          <w:pPr>
            <w:pStyle w:val="TOC3"/>
          </w:pPr>
          <w:r>
            <w:rPr/>
            <w:t>2.1 Risk-based strategy</w:t>
          </w:r>
        </w:p>
        <w:p>
          <w:pPr>
            <w:pStyle w:val="TOC3"/>
          </w:pPr>
          <w:r>
            <w:rPr/>
            <w:t>2.2 Test levels</w:t>
          </w:r>
        </w:p>
        <w:p>
          <w:pPr>
            <w:pStyle w:val="TOC3"/>
          </w:pPr>
          <w:r>
            <w:rPr/>
            <w:t>2.3 Test types</w:t>
          </w:r>
        </w:p>
        <w:p>
          <w:pPr>
            <w:pStyle w:val="TOC3"/>
          </w:pPr>
          <w:r>
            <w:rPr/>
            <w:t>2.4 Test data strategy</w:t>
          </w:r>
        </w:p>
        <w:p>
          <w:pPr>
            <w:pStyle w:val="TOC3"/>
          </w:pPr>
          <w:r>
            <w:rPr/>
            <w:t>2.5 Tool and environment approach</w:t>
          </w:r>
        </w:p>
        <w:p>
          <w:pPr>
            <w:pStyle w:val="TOC3"/>
          </w:pPr>
          <w:r>
            <w:rPr/>
            <w:t>2.6 Defect and severity model</w:t>
          </w:r>
        </w:p>
        <w:p>
          <w:pPr>
            <w:pStyle w:val="TOC3"/>
          </w:pPr>
          <w:r>
            <w:rPr/>
            <w:t>2.7 TDD documentation boundary</w:t>
          </w:r>
        </w:p>
        <w:p>
          <w:pPr>
            <w:pStyle w:val="TOC3"/>
          </w:pPr>
          <w:r>
            <w:rPr/>
            <w:t>2.8 Practice and AI test strategy</w:t>
          </w:r>
        </w:p>
        <w:p>
          <w:pPr>
            <w:pStyle w:val="TOC2"/>
          </w:pPr>
          <w:r>
            <w:rPr/>
            <w:t>3. Test Plan</w:t>
          </w:r>
        </w:p>
        <w:p>
          <w:pPr>
            <w:pStyle w:val="TOC3"/>
          </w:pPr>
          <w:r>
            <w:rPr/>
            <w:t>3.1 Work packages</w:t>
          </w:r>
        </w:p>
        <w:p>
          <w:pPr>
            <w:pStyle w:val="TOC3"/>
          </w:pPr>
          <w:r>
            <w:rPr/>
            <w:t>3.2 Execution order</w:t>
          </w:r>
        </w:p>
        <w:p>
          <w:pPr>
            <w:pStyle w:val="TOC3"/>
          </w:pPr>
          <w:r>
            <w:rPr/>
            <w:t>3.3 Environment matrix</w:t>
          </w:r>
        </w:p>
        <w:p>
          <w:pPr>
            <w:pStyle w:val="TOC3"/>
          </w:pPr>
          <w:r>
            <w:rPr/>
            <w:t>3.4 Entry checklist</w:t>
          </w:r>
        </w:p>
        <w:p>
          <w:pPr>
            <w:pStyle w:val="TOC3"/>
          </w:pPr>
          <w:r>
            <w:rPr/>
            <w:t>3.5 Exit checklist</w:t>
          </w:r>
        </w:p>
        <w:p>
          <w:pPr>
            <w:pStyle w:val="TOC3"/>
          </w:pPr>
          <w:r>
            <w:rPr/>
            <w:t>3.6 Schedule and milestones</w:t>
          </w:r>
        </w:p>
        <w:p>
          <w:pPr>
            <w:pStyle w:val="TOC3"/>
          </w:pPr>
          <w:r>
            <w:rPr/>
            <w:t>3.7 Test record ownership</w:t>
          </w:r>
        </w:p>
        <w:p>
          <w:pPr>
            <w:pStyle w:val="TOC3"/>
          </w:pPr>
          <w:r>
            <w:rPr/>
            <w:t>3.8 Scope revision work packages</w:t>
          </w:r>
        </w:p>
        <w:p>
          <w:pPr>
            <w:pStyle w:val="TOC2"/>
          </w:pPr>
          <w:r>
            <w:rPr/>
            <w:t>4. Test Cases</w:t>
          </w:r>
        </w:p>
        <w:p>
          <w:pPr>
            <w:pStyle w:val="TOC3"/>
          </w:pPr>
          <w:r>
            <w:rPr/>
            <w:t>4.1 Test-case record format</w:t>
          </w:r>
        </w:p>
        <w:p>
          <w:pPr>
            <w:pStyle w:val="TOC3"/>
          </w:pPr>
          <w:r>
            <w:rPr/>
            <w:t>4.2 Access, tenant, and onboarding cases</w:t>
          </w:r>
        </w:p>
        <w:p>
          <w:pPr>
            <w:pStyle w:val="TOC3"/>
          </w:pPr>
          <w:r>
            <w:rPr/>
            <w:t>4.3 Content, package, roster, and exam preparation cases</w:t>
          </w:r>
        </w:p>
        <w:p>
          <w:pPr>
            <w:pStyle w:val="TOC3"/>
          </w:pPr>
          <w:r>
            <w:rPr/>
            <w:t>4.4 Delivery, retry, and integrity cases</w:t>
          </w:r>
        </w:p>
        <w:p>
          <w:pPr>
            <w:pStyle w:val="TOC3"/>
          </w:pPr>
          <w:r>
            <w:rPr/>
            <w:t>4.5 Scoring, publication, and integration cases</w:t>
          </w:r>
        </w:p>
        <w:p>
          <w:pPr>
            <w:pStyle w:val="TOC3"/>
          </w:pPr>
          <w:r>
            <w:rPr/>
            <w:t>4.6 Case completion rule</w:t>
          </w:r>
        </w:p>
        <w:p>
          <w:pPr>
            <w:pStyle w:val="TOC3"/>
          </w:pPr>
          <w:r>
            <w:rPr/>
            <w:t>4.7 Scope revision test cases</w:t>
          </w:r>
        </w:p>
        <w:p>
          <w:pPr>
            <w:pStyle w:val="TOC2"/>
          </w:pPr>
          <w:r>
            <w:rPr/>
            <w:t>5. Test Reports</w:t>
          </w:r>
        </w:p>
        <w:p>
          <w:pPr>
            <w:pStyle w:val="TOC3"/>
          </w:pPr>
          <w:r>
            <w:rPr/>
            <w:t>5.1 Execution summary template</w:t>
          </w:r>
        </w:p>
        <w:p>
          <w:pPr>
            <w:pStyle w:val="TOC3"/>
          </w:pPr>
          <w:r>
            <w:rPr/>
            <w:t>5.2 Result status rules</w:t>
          </w:r>
        </w:p>
        <w:p>
          <w:pPr>
            <w:pStyle w:val="TOC3"/>
          </w:pPr>
          <w:r>
            <w:rPr/>
            <w:t>5.3 Coverage summary template</w:t>
          </w:r>
        </w:p>
        <w:p>
          <w:pPr>
            <w:pStyle w:val="TOC3"/>
          </w:pPr>
          <w:r>
            <w:rPr/>
            <w:t>5.4 Evidence manifest template</w:t>
          </w:r>
        </w:p>
        <w:p>
          <w:pPr>
            <w:pStyle w:val="TOC3"/>
          </w:pPr>
          <w:r>
            <w:rPr/>
            <w:t>5.5 Defect report template</w:t>
          </w:r>
        </w:p>
        <w:p>
          <w:pPr>
            <w:pStyle w:val="TOC3"/>
          </w:pPr>
          <w:r>
            <w:rPr/>
            <w:t>5.6 Current documentation-run evidence</w:t>
          </w:r>
        </w:p>
        <w:p>
          <w:pPr>
            <w:pStyle w:val="TOC3"/>
          </w:pPr>
          <w:r>
            <w:rPr/>
            <w:t>5.7 Release conclusion template</w:t>
          </w:r>
        </w:p>
        <w:p>
          <w:pPr>
            <w:pStyle w:val="TOC3"/>
          </w:pPr>
          <w:r>
            <w:rPr/>
            <w:t>5.8 Scope revision evidence state</w:t>
          </w:r>
        </w:p>
        <w:p>
          <w:pPr>
            <w:pStyle w:val="TOC3"/>
          </w:pPr>
          <w:r>
            <w:rPr>
              <w:color w:val="666666"/>
            </w:rPr>
            <w:t>Page numbers are intentionally omitted from this generated outline so the cached page references cannot become stale.</w:t>
          </w:r>
        </w:p>
      </w:sdtContent>
    </w:sdt>
    <w:p>
      <w:r>
        <w:br w:type="page"/>
      </w:r>
    </w:p>
    <w:p>
      <w:pPr>
        <w:pStyle w:val="Heading1"/>
        <w:keepNext/>
        <w:pageBreakBefore w:val="0"/>
      </w:pPr>
      <w:r>
        <w:t>I. Record of Changes</w:t>
      </w:r>
    </w:p>
    <w:tbl>
      <w:tblPr>
        <w:tblW w:type="auto" w:w="0"/>
        <w:jc w:val="center"/>
        <w:tblLayout w:type="fixed"/>
        <w:tblLook w:firstColumn="1" w:firstRow="1" w:lastColumn="0" w:lastRow="0" w:noHBand="0" w:noVBand="1" w:val="04A0"/>
      </w:tblPr>
      <w:tblGrid>
        <w:gridCol w:w="1508"/>
        <w:gridCol w:w="1508"/>
        <w:gridCol w:w="1508"/>
        <w:gridCol w:w="1508"/>
        <w:gridCol w:w="1508"/>
        <w:gridCol w:w="1508"/>
      </w:tblGrid>
      <w:tr>
        <w:trPr>
          <w:tblHeader w:val="true"/>
          <w:cantSplit/>
        </w:trPr>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Version</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Date</w:t>
            </w:r>
          </w:p>
        </w:tc>
        <w:tc>
          <w:tcPr>
            <w:tcW w:type="dxa" w:w="1893"/>
            <w:vAlign w:val="top"/>
            <w:tcMar>
              <w:top w:w="70" w:type="dxa"/>
              <w:start w:w="90" w:type="dxa"/>
              <w:bottom w:w="70" w:type="dxa"/>
              <w:end w:w="90" w:type="dxa"/>
            </w:tcMar>
            <w:shd w:val="clear" w:color="auto" w:fill="FFE8E1"/>
          </w:tcPr>
          <w:p>
            <w:pPr>
              <w:spacing w:after="0" w:line="240" w:lineRule="auto"/>
            </w:pPr>
            <w:r>
              <w:rPr>
                <w:b/>
              </w:rPr>
            </w:r>
            <w:r>
              <w:rPr>
                <w:b/>
                <w:sz w:val="16"/>
              </w:rPr>
              <w:t>A</w:t>
            </w:r>
            <w:r>
              <w:rPr>
                <w:b/>
                <w:i/>
                <w:sz w:val="16"/>
              </w:rPr>
              <w:t xml:space="preserve"> / M</w:t>
            </w:r>
            <w:r>
              <w:rPr>
                <w:b/>
                <w:i/>
                <w:sz w:val="16"/>
              </w:rPr>
              <w:t xml:space="preserve"> / D</w:t>
            </w:r>
            <w:r>
              <w:rPr>
                <w:b/>
                <w:sz w:val="16"/>
              </w:rPr>
              <w:t>**</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In charge</w:t>
            </w:r>
          </w:p>
        </w:tc>
        <w:tc>
          <w:tcPr>
            <w:tcW w:type="dxa" w:w="2272"/>
            <w:vAlign w:val="top"/>
            <w:tcMar>
              <w:top w:w="70" w:type="dxa"/>
              <w:start w:w="90" w:type="dxa"/>
              <w:bottom w:w="70" w:type="dxa"/>
              <w:end w:w="90" w:type="dxa"/>
            </w:tcMar>
            <w:shd w:val="clear" w:color="auto" w:fill="FFE8E1"/>
          </w:tcPr>
          <w:p>
            <w:pPr>
              <w:spacing w:after="0" w:line="240" w:lineRule="auto"/>
            </w:pPr>
            <w:r>
              <w:rPr>
                <w:b/>
              </w:rPr>
            </w:r>
            <w:r>
              <w:rPr>
                <w:b/>
                <w:sz w:val="16"/>
              </w:rPr>
              <w:t>Change description</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Reference</w:t>
            </w:r>
          </w:p>
        </w:tc>
      </w:tr>
      <w:tr>
        <w:trPr>
          <w:cantSplit/>
        </w:trPr>
        <w:tc>
          <w:tcPr>
            <w:tcW w:type="dxa" w:w="1388"/>
            <w:vAlign w:val="top"/>
            <w:tcMar>
              <w:top w:w="70" w:type="dxa"/>
              <w:start w:w="90" w:type="dxa"/>
              <w:bottom w:w="70" w:type="dxa"/>
              <w:end w:w="90" w:type="dxa"/>
            </w:tcMar>
          </w:tcPr>
          <w:p>
            <w:pPr>
              <w:spacing w:after="0" w:line="240" w:lineRule="auto"/>
            </w:pPr>
            <w:r>
              <w:rPr/>
            </w:r>
            <w:r>
              <w:rPr>
                <w:sz w:val="16"/>
              </w:rPr>
              <w:t>1.0</w:t>
            </w:r>
          </w:p>
        </w:tc>
        <w:tc>
          <w:tcPr>
            <w:tcW w:type="dxa" w:w="1388"/>
            <w:vAlign w:val="top"/>
            <w:tcMar>
              <w:top w:w="70" w:type="dxa"/>
              <w:start w:w="90" w:type="dxa"/>
              <w:bottom w:w="70" w:type="dxa"/>
              <w:end w:w="90" w:type="dxa"/>
            </w:tcMar>
          </w:tcPr>
          <w:p>
            <w:pPr>
              <w:spacing w:after="0" w:line="240" w:lineRule="auto"/>
            </w:pPr>
            <w:r>
              <w:rPr/>
            </w:r>
            <w:r>
              <w:rPr>
                <w:sz w:val="16"/>
              </w:rPr>
              <w:t>2026-10-06</w:t>
            </w:r>
          </w:p>
        </w:tc>
        <w:tc>
          <w:tcPr>
            <w:tcW w:type="dxa" w:w="1893"/>
            <w:vAlign w:val="top"/>
            <w:tcMar>
              <w:top w:w="70" w:type="dxa"/>
              <w:start w:w="90" w:type="dxa"/>
              <w:bottom w:w="70" w:type="dxa"/>
              <w:end w:w="90" w:type="dxa"/>
            </w:tcMar>
          </w:tcPr>
          <w:p>
            <w:pPr>
              <w:spacing w:after="0" w:line="240" w:lineRule="auto"/>
            </w:pPr>
            <w:r>
              <w:rPr/>
            </w:r>
            <w:r>
              <w:rPr>
                <w:sz w:val="16"/>
              </w:rPr>
              <w:t>A, M</w:t>
            </w:r>
          </w:p>
        </w:tc>
        <w:tc>
          <w:tcPr>
            <w:tcW w:type="dxa" w:w="1388"/>
            <w:vAlign w:val="top"/>
            <w:tcMar>
              <w:top w:w="70" w:type="dxa"/>
              <w:start w:w="90" w:type="dxa"/>
              <w:bottom w:w="70" w:type="dxa"/>
              <w:end w:w="90" w:type="dxa"/>
            </w:tcMar>
          </w:tcPr>
          <w:p>
            <w:pPr>
              <w:spacing w:after="0" w:line="240" w:lineRule="auto"/>
            </w:pPr>
            <w:r>
              <w:rPr/>
            </w:r>
            <w:r>
              <w:rPr>
                <w:sz w:val="16"/>
              </w:rPr>
              <w:t>Ngo Dang Quang - Project Leader</w:t>
            </w:r>
          </w:p>
        </w:tc>
        <w:tc>
          <w:tcPr>
            <w:tcW w:type="dxa" w:w="2272"/>
            <w:vAlign w:val="top"/>
            <w:tcMar>
              <w:top w:w="70" w:type="dxa"/>
              <w:start w:w="90" w:type="dxa"/>
              <w:bottom w:w="70" w:type="dxa"/>
              <w:end w:w="90" w:type="dxa"/>
            </w:tcMar>
          </w:tcPr>
          <w:p>
            <w:pPr>
              <w:spacing w:after="0" w:line="240" w:lineRule="auto"/>
            </w:pPr>
            <w:r>
              <w:rPr/>
            </w:r>
            <w:r>
              <w:rPr>
                <w:sz w:val="16"/>
              </w:rPr>
              <w:t>Converted the generic testing template into the first PTEPrep test strategy and evidence structure.</w:t>
            </w:r>
          </w:p>
        </w:tc>
        <w:tc>
          <w:tcPr>
            <w:tcW w:type="dxa" w:w="1388"/>
            <w:vAlign w:val="top"/>
            <w:tcMar>
              <w:top w:w="70" w:type="dxa"/>
              <w:start w:w="90" w:type="dxa"/>
              <w:bottom w:w="70" w:type="dxa"/>
              <w:end w:w="90" w:type="dxa"/>
            </w:tcMar>
          </w:tcPr>
          <w:p>
            <w:pPr>
              <w:spacing w:after="0" w:line="240" w:lineRule="auto"/>
            </w:pPr>
            <w:r>
              <w:rPr/>
            </w:r>
            <w:r>
              <w:rPr>
                <w:sz w:val="16"/>
              </w:rPr>
              <w:t>Report 3/4 baseline and original Report 5 template</w:t>
            </w:r>
          </w:p>
        </w:tc>
      </w:tr>
      <w:tr>
        <w:trPr>
          <w:cantSplit/>
        </w:trPr>
        <w:tc>
          <w:tcPr>
            <w:tcW w:type="dxa" w:w="1388"/>
            <w:vAlign w:val="top"/>
            <w:tcMar>
              <w:top w:w="70" w:type="dxa"/>
              <w:start w:w="90" w:type="dxa"/>
              <w:bottom w:w="70" w:type="dxa"/>
              <w:end w:w="90" w:type="dxa"/>
            </w:tcMar>
          </w:tcPr>
          <w:p>
            <w:pPr>
              <w:spacing w:after="0" w:line="240" w:lineRule="auto"/>
            </w:pPr>
            <w:r>
              <w:rPr/>
            </w:r>
            <w:r>
              <w:rPr>
                <w:sz w:val="16"/>
              </w:rPr>
              <w:t>1.1</w:t>
            </w:r>
          </w:p>
        </w:tc>
        <w:tc>
          <w:tcPr>
            <w:tcW w:type="dxa" w:w="1388"/>
            <w:vAlign w:val="top"/>
            <w:tcMar>
              <w:top w:w="70" w:type="dxa"/>
              <w:start w:w="90" w:type="dxa"/>
              <w:bottom w:w="70" w:type="dxa"/>
              <w:end w:w="90" w:type="dxa"/>
            </w:tcMar>
          </w:tcPr>
          <w:p>
            <w:pPr>
              <w:spacing w:after="0" w:line="240" w:lineRule="auto"/>
            </w:pPr>
            <w:r>
              <w:rPr/>
            </w:r>
            <w:r>
              <w:rPr>
                <w:sz w:val="16"/>
              </w:rPr>
              <w:t>2026-10-22</w:t>
            </w:r>
          </w:p>
        </w:tc>
        <w:tc>
          <w:tcPr>
            <w:tcW w:type="dxa" w:w="1893"/>
            <w:vAlign w:val="top"/>
            <w:tcMar>
              <w:top w:w="70" w:type="dxa"/>
              <w:start w:w="90" w:type="dxa"/>
              <w:bottom w:w="70" w:type="dxa"/>
              <w:end w:w="90" w:type="dxa"/>
            </w:tcMar>
          </w:tcPr>
          <w:p>
            <w:pPr>
              <w:spacing w:after="0" w:line="240" w:lineRule="auto"/>
            </w:pPr>
            <w:r>
              <w:rPr/>
            </w:r>
            <w:r>
              <w:rPr>
                <w:sz w:val="16"/>
              </w:rPr>
              <w:t>A, M</w:t>
            </w:r>
          </w:p>
        </w:tc>
        <w:tc>
          <w:tcPr>
            <w:tcW w:type="dxa" w:w="1388"/>
            <w:vAlign w:val="top"/>
            <w:tcMar>
              <w:top w:w="70" w:type="dxa"/>
              <w:start w:w="90" w:type="dxa"/>
              <w:bottom w:w="70" w:type="dxa"/>
              <w:end w:w="90" w:type="dxa"/>
            </w:tcMar>
          </w:tcPr>
          <w:p>
            <w:pPr>
              <w:spacing w:after="0" w:line="240" w:lineRule="auto"/>
            </w:pPr>
            <w:r>
              <w:rPr/>
            </w:r>
            <w:r>
              <w:rPr>
                <w:sz w:val="16"/>
              </w:rPr>
              <w:t>Ngo Dang Quang - Project Leader</w:t>
            </w:r>
          </w:p>
        </w:tc>
        <w:tc>
          <w:tcPr>
            <w:tcW w:type="dxa" w:w="2272"/>
            <w:vAlign w:val="top"/>
            <w:tcMar>
              <w:top w:w="70" w:type="dxa"/>
              <w:start w:w="90" w:type="dxa"/>
              <w:bottom w:w="70" w:type="dxa"/>
              <w:end w:w="90" w:type="dxa"/>
            </w:tcMar>
          </w:tcPr>
          <w:p>
            <w:pPr>
              <w:spacing w:after="0" w:line="240" w:lineRule="auto"/>
            </w:pPr>
            <w:r>
              <w:rPr/>
            </w:r>
            <w:r>
              <w:rPr>
                <w:sz w:val="16"/>
              </w:rPr>
              <w:t>Added tests for new platform/academic roles, Student practice, email/context/entitlement, AI explanation states, progress truthfulness and independent Practice/Exam question flags.</w:t>
            </w:r>
          </w:p>
        </w:tc>
        <w:tc>
          <w:tcPr>
            <w:tcW w:type="dxa" w:w="1388"/>
            <w:vAlign w:val="top"/>
            <w:tcMar>
              <w:top w:w="70" w:type="dxa"/>
              <w:start w:w="90" w:type="dxa"/>
              <w:bottom w:w="70" w:type="dxa"/>
              <w:end w:w="90" w:type="dxa"/>
            </w:tcMar>
          </w:tcPr>
          <w:p>
            <w:pPr>
              <w:spacing w:after="0" w:line="240" w:lineRule="auto"/>
            </w:pPr>
            <w:r>
              <w:rPr/>
            </w:r>
            <w:r>
              <w:rPr>
                <w:sz w:val="16"/>
              </w:rPr>
              <w:t>Report 3/4 scope revision</w:t>
            </w:r>
          </w:p>
        </w:tc>
      </w:tr>
    </w:tbl>
    <w:p>
      <w:pPr>
        <w:spacing w:after="20"/>
      </w:pPr>
    </w:p>
    <w:p>
      <w:pPr>
        <w:spacing w:after="160" w:line="240" w:lineRule="auto"/>
      </w:pPr>
      <w:r>
        <w:rPr>
          <w:i/>
          <w:color w:val="666666"/>
          <w:sz w:val="17"/>
        </w:rPr>
        <w:t>* A — Added; M — Modified; D — Deleted.</w:t>
      </w:r>
    </w:p>
    <w:p>
      <w:pPr>
        <w:pStyle w:val="Heading1"/>
        <w:keepNext/>
        <w:pageBreakBefore w:val="0"/>
      </w:pPr>
      <w:r>
        <w:t>II. Testing Documentation</w:t>
      </w:r>
    </w:p>
    <w:p>
      <w:pPr>
        <w:spacing w:after="80" w:line="240" w:lineRule="auto"/>
      </w:pPr>
      <w:r>
        <w:rPr>
          <w:i/>
          <w:color w:val="666666"/>
          <w:sz w:val="17"/>
        </w:rPr>
        <w:t>Product: PTEPrep · Independent organization-based PTE-style practice and mock-exam simulation platform.</w:t>
      </w:r>
    </w:p>
    <w:p>
      <w:pPr>
        <w:spacing w:after="80" w:line="240" w:lineRule="auto"/>
      </w:pPr>
      <w:r>
        <w:rPr>
          <w:i/>
          <w:color w:val="666666"/>
          <w:sz w:val="17"/>
        </w:rPr>
        <w:t>Registered title: PTEPrep: An AI-Powered PTE Practice Platform and Realistic Exam Simulator.</w:t>
      </w:r>
    </w:p>
    <w:p>
      <w:pPr>
        <w:spacing w:after="80" w:line="240" w:lineRule="auto"/>
      </w:pPr>
      <w:r>
        <w:rPr>
          <w:i/>
          <w:color w:val="666666"/>
          <w:sz w:val="17"/>
        </w:rPr>
        <w:t>Document baseline: Version 1.1 · 22 October 2026 · Owner: Ngô Đăng Quang — Project Leader · Group: FA26SE182.</w:t>
      </w:r>
    </w:p>
    <w:p>
      <w:pPr>
        <w:pStyle w:val="Heading2"/>
        <w:keepNext/>
        <w:pageBreakBefore w:val="0"/>
      </w:pPr>
      <w:r>
        <w:t>1. Scope of Testing</w:t>
      </w:r>
    </w:p>
    <w:p>
      <w:pPr>
        <w:spacing w:after="80" w:line="240" w:lineRule="auto"/>
      </w:pPr>
      <w:r>
        <w:rPr>
          <w:sz w:val="19"/>
        </w:rPr>
        <w:t xml:space="preserve">This section maps the original DOCX heading </w:t>
      </w:r>
      <w:r>
        <w:rPr>
          <w:b/>
          <w:i w:val="0"/>
          <w:sz w:val="19"/>
        </w:rPr>
        <w:t>1. Scope of Testing</w:t>
      </w:r>
      <w:r>
        <w:rPr>
          <w:sz w:val="19"/>
        </w:rPr>
        <w:t>. It defines what the PTEPrep test documentation covers, what is excluded, the testable baseline, assumptions, and evidence boundaries.</w:t>
      </w:r>
    </w:p>
    <w:p>
      <w:pPr>
        <w:pStyle w:val="Heading3"/>
        <w:keepNext/>
        <w:pageBreakBefore w:val="0"/>
      </w:pPr>
      <w:r>
        <w:t>1.1 Test objective</w:t>
      </w:r>
    </w:p>
    <w:p>
      <w:pPr>
        <w:spacing w:after="80" w:line="240" w:lineRule="auto"/>
      </w:pPr>
      <w:r>
        <w:rPr>
          <w:sz w:val="19"/>
        </w:rPr>
        <w:t>The test effort must show whether the approved PTEPrep requirements and design are internally consistent and whether the implemented product preserves the core business invariants. The focus is not only happy-path screen completion. It includes authorization, tenant ownership, fixed exam provenance, local-first answer recovery, Proctor/Examiner assignment, scoring-source review, publication blocking, and external-service failure behavior.</w:t>
      </w:r>
    </w:p>
    <w:p>
      <w:pPr>
        <w:pStyle w:val="Heading3"/>
        <w:keepNext/>
        <w:pageBreakBefore w:val="0"/>
      </w:pPr>
      <w:r>
        <w:t>1.2 In-scope product surfaces</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227"/>
            <w:vAlign w:val="top"/>
            <w:tcMar>
              <w:top w:w="70" w:type="dxa"/>
              <w:start w:w="90" w:type="dxa"/>
              <w:bottom w:w="70" w:type="dxa"/>
              <w:end w:w="90" w:type="dxa"/>
            </w:tcMar>
            <w:shd w:val="clear" w:color="auto" w:fill="FFE8E1"/>
          </w:tcPr>
          <w:p>
            <w:pPr>
              <w:spacing w:after="0" w:line="240" w:lineRule="auto"/>
            </w:pPr>
            <w:r>
              <w:rPr>
                <w:b/>
              </w:rPr>
            </w:r>
            <w:r>
              <w:rPr>
                <w:b/>
                <w:sz w:val="17"/>
              </w:rPr>
              <w:t>Surface</w:t>
            </w:r>
          </w:p>
        </w:tc>
        <w:tc>
          <w:tcPr>
            <w:tcW w:type="dxa" w:w="2227"/>
            <w:vAlign w:val="top"/>
            <w:tcMar>
              <w:top w:w="70" w:type="dxa"/>
              <w:start w:w="90" w:type="dxa"/>
              <w:bottom w:w="70" w:type="dxa"/>
              <w:end w:w="90" w:type="dxa"/>
            </w:tcMar>
            <w:shd w:val="clear" w:color="auto" w:fill="FFE8E1"/>
          </w:tcPr>
          <w:p>
            <w:pPr>
              <w:spacing w:after="0" w:line="240" w:lineRule="auto"/>
            </w:pPr>
            <w:r>
              <w:rPr>
                <w:b/>
              </w:rPr>
            </w:r>
            <w:r>
              <w:rPr>
                <w:b/>
                <w:sz w:val="17"/>
              </w:rPr>
              <w:t>Test focus</w:t>
            </w:r>
          </w:p>
        </w:tc>
        <w:tc>
          <w:tcPr>
            <w:tcW w:type="dxa" w:w="5264"/>
            <w:vAlign w:val="top"/>
            <w:tcMar>
              <w:top w:w="70" w:type="dxa"/>
              <w:start w:w="90" w:type="dxa"/>
              <w:bottom w:w="70" w:type="dxa"/>
              <w:end w:w="90" w:type="dxa"/>
            </w:tcMar>
            <w:shd w:val="clear" w:color="auto" w:fill="FFE8E1"/>
          </w:tcPr>
          <w:p>
            <w:pPr>
              <w:spacing w:after="0" w:line="240" w:lineRule="auto"/>
            </w:pPr>
            <w:r>
              <w:rPr>
                <w:b/>
              </w:rPr>
            </w:r>
            <w:r>
              <w:rPr>
                <w:b/>
                <w:sz w:val="17"/>
              </w:rPr>
              <w:t>Requirement/design anchors</w:t>
            </w:r>
          </w:p>
        </w:tc>
      </w:tr>
      <w:tr>
        <w:trPr>
          <w:cantSplit/>
        </w:trPr>
        <w:tc>
          <w:tcPr>
            <w:tcW w:type="dxa" w:w="2227"/>
            <w:vAlign w:val="top"/>
            <w:tcMar>
              <w:top w:w="70" w:type="dxa"/>
              <w:start w:w="90" w:type="dxa"/>
              <w:bottom w:w="70" w:type="dxa"/>
              <w:end w:w="90" w:type="dxa"/>
            </w:tcMar>
          </w:tcPr>
          <w:p>
            <w:pPr>
              <w:spacing w:after="0" w:line="240" w:lineRule="auto"/>
            </w:pPr>
            <w:r>
              <w:rPr/>
            </w:r>
            <w:r>
              <w:rPr>
                <w:sz w:val="17"/>
              </w:rPr>
              <w:t>Public organization registration and platform portal</w:t>
            </w:r>
          </w:p>
        </w:tc>
        <w:tc>
          <w:tcPr>
            <w:tcW w:type="dxa" w:w="2227"/>
            <w:vAlign w:val="top"/>
            <w:tcMar>
              <w:top w:w="70" w:type="dxa"/>
              <w:start w:w="90" w:type="dxa"/>
              <w:bottom w:w="70" w:type="dxa"/>
              <w:end w:w="90" w:type="dxa"/>
            </w:tcMar>
          </w:tcPr>
          <w:p>
            <w:pPr>
              <w:spacing w:after="0" w:line="240" w:lineRule="auto"/>
            </w:pPr>
            <w:r>
              <w:rPr/>
            </w:r>
            <w:r>
              <w:rPr>
                <w:sz w:val="17"/>
              </w:rPr>
              <w:t>Registration state, approval/rejection, shared content/template governance, package/admin scope, account support</w:t>
            </w:r>
          </w:p>
        </w:tc>
        <w:tc>
          <w:tcPr>
            <w:tcW w:type="dxa" w:w="5264"/>
            <w:vAlign w:val="top"/>
            <w:tcMar>
              <w:top w:w="70" w:type="dxa"/>
              <w:start w:w="90" w:type="dxa"/>
              <w:bottom w:w="70" w:type="dxa"/>
              <w:end w:w="90" w:type="dxa"/>
            </w:tcMar>
          </w:tcPr>
          <w:p>
            <w:pPr>
              <w:spacing w:after="0" w:line="240" w:lineRule="auto"/>
            </w:pPr>
            <w:r>
              <w:rPr/>
            </w:r>
            <w:r>
              <w:rPr>
                <w:rFonts w:ascii="Consolas" w:hAnsi="Consolas"/>
                <w:b w:val="0"/>
                <w:i w:val="0"/>
                <w:sz w:val="17"/>
              </w:rPr>
              <w:t>FR-ONBOARD-*</w:t>
            </w:r>
            <w:r>
              <w:rPr>
                <w:sz w:val="17"/>
              </w:rPr>
              <w:t xml:space="preserve">, </w:t>
            </w:r>
            <w:r>
              <w:rPr>
                <w:rFonts w:ascii="Consolas" w:hAnsi="Consolas"/>
                <w:b w:val="0"/>
                <w:i w:val="0"/>
                <w:sz w:val="17"/>
              </w:rPr>
              <w:t>FR-CONTENT-*</w:t>
            </w:r>
            <w:r>
              <w:rPr>
                <w:sz w:val="17"/>
              </w:rPr>
              <w:t xml:space="preserve">, </w:t>
            </w:r>
            <w:r>
              <w:rPr>
                <w:rFonts w:ascii="Consolas" w:hAnsi="Consolas"/>
                <w:b w:val="0"/>
                <w:i w:val="0"/>
                <w:sz w:val="17"/>
              </w:rPr>
              <w:t>FR-TEMPLATE-*</w:t>
            </w:r>
            <w:r>
              <w:rPr>
                <w:sz w:val="17"/>
              </w:rPr>
              <w:t xml:space="preserve">, </w:t>
            </w:r>
            <w:r>
              <w:rPr>
                <w:rFonts w:ascii="Consolas" w:hAnsi="Consolas"/>
                <w:b w:val="0"/>
                <w:i w:val="0"/>
                <w:sz w:val="17"/>
              </w:rPr>
              <w:t>UC-ONBOARD-001</w:t>
            </w:r>
            <w:r>
              <w:rPr>
                <w:sz w:val="17"/>
              </w:rPr>
              <w:t xml:space="preserve">, </w:t>
            </w:r>
            <w:r>
              <w:rPr>
                <w:rFonts w:ascii="Consolas" w:hAnsi="Consolas"/>
                <w:b w:val="0"/>
                <w:i w:val="0"/>
                <w:sz w:val="17"/>
              </w:rPr>
              <w:t>SD-ARCH-CONTEXT-001</w:t>
            </w:r>
          </w:p>
        </w:tc>
      </w:tr>
      <w:tr>
        <w:trPr>
          <w:cantSplit/>
        </w:trPr>
        <w:tc>
          <w:tcPr>
            <w:tcW w:type="dxa" w:w="2227"/>
            <w:vAlign w:val="top"/>
            <w:tcMar>
              <w:top w:w="70" w:type="dxa"/>
              <w:start w:w="90" w:type="dxa"/>
              <w:bottom w:w="70" w:type="dxa"/>
              <w:end w:w="90" w:type="dxa"/>
            </w:tcMar>
          </w:tcPr>
          <w:p>
            <w:pPr>
              <w:spacing w:after="0" w:line="240" w:lineRule="auto"/>
            </w:pPr>
            <w:r>
              <w:rPr/>
            </w:r>
            <w:r>
              <w:rPr>
                <w:sz w:val="17"/>
              </w:rPr>
              <w:t>Organization web portal</w:t>
            </w:r>
          </w:p>
        </w:tc>
        <w:tc>
          <w:tcPr>
            <w:tcW w:type="dxa" w:w="2227"/>
            <w:vAlign w:val="top"/>
            <w:tcMar>
              <w:top w:w="70" w:type="dxa"/>
              <w:start w:w="90" w:type="dxa"/>
              <w:bottom w:w="70" w:type="dxa"/>
              <w:end w:w="90" w:type="dxa"/>
            </w:tcMar>
          </w:tcPr>
          <w:p>
            <w:pPr>
              <w:spacing w:after="0" w:line="240" w:lineRule="auto"/>
            </w:pPr>
            <w:r>
              <w:rPr/>
            </w:r>
            <w:r>
              <w:rPr>
                <w:sz w:val="17"/>
              </w:rPr>
              <w:t>Host roster/package/exam operations, Proctor monitoring, Examiner queue, score review/publication, audit visibility</w:t>
            </w:r>
          </w:p>
        </w:tc>
        <w:tc>
          <w:tcPr>
            <w:tcW w:type="dxa" w:w="5264"/>
            <w:vAlign w:val="top"/>
            <w:tcMar>
              <w:top w:w="70" w:type="dxa"/>
              <w:start w:w="90" w:type="dxa"/>
              <w:bottom w:w="70" w:type="dxa"/>
              <w:end w:w="90" w:type="dxa"/>
            </w:tcMar>
          </w:tcPr>
          <w:p>
            <w:pPr>
              <w:spacing w:after="0" w:line="240" w:lineRule="auto"/>
            </w:pPr>
            <w:r>
              <w:rPr/>
            </w:r>
            <w:r>
              <w:rPr>
                <w:rFonts w:ascii="Consolas" w:hAnsi="Consolas"/>
                <w:b w:val="0"/>
                <w:i w:val="0"/>
                <w:sz w:val="17"/>
              </w:rPr>
              <w:t>FR-ORG-*</w:t>
            </w:r>
            <w:r>
              <w:rPr>
                <w:sz w:val="17"/>
              </w:rPr>
              <w:t xml:space="preserve">, </w:t>
            </w:r>
            <w:r>
              <w:rPr>
                <w:rFonts w:ascii="Consolas" w:hAnsi="Consolas"/>
                <w:b w:val="0"/>
                <w:i w:val="0"/>
                <w:sz w:val="17"/>
              </w:rPr>
              <w:t>FR-PACKAGE-*</w:t>
            </w:r>
            <w:r>
              <w:rPr>
                <w:sz w:val="17"/>
              </w:rPr>
              <w:t xml:space="preserve">, </w:t>
            </w:r>
            <w:r>
              <w:rPr>
                <w:rFonts w:ascii="Consolas" w:hAnsi="Consolas"/>
                <w:b w:val="0"/>
                <w:i w:val="0"/>
                <w:sz w:val="17"/>
              </w:rPr>
              <w:t>FR-EXAM-*</w:t>
            </w:r>
            <w:r>
              <w:rPr>
                <w:sz w:val="17"/>
              </w:rPr>
              <w:t xml:space="preserve">, </w:t>
            </w:r>
            <w:r>
              <w:rPr>
                <w:rFonts w:ascii="Consolas" w:hAnsi="Consolas"/>
                <w:b w:val="0"/>
                <w:i w:val="0"/>
                <w:sz w:val="17"/>
              </w:rPr>
              <w:t>FR-INTEGRITY-*</w:t>
            </w:r>
            <w:r>
              <w:rPr>
                <w:sz w:val="17"/>
              </w:rPr>
              <w:t xml:space="preserve">, </w:t>
            </w:r>
            <w:r>
              <w:rPr>
                <w:rFonts w:ascii="Consolas" w:hAnsi="Consolas"/>
                <w:b w:val="0"/>
                <w:i w:val="0"/>
                <w:sz w:val="17"/>
              </w:rPr>
              <w:t>FR-SCORE-*</w:t>
            </w:r>
            <w:r>
              <w:rPr>
                <w:sz w:val="17"/>
              </w:rPr>
              <w:t xml:space="preserve">, </w:t>
            </w:r>
            <w:r>
              <w:rPr>
                <w:rFonts w:ascii="Consolas" w:hAnsi="Consolas"/>
                <w:b w:val="0"/>
                <w:i w:val="0"/>
                <w:sz w:val="17"/>
              </w:rPr>
              <w:t>FR-REPORT-*</w:t>
            </w:r>
          </w:p>
        </w:tc>
      </w:tr>
      <w:tr>
        <w:trPr>
          <w:cantSplit/>
        </w:trPr>
        <w:tc>
          <w:tcPr>
            <w:tcW w:type="dxa" w:w="2227"/>
            <w:vAlign w:val="top"/>
            <w:tcMar>
              <w:top w:w="70" w:type="dxa"/>
              <w:start w:w="90" w:type="dxa"/>
              <w:bottom w:w="70" w:type="dxa"/>
              <w:end w:w="90" w:type="dxa"/>
            </w:tcMar>
          </w:tcPr>
          <w:p>
            <w:pPr>
              <w:spacing w:after="0" w:line="240" w:lineRule="auto"/>
            </w:pPr>
            <w:r>
              <w:rPr/>
            </w:r>
            <w:r>
              <w:rPr>
                <w:sz w:val="17"/>
              </w:rPr>
              <w:t>Windows-first exam client</w:t>
            </w:r>
          </w:p>
        </w:tc>
        <w:tc>
          <w:tcPr>
            <w:tcW w:type="dxa" w:w="2227"/>
            <w:vAlign w:val="top"/>
            <w:tcMar>
              <w:top w:w="70" w:type="dxa"/>
              <w:start w:w="90" w:type="dxa"/>
              <w:bottom w:w="70" w:type="dxa"/>
              <w:end w:w="90" w:type="dxa"/>
            </w:tcMar>
          </w:tcPr>
          <w:p>
            <w:pPr>
              <w:spacing w:after="0" w:line="240" w:lineRule="auto"/>
            </w:pPr>
            <w:r>
              <w:rPr/>
            </w:r>
            <w:r>
              <w:rPr>
                <w:sz w:val="17"/>
              </w:rPr>
              <w:t>Device check, task/timer behavior, local save, sync/retry, submission, own-result visibility</w:t>
            </w:r>
          </w:p>
        </w:tc>
        <w:tc>
          <w:tcPr>
            <w:tcW w:type="dxa" w:w="5264"/>
            <w:vAlign w:val="top"/>
            <w:tcMar>
              <w:top w:w="70" w:type="dxa"/>
              <w:start w:w="90" w:type="dxa"/>
              <w:bottom w:w="70" w:type="dxa"/>
              <w:end w:w="90" w:type="dxa"/>
            </w:tcMar>
          </w:tcPr>
          <w:p>
            <w:pPr>
              <w:spacing w:after="0" w:line="240" w:lineRule="auto"/>
            </w:pPr>
            <w:r>
              <w:rPr/>
            </w:r>
            <w:r>
              <w:rPr>
                <w:rFonts w:ascii="Consolas" w:hAnsi="Consolas"/>
                <w:b w:val="0"/>
                <w:i w:val="0"/>
                <w:sz w:val="17"/>
              </w:rPr>
              <w:t>FR-DELIVERY-001</w:t>
            </w:r>
            <w:r>
              <w:rPr>
                <w:sz w:val="17"/>
              </w:rPr>
              <w:t>–</w:t>
            </w:r>
            <w:r>
              <w:rPr>
                <w:rFonts w:ascii="Consolas" w:hAnsi="Consolas"/>
                <w:b w:val="0"/>
                <w:i w:val="0"/>
                <w:sz w:val="17"/>
              </w:rPr>
              <w:t>FR-DELIVERY-009</w:t>
            </w:r>
            <w:r>
              <w:rPr>
                <w:sz w:val="17"/>
              </w:rPr>
              <w:t xml:space="preserve">, </w:t>
            </w:r>
            <w:r>
              <w:rPr>
                <w:rFonts w:ascii="Consolas" w:hAnsi="Consolas"/>
                <w:b w:val="0"/>
                <w:i w:val="0"/>
                <w:sz w:val="17"/>
              </w:rPr>
              <w:t>SEQ-ANSWER-SYNC</w:t>
            </w:r>
            <w:r>
              <w:rPr>
                <w:sz w:val="17"/>
              </w:rPr>
              <w:t xml:space="preserve">, </w:t>
            </w:r>
            <w:r>
              <w:rPr>
                <w:rFonts w:ascii="Consolas" w:hAnsi="Consolas"/>
                <w:b w:val="0"/>
                <w:i w:val="0"/>
                <w:sz w:val="17"/>
              </w:rPr>
              <w:t>DB-INV-005</w:t>
            </w:r>
            <w:r>
              <w:rPr>
                <w:sz w:val="17"/>
              </w:rPr>
              <w:t>–</w:t>
            </w:r>
            <w:r>
              <w:rPr>
                <w:rFonts w:ascii="Consolas" w:hAnsi="Consolas"/>
                <w:b w:val="0"/>
                <w:i w:val="0"/>
                <w:sz w:val="17"/>
              </w:rPr>
              <w:t>DB-INV-006</w:t>
            </w:r>
          </w:p>
        </w:tc>
      </w:tr>
      <w:tr>
        <w:trPr>
          <w:cantSplit/>
        </w:trPr>
        <w:tc>
          <w:tcPr>
            <w:tcW w:type="dxa" w:w="2227"/>
            <w:vAlign w:val="top"/>
            <w:tcMar>
              <w:top w:w="70" w:type="dxa"/>
              <w:start w:w="90" w:type="dxa"/>
              <w:bottom w:w="70" w:type="dxa"/>
              <w:end w:w="90" w:type="dxa"/>
            </w:tcMar>
          </w:tcPr>
          <w:p>
            <w:pPr>
              <w:spacing w:after="0" w:line="240" w:lineRule="auto"/>
            </w:pPr>
            <w:r>
              <w:rPr/>
            </w:r>
            <w:r>
              <w:rPr>
                <w:sz w:val="17"/>
              </w:rPr>
              <w:t>Shared relational data</w:t>
            </w:r>
          </w:p>
        </w:tc>
        <w:tc>
          <w:tcPr>
            <w:tcW w:type="dxa" w:w="2227"/>
            <w:vAlign w:val="top"/>
            <w:tcMar>
              <w:top w:w="70" w:type="dxa"/>
              <w:start w:w="90" w:type="dxa"/>
              <w:bottom w:w="70" w:type="dxa"/>
              <w:end w:w="90" w:type="dxa"/>
            </w:tcMar>
          </w:tcPr>
          <w:p>
            <w:pPr>
              <w:spacing w:after="0" w:line="240" w:lineRule="auto"/>
            </w:pPr>
            <w:r>
              <w:rPr/>
            </w:r>
            <w:r>
              <w:rPr>
                <w:sz w:val="17"/>
              </w:rPr>
              <w:t>Tenant ownership, fixed version, candidate/form uniqueness, attempt/answer/score/report relationships</w:t>
            </w:r>
          </w:p>
        </w:tc>
        <w:tc>
          <w:tcPr>
            <w:tcW w:type="dxa" w:w="5264"/>
            <w:vAlign w:val="top"/>
            <w:tcMar>
              <w:top w:w="70" w:type="dxa"/>
              <w:start w:w="90" w:type="dxa"/>
              <w:bottom w:w="70" w:type="dxa"/>
              <w:end w:w="90" w:type="dxa"/>
            </w:tcMar>
          </w:tcPr>
          <w:p>
            <w:pPr>
              <w:spacing w:after="0" w:line="240" w:lineRule="auto"/>
            </w:pPr>
            <w:r>
              <w:rPr/>
            </w:r>
            <w:r>
              <w:rPr>
                <w:rFonts w:ascii="Consolas" w:hAnsi="Consolas"/>
                <w:b w:val="0"/>
                <w:i w:val="0"/>
                <w:sz w:val="17"/>
              </w:rPr>
              <w:t>DB-ORGANIZATION</w:t>
            </w:r>
            <w:r>
              <w:rPr>
                <w:sz w:val="17"/>
              </w:rPr>
              <w:t xml:space="preserve">, </w:t>
            </w:r>
            <w:r>
              <w:rPr>
                <w:rFonts w:ascii="Consolas" w:hAnsi="Consolas"/>
                <w:b w:val="0"/>
                <w:i w:val="0"/>
                <w:sz w:val="17"/>
              </w:rPr>
              <w:t>DB-EXAM-VERSION</w:t>
            </w:r>
            <w:r>
              <w:rPr>
                <w:sz w:val="17"/>
              </w:rPr>
              <w:t xml:space="preserve">, </w:t>
            </w:r>
            <w:r>
              <w:rPr>
                <w:rFonts w:ascii="Consolas" w:hAnsi="Consolas"/>
                <w:b w:val="0"/>
                <w:i w:val="0"/>
                <w:sz w:val="17"/>
              </w:rPr>
              <w:t>DB-ATTEMPT-ANSWER</w:t>
            </w:r>
            <w:r>
              <w:rPr>
                <w:sz w:val="17"/>
              </w:rPr>
              <w:t xml:space="preserve">, </w:t>
            </w:r>
            <w:r>
              <w:rPr>
                <w:rFonts w:ascii="Consolas" w:hAnsi="Consolas"/>
                <w:b w:val="0"/>
                <w:i w:val="0"/>
                <w:sz w:val="17"/>
              </w:rPr>
              <w:t>DB-INV-001</w:t>
            </w:r>
            <w:r>
              <w:rPr>
                <w:sz w:val="17"/>
              </w:rPr>
              <w:t>–</w:t>
            </w:r>
            <w:r>
              <w:rPr>
                <w:rFonts w:ascii="Consolas" w:hAnsi="Consolas"/>
                <w:b w:val="0"/>
                <w:i w:val="0"/>
                <w:sz w:val="17"/>
              </w:rPr>
              <w:t>DB-INV-008</w:t>
            </w:r>
          </w:p>
        </w:tc>
      </w:tr>
      <w:tr>
        <w:trPr>
          <w:cantSplit/>
        </w:trPr>
        <w:tc>
          <w:tcPr>
            <w:tcW w:type="dxa" w:w="2227"/>
            <w:vAlign w:val="top"/>
            <w:tcMar>
              <w:top w:w="70" w:type="dxa"/>
              <w:start w:w="90" w:type="dxa"/>
              <w:bottom w:w="70" w:type="dxa"/>
              <w:end w:w="90" w:type="dxa"/>
            </w:tcMar>
          </w:tcPr>
          <w:p>
            <w:pPr>
              <w:spacing w:after="0" w:line="240" w:lineRule="auto"/>
            </w:pPr>
            <w:r>
              <w:rPr/>
            </w:r>
            <w:r>
              <w:rPr>
                <w:sz w:val="17"/>
              </w:rPr>
              <w:t>External boundaries</w:t>
            </w:r>
          </w:p>
        </w:tc>
        <w:tc>
          <w:tcPr>
            <w:tcW w:type="dxa" w:w="2227"/>
            <w:vAlign w:val="top"/>
            <w:tcMar>
              <w:top w:w="70" w:type="dxa"/>
              <w:start w:w="90" w:type="dxa"/>
              <w:bottom w:w="70" w:type="dxa"/>
              <w:end w:w="90" w:type="dxa"/>
            </w:tcMar>
          </w:tcPr>
          <w:p>
            <w:pPr>
              <w:spacing w:after="0" w:line="240" w:lineRule="auto"/>
            </w:pPr>
            <w:r>
              <w:rPr/>
            </w:r>
            <w:r>
              <w:rPr>
                <w:sz w:val="17"/>
              </w:rPr>
              <w:t>Payment callback, Cloudinary/media, AI scoring, email/notification, timeout/retry/idempotency</w:t>
            </w:r>
          </w:p>
        </w:tc>
        <w:tc>
          <w:tcPr>
            <w:tcW w:type="dxa" w:w="5264"/>
            <w:vAlign w:val="top"/>
            <w:tcMar>
              <w:top w:w="70" w:type="dxa"/>
              <w:start w:w="90" w:type="dxa"/>
              <w:bottom w:w="70" w:type="dxa"/>
              <w:end w:w="90" w:type="dxa"/>
            </w:tcMar>
          </w:tcPr>
          <w:p>
            <w:pPr>
              <w:spacing w:after="0" w:line="240" w:lineRule="auto"/>
            </w:pPr>
            <w:r>
              <w:rPr/>
            </w:r>
            <w:r>
              <w:rPr>
                <w:rFonts w:ascii="Consolas" w:hAnsi="Consolas"/>
                <w:b w:val="0"/>
                <w:i w:val="0"/>
                <w:sz w:val="17"/>
              </w:rPr>
              <w:t>FR-INTEGRATION-001</w:t>
            </w:r>
            <w:r>
              <w:rPr>
                <w:sz w:val="17"/>
              </w:rPr>
              <w:t>–</w:t>
            </w:r>
            <w:r>
              <w:rPr>
                <w:rFonts w:ascii="Consolas" w:hAnsi="Consolas"/>
                <w:b w:val="0"/>
                <w:i w:val="0"/>
                <w:sz w:val="17"/>
              </w:rPr>
              <w:t>FR-INTEGRATION-006</w:t>
            </w:r>
            <w:r>
              <w:rPr>
                <w:sz w:val="17"/>
              </w:rPr>
              <w:t xml:space="preserve">, </w:t>
            </w:r>
            <w:r>
              <w:rPr>
                <w:rFonts w:ascii="Consolas" w:hAnsi="Consolas"/>
                <w:b w:val="0"/>
                <w:i w:val="0"/>
                <w:sz w:val="17"/>
              </w:rPr>
              <w:t>NFR-19</w:t>
            </w:r>
          </w:p>
        </w:tc>
      </w:tr>
      <w:tr>
        <w:trPr>
          <w:cantSplit/>
        </w:trPr>
        <w:tc>
          <w:tcPr>
            <w:tcW w:type="dxa" w:w="2227"/>
            <w:vAlign w:val="top"/>
            <w:tcMar>
              <w:top w:w="70" w:type="dxa"/>
              <w:start w:w="90" w:type="dxa"/>
              <w:bottom w:w="70" w:type="dxa"/>
              <w:end w:w="90" w:type="dxa"/>
            </w:tcMar>
          </w:tcPr>
          <w:p>
            <w:pPr>
              <w:spacing w:after="0" w:line="240" w:lineRule="auto"/>
            </w:pPr>
            <w:r>
              <w:rPr/>
            </w:r>
            <w:r>
              <w:rPr>
                <w:sz w:val="17"/>
              </w:rPr>
              <w:t>Deployment/operations</w:t>
            </w:r>
          </w:p>
        </w:tc>
        <w:tc>
          <w:tcPr>
            <w:tcW w:type="dxa" w:w="2227"/>
            <w:vAlign w:val="top"/>
            <w:tcMar>
              <w:top w:w="70" w:type="dxa"/>
              <w:start w:w="90" w:type="dxa"/>
              <w:bottom w:w="70" w:type="dxa"/>
              <w:end w:w="90" w:type="dxa"/>
            </w:tcMar>
          </w:tcPr>
          <w:p>
            <w:pPr>
              <w:spacing w:after="0" w:line="240" w:lineRule="auto"/>
            </w:pPr>
            <w:r>
              <w:rPr/>
            </w:r>
            <w:r>
              <w:rPr>
                <w:sz w:val="17"/>
              </w:rPr>
              <w:t>Health, configuration boundaries, backup/recovery evidence, public edge/internal service separation</w:t>
            </w:r>
          </w:p>
        </w:tc>
        <w:tc>
          <w:tcPr>
            <w:tcW w:type="dxa" w:w="5264"/>
            <w:vAlign w:val="top"/>
            <w:tcMar>
              <w:top w:w="70" w:type="dxa"/>
              <w:start w:w="90" w:type="dxa"/>
              <w:bottom w:w="70" w:type="dxa"/>
              <w:end w:w="90" w:type="dxa"/>
            </w:tcMar>
          </w:tcPr>
          <w:p>
            <w:pPr>
              <w:spacing w:after="0" w:line="240" w:lineRule="auto"/>
            </w:pPr>
            <w:r>
              <w:rPr/>
            </w:r>
            <w:r>
              <w:rPr>
                <w:rFonts w:ascii="Consolas" w:hAnsi="Consolas"/>
                <w:b w:val="0"/>
                <w:i w:val="0"/>
                <w:sz w:val="17"/>
              </w:rPr>
              <w:t>NFR-05</w:t>
            </w:r>
            <w:r>
              <w:rPr>
                <w:sz w:val="17"/>
              </w:rPr>
              <w:t>–</w:t>
            </w:r>
            <w:r>
              <w:rPr>
                <w:rFonts w:ascii="Consolas" w:hAnsi="Consolas"/>
                <w:b w:val="0"/>
                <w:i w:val="0"/>
                <w:sz w:val="17"/>
              </w:rPr>
              <w:t>NFR-08</w:t>
            </w:r>
            <w:r>
              <w:rPr>
                <w:sz w:val="17"/>
              </w:rPr>
              <w:t xml:space="preserve">, </w:t>
            </w:r>
            <w:r>
              <w:rPr>
                <w:rFonts w:ascii="Consolas" w:hAnsi="Consolas"/>
                <w:b w:val="0"/>
                <w:i w:val="0"/>
                <w:sz w:val="17"/>
              </w:rPr>
              <w:t>NFR-19</w:t>
            </w:r>
            <w:r>
              <w:rPr>
                <w:sz w:val="17"/>
              </w:rPr>
              <w:t xml:space="preserve">, </w:t>
            </w:r>
            <w:r>
              <w:rPr>
                <w:rFonts w:ascii="Consolas" w:hAnsi="Consolas"/>
                <w:b w:val="0"/>
                <w:i w:val="0"/>
                <w:sz w:val="17"/>
              </w:rPr>
              <w:t>SD-ARCH-DEPLOY-001</w:t>
            </w:r>
          </w:p>
        </w:tc>
      </w:tr>
    </w:tbl>
    <w:p>
      <w:pPr>
        <w:spacing w:after="20"/>
      </w:pPr>
    </w:p>
    <w:p>
      <w:pPr>
        <w:pStyle w:val="Heading3"/>
        <w:keepNext/>
        <w:pageBreakBefore w:val="0"/>
      </w:pPr>
      <w:r>
        <w:t>1.3 Functional coverage</w:t>
      </w:r>
    </w:p>
    <w:p>
      <w:pPr>
        <w:spacing w:after="80" w:line="240" w:lineRule="auto"/>
      </w:pPr>
      <w:r>
        <w:rPr>
          <w:sz w:val="19"/>
        </w:rPr>
        <w:t>The test scope covers all 12 PTEPrep feature groups:</w:t>
      </w:r>
    </w:p>
    <w:p>
      <w:pPr>
        <w:pStyle w:val="ListParagraph"/>
        <w:numPr>
          <w:ilvl w:val="0"/>
          <w:numId w:val="18"/>
        </w:numPr>
        <w:spacing w:after="40"/>
      </w:pPr>
      <w:r>
        <w:rPr>
          <w:sz w:val="18"/>
        </w:rPr>
        <w:t>account and organization onboarding;</w:t>
      </w:r>
    </w:p>
    <w:p>
      <w:pPr>
        <w:pStyle w:val="ListParagraph"/>
        <w:numPr>
          <w:ilvl w:val="0"/>
          <w:numId w:val="18"/>
        </w:numPr>
        <w:spacing w:after="40"/>
      </w:pPr>
      <w:r>
        <w:rPr>
          <w:sz w:val="18"/>
        </w:rPr>
        <w:t>organization, Student, program, class, and enrollment management;</w:t>
      </w:r>
    </w:p>
    <w:p>
      <w:pPr>
        <w:pStyle w:val="ListParagraph"/>
        <w:numPr>
          <w:ilvl w:val="0"/>
          <w:numId w:val="18"/>
        </w:numPr>
        <w:spacing w:after="40"/>
      </w:pPr>
      <w:r>
        <w:rPr>
          <w:sz w:val="18"/>
        </w:rPr>
        <w:t>shared question bank and image/audio media;</w:t>
      </w:r>
    </w:p>
    <w:p>
      <w:pPr>
        <w:pStyle w:val="ListParagraph"/>
        <w:numPr>
          <w:ilvl w:val="0"/>
          <w:numId w:val="18"/>
        </w:numPr>
        <w:spacing w:after="40"/>
      </w:pPr>
      <w:r>
        <w:rPr>
          <w:sz w:val="18"/>
        </w:rPr>
        <w:t>Score Templates and task rules;</w:t>
      </w:r>
    </w:p>
    <w:p>
      <w:pPr>
        <w:pStyle w:val="ListParagraph"/>
        <w:numPr>
          <w:ilvl w:val="0"/>
          <w:numId w:val="18"/>
        </w:numPr>
        <w:spacing w:after="40"/>
      </w:pPr>
      <w:r>
        <w:rPr>
          <w:sz w:val="18"/>
        </w:rPr>
        <w:t>packages, payment integration, licenses, and limits;</w:t>
      </w:r>
    </w:p>
    <w:p>
      <w:pPr>
        <w:pStyle w:val="ListParagraph"/>
        <w:numPr>
          <w:ilvl w:val="0"/>
          <w:numId w:val="18"/>
        </w:numPr>
        <w:spacing w:after="40"/>
      </w:pPr>
      <w:r>
        <w:rPr>
          <w:sz w:val="18"/>
        </w:rPr>
        <w:t>exam setup, validation, generation, and scheduling;</w:t>
      </w:r>
    </w:p>
    <w:p>
      <w:pPr>
        <w:pStyle w:val="ListParagraph"/>
        <w:numPr>
          <w:ilvl w:val="0"/>
          <w:numId w:val="18"/>
        </w:numPr>
        <w:spacing w:after="40"/>
      </w:pPr>
      <w:r>
        <w:rPr>
          <w:sz w:val="18"/>
        </w:rPr>
        <w:t>Student exam delivery and answer submission;</w:t>
      </w:r>
    </w:p>
    <w:p>
      <w:pPr>
        <w:pStyle w:val="ListParagraph"/>
        <w:numPr>
          <w:ilvl w:val="0"/>
          <w:numId w:val="18"/>
        </w:numPr>
        <w:spacing w:after="40"/>
      </w:pPr>
      <w:r>
        <w:rPr>
          <w:sz w:val="18"/>
        </w:rPr>
        <w:t>Proctoring and exam integrity;</w:t>
      </w:r>
    </w:p>
    <w:p>
      <w:pPr>
        <w:pStyle w:val="ListParagraph"/>
        <w:numPr>
          <w:ilvl w:val="0"/>
          <w:numId w:val="18"/>
        </w:numPr>
        <w:spacing w:after="40"/>
      </w:pPr>
      <w:r>
        <w:rPr>
          <w:sz w:val="18"/>
        </w:rPr>
        <w:t>Examiner assignment, marking, and score-source review;</w:t>
      </w:r>
    </w:p>
    <w:p>
      <w:pPr>
        <w:pStyle w:val="ListParagraph"/>
        <w:numPr>
          <w:ilvl w:val="0"/>
          <w:numId w:val="18"/>
        </w:numPr>
        <w:spacing w:after="40"/>
      </w:pPr>
      <w:r>
        <w:rPr>
          <w:sz w:val="18"/>
        </w:rPr>
        <w:t>reports, publication, notification, and audit;</w:t>
      </w:r>
    </w:p>
    <w:p>
      <w:pPr>
        <w:pStyle w:val="ListParagraph"/>
        <w:numPr>
          <w:ilvl w:val="0"/>
          <w:numId w:val="18"/>
        </w:numPr>
        <w:spacing w:after="40"/>
      </w:pPr>
      <w:r>
        <w:rPr>
          <w:sz w:val="18"/>
        </w:rPr>
        <w:t>external service contracts and failure handling;</w:t>
      </w:r>
    </w:p>
    <w:p>
      <w:pPr>
        <w:pStyle w:val="ListParagraph"/>
        <w:numPr>
          <w:ilvl w:val="0"/>
          <w:numId w:val="18"/>
        </w:numPr>
        <w:spacing w:after="40"/>
      </w:pPr>
      <w:r>
        <w:rPr>
          <w:sz w:val="18"/>
        </w:rPr>
        <w:t>exam provenance and platform hardening.</w:t>
      </w:r>
    </w:p>
    <w:p>
      <w:pPr>
        <w:spacing w:after="80" w:line="240" w:lineRule="auto"/>
      </w:pPr>
      <w:r>
        <w:rPr>
          <w:sz w:val="19"/>
        </w:rPr>
        <w:t xml:space="preserve">The catalog baseline is the 23-row task list in </w:t>
      </w:r>
      <w:r>
        <w:rPr>
          <w:rFonts w:ascii="Consolas" w:hAnsi="Consolas"/>
          <w:b w:val="0"/>
          <w:i w:val="0"/>
          <w:sz w:val="17"/>
        </w:rPr>
        <w:t>../_foundation/pte-task-catalog.md</w:t>
      </w:r>
      <w:r>
        <w:rPr>
          <w:sz w:val="19"/>
        </w:rPr>
        <w:t>: 22 scored task types and unscored Personal Introduction. Tests may use a smaller representative task subset only when the case records the untested rows and reason.</w:t>
      </w:r>
    </w:p>
    <w:p>
      <w:pPr>
        <w:pStyle w:val="Heading3"/>
        <w:keepNext/>
        <w:pageBreakBefore w:val="0"/>
      </w:pPr>
      <w:r>
        <w:t>1.4 In-scope quality attributes</w:t>
      </w:r>
    </w:p>
    <w:p>
      <w:pPr>
        <w:pStyle w:val="ListParagraph"/>
        <w:numPr>
          <w:ilvl w:val="0"/>
          <w:numId w:val="17"/>
        </w:numPr>
        <w:spacing w:after="40"/>
      </w:pPr>
      <w:r>
        <w:rPr>
          <w:sz w:val="18"/>
        </w:rPr>
        <w:t>response, concurrency, answer-ingestion, and pre-exam validation targets (</w:t>
      </w:r>
      <w:r>
        <w:rPr>
          <w:rFonts w:ascii="Consolas" w:hAnsi="Consolas"/>
          <w:b w:val="0"/>
          <w:i w:val="0"/>
          <w:sz w:val="17"/>
        </w:rPr>
        <w:t>NFR-01</w:t>
      </w:r>
      <w:r>
        <w:rPr>
          <w:sz w:val="18"/>
        </w:rPr>
        <w:t>–</w:t>
      </w:r>
      <w:r>
        <w:rPr>
          <w:rFonts w:ascii="Consolas" w:hAnsi="Consolas"/>
          <w:b w:val="0"/>
          <w:i w:val="0"/>
          <w:sz w:val="17"/>
        </w:rPr>
        <w:t>NFR-04</w:t>
      </w:r>
      <w:r>
        <w:rPr>
          <w:sz w:val="18"/>
        </w:rPr>
        <w:t>);</w:t>
      </w:r>
    </w:p>
    <w:p>
      <w:pPr>
        <w:pStyle w:val="ListParagraph"/>
        <w:numPr>
          <w:ilvl w:val="0"/>
          <w:numId w:val="17"/>
        </w:numPr>
        <w:spacing w:after="40"/>
      </w:pPr>
      <w:r>
        <w:rPr>
          <w:sz w:val="18"/>
        </w:rPr>
        <w:t>availability/recovery/capacity evidence (</w:t>
      </w:r>
      <w:r>
        <w:rPr>
          <w:rFonts w:ascii="Consolas" w:hAnsi="Consolas"/>
          <w:b w:val="0"/>
          <w:i w:val="0"/>
          <w:sz w:val="17"/>
        </w:rPr>
        <w:t>NFR-05</w:t>
      </w:r>
      <w:r>
        <w:rPr>
          <w:sz w:val="18"/>
        </w:rPr>
        <w:t>–</w:t>
      </w:r>
      <w:r>
        <w:rPr>
          <w:rFonts w:ascii="Consolas" w:hAnsi="Consolas"/>
          <w:b w:val="0"/>
          <w:i w:val="0"/>
          <w:sz w:val="17"/>
        </w:rPr>
        <w:t>NFR-08</w:t>
      </w:r>
      <w:r>
        <w:rPr>
          <w:sz w:val="18"/>
        </w:rPr>
        <w:t>);</w:t>
      </w:r>
    </w:p>
    <w:p>
      <w:pPr>
        <w:pStyle w:val="ListParagraph"/>
        <w:numPr>
          <w:ilvl w:val="0"/>
          <w:numId w:val="17"/>
        </w:numPr>
        <w:spacing w:after="40"/>
      </w:pPr>
      <w:r>
        <w:rPr>
          <w:sz w:val="18"/>
        </w:rPr>
        <w:t>tenant isolation, sensitive-action audit, login protection, and sensitive-data handling (</w:t>
      </w:r>
      <w:r>
        <w:rPr>
          <w:rFonts w:ascii="Consolas" w:hAnsi="Consolas"/>
          <w:b w:val="0"/>
          <w:i w:val="0"/>
          <w:sz w:val="17"/>
        </w:rPr>
        <w:t>NFR-09</w:t>
      </w:r>
      <w:r>
        <w:rPr>
          <w:sz w:val="18"/>
        </w:rPr>
        <w:t>–</w:t>
      </w:r>
      <w:r>
        <w:rPr>
          <w:rFonts w:ascii="Consolas" w:hAnsi="Consolas"/>
          <w:b w:val="0"/>
          <w:i w:val="0"/>
          <w:sz w:val="17"/>
        </w:rPr>
        <w:t>NFR-12</w:t>
      </w:r>
      <w:r>
        <w:rPr>
          <w:sz w:val="18"/>
        </w:rPr>
        <w:t>);</w:t>
      </w:r>
    </w:p>
    <w:p>
      <w:pPr>
        <w:pStyle w:val="ListParagraph"/>
        <w:numPr>
          <w:ilvl w:val="0"/>
          <w:numId w:val="17"/>
        </w:numPr>
        <w:spacing w:after="40"/>
      </w:pPr>
      <w:r>
        <w:rPr>
          <w:sz w:val="18"/>
        </w:rPr>
        <w:t>contract-based retention and jurisdiction decision checks (</w:t>
      </w:r>
      <w:r>
        <w:rPr>
          <w:rFonts w:ascii="Consolas" w:hAnsi="Consolas"/>
          <w:b w:val="0"/>
          <w:i w:val="0"/>
          <w:sz w:val="17"/>
        </w:rPr>
        <w:t>NFR-13</w:t>
      </w:r>
      <w:r>
        <w:rPr>
          <w:sz w:val="18"/>
        </w:rPr>
        <w:t>–</w:t>
      </w:r>
      <w:r>
        <w:rPr>
          <w:rFonts w:ascii="Consolas" w:hAnsi="Consolas"/>
          <w:b w:val="0"/>
          <w:i w:val="0"/>
          <w:sz w:val="17"/>
        </w:rPr>
        <w:t>NFR-14</w:t>
      </w:r>
      <w:r>
        <w:rPr>
          <w:sz w:val="18"/>
        </w:rPr>
        <w:t>);</w:t>
      </w:r>
    </w:p>
    <w:p>
      <w:pPr>
        <w:pStyle w:val="ListParagraph"/>
        <w:numPr>
          <w:ilvl w:val="0"/>
          <w:numId w:val="17"/>
        </w:numPr>
        <w:spacing w:after="40"/>
      </w:pPr>
      <w:r>
        <w:rPr>
          <w:sz w:val="18"/>
        </w:rPr>
        <w:t>language, keyboard/accessibility, recovery transparency, Windows/browser compatibility (</w:t>
      </w:r>
      <w:r>
        <w:rPr>
          <w:rFonts w:ascii="Consolas" w:hAnsi="Consolas"/>
          <w:b w:val="0"/>
          <w:i w:val="0"/>
          <w:sz w:val="17"/>
        </w:rPr>
        <w:t>NFR-15</w:t>
      </w:r>
      <w:r>
        <w:rPr>
          <w:sz w:val="18"/>
        </w:rPr>
        <w:t>–</w:t>
      </w:r>
      <w:r>
        <w:rPr>
          <w:rFonts w:ascii="Consolas" w:hAnsi="Consolas"/>
          <w:b w:val="0"/>
          <w:i w:val="0"/>
          <w:sz w:val="17"/>
        </w:rPr>
        <w:t>NFR-18</w:t>
      </w:r>
      <w:r>
        <w:rPr>
          <w:sz w:val="18"/>
        </w:rPr>
        <w:t>);</w:t>
      </w:r>
    </w:p>
    <w:p>
      <w:pPr>
        <w:pStyle w:val="ListParagraph"/>
        <w:numPr>
          <w:ilvl w:val="0"/>
          <w:numId w:val="17"/>
        </w:numPr>
        <w:spacing w:after="40"/>
      </w:pPr>
      <w:r>
        <w:rPr>
          <w:sz w:val="18"/>
        </w:rPr>
        <w:t>deployment and integration resilience (</w:t>
      </w:r>
      <w:r>
        <w:rPr>
          <w:rFonts w:ascii="Consolas" w:hAnsi="Consolas"/>
          <w:b w:val="0"/>
          <w:i w:val="0"/>
          <w:sz w:val="17"/>
        </w:rPr>
        <w:t>NFR-19</w:t>
      </w:r>
      <w:r>
        <w:rPr>
          <w:sz w:val="18"/>
        </w:rPr>
        <w:t>).</w:t>
      </w:r>
    </w:p>
    <w:p>
      <w:pPr>
        <w:spacing w:after="80" w:line="240" w:lineRule="auto"/>
      </w:pPr>
      <w:r>
        <w:rPr>
          <w:sz w:val="19"/>
        </w:rPr>
        <w:t>Numeric NFR values are targets. A test run must include environment, build, workload, tool/procedure, observed result, and evidence location before the result can be treated as a measured acceptance outcome.</w:t>
      </w:r>
    </w:p>
    <w:p>
      <w:pPr>
        <w:pStyle w:val="Heading3"/>
        <w:keepNext/>
        <w:pageBreakBefore w:val="0"/>
      </w:pPr>
      <w:r>
        <w:t>1.5 Out of scope</w:t>
      </w:r>
    </w:p>
    <w:p>
      <w:pPr>
        <w:pStyle w:val="ListParagraph"/>
        <w:numPr>
          <w:ilvl w:val="0"/>
          <w:numId w:val="17"/>
        </w:numPr>
        <w:spacing w:after="40"/>
      </w:pPr>
      <w:r>
        <w:rPr>
          <w:sz w:val="18"/>
        </w:rPr>
        <w:t>PTE Academic certification, affiliation, official score comparison, or official exam security certification.</w:t>
      </w:r>
    </w:p>
    <w:p>
      <w:pPr>
        <w:pStyle w:val="ListParagraph"/>
        <w:numPr>
          <w:ilvl w:val="0"/>
          <w:numId w:val="17"/>
        </w:numPr>
        <w:spacing w:after="40"/>
      </w:pPr>
      <w:r>
        <w:rPr>
          <w:sz w:val="18"/>
        </w:rPr>
        <w:t>Student self-payment and personal package ownership.</w:t>
      </w:r>
    </w:p>
    <w:p>
      <w:pPr>
        <w:pStyle w:val="ListParagraph"/>
        <w:numPr>
          <w:ilvl w:val="0"/>
          <w:numId w:val="17"/>
        </w:numPr>
        <w:spacing w:after="40"/>
      </w:pPr>
      <w:r>
        <w:rPr>
          <w:sz w:val="18"/>
        </w:rPr>
        <w:t>Research-based learning experiments, IRT/adaptive testing, or a new scientific scoring model.</w:t>
      </w:r>
    </w:p>
    <w:p>
      <w:pPr>
        <w:pStyle w:val="ListParagraph"/>
        <w:numPr>
          <w:ilvl w:val="0"/>
          <w:numId w:val="17"/>
        </w:numPr>
        <w:spacing w:after="40"/>
      </w:pPr>
      <w:r>
        <w:rPr>
          <w:sz w:val="18"/>
        </w:rPr>
        <w:t>Mobile exam delivery redesign; mobile may be a later compatibility project.</w:t>
      </w:r>
    </w:p>
    <w:p>
      <w:pPr>
        <w:pStyle w:val="ListParagraph"/>
        <w:numPr>
          <w:ilvl w:val="0"/>
          <w:numId w:val="17"/>
        </w:numPr>
        <w:spacing w:after="40"/>
      </w:pPr>
      <w:r>
        <w:rPr>
          <w:sz w:val="18"/>
        </w:rPr>
        <w:t>Universal no-repeat question guarantees across all sittings.</w:t>
      </w:r>
    </w:p>
    <w:p>
      <w:pPr>
        <w:pStyle w:val="ListParagraph"/>
        <w:numPr>
          <w:ilvl w:val="0"/>
          <w:numId w:val="17"/>
        </w:numPr>
        <w:spacing w:after="40"/>
      </w:pPr>
      <w:r>
        <w:rPr>
          <w:sz w:val="18"/>
        </w:rPr>
        <w:t>Host private question-bank governance separate from shared platform content.</w:t>
      </w:r>
    </w:p>
    <w:p>
      <w:pPr>
        <w:pStyle w:val="ListParagraph"/>
        <w:numPr>
          <w:ilvl w:val="0"/>
          <w:numId w:val="17"/>
        </w:numPr>
        <w:spacing w:after="40"/>
      </w:pPr>
      <w:r>
        <w:rPr>
          <w:sz w:val="18"/>
        </w:rPr>
        <w:t>Advanced anti-cheat such as virtual-machine detection, screen recording, and complete secondary-device blocking.</w:t>
      </w:r>
    </w:p>
    <w:p>
      <w:pPr>
        <w:pStyle w:val="ListParagraph"/>
        <w:numPr>
          <w:ilvl w:val="0"/>
          <w:numId w:val="17"/>
        </w:numPr>
        <w:spacing w:after="40"/>
      </w:pPr>
      <w:r>
        <w:rPr>
          <w:sz w:val="18"/>
        </w:rPr>
        <w:t xml:space="preserve">A provider-specific AI quality guarantee before </w:t>
      </w:r>
      <w:r>
        <w:rPr>
          <w:rFonts w:ascii="Consolas" w:hAnsi="Consolas"/>
          <w:b w:val="0"/>
          <w:i w:val="0"/>
          <w:sz w:val="17"/>
        </w:rPr>
        <w:t>TBD-AI-001</w:t>
      </w:r>
      <w:r>
        <w:rPr>
          <w:sz w:val="18"/>
        </w:rPr>
        <w:t xml:space="preserve"> is decided.</w:t>
      </w:r>
    </w:p>
    <w:p>
      <w:pPr>
        <w:pStyle w:val="ListParagraph"/>
        <w:numPr>
          <w:ilvl w:val="0"/>
          <w:numId w:val="17"/>
        </w:numPr>
        <w:spacing w:after="40"/>
      </w:pPr>
      <w:r>
        <w:rPr>
          <w:sz w:val="18"/>
        </w:rPr>
        <w:t xml:space="preserve">Unmasked production Student data, real credentials, secrets, private keys, or </w:t>
      </w:r>
      <w:r>
        <w:rPr>
          <w:rFonts w:ascii="Consolas" w:hAnsi="Consolas"/>
          <w:b w:val="0"/>
          <w:i w:val="0"/>
          <w:sz w:val="17"/>
        </w:rPr>
        <w:t>.env</w:t>
      </w:r>
      <w:r>
        <w:rPr>
          <w:sz w:val="18"/>
        </w:rPr>
        <w:t xml:space="preserve"> values in fixtures/evidence.</w:t>
      </w:r>
    </w:p>
    <w:p>
      <w:pPr>
        <w:pStyle w:val="Heading3"/>
        <w:keepNext/>
        <w:pageBreakBefore w:val="0"/>
      </w:pPr>
      <w:r>
        <w:t>1.6 Test personnel and responsibilities</w:t>
      </w:r>
    </w:p>
    <w:p>
      <w:pPr>
        <w:spacing w:after="80" w:line="240" w:lineRule="auto"/>
      </w:pPr>
      <w:r>
        <w:rPr>
          <w:sz w:val="19"/>
        </w:rPr>
        <w:t>The test team is a project activity, not an additional PTEPrep product role. The following test responsibilities are distinct from the product actors:</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5595"/>
            <w:vAlign w:val="top"/>
            <w:tcMar>
              <w:top w:w="70" w:type="dxa"/>
              <w:start w:w="90" w:type="dxa"/>
              <w:bottom w:w="70" w:type="dxa"/>
              <w:end w:w="90" w:type="dxa"/>
            </w:tcMar>
            <w:shd w:val="clear" w:color="auto" w:fill="FFE8E1"/>
          </w:tcPr>
          <w:p>
            <w:pPr>
              <w:spacing w:after="0" w:line="240" w:lineRule="auto"/>
            </w:pPr>
            <w:r>
              <w:rPr>
                <w:b/>
              </w:rPr>
            </w:r>
            <w:r>
              <w:rPr>
                <w:b/>
                <w:sz w:val="17"/>
              </w:rPr>
              <w:t>Test responsibility</w:t>
            </w:r>
          </w:p>
        </w:tc>
        <w:tc>
          <w:tcPr>
            <w:tcW w:type="dxa" w:w="4124"/>
            <w:vAlign w:val="top"/>
            <w:tcMar>
              <w:top w:w="70" w:type="dxa"/>
              <w:start w:w="90" w:type="dxa"/>
              <w:bottom w:w="70" w:type="dxa"/>
              <w:end w:w="90" w:type="dxa"/>
            </w:tcMar>
            <w:shd w:val="clear" w:color="auto" w:fill="FFE8E1"/>
          </w:tcPr>
          <w:p>
            <w:pPr>
              <w:spacing w:after="0" w:line="240" w:lineRule="auto"/>
            </w:pPr>
            <w:r>
              <w:rPr>
                <w:b/>
              </w:rPr>
            </w:r>
            <w:r>
              <w:rPr>
                <w:b/>
                <w:sz w:val="17"/>
              </w:rPr>
              <w:t>Responsibility</w:t>
            </w:r>
          </w:p>
        </w:tc>
      </w:tr>
      <w:tr>
        <w:trPr>
          <w:cantSplit/>
        </w:trPr>
        <w:tc>
          <w:tcPr>
            <w:tcW w:type="dxa" w:w="5595"/>
            <w:vAlign w:val="top"/>
            <w:tcMar>
              <w:top w:w="70" w:type="dxa"/>
              <w:start w:w="90" w:type="dxa"/>
              <w:bottom w:w="70" w:type="dxa"/>
              <w:end w:w="90" w:type="dxa"/>
            </w:tcMar>
          </w:tcPr>
          <w:p>
            <w:pPr>
              <w:spacing w:after="0" w:line="240" w:lineRule="auto"/>
            </w:pPr>
            <w:r>
              <w:rPr/>
            </w:r>
            <w:r>
              <w:rPr>
                <w:sz w:val="17"/>
              </w:rPr>
              <w:t>Test Lead</w:t>
            </w:r>
          </w:p>
        </w:tc>
        <w:tc>
          <w:tcPr>
            <w:tcW w:type="dxa" w:w="4124"/>
            <w:vAlign w:val="top"/>
            <w:tcMar>
              <w:top w:w="70" w:type="dxa"/>
              <w:start w:w="90" w:type="dxa"/>
              <w:bottom w:w="70" w:type="dxa"/>
              <w:end w:w="90" w:type="dxa"/>
            </w:tcMar>
          </w:tcPr>
          <w:p>
            <w:pPr>
              <w:spacing w:after="0" w:line="240" w:lineRule="auto"/>
            </w:pPr>
            <w:r>
              <w:rPr/>
            </w:r>
            <w:r>
              <w:rPr>
                <w:sz w:val="17"/>
              </w:rPr>
              <w:t>Owns scope, risk, entry/exit decisions, and evidence quality.</w:t>
            </w:r>
          </w:p>
        </w:tc>
      </w:tr>
      <w:tr>
        <w:trPr>
          <w:cantSplit/>
        </w:trPr>
        <w:tc>
          <w:tcPr>
            <w:tcW w:type="dxa" w:w="5595"/>
            <w:vAlign w:val="top"/>
            <w:tcMar>
              <w:top w:w="70" w:type="dxa"/>
              <w:start w:w="90" w:type="dxa"/>
              <w:bottom w:w="70" w:type="dxa"/>
              <w:end w:w="90" w:type="dxa"/>
            </w:tcMar>
          </w:tcPr>
          <w:p>
            <w:pPr>
              <w:spacing w:after="0" w:line="240" w:lineRule="auto"/>
            </w:pPr>
            <w:r>
              <w:rPr/>
            </w:r>
            <w:r>
              <w:rPr>
                <w:sz w:val="17"/>
              </w:rPr>
              <w:t>QA Analyst</w:t>
            </w:r>
          </w:p>
        </w:tc>
        <w:tc>
          <w:tcPr>
            <w:tcW w:type="dxa" w:w="4124"/>
            <w:vAlign w:val="top"/>
            <w:tcMar>
              <w:top w:w="70" w:type="dxa"/>
              <w:start w:w="90" w:type="dxa"/>
              <w:bottom w:w="70" w:type="dxa"/>
              <w:end w:w="90" w:type="dxa"/>
            </w:tcMar>
          </w:tcPr>
          <w:p>
            <w:pPr>
              <w:spacing w:after="0" w:line="240" w:lineRule="auto"/>
            </w:pPr>
            <w:r>
              <w:rPr/>
            </w:r>
            <w:r>
              <w:rPr>
                <w:sz w:val="17"/>
              </w:rPr>
              <w:t>Designs cases, prepares data, executes functional/negative checks, and records observations.</w:t>
            </w:r>
          </w:p>
        </w:tc>
      </w:tr>
      <w:tr>
        <w:trPr>
          <w:cantSplit/>
        </w:trPr>
        <w:tc>
          <w:tcPr>
            <w:tcW w:type="dxa" w:w="5595"/>
            <w:vAlign w:val="top"/>
            <w:tcMar>
              <w:top w:w="70" w:type="dxa"/>
              <w:start w:w="90" w:type="dxa"/>
              <w:bottom w:w="70" w:type="dxa"/>
              <w:end w:w="90" w:type="dxa"/>
            </w:tcMar>
          </w:tcPr>
          <w:p>
            <w:pPr>
              <w:spacing w:after="0" w:line="240" w:lineRule="auto"/>
            </w:pPr>
            <w:r>
              <w:rPr/>
            </w:r>
            <w:r>
              <w:rPr>
                <w:sz w:val="17"/>
              </w:rPr>
              <w:t>Automation Engineer</w:t>
            </w:r>
          </w:p>
        </w:tc>
        <w:tc>
          <w:tcPr>
            <w:tcW w:type="dxa" w:w="4124"/>
            <w:vAlign w:val="top"/>
            <w:tcMar>
              <w:top w:w="70" w:type="dxa"/>
              <w:start w:w="90" w:type="dxa"/>
              <w:bottom w:w="70" w:type="dxa"/>
              <w:end w:w="90" w:type="dxa"/>
            </w:tcMar>
          </w:tcPr>
          <w:p>
            <w:pPr>
              <w:spacing w:after="0" w:line="240" w:lineRule="auto"/>
            </w:pPr>
            <w:r>
              <w:rPr/>
            </w:r>
            <w:r>
              <w:rPr>
                <w:sz w:val="17"/>
              </w:rPr>
              <w:t>Maintains repeatable API/UI/structural checks and test data helpers.</w:t>
            </w:r>
          </w:p>
        </w:tc>
      </w:tr>
      <w:tr>
        <w:trPr>
          <w:cantSplit/>
        </w:trPr>
        <w:tc>
          <w:tcPr>
            <w:tcW w:type="dxa" w:w="5595"/>
            <w:vAlign w:val="top"/>
            <w:tcMar>
              <w:top w:w="70" w:type="dxa"/>
              <w:start w:w="90" w:type="dxa"/>
              <w:bottom w:w="70" w:type="dxa"/>
              <w:end w:w="90" w:type="dxa"/>
            </w:tcMar>
          </w:tcPr>
          <w:p>
            <w:pPr>
              <w:spacing w:after="0" w:line="240" w:lineRule="auto"/>
            </w:pPr>
            <w:r>
              <w:rPr/>
            </w:r>
            <w:r>
              <w:rPr>
                <w:sz w:val="17"/>
              </w:rPr>
              <w:t>Performance Analyst</w:t>
            </w:r>
          </w:p>
        </w:tc>
        <w:tc>
          <w:tcPr>
            <w:tcW w:type="dxa" w:w="4124"/>
            <w:vAlign w:val="top"/>
            <w:tcMar>
              <w:top w:w="70" w:type="dxa"/>
              <w:start w:w="90" w:type="dxa"/>
              <w:bottom w:w="70" w:type="dxa"/>
              <w:end w:w="90" w:type="dxa"/>
            </w:tcMar>
          </w:tcPr>
          <w:p>
            <w:pPr>
              <w:spacing w:after="0" w:line="240" w:lineRule="auto"/>
            </w:pPr>
            <w:r>
              <w:rPr/>
            </w:r>
            <w:r>
              <w:rPr>
                <w:sz w:val="17"/>
              </w:rPr>
              <w:t>Designs target workload and records measured latency/capacity/recovery evidence.</w:t>
            </w:r>
          </w:p>
        </w:tc>
      </w:tr>
      <w:tr>
        <w:trPr>
          <w:cantSplit/>
        </w:trPr>
        <w:tc>
          <w:tcPr>
            <w:tcW w:type="dxa" w:w="5595"/>
            <w:vAlign w:val="top"/>
            <w:tcMar>
              <w:top w:w="70" w:type="dxa"/>
              <w:start w:w="90" w:type="dxa"/>
              <w:bottom w:w="70" w:type="dxa"/>
              <w:end w:w="90" w:type="dxa"/>
            </w:tcMar>
          </w:tcPr>
          <w:p>
            <w:pPr>
              <w:spacing w:after="0" w:line="240" w:lineRule="auto"/>
            </w:pPr>
            <w:r>
              <w:rPr/>
            </w:r>
            <w:r>
              <w:rPr>
                <w:sz w:val="17"/>
              </w:rPr>
              <w:t>Security Reviewer</w:t>
            </w:r>
          </w:p>
        </w:tc>
        <w:tc>
          <w:tcPr>
            <w:tcW w:type="dxa" w:w="4124"/>
            <w:vAlign w:val="top"/>
            <w:tcMar>
              <w:top w:w="70" w:type="dxa"/>
              <w:start w:w="90" w:type="dxa"/>
              <w:bottom w:w="70" w:type="dxa"/>
              <w:end w:w="90" w:type="dxa"/>
            </w:tcMar>
          </w:tcPr>
          <w:p>
            <w:pPr>
              <w:spacing w:after="0" w:line="240" w:lineRule="auto"/>
            </w:pPr>
            <w:r>
              <w:rPr/>
            </w:r>
            <w:r>
              <w:rPr>
                <w:sz w:val="17"/>
              </w:rPr>
              <w:t>Performs authorization, tenant isolation, sensitive-data, and audit checks.</w:t>
            </w:r>
          </w:p>
        </w:tc>
      </w:tr>
      <w:tr>
        <w:trPr>
          <w:cantSplit/>
        </w:trPr>
        <w:tc>
          <w:tcPr>
            <w:tcW w:type="dxa" w:w="5595"/>
            <w:vAlign w:val="top"/>
            <w:tcMar>
              <w:top w:w="70" w:type="dxa"/>
              <w:start w:w="90" w:type="dxa"/>
              <w:bottom w:w="70" w:type="dxa"/>
              <w:end w:w="90" w:type="dxa"/>
            </w:tcMar>
          </w:tcPr>
          <w:p>
            <w:pPr>
              <w:spacing w:after="0" w:line="240" w:lineRule="auto"/>
            </w:pPr>
            <w:r>
              <w:rPr/>
            </w:r>
            <w:r>
              <w:rPr>
                <w:sz w:val="17"/>
              </w:rPr>
              <w:t>Business Reviewer</w:t>
            </w:r>
          </w:p>
        </w:tc>
        <w:tc>
          <w:tcPr>
            <w:tcW w:type="dxa" w:w="4124"/>
            <w:vAlign w:val="top"/>
            <w:tcMar>
              <w:top w:w="70" w:type="dxa"/>
              <w:start w:w="90" w:type="dxa"/>
              <w:bottom w:w="70" w:type="dxa"/>
              <w:end w:w="90" w:type="dxa"/>
            </w:tcMar>
          </w:tcPr>
          <w:p>
            <w:pPr>
              <w:spacing w:after="0" w:line="240" w:lineRule="auto"/>
            </w:pPr>
            <w:r>
              <w:rPr/>
            </w:r>
            <w:r>
              <w:rPr>
                <w:sz w:val="17"/>
              </w:rPr>
              <w:t>Confirms that workflows/messages match the approved requirement meaning.</w:t>
            </w:r>
          </w:p>
        </w:tc>
      </w:tr>
    </w:tbl>
    <w:p>
      <w:pPr>
        <w:spacing w:after="20"/>
      </w:pPr>
    </w:p>
    <w:p>
      <w:pPr>
        <w:spacing w:after="80" w:line="240" w:lineRule="auto"/>
      </w:pPr>
      <w:r>
        <w:rPr>
          <w:sz w:val="19"/>
        </w:rPr>
        <w:t>These labels must not be added as product login roles in Reports 3, 4, or 6.</w:t>
      </w:r>
    </w:p>
    <w:p>
      <w:pPr>
        <w:pStyle w:val="Heading3"/>
        <w:keepNext/>
        <w:pageBreakBefore w:val="0"/>
      </w:pPr>
      <w:r>
        <w:t>1.7 Entry and exit conditions</w:t>
      </w:r>
    </w:p>
    <w:p>
      <w:pPr>
        <w:pStyle w:val="Heading4"/>
        <w:keepNext/>
        <w:pageBreakBefore w:val="0"/>
      </w:pPr>
      <w:r>
        <w:t>Entry conditions</w:t>
      </w:r>
    </w:p>
    <w:p>
      <w:pPr>
        <w:pStyle w:val="ListParagraph"/>
        <w:numPr>
          <w:ilvl w:val="0"/>
          <w:numId w:val="17"/>
        </w:numPr>
        <w:spacing w:after="40"/>
      </w:pPr>
      <w:r>
        <w:rPr>
          <w:sz w:val="18"/>
        </w:rPr>
        <w:t>Report 3 requirement IDs and out-of-scope boundary are stable.</w:t>
      </w:r>
    </w:p>
    <w:p>
      <w:pPr>
        <w:pStyle w:val="ListParagraph"/>
        <w:numPr>
          <w:ilvl w:val="0"/>
          <w:numId w:val="17"/>
        </w:numPr>
        <w:spacing w:after="40"/>
      </w:pPr>
      <w:r>
        <w:rPr>
          <w:sz w:val="18"/>
        </w:rPr>
        <w:t>Report 4 design IDs, state invariants, and core sequences are available.</w:t>
      </w:r>
    </w:p>
    <w:p>
      <w:pPr>
        <w:pStyle w:val="ListParagraph"/>
        <w:numPr>
          <w:ilvl w:val="0"/>
          <w:numId w:val="17"/>
        </w:numPr>
        <w:spacing w:after="40"/>
      </w:pPr>
      <w:r>
        <w:rPr>
          <w:sz w:val="18"/>
        </w:rPr>
        <w:t>Test environment and build/baseline are recorded without exposing secrets.</w:t>
      </w:r>
    </w:p>
    <w:p>
      <w:pPr>
        <w:pStyle w:val="ListParagraph"/>
        <w:numPr>
          <w:ilvl w:val="0"/>
          <w:numId w:val="17"/>
        </w:numPr>
        <w:spacing w:after="40"/>
      </w:pPr>
      <w:r>
        <w:rPr>
          <w:sz w:val="18"/>
        </w:rPr>
        <w:t>Safe organization/Student/answer/media fixtures are available or a case is marked blocked.</w:t>
      </w:r>
    </w:p>
    <w:p>
      <w:pPr>
        <w:pStyle w:val="Heading4"/>
        <w:keepNext/>
        <w:pageBreakBefore w:val="0"/>
      </w:pPr>
      <w:r>
        <w:t>Exit conditions</w:t>
      </w:r>
    </w:p>
    <w:p>
      <w:pPr>
        <w:pStyle w:val="ListParagraph"/>
        <w:numPr>
          <w:ilvl w:val="0"/>
          <w:numId w:val="17"/>
        </w:numPr>
        <w:spacing w:after="40"/>
      </w:pPr>
      <w:r>
        <w:rPr>
          <w:sz w:val="18"/>
        </w:rPr>
        <w:t>All critical/high-risk cases have an execution result or a named dependency/blocker.</w:t>
      </w:r>
    </w:p>
    <w:p>
      <w:pPr>
        <w:pStyle w:val="ListParagraph"/>
        <w:numPr>
          <w:ilvl w:val="0"/>
          <w:numId w:val="17"/>
        </w:numPr>
        <w:spacing w:after="40"/>
      </w:pPr>
      <w:r>
        <w:rPr>
          <w:sz w:val="18"/>
        </w:rPr>
        <w:t>Tenant/authorization, duplicate/conflict, retry/recovery, score/publication, and integration-failure cases have evidence.</w:t>
      </w:r>
    </w:p>
    <w:p>
      <w:pPr>
        <w:pStyle w:val="ListParagraph"/>
        <w:numPr>
          <w:ilvl w:val="0"/>
          <w:numId w:val="17"/>
        </w:numPr>
        <w:spacing w:after="40"/>
      </w:pPr>
      <w:r>
        <w:rPr>
          <w:sz w:val="18"/>
        </w:rPr>
        <w:t>No result is labelled as an execution outcome without date, environment, build, observed result, and evidence location.</w:t>
      </w:r>
    </w:p>
    <w:p>
      <w:pPr>
        <w:pStyle w:val="ListParagraph"/>
        <w:numPr>
          <w:ilvl w:val="0"/>
          <w:numId w:val="17"/>
        </w:numPr>
        <w:spacing w:after="40"/>
      </w:pPr>
      <w:r>
        <w:rPr>
          <w:sz w:val="18"/>
        </w:rPr>
        <w:t>Open defects and TBD decisions are linked to owners and affected IDs.</w:t>
      </w:r>
    </w:p>
    <w:p>
      <w:pPr>
        <w:pStyle w:val="Heading3"/>
        <w:keepNext/>
        <w:pageBreakBefore w:val="0"/>
      </w:pPr>
      <w:r>
        <w:t>1.8 Evidence rules</w:t>
      </w:r>
    </w:p>
    <w:p>
      <w:pPr>
        <w:spacing w:after="80" w:line="240" w:lineRule="auto"/>
      </w:pPr>
      <w:r>
        <w:rPr>
          <w:sz w:val="19"/>
        </w:rPr>
        <w:t>Each case/result records:</w:t>
      </w:r>
    </w:p>
    <w:p>
      <w:pPr>
        <w:pStyle w:val="ListParagraph"/>
        <w:numPr>
          <w:ilvl w:val="0"/>
          <w:numId w:val="18"/>
        </w:numPr>
        <w:spacing w:after="40"/>
      </w:pPr>
      <w:r>
        <w:rPr>
          <w:sz w:val="18"/>
        </w:rPr>
        <w:t>case/objective ID;</w:t>
      </w:r>
    </w:p>
    <w:p>
      <w:pPr>
        <w:pStyle w:val="ListParagraph"/>
        <w:numPr>
          <w:ilvl w:val="0"/>
          <w:numId w:val="18"/>
        </w:numPr>
        <w:spacing w:after="40"/>
      </w:pPr>
      <w:r>
        <w:rPr>
          <w:sz w:val="18"/>
        </w:rPr>
        <w:t>requirement/design links;</w:t>
      </w:r>
    </w:p>
    <w:p>
      <w:pPr>
        <w:pStyle w:val="ListParagraph"/>
        <w:numPr>
          <w:ilvl w:val="0"/>
          <w:numId w:val="18"/>
        </w:numPr>
        <w:spacing w:after="40"/>
      </w:pPr>
      <w:r>
        <w:rPr>
          <w:sz w:val="18"/>
        </w:rPr>
        <w:t>data set and organization scope;</w:t>
      </w:r>
    </w:p>
    <w:p>
      <w:pPr>
        <w:pStyle w:val="ListParagraph"/>
        <w:numPr>
          <w:ilvl w:val="0"/>
          <w:numId w:val="18"/>
        </w:numPr>
        <w:spacing w:after="40"/>
      </w:pPr>
      <w:r>
        <w:rPr>
          <w:sz w:val="18"/>
        </w:rPr>
        <w:t>environment/build/client/provider conditions;</w:t>
      </w:r>
    </w:p>
    <w:p>
      <w:pPr>
        <w:pStyle w:val="ListParagraph"/>
        <w:numPr>
          <w:ilvl w:val="0"/>
          <w:numId w:val="18"/>
        </w:numPr>
        <w:spacing w:after="40"/>
      </w:pPr>
      <w:r>
        <w:rPr>
          <w:sz w:val="18"/>
        </w:rPr>
        <w:t>execution date/time and tester responsibility;</w:t>
      </w:r>
    </w:p>
    <w:p>
      <w:pPr>
        <w:pStyle w:val="ListParagraph"/>
        <w:numPr>
          <w:ilvl w:val="0"/>
          <w:numId w:val="18"/>
        </w:numPr>
        <w:spacing w:after="40"/>
      </w:pPr>
      <w:r>
        <w:rPr>
          <w:sz w:val="18"/>
        </w:rPr>
        <w:t>expected result and actual result;</w:t>
      </w:r>
    </w:p>
    <w:p>
      <w:pPr>
        <w:pStyle w:val="ListParagraph"/>
        <w:numPr>
          <w:ilvl w:val="0"/>
          <w:numId w:val="18"/>
        </w:numPr>
        <w:spacing w:after="40"/>
      </w:pPr>
      <w:r>
        <w:rPr>
          <w:sz w:val="18"/>
        </w:rPr>
        <w:t>status (</w:t>
      </w:r>
      <w:r>
        <w:rPr>
          <w:rFonts w:ascii="Consolas" w:hAnsi="Consolas"/>
          <w:b w:val="0"/>
          <w:i w:val="0"/>
          <w:sz w:val="17"/>
        </w:rPr>
        <w:t>Planned</w:t>
      </w:r>
      <w:r>
        <w:rPr>
          <w:sz w:val="18"/>
        </w:rPr>
        <w:t xml:space="preserve">, </w:t>
      </w:r>
      <w:r>
        <w:rPr>
          <w:rFonts w:ascii="Consolas" w:hAnsi="Consolas"/>
          <w:b w:val="0"/>
          <w:i w:val="0"/>
          <w:sz w:val="17"/>
        </w:rPr>
        <w:t>Blocked</w:t>
      </w:r>
      <w:r>
        <w:rPr>
          <w:sz w:val="18"/>
        </w:rPr>
        <w:t xml:space="preserve">, </w:t>
      </w:r>
      <w:r>
        <w:rPr>
          <w:rFonts w:ascii="Consolas" w:hAnsi="Consolas"/>
          <w:b w:val="0"/>
          <w:i w:val="0"/>
          <w:sz w:val="17"/>
        </w:rPr>
        <w:t>Pass</w:t>
      </w:r>
      <w:r>
        <w:rPr>
          <w:sz w:val="18"/>
        </w:rPr>
        <w:t xml:space="preserve">, </w:t>
      </w:r>
      <w:r>
        <w:rPr>
          <w:rFonts w:ascii="Consolas" w:hAnsi="Consolas"/>
          <w:b w:val="0"/>
          <w:i w:val="0"/>
          <w:sz w:val="17"/>
        </w:rPr>
        <w:t>Fail</w:t>
      </w:r>
      <w:r>
        <w:rPr>
          <w:sz w:val="18"/>
        </w:rPr>
        <w:t xml:space="preserve">, or </w:t>
      </w:r>
      <w:r>
        <w:rPr>
          <w:rFonts w:ascii="Consolas" w:hAnsi="Consolas"/>
          <w:b w:val="0"/>
          <w:i w:val="0"/>
          <w:sz w:val="17"/>
        </w:rPr>
        <w:t>Not run</w:t>
      </w:r>
      <w:r>
        <w:rPr>
          <w:sz w:val="18"/>
        </w:rPr>
        <w:t xml:space="preserve"> only after execution context exists);</w:t>
      </w:r>
    </w:p>
    <w:p>
      <w:pPr>
        <w:pStyle w:val="ListParagraph"/>
        <w:numPr>
          <w:ilvl w:val="0"/>
          <w:numId w:val="18"/>
        </w:numPr>
        <w:spacing w:after="40"/>
      </w:pPr>
      <w:r>
        <w:rPr>
          <w:sz w:val="18"/>
        </w:rPr>
        <w:t>safe evidence path/reference;</w:t>
      </w:r>
    </w:p>
    <w:p>
      <w:pPr>
        <w:pStyle w:val="ListParagraph"/>
        <w:numPr>
          <w:ilvl w:val="0"/>
          <w:numId w:val="18"/>
        </w:numPr>
        <w:spacing w:after="40"/>
      </w:pPr>
      <w:r>
        <w:rPr>
          <w:sz w:val="18"/>
        </w:rPr>
        <w:t>defect/TBD link where applicable.</w:t>
      </w:r>
    </w:p>
    <w:p>
      <w:pPr>
        <w:spacing w:after="80" w:line="240" w:lineRule="auto"/>
      </w:pPr>
      <w:r>
        <w:rPr>
          <w:sz w:val="19"/>
        </w:rPr>
        <w:t>The current Report 5 baseline contains planned cases and result-record templates only. It does not claim a product test run or execution evidence for the product.</w:t>
      </w:r>
    </w:p>
    <w:p>
      <w:pPr>
        <w:pStyle w:val="Heading3"/>
        <w:keepNext/>
        <w:pageBreakBefore w:val="0"/>
      </w:pPr>
      <w:r>
        <w:t>1.9 Scope revision coverage</w:t>
      </w:r>
    </w:p>
    <w:p>
      <w:pPr>
        <w:spacing w:after="80" w:line="240" w:lineRule="auto"/>
      </w:pPr>
      <w:r>
        <w:rPr>
          <w:sz w:val="19"/>
        </w:rPr>
        <w:t>The revised test boundary includes:</w:t>
      </w:r>
    </w:p>
    <w:p>
      <w:pPr>
        <w:pStyle w:val="ListParagraph"/>
        <w:numPr>
          <w:ilvl w:val="0"/>
          <w:numId w:val="17"/>
        </w:numPr>
        <w:spacing w:after="40"/>
      </w:pPr>
      <w:r>
        <w:rPr>
          <w:sz w:val="18"/>
        </w:rPr>
        <w:t>Platform Admin and Platform Manager operational permissions, including allow/deny separation.</w:t>
      </w:r>
    </w:p>
    <w:p>
      <w:pPr>
        <w:pStyle w:val="ListParagraph"/>
        <w:numPr>
          <w:ilvl w:val="0"/>
          <w:numId w:val="17"/>
        </w:numPr>
        <w:spacing w:after="40"/>
      </w:pPr>
      <w:r>
        <w:rPr>
          <w:sz w:val="18"/>
        </w:rPr>
        <w:t>Academic Staff draft/submit behavior and Academic Manager review, rejection, publication and activation.</w:t>
      </w:r>
    </w:p>
    <w:p>
      <w:pPr>
        <w:pStyle w:val="ListParagraph"/>
        <w:numPr>
          <w:ilvl w:val="0"/>
          <w:numId w:val="17"/>
        </w:numPr>
        <w:spacing w:after="40"/>
      </w:pPr>
      <w:r>
        <w:rPr>
          <w:sz w:val="18"/>
        </w:rPr>
        <w:t>Practice email challenge, context and entitlement resolution, catalog visibility, session ownership, save/resume/submit, media binding, progress and history.</w:t>
      </w:r>
    </w:p>
    <w:p>
      <w:pPr>
        <w:pStyle w:val="ListParagraph"/>
        <w:numPr>
          <w:ilvl w:val="0"/>
          <w:numId w:val="17"/>
        </w:numPr>
        <w:spacing w:after="40"/>
      </w:pPr>
      <w:r>
        <w:rPr>
          <w:sz w:val="18"/>
        </w:rPr>
        <w:t>Objective feedback and AI explanation pending, success, unavailable, failed and retryable states.</w:t>
      </w:r>
    </w:p>
    <w:p>
      <w:pPr>
        <w:pStyle w:val="ListParagraph"/>
        <w:numPr>
          <w:ilvl w:val="0"/>
          <w:numId w:val="17"/>
        </w:numPr>
        <w:spacing w:after="40"/>
      </w:pPr>
      <w:r>
        <w:rPr>
          <w:sz w:val="18"/>
        </w:rPr>
        <w:t xml:space="preserve">Independent </w:t>
      </w:r>
      <w:r>
        <w:rPr>
          <w:rFonts w:ascii="Consolas" w:hAnsi="Consolas"/>
          <w:b w:val="0"/>
          <w:i w:val="0"/>
          <w:sz w:val="17"/>
        </w:rPr>
        <w:t>available_for_practice</w:t>
      </w:r>
      <w:r>
        <w:rPr>
          <w:sz w:val="18"/>
        </w:rPr>
        <w:t xml:space="preserve"> and </w:t>
      </w:r>
      <w:r>
        <w:rPr>
          <w:rFonts w:ascii="Consolas" w:hAnsi="Consolas"/>
          <w:b w:val="0"/>
          <w:i w:val="0"/>
          <w:sz w:val="17"/>
        </w:rPr>
        <w:t>available_for_exam</w:t>
      </w:r>
      <w:r>
        <w:rPr>
          <w:sz w:val="18"/>
        </w:rPr>
        <w:t xml:space="preserve"> question selection with no cross-channel fallback.</w:t>
      </w:r>
    </w:p>
    <w:p>
      <w:pPr>
        <w:pStyle w:val="ListParagraph"/>
        <w:numPr>
          <w:ilvl w:val="0"/>
          <w:numId w:val="17"/>
        </w:numPr>
        <w:spacing w:after="40"/>
      </w:pPr>
      <w:r>
        <w:rPr>
          <w:sz w:val="18"/>
        </w:rPr>
        <w:t>Existing organization exam generation, Windows delivery, Proctor monitoring, Examiner assignment, Host score selection and report publication regression paths.</w:t>
      </w:r>
    </w:p>
    <w:p>
      <w:pPr>
        <w:spacing w:after="80" w:line="240" w:lineRule="auto"/>
      </w:pPr>
      <w:r>
        <w:rPr>
          <w:sz w:val="19"/>
        </w:rPr>
        <w:t>The following remain outside testing for this revision: official PTE Academic equivalence, a research contribution, Student personal payment, mobile organization exam delivery, open chatbot/personalized study plans, advanced anti-cheat and any unresolved D01-D03 policy that has no accepted expected result.</w:t>
      </w:r>
    </w:p>
    <w:p>
      <w:pPr>
        <w:spacing w:after="80" w:line="240" w:lineRule="auto"/>
      </w:pPr>
      <w:r>
        <w:rPr>
          <w:sz w:val="19"/>
        </w:rPr>
        <w:t xml:space="preserve">Every case records requirement disposition, implementation maturity and execution status separately. A future AI case may be complete as a planned acceptance case while its execution status remains </w:t>
      </w:r>
      <w:r>
        <w:rPr>
          <w:rFonts w:ascii="Consolas" w:hAnsi="Consolas"/>
          <w:b w:val="0"/>
          <w:i w:val="0"/>
          <w:sz w:val="17"/>
        </w:rPr>
        <w:t>Not executed</w:t>
      </w:r>
      <w:r>
        <w:rPr>
          <w:sz w:val="19"/>
        </w:rPr>
        <w:t>.</w:t>
      </w:r>
    </w:p>
    <w:p>
      <w:pPr>
        <w:pStyle w:val="Heading2"/>
        <w:keepNext/>
        <w:pageBreakBefore w:val="0"/>
      </w:pPr>
      <w:r>
        <w:t>2. Test Strategy</w:t>
      </w:r>
    </w:p>
    <w:p>
      <w:pPr>
        <w:spacing w:after="80" w:line="240" w:lineRule="auto"/>
      </w:pPr>
      <w:r>
        <w:rPr>
          <w:sz w:val="19"/>
        </w:rPr>
        <w:t xml:space="preserve">This section maps the original DOCX heading </w:t>
      </w:r>
      <w:r>
        <w:rPr>
          <w:b/>
          <w:i w:val="0"/>
          <w:sz w:val="19"/>
        </w:rPr>
        <w:t>2. Test Strategy</w:t>
      </w:r>
      <w:r>
        <w:rPr>
          <w:sz w:val="19"/>
        </w:rPr>
        <w:t>. It explains the levels, test types, test data, tools, risk priorities, and evidence rules used to evaluate PTEPrep.</w:t>
      </w:r>
    </w:p>
    <w:p>
      <w:pPr>
        <w:pStyle w:val="Heading3"/>
        <w:keepNext/>
        <w:pageBreakBefore w:val="0"/>
      </w:pPr>
      <w:r>
        <w:t>2.1 Risk-based strategy</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2311"/>
            <w:vAlign w:val="top"/>
            <w:tcMar>
              <w:top w:w="70" w:type="dxa"/>
              <w:start w:w="90" w:type="dxa"/>
              <w:bottom w:w="70" w:type="dxa"/>
              <w:end w:w="90" w:type="dxa"/>
            </w:tcMar>
            <w:shd w:val="clear" w:color="auto" w:fill="FFE8E1"/>
          </w:tcPr>
          <w:p>
            <w:pPr>
              <w:spacing w:after="0" w:line="240" w:lineRule="auto"/>
            </w:pPr>
            <w:r>
              <w:rPr>
                <w:b/>
              </w:rPr>
            </w:r>
            <w:r>
              <w:rPr>
                <w:b/>
                <w:sz w:val="17"/>
              </w:rPr>
              <w:t>Risk</w:t>
            </w:r>
          </w:p>
        </w:tc>
        <w:tc>
          <w:tcPr>
            <w:tcW w:type="dxa" w:w="2941"/>
            <w:vAlign w:val="top"/>
            <w:tcMar>
              <w:top w:w="70" w:type="dxa"/>
              <w:start w:w="90" w:type="dxa"/>
              <w:bottom w:w="70" w:type="dxa"/>
              <w:end w:w="90" w:type="dxa"/>
            </w:tcMar>
            <w:shd w:val="clear" w:color="auto" w:fill="FFE8E1"/>
          </w:tcPr>
          <w:p>
            <w:pPr>
              <w:spacing w:after="0" w:line="240" w:lineRule="auto"/>
            </w:pPr>
            <w:r>
              <w:rPr>
                <w:b/>
              </w:rPr>
            </w:r>
            <w:r>
              <w:rPr>
                <w:b/>
                <w:sz w:val="17"/>
              </w:rPr>
              <w:t>Why it matters</w:t>
            </w:r>
          </w:p>
        </w:tc>
        <w:tc>
          <w:tcPr>
            <w:tcW w:type="dxa" w:w="1733"/>
            <w:vAlign w:val="top"/>
            <w:tcMar>
              <w:top w:w="70" w:type="dxa"/>
              <w:start w:w="90" w:type="dxa"/>
              <w:bottom w:w="70" w:type="dxa"/>
              <w:end w:w="90" w:type="dxa"/>
            </w:tcMar>
            <w:shd w:val="clear" w:color="auto" w:fill="FFE8E1"/>
          </w:tcPr>
          <w:p>
            <w:pPr>
              <w:spacing w:after="0" w:line="240" w:lineRule="auto"/>
            </w:pPr>
            <w:r>
              <w:rPr>
                <w:b/>
              </w:rPr>
            </w:r>
            <w:r>
              <w:rPr>
                <w:b/>
                <w:sz w:val="17"/>
              </w:rPr>
              <w:t>Priority</w:t>
            </w:r>
          </w:p>
        </w:tc>
        <w:tc>
          <w:tcPr>
            <w:tcW w:type="dxa" w:w="2731"/>
            <w:vAlign w:val="top"/>
            <w:tcMar>
              <w:top w:w="70" w:type="dxa"/>
              <w:start w:w="90" w:type="dxa"/>
              <w:bottom w:w="70" w:type="dxa"/>
              <w:end w:w="90" w:type="dxa"/>
            </w:tcMar>
            <w:shd w:val="clear" w:color="auto" w:fill="FFE8E1"/>
          </w:tcPr>
          <w:p>
            <w:pPr>
              <w:spacing w:after="0" w:line="240" w:lineRule="auto"/>
            </w:pPr>
            <w:r>
              <w:rPr>
                <w:b/>
              </w:rPr>
            </w:r>
            <w:r>
              <w:rPr>
                <w:b/>
                <w:sz w:val="17"/>
              </w:rPr>
              <w:t>Main coverage</w:t>
            </w:r>
          </w:p>
        </w:tc>
      </w:tr>
      <w:tr>
        <w:trPr>
          <w:cantSplit/>
        </w:trPr>
        <w:tc>
          <w:tcPr>
            <w:tcW w:type="dxa" w:w="2311"/>
            <w:vAlign w:val="top"/>
            <w:tcMar>
              <w:top w:w="70" w:type="dxa"/>
              <w:start w:w="90" w:type="dxa"/>
              <w:bottom w:w="70" w:type="dxa"/>
              <w:end w:w="90" w:type="dxa"/>
            </w:tcMar>
          </w:tcPr>
          <w:p>
            <w:pPr>
              <w:spacing w:after="0" w:line="240" w:lineRule="auto"/>
            </w:pPr>
            <w:r>
              <w:rPr/>
            </w:r>
            <w:r>
              <w:rPr>
                <w:sz w:val="17"/>
              </w:rPr>
              <w:t>Cross-organization data exposure</w:t>
            </w:r>
          </w:p>
        </w:tc>
        <w:tc>
          <w:tcPr>
            <w:tcW w:type="dxa" w:w="2941"/>
            <w:vAlign w:val="top"/>
            <w:tcMar>
              <w:top w:w="70" w:type="dxa"/>
              <w:start w:w="90" w:type="dxa"/>
              <w:bottom w:w="70" w:type="dxa"/>
              <w:end w:w="90" w:type="dxa"/>
            </w:tcMar>
          </w:tcPr>
          <w:p>
            <w:pPr>
              <w:spacing w:after="0" w:line="240" w:lineRule="auto"/>
            </w:pPr>
            <w:r>
              <w:rPr/>
            </w:r>
            <w:r>
              <w:rPr>
                <w:sz w:val="17"/>
              </w:rPr>
              <w:t>A valid login must not reveal another organization’s Students, attempts, scores, or reports.</w:t>
            </w:r>
          </w:p>
        </w:tc>
        <w:tc>
          <w:tcPr>
            <w:tcW w:type="dxa" w:w="1733"/>
            <w:vAlign w:val="top"/>
            <w:tcMar>
              <w:top w:w="70" w:type="dxa"/>
              <w:start w:w="90" w:type="dxa"/>
              <w:bottom w:w="70" w:type="dxa"/>
              <w:end w:w="90" w:type="dxa"/>
            </w:tcMar>
          </w:tcPr>
          <w:p>
            <w:pPr>
              <w:spacing w:after="0" w:line="240" w:lineRule="auto"/>
            </w:pPr>
            <w:r>
              <w:rPr/>
            </w:r>
            <w:r>
              <w:rPr>
                <w:sz w:val="17"/>
              </w:rPr>
              <w:t>Critical</w:t>
            </w:r>
          </w:p>
        </w:tc>
        <w:tc>
          <w:tcPr>
            <w:tcW w:type="dxa" w:w="2731"/>
            <w:vAlign w:val="top"/>
            <w:tcMar>
              <w:top w:w="70" w:type="dxa"/>
              <w:start w:w="90" w:type="dxa"/>
              <w:bottom w:w="70" w:type="dxa"/>
              <w:end w:w="90" w:type="dxa"/>
            </w:tcMar>
          </w:tcPr>
          <w:p>
            <w:pPr>
              <w:spacing w:after="0" w:line="240" w:lineRule="auto"/>
            </w:pPr>
            <w:r>
              <w:rPr/>
            </w:r>
            <w:r>
              <w:rPr>
                <w:sz w:val="17"/>
              </w:rPr>
              <w:t xml:space="preserve">Authorization/tenant negative cases, API and UI checks, </w:t>
            </w:r>
            <w:r>
              <w:rPr>
                <w:rFonts w:ascii="Consolas" w:hAnsi="Consolas"/>
                <w:b w:val="0"/>
                <w:i w:val="0"/>
                <w:sz w:val="17"/>
              </w:rPr>
              <w:t>NFR-09</w:t>
            </w:r>
            <w:r>
              <w:rPr>
                <w:sz w:val="17"/>
              </w:rPr>
              <w:t>.</w:t>
            </w:r>
          </w:p>
        </w:tc>
      </w:tr>
      <w:tr>
        <w:trPr>
          <w:cantSplit/>
        </w:trPr>
        <w:tc>
          <w:tcPr>
            <w:tcW w:type="dxa" w:w="2311"/>
            <w:vAlign w:val="top"/>
            <w:tcMar>
              <w:top w:w="70" w:type="dxa"/>
              <w:start w:w="90" w:type="dxa"/>
              <w:bottom w:w="70" w:type="dxa"/>
              <w:end w:w="90" w:type="dxa"/>
            </w:tcMar>
          </w:tcPr>
          <w:p>
            <w:pPr>
              <w:spacing w:after="0" w:line="240" w:lineRule="auto"/>
            </w:pPr>
            <w:r>
              <w:rPr/>
            </w:r>
            <w:r>
              <w:rPr>
                <w:sz w:val="17"/>
              </w:rPr>
              <w:t>Unreproducible exam version</w:t>
            </w:r>
          </w:p>
        </w:tc>
        <w:tc>
          <w:tcPr>
            <w:tcW w:type="dxa" w:w="2941"/>
            <w:vAlign w:val="top"/>
            <w:tcMar>
              <w:top w:w="70" w:type="dxa"/>
              <w:start w:w="90" w:type="dxa"/>
              <w:bottom w:w="70" w:type="dxa"/>
              <w:end w:w="90" w:type="dxa"/>
            </w:tcMar>
          </w:tcPr>
          <w:p>
            <w:pPr>
              <w:spacing w:after="0" w:line="240" w:lineRule="auto"/>
            </w:pPr>
            <w:r>
              <w:rPr/>
            </w:r>
            <w:r>
              <w:rPr>
                <w:sz w:val="17"/>
              </w:rPr>
              <w:t>A content/template edit after delivery could change the Student’s exam or report meaning.</w:t>
            </w:r>
          </w:p>
        </w:tc>
        <w:tc>
          <w:tcPr>
            <w:tcW w:type="dxa" w:w="1733"/>
            <w:vAlign w:val="top"/>
            <w:tcMar>
              <w:top w:w="70" w:type="dxa"/>
              <w:start w:w="90" w:type="dxa"/>
              <w:bottom w:w="70" w:type="dxa"/>
              <w:end w:w="90" w:type="dxa"/>
            </w:tcMar>
          </w:tcPr>
          <w:p>
            <w:pPr>
              <w:spacing w:after="0" w:line="240" w:lineRule="auto"/>
            </w:pPr>
            <w:r>
              <w:rPr/>
            </w:r>
            <w:r>
              <w:rPr>
                <w:sz w:val="17"/>
              </w:rPr>
              <w:t>Critical</w:t>
            </w:r>
          </w:p>
        </w:tc>
        <w:tc>
          <w:tcPr>
            <w:tcW w:type="dxa" w:w="2731"/>
            <w:vAlign w:val="top"/>
            <w:tcMar>
              <w:top w:w="70" w:type="dxa"/>
              <w:start w:w="90" w:type="dxa"/>
              <w:bottom w:w="70" w:type="dxa"/>
              <w:end w:w="90" w:type="dxa"/>
            </w:tcMar>
          </w:tcPr>
          <w:p>
            <w:pPr>
              <w:spacing w:after="0" w:line="240" w:lineRule="auto"/>
            </w:pPr>
            <w:r>
              <w:rPr/>
            </w:r>
            <w:r>
              <w:rPr>
                <w:sz w:val="17"/>
              </w:rPr>
              <w:t>Snapshot, revision, form, provenance, and mutation attempts.</w:t>
            </w:r>
          </w:p>
        </w:tc>
      </w:tr>
      <w:tr>
        <w:trPr>
          <w:cantSplit/>
        </w:trPr>
        <w:tc>
          <w:tcPr>
            <w:tcW w:type="dxa" w:w="2311"/>
            <w:vAlign w:val="top"/>
            <w:tcMar>
              <w:top w:w="70" w:type="dxa"/>
              <w:start w:w="90" w:type="dxa"/>
              <w:bottom w:w="70" w:type="dxa"/>
              <w:end w:w="90" w:type="dxa"/>
            </w:tcMar>
          </w:tcPr>
          <w:p>
            <w:pPr>
              <w:spacing w:after="0" w:line="240" w:lineRule="auto"/>
            </w:pPr>
            <w:r>
              <w:rPr/>
            </w:r>
            <w:r>
              <w:rPr>
                <w:sz w:val="17"/>
              </w:rPr>
              <w:t>Lost/duplicated answer</w:t>
            </w:r>
          </w:p>
        </w:tc>
        <w:tc>
          <w:tcPr>
            <w:tcW w:type="dxa" w:w="2941"/>
            <w:vAlign w:val="top"/>
            <w:tcMar>
              <w:top w:w="70" w:type="dxa"/>
              <w:start w:w="90" w:type="dxa"/>
              <w:bottom w:w="70" w:type="dxa"/>
              <w:end w:w="90" w:type="dxa"/>
            </w:tcMar>
          </w:tcPr>
          <w:p>
            <w:pPr>
              <w:spacing w:after="0" w:line="240" w:lineRule="auto"/>
            </w:pPr>
            <w:r>
              <w:rPr/>
            </w:r>
            <w:r>
              <w:rPr>
                <w:sz w:val="17"/>
              </w:rPr>
              <w:t>A connectivity interruption can damage a timed attempt or create conflicting results.</w:t>
            </w:r>
          </w:p>
        </w:tc>
        <w:tc>
          <w:tcPr>
            <w:tcW w:type="dxa" w:w="1733"/>
            <w:vAlign w:val="top"/>
            <w:tcMar>
              <w:top w:w="70" w:type="dxa"/>
              <w:start w:w="90" w:type="dxa"/>
              <w:bottom w:w="70" w:type="dxa"/>
              <w:end w:w="90" w:type="dxa"/>
            </w:tcMar>
          </w:tcPr>
          <w:p>
            <w:pPr>
              <w:spacing w:after="0" w:line="240" w:lineRule="auto"/>
            </w:pPr>
            <w:r>
              <w:rPr/>
            </w:r>
            <w:r>
              <w:rPr>
                <w:sz w:val="17"/>
              </w:rPr>
              <w:t>Critical</w:t>
            </w:r>
          </w:p>
        </w:tc>
        <w:tc>
          <w:tcPr>
            <w:tcW w:type="dxa" w:w="2731"/>
            <w:vAlign w:val="top"/>
            <w:tcMar>
              <w:top w:w="70" w:type="dxa"/>
              <w:start w:w="90" w:type="dxa"/>
              <w:bottom w:w="70" w:type="dxa"/>
              <w:end w:w="90" w:type="dxa"/>
            </w:tcMar>
          </w:tcPr>
          <w:p>
            <w:pPr>
              <w:spacing w:after="0" w:line="240" w:lineRule="auto"/>
            </w:pPr>
            <w:r>
              <w:rPr/>
            </w:r>
            <w:r>
              <w:rPr>
                <w:sz w:val="17"/>
              </w:rPr>
              <w:t>Local save, outbox, retry, duplicate correlation, submit recovery.</w:t>
            </w:r>
          </w:p>
        </w:tc>
      </w:tr>
      <w:tr>
        <w:trPr>
          <w:cantSplit/>
        </w:trPr>
        <w:tc>
          <w:tcPr>
            <w:tcW w:type="dxa" w:w="2311"/>
            <w:vAlign w:val="top"/>
            <w:tcMar>
              <w:top w:w="70" w:type="dxa"/>
              <w:start w:w="90" w:type="dxa"/>
              <w:bottom w:w="70" w:type="dxa"/>
              <w:end w:w="90" w:type="dxa"/>
            </w:tcMar>
          </w:tcPr>
          <w:p>
            <w:pPr>
              <w:spacing w:after="0" w:line="240" w:lineRule="auto"/>
            </w:pPr>
            <w:r>
              <w:rPr/>
            </w:r>
            <w:r>
              <w:rPr>
                <w:sz w:val="17"/>
              </w:rPr>
              <w:t>Unsafe publication</w:t>
            </w:r>
          </w:p>
        </w:tc>
        <w:tc>
          <w:tcPr>
            <w:tcW w:type="dxa" w:w="2941"/>
            <w:vAlign w:val="top"/>
            <w:tcMar>
              <w:top w:w="70" w:type="dxa"/>
              <w:start w:w="90" w:type="dxa"/>
              <w:bottom w:w="70" w:type="dxa"/>
              <w:end w:w="90" w:type="dxa"/>
            </w:tcMar>
          </w:tcPr>
          <w:p>
            <w:pPr>
              <w:spacing w:after="0" w:line="240" w:lineRule="auto"/>
            </w:pPr>
            <w:r>
              <w:rPr/>
            </w:r>
            <w:r>
              <w:rPr>
                <w:sz w:val="17"/>
              </w:rPr>
              <w:t>An incomplete or unreviewed score may become a Student-visible report.</w:t>
            </w:r>
          </w:p>
        </w:tc>
        <w:tc>
          <w:tcPr>
            <w:tcW w:type="dxa" w:w="1733"/>
            <w:vAlign w:val="top"/>
            <w:tcMar>
              <w:top w:w="70" w:type="dxa"/>
              <w:start w:w="90" w:type="dxa"/>
              <w:bottom w:w="70" w:type="dxa"/>
              <w:end w:w="90" w:type="dxa"/>
            </w:tcMar>
          </w:tcPr>
          <w:p>
            <w:pPr>
              <w:spacing w:after="0" w:line="240" w:lineRule="auto"/>
            </w:pPr>
            <w:r>
              <w:rPr/>
            </w:r>
            <w:r>
              <w:rPr>
                <w:sz w:val="17"/>
              </w:rPr>
              <w:t>Critical</w:t>
            </w:r>
          </w:p>
        </w:tc>
        <w:tc>
          <w:tcPr>
            <w:tcW w:type="dxa" w:w="2731"/>
            <w:vAlign w:val="top"/>
            <w:tcMar>
              <w:top w:w="70" w:type="dxa"/>
              <w:start w:w="90" w:type="dxa"/>
              <w:bottom w:w="70" w:type="dxa"/>
              <w:end w:w="90" w:type="dxa"/>
            </w:tcMar>
          </w:tcPr>
          <w:p>
            <w:pPr>
              <w:spacing w:after="0" w:line="240" w:lineRule="auto"/>
            </w:pPr>
            <w:r>
              <w:rPr/>
            </w:r>
            <w:r>
              <w:rPr>
                <w:sz w:val="17"/>
              </w:rPr>
              <w:t>Source states, readiness gate, Host selection, publication visibility.</w:t>
            </w:r>
          </w:p>
        </w:tc>
      </w:tr>
      <w:tr>
        <w:trPr>
          <w:cantSplit/>
        </w:trPr>
        <w:tc>
          <w:tcPr>
            <w:tcW w:type="dxa" w:w="2311"/>
            <w:vAlign w:val="top"/>
            <w:tcMar>
              <w:top w:w="70" w:type="dxa"/>
              <w:start w:w="90" w:type="dxa"/>
              <w:bottom w:w="70" w:type="dxa"/>
              <w:end w:w="90" w:type="dxa"/>
            </w:tcMar>
          </w:tcPr>
          <w:p>
            <w:pPr>
              <w:spacing w:after="0" w:line="240" w:lineRule="auto"/>
            </w:pPr>
            <w:r>
              <w:rPr/>
            </w:r>
            <w:r>
              <w:rPr>
                <w:sz w:val="17"/>
              </w:rPr>
              <w:t>Package/roster conflict</w:t>
            </w:r>
          </w:p>
        </w:tc>
        <w:tc>
          <w:tcPr>
            <w:tcW w:type="dxa" w:w="2941"/>
            <w:vAlign w:val="top"/>
            <w:tcMar>
              <w:top w:w="70" w:type="dxa"/>
              <w:start w:w="90" w:type="dxa"/>
              <w:bottom w:w="70" w:type="dxa"/>
              <w:end w:w="90" w:type="dxa"/>
            </w:tcMar>
          </w:tcPr>
          <w:p>
            <w:pPr>
              <w:spacing w:after="0" w:line="240" w:lineRule="auto"/>
            </w:pPr>
            <w:r>
              <w:rPr/>
            </w:r>
            <w:r>
              <w:rPr>
                <w:sz w:val="17"/>
              </w:rPr>
              <w:t>An exam may exceed capacity, reuse a Student, or overlap a license window.</w:t>
            </w:r>
          </w:p>
        </w:tc>
        <w:tc>
          <w:tcPr>
            <w:tcW w:type="dxa" w:w="1733"/>
            <w:vAlign w:val="top"/>
            <w:tcMar>
              <w:top w:w="70" w:type="dxa"/>
              <w:start w:w="90" w:type="dxa"/>
              <w:bottom w:w="70" w:type="dxa"/>
              <w:end w:w="90" w:type="dxa"/>
            </w:tcMar>
          </w:tcPr>
          <w:p>
            <w:pPr>
              <w:spacing w:after="0" w:line="240" w:lineRule="auto"/>
            </w:pPr>
            <w:r>
              <w:rPr/>
            </w:r>
            <w:r>
              <w:rPr>
                <w:sz w:val="17"/>
              </w:rPr>
              <w:t>High</w:t>
            </w:r>
          </w:p>
        </w:tc>
        <w:tc>
          <w:tcPr>
            <w:tcW w:type="dxa" w:w="2731"/>
            <w:vAlign w:val="top"/>
            <w:tcMar>
              <w:top w:w="70" w:type="dxa"/>
              <w:start w:w="90" w:type="dxa"/>
              <w:bottom w:w="70" w:type="dxa"/>
              <w:end w:w="90" w:type="dxa"/>
            </w:tcMar>
          </w:tcPr>
          <w:p>
            <w:pPr>
              <w:spacing w:after="0" w:line="240" w:lineRule="auto"/>
            </w:pPr>
            <w:r>
              <w:rPr/>
            </w:r>
            <w:r>
              <w:rPr>
                <w:sz w:val="17"/>
              </w:rPr>
              <w:t>Validation, duplicate/conflict, package/date/capacity cases.</w:t>
            </w:r>
          </w:p>
        </w:tc>
      </w:tr>
      <w:tr>
        <w:trPr>
          <w:cantSplit/>
        </w:trPr>
        <w:tc>
          <w:tcPr>
            <w:tcW w:type="dxa" w:w="2311"/>
            <w:vAlign w:val="top"/>
            <w:tcMar>
              <w:top w:w="70" w:type="dxa"/>
              <w:start w:w="90" w:type="dxa"/>
              <w:bottom w:w="70" w:type="dxa"/>
              <w:end w:w="90" w:type="dxa"/>
            </w:tcMar>
          </w:tcPr>
          <w:p>
            <w:pPr>
              <w:spacing w:after="0" w:line="240" w:lineRule="auto"/>
            </w:pPr>
            <w:r>
              <w:rPr/>
            </w:r>
            <w:r>
              <w:rPr>
                <w:sz w:val="17"/>
              </w:rPr>
              <w:t>Integrity/audit gap</w:t>
            </w:r>
          </w:p>
        </w:tc>
        <w:tc>
          <w:tcPr>
            <w:tcW w:type="dxa" w:w="2941"/>
            <w:vAlign w:val="top"/>
            <w:tcMar>
              <w:top w:w="70" w:type="dxa"/>
              <w:start w:w="90" w:type="dxa"/>
              <w:bottom w:w="70" w:type="dxa"/>
              <w:end w:w="90" w:type="dxa"/>
            </w:tcMar>
          </w:tcPr>
          <w:p>
            <w:pPr>
              <w:spacing w:after="0" w:line="240" w:lineRule="auto"/>
            </w:pPr>
            <w:r>
              <w:rPr/>
            </w:r>
            <w:r>
              <w:rPr>
                <w:sz w:val="17"/>
              </w:rPr>
              <w:t>Proctor actions or score decisions may be untraceable.</w:t>
            </w:r>
          </w:p>
        </w:tc>
        <w:tc>
          <w:tcPr>
            <w:tcW w:type="dxa" w:w="1733"/>
            <w:vAlign w:val="top"/>
            <w:tcMar>
              <w:top w:w="70" w:type="dxa"/>
              <w:start w:w="90" w:type="dxa"/>
              <w:bottom w:w="70" w:type="dxa"/>
              <w:end w:w="90" w:type="dxa"/>
            </w:tcMar>
          </w:tcPr>
          <w:p>
            <w:pPr>
              <w:spacing w:after="0" w:line="240" w:lineRule="auto"/>
            </w:pPr>
            <w:r>
              <w:rPr/>
            </w:r>
            <w:r>
              <w:rPr>
                <w:sz w:val="17"/>
              </w:rPr>
              <w:t>High</w:t>
            </w:r>
          </w:p>
        </w:tc>
        <w:tc>
          <w:tcPr>
            <w:tcW w:type="dxa" w:w="2731"/>
            <w:vAlign w:val="top"/>
            <w:tcMar>
              <w:top w:w="70" w:type="dxa"/>
              <w:start w:w="90" w:type="dxa"/>
              <w:bottom w:w="70" w:type="dxa"/>
              <w:end w:w="90" w:type="dxa"/>
            </w:tcMar>
          </w:tcPr>
          <w:p>
            <w:pPr>
              <w:spacing w:after="0" w:line="240" w:lineRule="auto"/>
            </w:pPr>
            <w:r>
              <w:rPr/>
            </w:r>
            <w:r>
              <w:rPr>
                <w:sz w:val="17"/>
              </w:rPr>
              <w:t>Assignment scope, violation records, audit fields, policy behavior.</w:t>
            </w:r>
          </w:p>
        </w:tc>
      </w:tr>
      <w:tr>
        <w:trPr>
          <w:cantSplit/>
        </w:trPr>
        <w:tc>
          <w:tcPr>
            <w:tcW w:type="dxa" w:w="2311"/>
            <w:vAlign w:val="top"/>
            <w:tcMar>
              <w:top w:w="70" w:type="dxa"/>
              <w:start w:w="90" w:type="dxa"/>
              <w:bottom w:w="70" w:type="dxa"/>
              <w:end w:w="90" w:type="dxa"/>
            </w:tcMar>
          </w:tcPr>
          <w:p>
            <w:pPr>
              <w:spacing w:after="0" w:line="240" w:lineRule="auto"/>
            </w:pPr>
            <w:r>
              <w:rPr/>
            </w:r>
            <w:r>
              <w:rPr>
                <w:sz w:val="17"/>
              </w:rPr>
              <w:t>External service failure</w:t>
            </w:r>
          </w:p>
        </w:tc>
        <w:tc>
          <w:tcPr>
            <w:tcW w:type="dxa" w:w="2941"/>
            <w:vAlign w:val="top"/>
            <w:tcMar>
              <w:top w:w="70" w:type="dxa"/>
              <w:start w:w="90" w:type="dxa"/>
              <w:bottom w:w="70" w:type="dxa"/>
              <w:end w:w="90" w:type="dxa"/>
            </w:tcMar>
          </w:tcPr>
          <w:p>
            <w:pPr>
              <w:spacing w:after="0" w:line="240" w:lineRule="auto"/>
            </w:pPr>
            <w:r>
              <w:rPr/>
            </w:r>
            <w:r>
              <w:rPr>
                <w:sz w:val="17"/>
              </w:rPr>
              <w:t>Payment/media/AI/notification failure may duplicate or silently block a business action.</w:t>
            </w:r>
          </w:p>
        </w:tc>
        <w:tc>
          <w:tcPr>
            <w:tcW w:type="dxa" w:w="1733"/>
            <w:vAlign w:val="top"/>
            <w:tcMar>
              <w:top w:w="70" w:type="dxa"/>
              <w:start w:w="90" w:type="dxa"/>
              <w:bottom w:w="70" w:type="dxa"/>
              <w:end w:w="90" w:type="dxa"/>
            </w:tcMar>
          </w:tcPr>
          <w:p>
            <w:pPr>
              <w:spacing w:after="0" w:line="240" w:lineRule="auto"/>
            </w:pPr>
            <w:r>
              <w:rPr/>
            </w:r>
            <w:r>
              <w:rPr>
                <w:sz w:val="17"/>
              </w:rPr>
              <w:t>High</w:t>
            </w:r>
          </w:p>
        </w:tc>
        <w:tc>
          <w:tcPr>
            <w:tcW w:type="dxa" w:w="2731"/>
            <w:vAlign w:val="top"/>
            <w:tcMar>
              <w:top w:w="70" w:type="dxa"/>
              <w:start w:w="90" w:type="dxa"/>
              <w:bottom w:w="70" w:type="dxa"/>
              <w:end w:w="90" w:type="dxa"/>
            </w:tcMar>
          </w:tcPr>
          <w:p>
            <w:pPr>
              <w:spacing w:after="0" w:line="240" w:lineRule="auto"/>
            </w:pPr>
            <w:r>
              <w:rPr/>
            </w:r>
            <w:r>
              <w:rPr>
                <w:sz w:val="17"/>
              </w:rPr>
              <w:t>Timeout, retry, duplicate callback, pending/failure state.</w:t>
            </w:r>
          </w:p>
        </w:tc>
      </w:tr>
      <w:tr>
        <w:trPr>
          <w:cantSplit/>
        </w:trPr>
        <w:tc>
          <w:tcPr>
            <w:tcW w:type="dxa" w:w="2311"/>
            <w:vAlign w:val="top"/>
            <w:tcMar>
              <w:top w:w="70" w:type="dxa"/>
              <w:start w:w="90" w:type="dxa"/>
              <w:bottom w:w="70" w:type="dxa"/>
              <w:end w:w="90" w:type="dxa"/>
            </w:tcMar>
          </w:tcPr>
          <w:p>
            <w:pPr>
              <w:spacing w:after="0" w:line="240" w:lineRule="auto"/>
            </w:pPr>
            <w:r>
              <w:rPr/>
            </w:r>
            <w:r>
              <w:rPr>
                <w:sz w:val="17"/>
              </w:rPr>
              <w:t>Performance/recovery shortfall</w:t>
            </w:r>
          </w:p>
        </w:tc>
        <w:tc>
          <w:tcPr>
            <w:tcW w:type="dxa" w:w="2941"/>
            <w:vAlign w:val="top"/>
            <w:tcMar>
              <w:top w:w="70" w:type="dxa"/>
              <w:start w:w="90" w:type="dxa"/>
              <w:bottom w:w="70" w:type="dxa"/>
              <w:end w:w="90" w:type="dxa"/>
            </w:tcMar>
          </w:tcPr>
          <w:p>
            <w:pPr>
              <w:spacing w:after="0" w:line="240" w:lineRule="auto"/>
            </w:pPr>
            <w:r>
              <w:rPr/>
            </w:r>
            <w:r>
              <w:rPr>
                <w:sz w:val="17"/>
              </w:rPr>
              <w:t>Peak workload or incident recovery may not meet the SRS target.</w:t>
            </w:r>
          </w:p>
        </w:tc>
        <w:tc>
          <w:tcPr>
            <w:tcW w:type="dxa" w:w="1733"/>
            <w:vAlign w:val="top"/>
            <w:tcMar>
              <w:top w:w="70" w:type="dxa"/>
              <w:start w:w="90" w:type="dxa"/>
              <w:bottom w:w="70" w:type="dxa"/>
              <w:end w:w="90" w:type="dxa"/>
            </w:tcMar>
          </w:tcPr>
          <w:p>
            <w:pPr>
              <w:spacing w:after="0" w:line="240" w:lineRule="auto"/>
            </w:pPr>
            <w:r>
              <w:rPr/>
            </w:r>
            <w:r>
              <w:rPr>
                <w:sz w:val="17"/>
              </w:rPr>
              <w:t>High</w:t>
            </w:r>
          </w:p>
        </w:tc>
        <w:tc>
          <w:tcPr>
            <w:tcW w:type="dxa" w:w="2731"/>
            <w:vAlign w:val="top"/>
            <w:tcMar>
              <w:top w:w="70" w:type="dxa"/>
              <w:start w:w="90" w:type="dxa"/>
              <w:bottom w:w="70" w:type="dxa"/>
              <w:end w:w="90" w:type="dxa"/>
            </w:tcMar>
          </w:tcPr>
          <w:p>
            <w:pPr>
              <w:spacing w:after="0" w:line="240" w:lineRule="auto"/>
            </w:pPr>
            <w:r>
              <w:rPr/>
            </w:r>
            <w:r>
              <w:rPr>
                <w:sz w:val="17"/>
              </w:rPr>
              <w:t>Target workload and operational evidence; not assumed from local checks.</w:t>
            </w:r>
          </w:p>
        </w:tc>
      </w:tr>
    </w:tbl>
    <w:p>
      <w:pPr>
        <w:spacing w:after="20"/>
      </w:pPr>
    </w:p>
    <w:p>
      <w:pPr>
        <w:pStyle w:val="Heading3"/>
        <w:keepNext/>
        <w:pageBreakBefore w:val="0"/>
      </w:pPr>
      <w:r>
        <w:t>2.2 Test levels</w:t>
      </w:r>
    </w:p>
    <w:p>
      <w:pPr>
        <w:pStyle w:val="ListParagraph"/>
        <w:numPr>
          <w:ilvl w:val="0"/>
          <w:numId w:val="18"/>
        </w:numPr>
        <w:spacing w:after="40"/>
      </w:pPr>
      <w:r>
        <w:rPr>
          <w:b/>
          <w:i w:val="0"/>
          <w:sz w:val="18"/>
        </w:rPr>
        <w:t>Structural/documentation checks:</w:t>
      </w:r>
      <w:r>
        <w:rPr>
          <w:sz w:val="18"/>
        </w:rPr>
        <w:t xml:space="preserve"> validate section/file structure, IDs, links, roles, placeholders, encoding, and evidence wording. These are the TDD checks used while creating this report set.</w:t>
      </w:r>
    </w:p>
    <w:p>
      <w:pPr>
        <w:pStyle w:val="ListParagraph"/>
        <w:numPr>
          <w:ilvl w:val="0"/>
          <w:numId w:val="18"/>
        </w:numPr>
        <w:spacing w:after="40"/>
      </w:pPr>
      <w:r>
        <w:rPr>
          <w:b/>
          <w:i w:val="0"/>
          <w:sz w:val="18"/>
        </w:rPr>
        <w:t>Unit/component checks:</w:t>
      </w:r>
      <w:r>
        <w:rPr>
          <w:sz w:val="18"/>
        </w:rPr>
        <w:t xml:space="preserve"> validate package-level rules such as candidate deduplication, state transitions, scoring readiness, authorization predicates, and message mapping.</w:t>
      </w:r>
    </w:p>
    <w:p>
      <w:pPr>
        <w:pStyle w:val="ListParagraph"/>
        <w:numPr>
          <w:ilvl w:val="0"/>
          <w:numId w:val="18"/>
        </w:numPr>
        <w:spacing w:after="40"/>
      </w:pPr>
      <w:r>
        <w:rPr>
          <w:b/>
          <w:i w:val="0"/>
          <w:sz w:val="18"/>
        </w:rPr>
        <w:t>Integration/API checks:</w:t>
      </w:r>
      <w:r>
        <w:rPr>
          <w:sz w:val="18"/>
        </w:rPr>
        <w:t xml:space="preserve"> validate application service boundaries, database constraints, queues, provider adapters, and idempotent retries.</w:t>
      </w:r>
    </w:p>
    <w:p>
      <w:pPr>
        <w:pStyle w:val="ListParagraph"/>
        <w:numPr>
          <w:ilvl w:val="0"/>
          <w:numId w:val="18"/>
        </w:numPr>
        <w:spacing w:after="40"/>
      </w:pPr>
      <w:r>
        <w:rPr>
          <w:b/>
          <w:i w:val="0"/>
          <w:sz w:val="18"/>
        </w:rPr>
        <w:t>UI/client checks:</w:t>
      </w:r>
      <w:r>
        <w:rPr>
          <w:sz w:val="18"/>
        </w:rPr>
        <w:t xml:space="preserve"> validate role navigation, form validation, device check, timers, local answer state, work queues, publication visibility, and accessible status presentation.</w:t>
      </w:r>
    </w:p>
    <w:p>
      <w:pPr>
        <w:pStyle w:val="ListParagraph"/>
        <w:numPr>
          <w:ilvl w:val="0"/>
          <w:numId w:val="18"/>
        </w:numPr>
        <w:spacing w:after="40"/>
      </w:pPr>
      <w:r>
        <w:rPr>
          <w:b/>
          <w:i w:val="0"/>
          <w:sz w:val="18"/>
        </w:rPr>
        <w:t>End-to-end checks:</w:t>
      </w:r>
      <w:r>
        <w:rPr>
          <w:sz w:val="18"/>
        </w:rPr>
        <w:t xml:space="preserve"> validate the four vertical flows from onboarding to publication across the channels.</w:t>
      </w:r>
    </w:p>
    <w:p>
      <w:pPr>
        <w:pStyle w:val="ListParagraph"/>
        <w:numPr>
          <w:ilvl w:val="0"/>
          <w:numId w:val="18"/>
        </w:numPr>
        <w:spacing w:after="40"/>
      </w:pPr>
      <w:r>
        <w:rPr>
          <w:b/>
          <w:i w:val="0"/>
          <w:sz w:val="18"/>
        </w:rPr>
        <w:t>Performance/recovery checks:</w:t>
      </w:r>
      <w:r>
        <w:rPr>
          <w:sz w:val="18"/>
        </w:rPr>
        <w:t xml:space="preserve"> measure NFR targets with a controlled workload, service restart/failure, backup/restore, and client connectivity interruption.</w:t>
      </w:r>
    </w:p>
    <w:p>
      <w:pPr>
        <w:pStyle w:val="ListParagraph"/>
        <w:numPr>
          <w:ilvl w:val="0"/>
          <w:numId w:val="18"/>
        </w:numPr>
        <w:spacing w:after="40"/>
      </w:pPr>
      <w:r>
        <w:rPr>
          <w:b/>
          <w:i w:val="0"/>
          <w:sz w:val="18"/>
        </w:rPr>
        <w:t>Security checks:</w:t>
      </w:r>
      <w:r>
        <w:rPr>
          <w:sz w:val="18"/>
        </w:rPr>
        <w:t xml:space="preserve"> validate server-side authorization, tenant/assignment isolation, sensitive-data handling, login protection, and audit completeness.</w:t>
      </w:r>
    </w:p>
    <w:p>
      <w:pPr>
        <w:pStyle w:val="Heading3"/>
        <w:keepNext/>
        <w:pageBreakBefore w:val="0"/>
      </w:pPr>
      <w:r>
        <w:t>2.3 Test types</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211"/>
            <w:vAlign w:val="top"/>
            <w:tcMar>
              <w:top w:w="70" w:type="dxa"/>
              <w:start w:w="90" w:type="dxa"/>
              <w:bottom w:w="70" w:type="dxa"/>
              <w:end w:w="90" w:type="dxa"/>
            </w:tcMar>
            <w:shd w:val="clear" w:color="auto" w:fill="FFE8E1"/>
          </w:tcPr>
          <w:p>
            <w:pPr>
              <w:spacing w:after="0" w:line="240" w:lineRule="auto"/>
            </w:pPr>
            <w:r>
              <w:rPr>
                <w:b/>
              </w:rPr>
            </w:r>
            <w:r>
              <w:rPr>
                <w:b/>
                <w:sz w:val="17"/>
              </w:rPr>
              <w:t>Type</w:t>
            </w:r>
          </w:p>
        </w:tc>
        <w:tc>
          <w:tcPr>
            <w:tcW w:type="dxa" w:w="4559"/>
            <w:vAlign w:val="top"/>
            <w:tcMar>
              <w:top w:w="70" w:type="dxa"/>
              <w:start w:w="90" w:type="dxa"/>
              <w:bottom w:w="70" w:type="dxa"/>
              <w:end w:w="90" w:type="dxa"/>
            </w:tcMar>
            <w:shd w:val="clear" w:color="auto" w:fill="FFE8E1"/>
          </w:tcPr>
          <w:p>
            <w:pPr>
              <w:spacing w:after="0" w:line="240" w:lineRule="auto"/>
            </w:pPr>
            <w:r>
              <w:rPr>
                <w:b/>
              </w:rPr>
            </w:r>
            <w:r>
              <w:rPr>
                <w:b/>
                <w:sz w:val="17"/>
              </w:rPr>
              <w:t>Question answered</w:t>
            </w:r>
          </w:p>
        </w:tc>
        <w:tc>
          <w:tcPr>
            <w:tcW w:type="dxa" w:w="2949"/>
            <w:vAlign w:val="top"/>
            <w:tcMar>
              <w:top w:w="70" w:type="dxa"/>
              <w:start w:w="90" w:type="dxa"/>
              <w:bottom w:w="70" w:type="dxa"/>
              <w:end w:w="90" w:type="dxa"/>
            </w:tcMar>
            <w:shd w:val="clear" w:color="auto" w:fill="FFE8E1"/>
          </w:tcPr>
          <w:p>
            <w:pPr>
              <w:spacing w:after="0" w:line="240" w:lineRule="auto"/>
            </w:pPr>
            <w:r>
              <w:rPr>
                <w:b/>
              </w:rPr>
            </w:r>
            <w:r>
              <w:rPr>
                <w:b/>
                <w:sz w:val="17"/>
              </w:rPr>
              <w:t>Example</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Functional</w:t>
            </w:r>
          </w:p>
        </w:tc>
        <w:tc>
          <w:tcPr>
            <w:tcW w:type="dxa" w:w="4559"/>
            <w:vAlign w:val="top"/>
            <w:tcMar>
              <w:top w:w="70" w:type="dxa"/>
              <w:start w:w="90" w:type="dxa"/>
              <w:bottom w:w="70" w:type="dxa"/>
              <w:end w:w="90" w:type="dxa"/>
            </w:tcMar>
          </w:tcPr>
          <w:p>
            <w:pPr>
              <w:spacing w:after="0" w:line="240" w:lineRule="auto"/>
            </w:pPr>
            <w:r>
              <w:rPr/>
            </w:r>
            <w:r>
              <w:rPr>
                <w:sz w:val="17"/>
              </w:rPr>
              <w:t>Does the feature produce the required business outcome?</w:t>
            </w:r>
          </w:p>
        </w:tc>
        <w:tc>
          <w:tcPr>
            <w:tcW w:type="dxa" w:w="2949"/>
            <w:vAlign w:val="top"/>
            <w:tcMar>
              <w:top w:w="70" w:type="dxa"/>
              <w:start w:w="90" w:type="dxa"/>
              <w:bottom w:w="70" w:type="dxa"/>
              <w:end w:w="90" w:type="dxa"/>
            </w:tcMar>
          </w:tcPr>
          <w:p>
            <w:pPr>
              <w:spacing w:after="0" w:line="240" w:lineRule="auto"/>
            </w:pPr>
            <w:r>
              <w:rPr/>
            </w:r>
            <w:r>
              <w:rPr>
                <w:sz w:val="17"/>
              </w:rPr>
              <w:t>Host publishes a ready exam and Student can enter it.</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Negative/validation</w:t>
            </w:r>
          </w:p>
        </w:tc>
        <w:tc>
          <w:tcPr>
            <w:tcW w:type="dxa" w:w="4559"/>
            <w:vAlign w:val="top"/>
            <w:tcMar>
              <w:top w:w="70" w:type="dxa"/>
              <w:start w:w="90" w:type="dxa"/>
              <w:bottom w:w="70" w:type="dxa"/>
              <w:end w:w="90" w:type="dxa"/>
            </w:tcMar>
          </w:tcPr>
          <w:p>
            <w:pPr>
              <w:spacing w:after="0" w:line="240" w:lineRule="auto"/>
            </w:pPr>
            <w:r>
              <w:rPr/>
            </w:r>
            <w:r>
              <w:rPr>
                <w:sz w:val="17"/>
              </w:rPr>
              <w:t>Is unsafe or invalid input stopped with a useful reason?</w:t>
            </w:r>
          </w:p>
        </w:tc>
        <w:tc>
          <w:tcPr>
            <w:tcW w:type="dxa" w:w="2949"/>
            <w:vAlign w:val="top"/>
            <w:tcMar>
              <w:top w:w="70" w:type="dxa"/>
              <w:start w:w="90" w:type="dxa"/>
              <w:bottom w:w="70" w:type="dxa"/>
              <w:end w:w="90" w:type="dxa"/>
            </w:tcMar>
          </w:tcPr>
          <w:p>
            <w:pPr>
              <w:spacing w:after="0" w:line="240" w:lineRule="auto"/>
            </w:pPr>
            <w:r>
              <w:rPr/>
            </w:r>
            <w:r>
              <w:rPr>
                <w:sz w:val="17"/>
              </w:rPr>
              <w:t>Incomplete media blocks publication.</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Authorization</w:t>
            </w:r>
          </w:p>
        </w:tc>
        <w:tc>
          <w:tcPr>
            <w:tcW w:type="dxa" w:w="4559"/>
            <w:vAlign w:val="top"/>
            <w:tcMar>
              <w:top w:w="70" w:type="dxa"/>
              <w:start w:w="90" w:type="dxa"/>
              <w:bottom w:w="70" w:type="dxa"/>
              <w:end w:w="90" w:type="dxa"/>
            </w:tcMar>
          </w:tcPr>
          <w:p>
            <w:pPr>
              <w:spacing w:after="0" w:line="240" w:lineRule="auto"/>
            </w:pPr>
            <w:r>
              <w:rPr/>
            </w:r>
            <w:r>
              <w:rPr>
                <w:sz w:val="17"/>
              </w:rPr>
              <w:t>Is the operation limited to the correct role/scope?</w:t>
            </w:r>
          </w:p>
        </w:tc>
        <w:tc>
          <w:tcPr>
            <w:tcW w:type="dxa" w:w="2949"/>
            <w:vAlign w:val="top"/>
            <w:tcMar>
              <w:top w:w="70" w:type="dxa"/>
              <w:start w:w="90" w:type="dxa"/>
              <w:bottom w:w="70" w:type="dxa"/>
              <w:end w:w="90" w:type="dxa"/>
            </w:tcMar>
          </w:tcPr>
          <w:p>
            <w:pPr>
              <w:spacing w:after="0" w:line="240" w:lineRule="auto"/>
            </w:pPr>
            <w:r>
              <w:rPr/>
            </w:r>
            <w:r>
              <w:rPr>
                <w:sz w:val="17"/>
              </w:rPr>
              <w:t>Proctor from another exam cannot flag an attempt.</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Tenant isolation</w:t>
            </w:r>
          </w:p>
        </w:tc>
        <w:tc>
          <w:tcPr>
            <w:tcW w:type="dxa" w:w="4559"/>
            <w:vAlign w:val="top"/>
            <w:tcMar>
              <w:top w:w="70" w:type="dxa"/>
              <w:start w:w="90" w:type="dxa"/>
              <w:bottom w:w="70" w:type="dxa"/>
              <w:end w:w="90" w:type="dxa"/>
            </w:tcMar>
          </w:tcPr>
          <w:p>
            <w:pPr>
              <w:spacing w:after="0" w:line="240" w:lineRule="auto"/>
            </w:pPr>
            <w:r>
              <w:rPr/>
            </w:r>
            <w:r>
              <w:rPr>
                <w:sz w:val="17"/>
              </w:rPr>
              <w:t>Can an organization see only its own data?</w:t>
            </w:r>
          </w:p>
        </w:tc>
        <w:tc>
          <w:tcPr>
            <w:tcW w:type="dxa" w:w="2949"/>
            <w:vAlign w:val="top"/>
            <w:tcMar>
              <w:top w:w="70" w:type="dxa"/>
              <w:start w:w="90" w:type="dxa"/>
              <w:bottom w:w="70" w:type="dxa"/>
              <w:end w:w="90" w:type="dxa"/>
            </w:tcMar>
          </w:tcPr>
          <w:p>
            <w:pPr>
              <w:spacing w:after="0" w:line="240" w:lineRule="auto"/>
            </w:pPr>
            <w:r>
              <w:rPr/>
            </w:r>
            <w:r>
              <w:rPr>
                <w:sz w:val="17"/>
              </w:rPr>
              <w:t>Host A cannot read Student/answer/report from Host B.</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State transition</w:t>
            </w:r>
          </w:p>
        </w:tc>
        <w:tc>
          <w:tcPr>
            <w:tcW w:type="dxa" w:w="4559"/>
            <w:vAlign w:val="top"/>
            <w:tcMar>
              <w:top w:w="70" w:type="dxa"/>
              <w:start w:w="90" w:type="dxa"/>
              <w:bottom w:w="70" w:type="dxa"/>
              <w:end w:w="90" w:type="dxa"/>
            </w:tcMar>
          </w:tcPr>
          <w:p>
            <w:pPr>
              <w:spacing w:after="0" w:line="240" w:lineRule="auto"/>
            </w:pPr>
            <w:r>
              <w:rPr/>
            </w:r>
            <w:r>
              <w:rPr>
                <w:sz w:val="17"/>
              </w:rPr>
              <w:t>Are invalid lifecycle changes rejected?</w:t>
            </w:r>
          </w:p>
        </w:tc>
        <w:tc>
          <w:tcPr>
            <w:tcW w:type="dxa" w:w="2949"/>
            <w:vAlign w:val="top"/>
            <w:tcMar>
              <w:top w:w="70" w:type="dxa"/>
              <w:start w:w="90" w:type="dxa"/>
              <w:bottom w:w="70" w:type="dxa"/>
              <w:end w:w="90" w:type="dxa"/>
            </w:tcMar>
          </w:tcPr>
          <w:p>
            <w:pPr>
              <w:spacing w:after="0" w:line="240" w:lineRule="auto"/>
            </w:pPr>
            <w:r>
              <w:rPr/>
            </w:r>
            <w:r>
              <w:rPr>
                <w:sz w:val="17"/>
              </w:rPr>
              <w:t>Closed exam cannot reopen by ordinary Host action.</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Idempotency/concurrency</w:t>
            </w:r>
          </w:p>
        </w:tc>
        <w:tc>
          <w:tcPr>
            <w:tcW w:type="dxa" w:w="4559"/>
            <w:vAlign w:val="top"/>
            <w:tcMar>
              <w:top w:w="70" w:type="dxa"/>
              <w:start w:w="90" w:type="dxa"/>
              <w:bottom w:w="70" w:type="dxa"/>
              <w:end w:w="90" w:type="dxa"/>
            </w:tcMar>
          </w:tcPr>
          <w:p>
            <w:pPr>
              <w:spacing w:after="0" w:line="240" w:lineRule="auto"/>
            </w:pPr>
            <w:r>
              <w:rPr/>
            </w:r>
            <w:r>
              <w:rPr>
                <w:sz w:val="17"/>
              </w:rPr>
              <w:t>Does retry produce one result?</w:t>
            </w:r>
          </w:p>
        </w:tc>
        <w:tc>
          <w:tcPr>
            <w:tcW w:type="dxa" w:w="2949"/>
            <w:vAlign w:val="top"/>
            <w:tcMar>
              <w:top w:w="70" w:type="dxa"/>
              <w:start w:w="90" w:type="dxa"/>
              <w:bottom w:w="70" w:type="dxa"/>
              <w:end w:w="90" w:type="dxa"/>
            </w:tcMar>
          </w:tcPr>
          <w:p>
            <w:pPr>
              <w:spacing w:after="0" w:line="240" w:lineRule="auto"/>
            </w:pPr>
            <w:r>
              <w:rPr/>
            </w:r>
            <w:r>
              <w:rPr>
                <w:sz w:val="17"/>
              </w:rPr>
              <w:t>Duplicate payment callback creates one subscription.</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Recovery/resilience</w:t>
            </w:r>
          </w:p>
        </w:tc>
        <w:tc>
          <w:tcPr>
            <w:tcW w:type="dxa" w:w="4559"/>
            <w:vAlign w:val="top"/>
            <w:tcMar>
              <w:top w:w="70" w:type="dxa"/>
              <w:start w:w="90" w:type="dxa"/>
              <w:bottom w:w="70" w:type="dxa"/>
              <w:end w:w="90" w:type="dxa"/>
            </w:tcMar>
          </w:tcPr>
          <w:p>
            <w:pPr>
              <w:spacing w:after="0" w:line="240" w:lineRule="auto"/>
            </w:pPr>
            <w:r>
              <w:rPr/>
            </w:r>
            <w:r>
              <w:rPr>
                <w:sz w:val="17"/>
              </w:rPr>
              <w:t>Does the user recover after temporary failure?</w:t>
            </w:r>
          </w:p>
        </w:tc>
        <w:tc>
          <w:tcPr>
            <w:tcW w:type="dxa" w:w="2949"/>
            <w:vAlign w:val="top"/>
            <w:tcMar>
              <w:top w:w="70" w:type="dxa"/>
              <w:start w:w="90" w:type="dxa"/>
              <w:bottom w:w="70" w:type="dxa"/>
              <w:end w:w="90" w:type="dxa"/>
            </w:tcMar>
          </w:tcPr>
          <w:p>
            <w:pPr>
              <w:spacing w:after="0" w:line="240" w:lineRule="auto"/>
            </w:pPr>
            <w:r>
              <w:rPr/>
            </w:r>
            <w:r>
              <w:rPr>
                <w:sz w:val="17"/>
              </w:rPr>
              <w:t>Offline answer remains queued and synchronizes once.</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Compatibility/accessibility</w:t>
            </w:r>
          </w:p>
        </w:tc>
        <w:tc>
          <w:tcPr>
            <w:tcW w:type="dxa" w:w="4559"/>
            <w:vAlign w:val="top"/>
            <w:tcMar>
              <w:top w:w="70" w:type="dxa"/>
              <w:start w:w="90" w:type="dxa"/>
              <w:bottom w:w="70" w:type="dxa"/>
              <w:end w:w="90" w:type="dxa"/>
            </w:tcMar>
          </w:tcPr>
          <w:p>
            <w:pPr>
              <w:spacing w:after="0" w:line="240" w:lineRule="auto"/>
            </w:pPr>
            <w:r>
              <w:rPr/>
            </w:r>
            <w:r>
              <w:rPr>
                <w:sz w:val="17"/>
              </w:rPr>
              <w:t>Can supported users/devices operate safely?</w:t>
            </w:r>
          </w:p>
        </w:tc>
        <w:tc>
          <w:tcPr>
            <w:tcW w:type="dxa" w:w="2949"/>
            <w:vAlign w:val="top"/>
            <w:tcMar>
              <w:top w:w="70" w:type="dxa"/>
              <w:start w:w="90" w:type="dxa"/>
              <w:bottom w:w="70" w:type="dxa"/>
              <w:end w:w="90" w:type="dxa"/>
            </w:tcMar>
          </w:tcPr>
          <w:p>
            <w:pPr>
              <w:spacing w:after="0" w:line="240" w:lineRule="auto"/>
            </w:pPr>
            <w:r>
              <w:rPr/>
            </w:r>
            <w:r>
              <w:rPr>
                <w:sz w:val="17"/>
              </w:rPr>
              <w:t>Keyboard focus and Windows microphone check are usable.</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Performance/capacity</w:t>
            </w:r>
          </w:p>
        </w:tc>
        <w:tc>
          <w:tcPr>
            <w:tcW w:type="dxa" w:w="4559"/>
            <w:vAlign w:val="top"/>
            <w:tcMar>
              <w:top w:w="70" w:type="dxa"/>
              <w:start w:w="90" w:type="dxa"/>
              <w:bottom w:w="70" w:type="dxa"/>
              <w:end w:w="90" w:type="dxa"/>
            </w:tcMar>
          </w:tcPr>
          <w:p>
            <w:pPr>
              <w:spacing w:after="0" w:line="240" w:lineRule="auto"/>
            </w:pPr>
            <w:r>
              <w:rPr/>
            </w:r>
            <w:r>
              <w:rPr>
                <w:sz w:val="17"/>
              </w:rPr>
              <w:t>Does measured workload meet the target?</w:t>
            </w:r>
          </w:p>
        </w:tc>
        <w:tc>
          <w:tcPr>
            <w:tcW w:type="dxa" w:w="2949"/>
            <w:vAlign w:val="top"/>
            <w:tcMar>
              <w:top w:w="70" w:type="dxa"/>
              <w:start w:w="90" w:type="dxa"/>
              <w:bottom w:w="70" w:type="dxa"/>
              <w:end w:w="90" w:type="dxa"/>
            </w:tcMar>
          </w:tcPr>
          <w:p>
            <w:pPr>
              <w:spacing w:after="0" w:line="240" w:lineRule="auto"/>
            </w:pPr>
            <w:r>
              <w:rPr/>
            </w:r>
            <w:r>
              <w:rPr>
                <w:sz w:val="17"/>
              </w:rPr>
              <w:t>1,000 active attempts under the agreed scenario.</w:t>
            </w:r>
          </w:p>
        </w:tc>
      </w:tr>
      <w:tr>
        <w:trPr>
          <w:cantSplit/>
        </w:trPr>
        <w:tc>
          <w:tcPr>
            <w:tcW w:type="dxa" w:w="2211"/>
            <w:vAlign w:val="top"/>
            <w:tcMar>
              <w:top w:w="70" w:type="dxa"/>
              <w:start w:w="90" w:type="dxa"/>
              <w:bottom w:w="70" w:type="dxa"/>
              <w:end w:w="90" w:type="dxa"/>
            </w:tcMar>
          </w:tcPr>
          <w:p>
            <w:pPr>
              <w:spacing w:after="0" w:line="240" w:lineRule="auto"/>
            </w:pPr>
            <w:r>
              <w:rPr/>
            </w:r>
            <w:r>
              <w:rPr>
                <w:sz w:val="17"/>
              </w:rPr>
              <w:t>Security/privacy</w:t>
            </w:r>
          </w:p>
        </w:tc>
        <w:tc>
          <w:tcPr>
            <w:tcW w:type="dxa" w:w="4559"/>
            <w:vAlign w:val="top"/>
            <w:tcMar>
              <w:top w:w="70" w:type="dxa"/>
              <w:start w:w="90" w:type="dxa"/>
              <w:bottom w:w="70" w:type="dxa"/>
              <w:end w:w="90" w:type="dxa"/>
            </w:tcMar>
          </w:tcPr>
          <w:p>
            <w:pPr>
              <w:spacing w:after="0" w:line="240" w:lineRule="auto"/>
            </w:pPr>
            <w:r>
              <w:rPr/>
            </w:r>
            <w:r>
              <w:rPr>
                <w:sz w:val="17"/>
              </w:rPr>
              <w:t>Are sensitive data and secrets protected?</w:t>
            </w:r>
          </w:p>
        </w:tc>
        <w:tc>
          <w:tcPr>
            <w:tcW w:type="dxa" w:w="2949"/>
            <w:vAlign w:val="top"/>
            <w:tcMar>
              <w:top w:w="70" w:type="dxa"/>
              <w:start w:w="90" w:type="dxa"/>
              <w:bottom w:w="70" w:type="dxa"/>
              <w:end w:w="90" w:type="dxa"/>
            </w:tcMar>
          </w:tcPr>
          <w:p>
            <w:pPr>
              <w:spacing w:after="0" w:line="240" w:lineRule="auto"/>
            </w:pPr>
            <w:r>
              <w:rPr/>
            </w:r>
            <w:r>
              <w:rPr>
                <w:sz w:val="17"/>
              </w:rPr>
              <w:t>Raw answer/audio does not appear in ordinary logs.</w:t>
            </w:r>
          </w:p>
        </w:tc>
      </w:tr>
    </w:tbl>
    <w:p>
      <w:pPr>
        <w:spacing w:after="20"/>
      </w:pPr>
    </w:p>
    <w:p>
      <w:pPr>
        <w:pStyle w:val="Heading3"/>
        <w:keepNext/>
        <w:pageBreakBefore w:val="0"/>
      </w:pPr>
      <w:r>
        <w:t>2.4 Test data strategy</w:t>
      </w:r>
    </w:p>
    <w:p>
      <w:pPr>
        <w:pStyle w:val="ListParagraph"/>
        <w:numPr>
          <w:ilvl w:val="0"/>
          <w:numId w:val="17"/>
        </w:numPr>
        <w:spacing w:after="40"/>
      </w:pPr>
      <w:r>
        <w:rPr>
          <w:sz w:val="18"/>
        </w:rPr>
        <w:t>Use synthetic organization names, accounts, Students, audio, images, prompts, and scores.</w:t>
      </w:r>
    </w:p>
    <w:p>
      <w:pPr>
        <w:pStyle w:val="ListParagraph"/>
        <w:numPr>
          <w:ilvl w:val="0"/>
          <w:numId w:val="17"/>
        </w:numPr>
        <w:spacing w:after="40"/>
      </w:pPr>
      <w:r>
        <w:rPr>
          <w:sz w:val="18"/>
        </w:rPr>
        <w:t>Create at least two organizations for tenant-isolation checks, with similarly named Students to catch accidental global lookup.</w:t>
      </w:r>
    </w:p>
    <w:p>
      <w:pPr>
        <w:pStyle w:val="ListParagraph"/>
        <w:numPr>
          <w:ilvl w:val="0"/>
          <w:numId w:val="17"/>
        </w:numPr>
        <w:spacing w:after="40"/>
      </w:pPr>
      <w:r>
        <w:rPr>
          <w:sz w:val="18"/>
        </w:rPr>
        <w:t>Use separate accounts for each approved product role; keep test-team responsibility labels outside product role fixtures.</w:t>
      </w:r>
    </w:p>
    <w:p>
      <w:pPr>
        <w:pStyle w:val="ListParagraph"/>
        <w:numPr>
          <w:ilvl w:val="0"/>
          <w:numId w:val="17"/>
        </w:numPr>
        <w:spacing w:after="40"/>
      </w:pPr>
      <w:r>
        <w:rPr>
          <w:sz w:val="18"/>
        </w:rPr>
        <w:t>Use deterministic task/template/revision identifiers and a fixed exam-generation seed where a reproducibility check needs one.</w:t>
      </w:r>
    </w:p>
    <w:p>
      <w:pPr>
        <w:pStyle w:val="ListParagraph"/>
        <w:numPr>
          <w:ilvl w:val="0"/>
          <w:numId w:val="17"/>
        </w:numPr>
        <w:spacing w:after="40"/>
      </w:pPr>
      <w:r>
        <w:rPr>
          <w:sz w:val="18"/>
        </w:rPr>
        <w:t>Include valid, missing, duplicate, oversized, expired, inactive, and conflicting input sets.</w:t>
      </w:r>
    </w:p>
    <w:p>
      <w:pPr>
        <w:pStyle w:val="ListParagraph"/>
        <w:numPr>
          <w:ilvl w:val="0"/>
          <w:numId w:val="17"/>
        </w:numPr>
        <w:spacing w:after="40"/>
      </w:pPr>
      <w:r>
        <w:rPr>
          <w:sz w:val="18"/>
        </w:rPr>
        <w:t>Mark provider stubs/simulators clearly; a stub result is not evidence of a real provider contract.</w:t>
      </w:r>
    </w:p>
    <w:p>
      <w:pPr>
        <w:pStyle w:val="ListParagraph"/>
        <w:numPr>
          <w:ilvl w:val="0"/>
          <w:numId w:val="17"/>
        </w:numPr>
        <w:spacing w:after="40"/>
      </w:pPr>
      <w:r>
        <w:rPr>
          <w:sz w:val="18"/>
        </w:rPr>
        <w:t xml:space="preserve">Never copy real </w:t>
      </w:r>
      <w:r>
        <w:rPr>
          <w:rFonts w:ascii="Consolas" w:hAnsi="Consolas"/>
          <w:b w:val="0"/>
          <w:i w:val="0"/>
          <w:sz w:val="17"/>
        </w:rPr>
        <w:t>.env</w:t>
      </w:r>
      <w:r>
        <w:rPr>
          <w:sz w:val="18"/>
        </w:rPr>
        <w:t>, tokens, private keys, passwords, production Student data, or unmasked recordings into test assets.</w:t>
      </w:r>
    </w:p>
    <w:p>
      <w:pPr>
        <w:pStyle w:val="Heading3"/>
        <w:keepNext/>
        <w:pageBreakBefore w:val="0"/>
      </w:pPr>
      <w:r>
        <w:t>2.5 Tool and environment approach</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672"/>
            <w:vAlign w:val="top"/>
            <w:tcMar>
              <w:top w:w="70" w:type="dxa"/>
              <w:start w:w="90" w:type="dxa"/>
              <w:bottom w:w="70" w:type="dxa"/>
              <w:end w:w="90" w:type="dxa"/>
            </w:tcMar>
            <w:shd w:val="clear" w:color="auto" w:fill="FFE8E1"/>
          </w:tcPr>
          <w:p>
            <w:pPr>
              <w:spacing w:after="0" w:line="240" w:lineRule="auto"/>
            </w:pPr>
            <w:r>
              <w:rPr>
                <w:b/>
              </w:rPr>
            </w:r>
            <w:r>
              <w:rPr>
                <w:b/>
                <w:sz w:val="17"/>
              </w:rPr>
              <w:t>Area</w:t>
            </w:r>
          </w:p>
        </w:tc>
        <w:tc>
          <w:tcPr>
            <w:tcW w:type="dxa" w:w="4373"/>
            <w:vAlign w:val="top"/>
            <w:tcMar>
              <w:top w:w="70" w:type="dxa"/>
              <w:start w:w="90" w:type="dxa"/>
              <w:bottom w:w="70" w:type="dxa"/>
              <w:end w:w="90" w:type="dxa"/>
            </w:tcMar>
            <w:shd w:val="clear" w:color="auto" w:fill="FFE8E1"/>
          </w:tcPr>
          <w:p>
            <w:pPr>
              <w:spacing w:after="0" w:line="240" w:lineRule="auto"/>
            </w:pPr>
            <w:r>
              <w:rPr>
                <w:b/>
              </w:rPr>
            </w:r>
            <w:r>
              <w:rPr>
                <w:b/>
                <w:sz w:val="17"/>
              </w:rPr>
              <w:t>Preferred evidence</w:t>
            </w:r>
          </w:p>
        </w:tc>
        <w:tc>
          <w:tcPr>
            <w:tcW w:type="dxa" w:w="2672"/>
            <w:vAlign w:val="top"/>
            <w:tcMar>
              <w:top w:w="70" w:type="dxa"/>
              <w:start w:w="90" w:type="dxa"/>
              <w:bottom w:w="70" w:type="dxa"/>
              <w:end w:w="90" w:type="dxa"/>
            </w:tcMar>
            <w:shd w:val="clear" w:color="auto" w:fill="FFE8E1"/>
          </w:tcPr>
          <w:p>
            <w:pPr>
              <w:spacing w:after="0" w:line="240" w:lineRule="auto"/>
            </w:pPr>
            <w:r>
              <w:rPr>
                <w:b/>
              </w:rPr>
            </w:r>
            <w:r>
              <w:rPr>
                <w:b/>
                <w:sz w:val="17"/>
              </w:rPr>
              <w:t>Limitation</w:t>
            </w:r>
          </w:p>
        </w:tc>
      </w:tr>
      <w:tr>
        <w:trPr>
          <w:cantSplit/>
        </w:trPr>
        <w:tc>
          <w:tcPr>
            <w:tcW w:type="dxa" w:w="2672"/>
            <w:vAlign w:val="top"/>
            <w:tcMar>
              <w:top w:w="70" w:type="dxa"/>
              <w:start w:w="90" w:type="dxa"/>
              <w:bottom w:w="70" w:type="dxa"/>
              <w:end w:w="90" w:type="dxa"/>
            </w:tcMar>
          </w:tcPr>
          <w:p>
            <w:pPr>
              <w:spacing w:after="0" w:line="240" w:lineRule="auto"/>
            </w:pPr>
            <w:r>
              <w:rPr/>
            </w:r>
            <w:r>
              <w:rPr>
                <w:sz w:val="17"/>
              </w:rPr>
              <w:t>API/service</w:t>
            </w:r>
          </w:p>
        </w:tc>
        <w:tc>
          <w:tcPr>
            <w:tcW w:type="dxa" w:w="4373"/>
            <w:vAlign w:val="top"/>
            <w:tcMar>
              <w:top w:w="70" w:type="dxa"/>
              <w:start w:w="90" w:type="dxa"/>
              <w:bottom w:w="70" w:type="dxa"/>
              <w:end w:w="90" w:type="dxa"/>
            </w:tcMar>
          </w:tcPr>
          <w:p>
            <w:pPr>
              <w:spacing w:after="0" w:line="240" w:lineRule="auto"/>
            </w:pPr>
            <w:r>
              <w:rPr/>
            </w:r>
            <w:r>
              <w:rPr>
                <w:sz w:val="17"/>
              </w:rPr>
              <w:t>Reproducible API request/response log with masked data</w:t>
            </w:r>
          </w:p>
        </w:tc>
        <w:tc>
          <w:tcPr>
            <w:tcW w:type="dxa" w:w="2672"/>
            <w:vAlign w:val="top"/>
            <w:tcMar>
              <w:top w:w="70" w:type="dxa"/>
              <w:start w:w="90" w:type="dxa"/>
              <w:bottom w:w="70" w:type="dxa"/>
              <w:end w:w="90" w:type="dxa"/>
            </w:tcMar>
          </w:tcPr>
          <w:p>
            <w:pPr>
              <w:spacing w:after="0" w:line="240" w:lineRule="auto"/>
            </w:pPr>
            <w:r>
              <w:rPr/>
            </w:r>
            <w:r>
              <w:rPr>
                <w:sz w:val="17"/>
              </w:rPr>
              <w:t>A mocked response does not prove production routing/provider behavior.</w:t>
            </w:r>
          </w:p>
        </w:tc>
      </w:tr>
      <w:tr>
        <w:trPr>
          <w:cantSplit/>
        </w:trPr>
        <w:tc>
          <w:tcPr>
            <w:tcW w:type="dxa" w:w="2672"/>
            <w:vAlign w:val="top"/>
            <w:tcMar>
              <w:top w:w="70" w:type="dxa"/>
              <w:start w:w="90" w:type="dxa"/>
              <w:bottom w:w="70" w:type="dxa"/>
              <w:end w:w="90" w:type="dxa"/>
            </w:tcMar>
          </w:tcPr>
          <w:p>
            <w:pPr>
              <w:spacing w:after="0" w:line="240" w:lineRule="auto"/>
            </w:pPr>
            <w:r>
              <w:rPr/>
            </w:r>
            <w:r>
              <w:rPr>
                <w:sz w:val="17"/>
              </w:rPr>
              <w:t>Web portal</w:t>
            </w:r>
          </w:p>
        </w:tc>
        <w:tc>
          <w:tcPr>
            <w:tcW w:type="dxa" w:w="4373"/>
            <w:vAlign w:val="top"/>
            <w:tcMar>
              <w:top w:w="70" w:type="dxa"/>
              <w:start w:w="90" w:type="dxa"/>
              <w:bottom w:w="70" w:type="dxa"/>
              <w:end w:w="90" w:type="dxa"/>
            </w:tcMar>
          </w:tcPr>
          <w:p>
            <w:pPr>
              <w:spacing w:after="0" w:line="240" w:lineRule="auto"/>
            </w:pPr>
            <w:r>
              <w:rPr/>
            </w:r>
            <w:r>
              <w:rPr>
                <w:sz w:val="17"/>
              </w:rPr>
              <w:t>Browser automation/screenshot with route, account scope, and build</w:t>
            </w:r>
          </w:p>
        </w:tc>
        <w:tc>
          <w:tcPr>
            <w:tcW w:type="dxa" w:w="2672"/>
            <w:vAlign w:val="top"/>
            <w:tcMar>
              <w:top w:w="70" w:type="dxa"/>
              <w:start w:w="90" w:type="dxa"/>
              <w:bottom w:w="70" w:type="dxa"/>
              <w:end w:w="90" w:type="dxa"/>
            </w:tcMar>
          </w:tcPr>
          <w:p>
            <w:pPr>
              <w:spacing w:after="0" w:line="240" w:lineRule="auto"/>
            </w:pPr>
            <w:r>
              <w:rPr/>
            </w:r>
            <w:r>
              <w:rPr>
                <w:sz w:val="17"/>
              </w:rPr>
              <w:t>A mocked authenticated route is not production E2E proof.</w:t>
            </w:r>
          </w:p>
        </w:tc>
      </w:tr>
      <w:tr>
        <w:trPr>
          <w:cantSplit/>
        </w:trPr>
        <w:tc>
          <w:tcPr>
            <w:tcW w:type="dxa" w:w="2672"/>
            <w:vAlign w:val="top"/>
            <w:tcMar>
              <w:top w:w="70" w:type="dxa"/>
              <w:start w:w="90" w:type="dxa"/>
              <w:bottom w:w="70" w:type="dxa"/>
              <w:end w:w="90" w:type="dxa"/>
            </w:tcMar>
          </w:tcPr>
          <w:p>
            <w:pPr>
              <w:spacing w:after="0" w:line="240" w:lineRule="auto"/>
            </w:pPr>
            <w:r>
              <w:rPr/>
            </w:r>
            <w:r>
              <w:rPr>
                <w:sz w:val="17"/>
              </w:rPr>
              <w:t>Windows client</w:t>
            </w:r>
          </w:p>
        </w:tc>
        <w:tc>
          <w:tcPr>
            <w:tcW w:type="dxa" w:w="4373"/>
            <w:vAlign w:val="top"/>
            <w:tcMar>
              <w:top w:w="70" w:type="dxa"/>
              <w:start w:w="90" w:type="dxa"/>
              <w:bottom w:w="70" w:type="dxa"/>
              <w:end w:w="90" w:type="dxa"/>
            </w:tcMar>
          </w:tcPr>
          <w:p>
            <w:pPr>
              <w:spacing w:after="0" w:line="240" w:lineRule="auto"/>
            </w:pPr>
            <w:r>
              <w:rPr/>
            </w:r>
            <w:r>
              <w:rPr>
                <w:sz w:val="17"/>
              </w:rPr>
              <w:t>Client log/screenshot plus local queue/server acceptance state</w:t>
            </w:r>
          </w:p>
        </w:tc>
        <w:tc>
          <w:tcPr>
            <w:tcW w:type="dxa" w:w="2672"/>
            <w:vAlign w:val="top"/>
            <w:tcMar>
              <w:top w:w="70" w:type="dxa"/>
              <w:start w:w="90" w:type="dxa"/>
              <w:bottom w:w="70" w:type="dxa"/>
              <w:end w:w="90" w:type="dxa"/>
            </w:tcMar>
          </w:tcPr>
          <w:p>
            <w:pPr>
              <w:spacing w:after="0" w:line="240" w:lineRule="auto"/>
            </w:pPr>
            <w:r>
              <w:rPr/>
            </w:r>
            <w:r>
              <w:rPr>
                <w:sz w:val="17"/>
              </w:rPr>
              <w:t>Device-specific behavior needs the supported matrix.</w:t>
            </w:r>
          </w:p>
        </w:tc>
      </w:tr>
      <w:tr>
        <w:trPr>
          <w:cantSplit/>
        </w:trPr>
        <w:tc>
          <w:tcPr>
            <w:tcW w:type="dxa" w:w="2672"/>
            <w:vAlign w:val="top"/>
            <w:tcMar>
              <w:top w:w="70" w:type="dxa"/>
              <w:start w:w="90" w:type="dxa"/>
              <w:bottom w:w="70" w:type="dxa"/>
              <w:end w:w="90" w:type="dxa"/>
            </w:tcMar>
          </w:tcPr>
          <w:p>
            <w:pPr>
              <w:spacing w:after="0" w:line="240" w:lineRule="auto"/>
            </w:pPr>
            <w:r>
              <w:rPr/>
            </w:r>
            <w:r>
              <w:rPr>
                <w:sz w:val="17"/>
              </w:rPr>
              <w:t>Database</w:t>
            </w:r>
          </w:p>
        </w:tc>
        <w:tc>
          <w:tcPr>
            <w:tcW w:type="dxa" w:w="4373"/>
            <w:vAlign w:val="top"/>
            <w:tcMar>
              <w:top w:w="70" w:type="dxa"/>
              <w:start w:w="90" w:type="dxa"/>
              <w:bottom w:w="70" w:type="dxa"/>
              <w:end w:w="90" w:type="dxa"/>
            </w:tcMar>
          </w:tcPr>
          <w:p>
            <w:pPr>
              <w:spacing w:after="0" w:line="240" w:lineRule="auto"/>
            </w:pPr>
            <w:r>
              <w:rPr/>
            </w:r>
            <w:r>
              <w:rPr>
                <w:sz w:val="17"/>
              </w:rPr>
              <w:t>Safe query/assertion or migration/test output</w:t>
            </w:r>
          </w:p>
        </w:tc>
        <w:tc>
          <w:tcPr>
            <w:tcW w:type="dxa" w:w="2672"/>
            <w:vAlign w:val="top"/>
            <w:tcMar>
              <w:top w:w="70" w:type="dxa"/>
              <w:start w:w="90" w:type="dxa"/>
              <w:bottom w:w="70" w:type="dxa"/>
              <w:end w:w="90" w:type="dxa"/>
            </w:tcMar>
          </w:tcPr>
          <w:p>
            <w:pPr>
              <w:spacing w:after="0" w:line="240" w:lineRule="auto"/>
            </w:pPr>
            <w:r>
              <w:rPr/>
            </w:r>
            <w:r>
              <w:rPr>
                <w:sz w:val="17"/>
              </w:rPr>
              <w:t>Do not export sensitive rows.</w:t>
            </w:r>
          </w:p>
        </w:tc>
      </w:tr>
      <w:tr>
        <w:trPr>
          <w:cantSplit/>
        </w:trPr>
        <w:tc>
          <w:tcPr>
            <w:tcW w:type="dxa" w:w="2672"/>
            <w:vAlign w:val="top"/>
            <w:tcMar>
              <w:top w:w="70" w:type="dxa"/>
              <w:start w:w="90" w:type="dxa"/>
              <w:bottom w:w="70" w:type="dxa"/>
              <w:end w:w="90" w:type="dxa"/>
            </w:tcMar>
          </w:tcPr>
          <w:p>
            <w:pPr>
              <w:spacing w:after="0" w:line="240" w:lineRule="auto"/>
            </w:pPr>
            <w:r>
              <w:rPr/>
            </w:r>
            <w:r>
              <w:rPr>
                <w:sz w:val="17"/>
              </w:rPr>
              <w:t>Queue/provider</w:t>
            </w:r>
          </w:p>
        </w:tc>
        <w:tc>
          <w:tcPr>
            <w:tcW w:type="dxa" w:w="4373"/>
            <w:vAlign w:val="top"/>
            <w:tcMar>
              <w:top w:w="70" w:type="dxa"/>
              <w:start w:w="90" w:type="dxa"/>
              <w:bottom w:w="70" w:type="dxa"/>
              <w:end w:w="90" w:type="dxa"/>
            </w:tcMar>
          </w:tcPr>
          <w:p>
            <w:pPr>
              <w:spacing w:after="0" w:line="240" w:lineRule="auto"/>
            </w:pPr>
            <w:r>
              <w:rPr/>
            </w:r>
            <w:r>
              <w:rPr>
                <w:sz w:val="17"/>
              </w:rPr>
              <w:t>Correlation/status log and provider simulator/contract evidence</w:t>
            </w:r>
          </w:p>
        </w:tc>
        <w:tc>
          <w:tcPr>
            <w:tcW w:type="dxa" w:w="2672"/>
            <w:vAlign w:val="top"/>
            <w:tcMar>
              <w:top w:w="70" w:type="dxa"/>
              <w:start w:w="90" w:type="dxa"/>
              <w:bottom w:w="70" w:type="dxa"/>
              <w:end w:w="90" w:type="dxa"/>
            </w:tcMar>
          </w:tcPr>
          <w:p>
            <w:pPr>
              <w:spacing w:after="0" w:line="240" w:lineRule="auto"/>
            </w:pPr>
            <w:r>
              <w:rPr/>
            </w:r>
            <w:r>
              <w:rPr>
                <w:sz w:val="17"/>
              </w:rPr>
              <w:t>Provider outage simulation must identify what is simulated.</w:t>
            </w:r>
          </w:p>
        </w:tc>
      </w:tr>
      <w:tr>
        <w:trPr>
          <w:cantSplit/>
        </w:trPr>
        <w:tc>
          <w:tcPr>
            <w:tcW w:type="dxa" w:w="2672"/>
            <w:vAlign w:val="top"/>
            <w:tcMar>
              <w:top w:w="70" w:type="dxa"/>
              <w:start w:w="90" w:type="dxa"/>
              <w:bottom w:w="70" w:type="dxa"/>
              <w:end w:w="90" w:type="dxa"/>
            </w:tcMar>
          </w:tcPr>
          <w:p>
            <w:pPr>
              <w:spacing w:after="0" w:line="240" w:lineRule="auto"/>
            </w:pPr>
            <w:r>
              <w:rPr/>
            </w:r>
            <w:r>
              <w:rPr>
                <w:sz w:val="17"/>
              </w:rPr>
              <w:t>Performance</w:t>
            </w:r>
          </w:p>
        </w:tc>
        <w:tc>
          <w:tcPr>
            <w:tcW w:type="dxa" w:w="4373"/>
            <w:vAlign w:val="top"/>
            <w:tcMar>
              <w:top w:w="70" w:type="dxa"/>
              <w:start w:w="90" w:type="dxa"/>
              <w:bottom w:w="70" w:type="dxa"/>
              <w:end w:w="90" w:type="dxa"/>
            </w:tcMar>
          </w:tcPr>
          <w:p>
            <w:pPr>
              <w:spacing w:after="0" w:line="240" w:lineRule="auto"/>
            </w:pPr>
            <w:r>
              <w:rPr/>
            </w:r>
            <w:r>
              <w:rPr>
                <w:sz w:val="17"/>
              </w:rPr>
              <w:t>Tool report with workload, latency percentiles, error rate, capacity</w:t>
            </w:r>
          </w:p>
        </w:tc>
        <w:tc>
          <w:tcPr>
            <w:tcW w:type="dxa" w:w="2672"/>
            <w:vAlign w:val="top"/>
            <w:tcMar>
              <w:top w:w="70" w:type="dxa"/>
              <w:start w:w="90" w:type="dxa"/>
              <w:bottom w:w="70" w:type="dxa"/>
              <w:end w:w="90" w:type="dxa"/>
            </w:tcMar>
          </w:tcPr>
          <w:p>
            <w:pPr>
              <w:spacing w:after="0" w:line="240" w:lineRule="auto"/>
            </w:pPr>
            <w:r>
              <w:rPr/>
            </w:r>
            <w:r>
              <w:rPr>
                <w:sz w:val="17"/>
              </w:rPr>
              <w:t>One local request is not a capacity result.</w:t>
            </w:r>
          </w:p>
        </w:tc>
      </w:tr>
      <w:tr>
        <w:trPr>
          <w:cantSplit/>
        </w:trPr>
        <w:tc>
          <w:tcPr>
            <w:tcW w:type="dxa" w:w="2672"/>
            <w:vAlign w:val="top"/>
            <w:tcMar>
              <w:top w:w="70" w:type="dxa"/>
              <w:start w:w="90" w:type="dxa"/>
              <w:bottom w:w="70" w:type="dxa"/>
              <w:end w:w="90" w:type="dxa"/>
            </w:tcMar>
          </w:tcPr>
          <w:p>
            <w:pPr>
              <w:spacing w:after="0" w:line="240" w:lineRule="auto"/>
            </w:pPr>
            <w:r>
              <w:rPr/>
            </w:r>
            <w:r>
              <w:rPr>
                <w:sz w:val="17"/>
              </w:rPr>
              <w:t>Recovery</w:t>
            </w:r>
          </w:p>
        </w:tc>
        <w:tc>
          <w:tcPr>
            <w:tcW w:type="dxa" w:w="4373"/>
            <w:vAlign w:val="top"/>
            <w:tcMar>
              <w:top w:w="70" w:type="dxa"/>
              <w:start w:w="90" w:type="dxa"/>
              <w:bottom w:w="70" w:type="dxa"/>
              <w:end w:w="90" w:type="dxa"/>
            </w:tcMar>
          </w:tcPr>
          <w:p>
            <w:pPr>
              <w:spacing w:after="0" w:line="240" w:lineRule="auto"/>
            </w:pPr>
            <w:r>
              <w:rPr/>
            </w:r>
            <w:r>
              <w:rPr>
                <w:sz w:val="17"/>
              </w:rPr>
              <w:t>Timeline and before/after integrity check</w:t>
            </w:r>
          </w:p>
        </w:tc>
        <w:tc>
          <w:tcPr>
            <w:tcW w:type="dxa" w:w="2672"/>
            <w:vAlign w:val="top"/>
            <w:tcMar>
              <w:top w:w="70" w:type="dxa"/>
              <w:start w:w="90" w:type="dxa"/>
              <w:bottom w:w="70" w:type="dxa"/>
              <w:end w:w="90" w:type="dxa"/>
            </w:tcMar>
          </w:tcPr>
          <w:p>
            <w:pPr>
              <w:spacing w:after="0" w:line="240" w:lineRule="auto"/>
            </w:pPr>
            <w:r>
              <w:rPr/>
            </w:r>
            <w:r>
              <w:rPr>
                <w:sz w:val="17"/>
              </w:rPr>
              <w:t>Recovery target remains unproven without an executed drill.</w:t>
            </w:r>
          </w:p>
        </w:tc>
      </w:tr>
      <w:tr>
        <w:trPr>
          <w:cantSplit/>
        </w:trPr>
        <w:tc>
          <w:tcPr>
            <w:tcW w:type="dxa" w:w="2672"/>
            <w:vAlign w:val="top"/>
            <w:tcMar>
              <w:top w:w="70" w:type="dxa"/>
              <w:start w:w="90" w:type="dxa"/>
              <w:bottom w:w="70" w:type="dxa"/>
              <w:end w:w="90" w:type="dxa"/>
            </w:tcMar>
          </w:tcPr>
          <w:p>
            <w:pPr>
              <w:spacing w:after="0" w:line="240" w:lineRule="auto"/>
            </w:pPr>
            <w:r>
              <w:rPr/>
            </w:r>
            <w:r>
              <w:rPr>
                <w:sz w:val="17"/>
              </w:rPr>
              <w:t>Documentation</w:t>
            </w:r>
          </w:p>
        </w:tc>
        <w:tc>
          <w:tcPr>
            <w:tcW w:type="dxa" w:w="4373"/>
            <w:vAlign w:val="top"/>
            <w:tcMar>
              <w:top w:w="70" w:type="dxa"/>
              <w:start w:w="90" w:type="dxa"/>
              <w:bottom w:w="70" w:type="dxa"/>
              <w:end w:w="90" w:type="dxa"/>
            </w:tcMar>
          </w:tcPr>
          <w:p>
            <w:pPr>
              <w:spacing w:after="0" w:line="240" w:lineRule="auto"/>
            </w:pPr>
            <w:r>
              <w:rPr/>
            </w:r>
            <w:r>
              <w:rPr>
                <w:sz w:val="17"/>
              </w:rPr>
              <w:t>Python structural validators and link/encoding scan</w:t>
            </w:r>
          </w:p>
        </w:tc>
        <w:tc>
          <w:tcPr>
            <w:tcW w:type="dxa" w:w="2672"/>
            <w:vAlign w:val="top"/>
            <w:tcMar>
              <w:top w:w="70" w:type="dxa"/>
              <w:start w:w="90" w:type="dxa"/>
              <w:bottom w:w="70" w:type="dxa"/>
              <w:end w:w="90" w:type="dxa"/>
            </w:tcMar>
          </w:tcPr>
          <w:p>
            <w:pPr>
              <w:spacing w:after="0" w:line="240" w:lineRule="auto"/>
            </w:pPr>
            <w:r>
              <w:rPr/>
            </w:r>
            <w:r>
              <w:rPr>
                <w:sz w:val="17"/>
              </w:rPr>
              <w:t>Structural GREEN does not prove product runtime behavior.</w:t>
            </w:r>
          </w:p>
        </w:tc>
      </w:tr>
    </w:tbl>
    <w:p>
      <w:pPr>
        <w:spacing w:after="20"/>
      </w:pPr>
    </w:p>
    <w:p>
      <w:pPr>
        <w:pStyle w:val="Heading3"/>
        <w:keepNext/>
        <w:pageBreakBefore w:val="0"/>
      </w:pPr>
      <w:r>
        <w:t>2.6 Defect and severity model</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3564"/>
            <w:vAlign w:val="top"/>
            <w:tcMar>
              <w:top w:w="70" w:type="dxa"/>
              <w:start w:w="90" w:type="dxa"/>
              <w:bottom w:w="70" w:type="dxa"/>
              <w:end w:w="90" w:type="dxa"/>
            </w:tcMar>
            <w:shd w:val="clear" w:color="auto" w:fill="FFE8E1"/>
          </w:tcPr>
          <w:p>
            <w:pPr>
              <w:spacing w:after="0" w:line="240" w:lineRule="auto"/>
            </w:pPr>
            <w:r>
              <w:rPr>
                <w:b/>
              </w:rPr>
            </w:r>
            <w:r>
              <w:rPr>
                <w:b/>
                <w:sz w:val="17"/>
              </w:rPr>
              <w:t>Severity</w:t>
            </w:r>
          </w:p>
        </w:tc>
        <w:tc>
          <w:tcPr>
            <w:tcW w:type="dxa" w:w="6156"/>
            <w:vAlign w:val="top"/>
            <w:tcMar>
              <w:top w:w="70" w:type="dxa"/>
              <w:start w:w="90" w:type="dxa"/>
              <w:bottom w:w="70" w:type="dxa"/>
              <w:end w:w="90" w:type="dxa"/>
            </w:tcMar>
            <w:shd w:val="clear" w:color="auto" w:fill="FFE8E1"/>
          </w:tcPr>
          <w:p>
            <w:pPr>
              <w:spacing w:after="0" w:line="240" w:lineRule="auto"/>
            </w:pPr>
            <w:r>
              <w:rPr>
                <w:b/>
              </w:rPr>
            </w:r>
            <w:r>
              <w:rPr>
                <w:b/>
                <w:sz w:val="17"/>
              </w:rPr>
              <w:t>Meaning for PTEPrep</w:t>
            </w:r>
          </w:p>
        </w:tc>
      </w:tr>
      <w:tr>
        <w:trPr>
          <w:cantSplit/>
        </w:trPr>
        <w:tc>
          <w:tcPr>
            <w:tcW w:type="dxa" w:w="3564"/>
            <w:vAlign w:val="top"/>
            <w:tcMar>
              <w:top w:w="70" w:type="dxa"/>
              <w:start w:w="90" w:type="dxa"/>
              <w:bottom w:w="70" w:type="dxa"/>
              <w:end w:w="90" w:type="dxa"/>
            </w:tcMar>
          </w:tcPr>
          <w:p>
            <w:pPr>
              <w:spacing w:after="0" w:line="240" w:lineRule="auto"/>
            </w:pPr>
            <w:r>
              <w:rPr/>
            </w:r>
            <w:r>
              <w:rPr>
                <w:sz w:val="17"/>
              </w:rPr>
              <w:t>Blocker</w:t>
            </w:r>
          </w:p>
        </w:tc>
        <w:tc>
          <w:tcPr>
            <w:tcW w:type="dxa" w:w="6156"/>
            <w:vAlign w:val="top"/>
            <w:tcMar>
              <w:top w:w="70" w:type="dxa"/>
              <w:start w:w="90" w:type="dxa"/>
              <w:bottom w:w="70" w:type="dxa"/>
              <w:end w:w="90" w:type="dxa"/>
            </w:tcMar>
          </w:tcPr>
          <w:p>
            <w:pPr>
              <w:spacing w:after="0" w:line="240" w:lineRule="auto"/>
            </w:pPr>
            <w:r>
              <w:rPr/>
            </w:r>
            <w:r>
              <w:rPr>
                <w:sz w:val="17"/>
              </w:rPr>
              <w:t>Data loss/exposure, duplicate material business result, unsafe publication, or inability to execute a critical flow.</w:t>
            </w:r>
          </w:p>
        </w:tc>
      </w:tr>
      <w:tr>
        <w:trPr>
          <w:cantSplit/>
        </w:trPr>
        <w:tc>
          <w:tcPr>
            <w:tcW w:type="dxa" w:w="3564"/>
            <w:vAlign w:val="top"/>
            <w:tcMar>
              <w:top w:w="70" w:type="dxa"/>
              <w:start w:w="90" w:type="dxa"/>
              <w:bottom w:w="70" w:type="dxa"/>
              <w:end w:w="90" w:type="dxa"/>
            </w:tcMar>
          </w:tcPr>
          <w:p>
            <w:pPr>
              <w:spacing w:after="0" w:line="240" w:lineRule="auto"/>
            </w:pPr>
            <w:r>
              <w:rPr/>
            </w:r>
            <w:r>
              <w:rPr>
                <w:sz w:val="17"/>
              </w:rPr>
              <w:t>High</w:t>
            </w:r>
          </w:p>
        </w:tc>
        <w:tc>
          <w:tcPr>
            <w:tcW w:type="dxa" w:w="6156"/>
            <w:vAlign w:val="top"/>
            <w:tcMar>
              <w:top w:w="70" w:type="dxa"/>
              <w:start w:w="90" w:type="dxa"/>
              <w:bottom w:w="70" w:type="dxa"/>
              <w:end w:w="90" w:type="dxa"/>
            </w:tcMar>
          </w:tcPr>
          <w:p>
            <w:pPr>
              <w:spacing w:after="0" w:line="240" w:lineRule="auto"/>
            </w:pPr>
            <w:r>
              <w:rPr/>
            </w:r>
            <w:r>
              <w:rPr>
                <w:sz w:val="17"/>
              </w:rPr>
              <w:t>Core workflow or required safeguard fails with no safe workaround.</w:t>
            </w:r>
          </w:p>
        </w:tc>
      </w:tr>
      <w:tr>
        <w:trPr>
          <w:cantSplit/>
        </w:trPr>
        <w:tc>
          <w:tcPr>
            <w:tcW w:type="dxa" w:w="3564"/>
            <w:vAlign w:val="top"/>
            <w:tcMar>
              <w:top w:w="70" w:type="dxa"/>
              <w:start w:w="90" w:type="dxa"/>
              <w:bottom w:w="70" w:type="dxa"/>
              <w:end w:w="90" w:type="dxa"/>
            </w:tcMar>
          </w:tcPr>
          <w:p>
            <w:pPr>
              <w:spacing w:after="0" w:line="240" w:lineRule="auto"/>
            </w:pPr>
            <w:r>
              <w:rPr/>
            </w:r>
            <w:r>
              <w:rPr>
                <w:sz w:val="17"/>
              </w:rPr>
              <w:t>Medium</w:t>
            </w:r>
          </w:p>
        </w:tc>
        <w:tc>
          <w:tcPr>
            <w:tcW w:type="dxa" w:w="6156"/>
            <w:vAlign w:val="top"/>
            <w:tcMar>
              <w:top w:w="70" w:type="dxa"/>
              <w:start w:w="90" w:type="dxa"/>
              <w:bottom w:w="70" w:type="dxa"/>
              <w:end w:w="90" w:type="dxa"/>
            </w:tcMar>
          </w:tcPr>
          <w:p>
            <w:pPr>
              <w:spacing w:after="0" w:line="240" w:lineRule="auto"/>
            </w:pPr>
            <w:r>
              <w:rPr/>
            </w:r>
            <w:r>
              <w:rPr>
                <w:sz w:val="17"/>
              </w:rPr>
              <w:t>Requirement or supported path is incorrect but a controlled workaround exists.</w:t>
            </w:r>
          </w:p>
        </w:tc>
      </w:tr>
      <w:tr>
        <w:trPr>
          <w:cantSplit/>
        </w:trPr>
        <w:tc>
          <w:tcPr>
            <w:tcW w:type="dxa" w:w="3564"/>
            <w:vAlign w:val="top"/>
            <w:tcMar>
              <w:top w:w="70" w:type="dxa"/>
              <w:start w:w="90" w:type="dxa"/>
              <w:bottom w:w="70" w:type="dxa"/>
              <w:end w:w="90" w:type="dxa"/>
            </w:tcMar>
          </w:tcPr>
          <w:p>
            <w:pPr>
              <w:spacing w:after="0" w:line="240" w:lineRule="auto"/>
            </w:pPr>
            <w:r>
              <w:rPr/>
            </w:r>
            <w:r>
              <w:rPr>
                <w:sz w:val="17"/>
              </w:rPr>
              <w:t>Low</w:t>
            </w:r>
          </w:p>
        </w:tc>
        <w:tc>
          <w:tcPr>
            <w:tcW w:type="dxa" w:w="6156"/>
            <w:vAlign w:val="top"/>
            <w:tcMar>
              <w:top w:w="70" w:type="dxa"/>
              <w:start w:w="90" w:type="dxa"/>
              <w:bottom w:w="70" w:type="dxa"/>
              <w:end w:w="90" w:type="dxa"/>
            </w:tcMar>
          </w:tcPr>
          <w:p>
            <w:pPr>
              <w:spacing w:after="0" w:line="240" w:lineRule="auto"/>
            </w:pPr>
            <w:r>
              <w:rPr/>
            </w:r>
            <w:r>
              <w:rPr>
                <w:sz w:val="17"/>
              </w:rPr>
              <w:t>Minor wording, layout, or non-critical usability issue.</w:t>
            </w:r>
          </w:p>
        </w:tc>
      </w:tr>
      <w:tr>
        <w:trPr>
          <w:cantSplit/>
        </w:trPr>
        <w:tc>
          <w:tcPr>
            <w:tcW w:type="dxa" w:w="3564"/>
            <w:vAlign w:val="top"/>
            <w:tcMar>
              <w:top w:w="70" w:type="dxa"/>
              <w:start w:w="90" w:type="dxa"/>
              <w:bottom w:w="70" w:type="dxa"/>
              <w:end w:w="90" w:type="dxa"/>
            </w:tcMar>
          </w:tcPr>
          <w:p>
            <w:pPr>
              <w:spacing w:after="0" w:line="240" w:lineRule="auto"/>
            </w:pPr>
            <w:r>
              <w:rPr/>
            </w:r>
            <w:r>
              <w:rPr>
                <w:sz w:val="17"/>
              </w:rPr>
              <w:t>Noted/TBD</w:t>
            </w:r>
          </w:p>
        </w:tc>
        <w:tc>
          <w:tcPr>
            <w:tcW w:type="dxa" w:w="6156"/>
            <w:vAlign w:val="top"/>
            <w:tcMar>
              <w:top w:w="70" w:type="dxa"/>
              <w:start w:w="90" w:type="dxa"/>
              <w:bottom w:w="70" w:type="dxa"/>
              <w:end w:w="90" w:type="dxa"/>
            </w:tcMar>
          </w:tcPr>
          <w:p>
            <w:pPr>
              <w:spacing w:after="0" w:line="240" w:lineRule="auto"/>
            </w:pPr>
            <w:r>
              <w:rPr/>
            </w:r>
            <w:r>
              <w:rPr>
                <w:sz w:val="17"/>
              </w:rPr>
              <w:t>Evidence/policy gap deliberately recorded for owner decision; not silently treated as pass.</w:t>
            </w:r>
          </w:p>
        </w:tc>
      </w:tr>
    </w:tbl>
    <w:p>
      <w:pPr>
        <w:spacing w:after="20"/>
      </w:pPr>
    </w:p>
    <w:p>
      <w:pPr>
        <w:pStyle w:val="Heading3"/>
        <w:keepNext/>
        <w:pageBreakBefore w:val="0"/>
      </w:pPr>
      <w:r>
        <w:t>2.7 TDD documentation boundary</w:t>
      </w:r>
    </w:p>
    <w:p>
      <w:pPr>
        <w:spacing w:after="80" w:line="240" w:lineRule="auto"/>
      </w:pPr>
      <w:r>
        <w:rPr>
          <w:sz w:val="19"/>
        </w:rPr>
        <w:t>The cook pipeline uses RED/GREEN Python structural tests before each report phase. These tests verify the documentation bundle, not the production application. Product tests are specified here for later execution and must not be represented as already run.</w:t>
      </w:r>
    </w:p>
    <w:p>
      <w:pPr>
        <w:pStyle w:val="Heading3"/>
        <w:keepNext/>
        <w:pageBreakBefore w:val="0"/>
      </w:pPr>
      <w:r>
        <w:t>2.8 Practice and AI test strategy</w:t>
      </w:r>
    </w:p>
    <w:p>
      <w:pPr>
        <w:pStyle w:val="Heading4"/>
        <w:keepNext/>
        <w:pageBreakBefore w:val="0"/>
      </w:pPr>
      <w:r>
        <w:t>2.8.1 State-focused practice testing</w:t>
      </w:r>
    </w:p>
    <w:p>
      <w:pPr>
        <w:spacing w:after="80" w:line="240" w:lineRule="auto"/>
      </w:pPr>
      <w:r>
        <w:rPr>
          <w:sz w:val="19"/>
        </w:rPr>
        <w:t>Practice testing follows the state transitions rather than only screen clicks:</w:t>
      </w:r>
    </w:p>
    <w:p>
      <w:pPr>
        <w:pStyle w:val="ListParagraph"/>
        <w:numPr>
          <w:ilvl w:val="0"/>
          <w:numId w:val="18"/>
        </w:numPr>
        <w:spacing w:after="40"/>
      </w:pPr>
      <w:r>
        <w:rPr>
          <w:sz w:val="18"/>
        </w:rPr>
        <w:t>identity challenge requested -&gt; delivered -&gt; accepted/expired/reused/throttled;</w:t>
      </w:r>
    </w:p>
    <w:p>
      <w:pPr>
        <w:pStyle w:val="ListParagraph"/>
        <w:numPr>
          <w:ilvl w:val="0"/>
          <w:numId w:val="18"/>
        </w:numPr>
        <w:spacing w:after="40"/>
      </w:pPr>
      <w:r>
        <w:rPr>
          <w:sz w:val="18"/>
        </w:rPr>
        <w:t>context resolved -&gt; entitlement available/locked/revoked/unavailable;</w:t>
      </w:r>
    </w:p>
    <w:p>
      <w:pPr>
        <w:pStyle w:val="ListParagraph"/>
        <w:numPr>
          <w:ilvl w:val="0"/>
          <w:numId w:val="18"/>
        </w:numPr>
        <w:spacing w:after="40"/>
      </w:pPr>
      <w:r>
        <w:rPr>
          <w:sz w:val="18"/>
        </w:rPr>
        <w:t>catalog item visible -&gt; runnable/unavailable/insufficient content;</w:t>
      </w:r>
    </w:p>
    <w:p>
      <w:pPr>
        <w:pStyle w:val="ListParagraph"/>
        <w:numPr>
          <w:ilvl w:val="0"/>
          <w:numId w:val="18"/>
        </w:numPr>
        <w:spacing w:after="40"/>
      </w:pPr>
      <w:r>
        <w:rPr>
          <w:sz w:val="18"/>
        </w:rPr>
        <w:t>session created -&gt; active -&gt; saved/pending -&gt; resumed -&gt; submitted/discarded/expired;</w:t>
      </w:r>
    </w:p>
    <w:p>
      <w:pPr>
        <w:pStyle w:val="ListParagraph"/>
        <w:numPr>
          <w:ilvl w:val="0"/>
          <w:numId w:val="18"/>
        </w:numPr>
        <w:spacing w:after="40"/>
      </w:pPr>
      <w:r>
        <w:rPr>
          <w:sz w:val="18"/>
        </w:rPr>
        <w:t>media grant -&gt; uploading -&gt; bound/failed/retryable;</w:t>
      </w:r>
    </w:p>
    <w:p>
      <w:pPr>
        <w:pStyle w:val="ListParagraph"/>
        <w:numPr>
          <w:ilvl w:val="0"/>
          <w:numId w:val="18"/>
        </w:numPr>
        <w:spacing w:after="40"/>
      </w:pPr>
      <w:r>
        <w:rPr>
          <w:sz w:val="18"/>
        </w:rPr>
        <w:t>feedback not requested -&gt; queued -&gt; processing -&gt; available/unavailable/retryable failure;</w:t>
      </w:r>
    </w:p>
    <w:p>
      <w:pPr>
        <w:pStyle w:val="ListParagraph"/>
        <w:numPr>
          <w:ilvl w:val="0"/>
          <w:numId w:val="18"/>
        </w:numPr>
        <w:spacing w:after="40"/>
      </w:pPr>
      <w:r>
        <w:rPr>
          <w:sz w:val="18"/>
        </w:rPr>
        <w:t>progress activity -&gt; pending feedback -&gt; completed activity, without a false score.</w:t>
      </w:r>
    </w:p>
    <w:p>
      <w:pPr>
        <w:pStyle w:val="Heading4"/>
        <w:keepNext/>
        <w:pageBreakBefore w:val="0"/>
      </w:pPr>
      <w:r>
        <w:t>2.8.2 AI evaluation boundary</w:t>
      </w:r>
    </w:p>
    <w:p>
      <w:pPr>
        <w:spacing w:after="80" w:line="240" w:lineRule="auto"/>
      </w:pPr>
      <w:r>
        <w:rPr>
          <w:sz w:val="19"/>
        </w:rPr>
        <w:t>AI explanation cases verify correlation, access, provenance, labelling, answer preservation and failure recovery. They do not claim that a generated explanation is academically correct unless a separate approved rubric and human review result exists. Provider timeouts and duplicate callbacks are tested as integration states, not as a reason to delete the Student response.</w:t>
      </w:r>
    </w:p>
    <w:p>
      <w:pPr>
        <w:pStyle w:val="Heading4"/>
        <w:keepNext/>
        <w:pageBreakBefore w:val="0"/>
      </w:pPr>
      <w:r>
        <w:t>2.8.3 Channel isolation</w:t>
      </w:r>
    </w:p>
    <w:p>
      <w:pPr>
        <w:spacing w:after="80" w:line="240" w:lineRule="auto"/>
      </w:pPr>
      <w:r>
        <w:rPr>
          <w:sz w:val="19"/>
        </w:rPr>
        <w:t>The same fixture question may be enabled for one, both or neither channel. The test harness must prove that practice selection reads the practice flag and exam generation reads the exam flag, while publication/readiness and task support remain required filters.</w:t>
      </w:r>
    </w:p>
    <w:p>
      <w:pPr>
        <w:spacing w:after="80" w:line="240" w:lineRule="auto"/>
      </w:pPr>
      <w:r>
        <w:rPr>
          <w:sz w:val="19"/>
        </w:rPr>
        <w:t xml:space="preserve">The AI test oracle covers both </w:t>
      </w:r>
      <w:r>
        <w:rPr>
          <w:rFonts w:ascii="Consolas" w:hAnsi="Consolas"/>
          <w:b w:val="0"/>
          <w:i w:val="0"/>
          <w:sz w:val="17"/>
        </w:rPr>
        <w:t>NFR-AI-001</w:t>
      </w:r>
      <w:r>
        <w:rPr>
          <w:sz w:val="19"/>
        </w:rPr>
        <w:t xml:space="preserve"> (provider isolation and recovery) and </w:t>
      </w:r>
      <w:r>
        <w:rPr>
          <w:rFonts w:ascii="Consolas" w:hAnsi="Consolas"/>
          <w:b w:val="0"/>
          <w:i w:val="0"/>
          <w:sz w:val="17"/>
        </w:rPr>
        <w:t>NFR-AI-002</w:t>
      </w:r>
      <w:r>
        <w:rPr>
          <w:sz w:val="19"/>
        </w:rPr>
        <w:t xml:space="preserve"> (learner-readable, labelled explanation). It checks state, provenance and access rather than declaring a model output academically correct without an approved rubric.</w:t>
      </w:r>
    </w:p>
    <w:p>
      <w:pPr>
        <w:pStyle w:val="Heading2"/>
        <w:keepNext/>
        <w:pageBreakBefore w:val="0"/>
      </w:pPr>
      <w:r>
        <w:t>3. Test Plan</w:t>
      </w:r>
    </w:p>
    <w:p>
      <w:pPr>
        <w:spacing w:after="80" w:line="240" w:lineRule="auto"/>
      </w:pPr>
      <w:r>
        <w:rPr>
          <w:sz w:val="19"/>
        </w:rPr>
        <w:t xml:space="preserve">This section maps the original DOCX heading </w:t>
      </w:r>
      <w:r>
        <w:rPr>
          <w:b/>
          <w:i w:val="0"/>
          <w:sz w:val="19"/>
        </w:rPr>
        <w:t>3. Test Plan</w:t>
      </w:r>
      <w:r>
        <w:rPr>
          <w:sz w:val="19"/>
        </w:rPr>
        <w:t>. It defines test work packages, order, dependencies, entry/exit checks, and evidence ownership.</w:t>
      </w:r>
    </w:p>
    <w:p>
      <w:pPr>
        <w:pStyle w:val="Heading3"/>
        <w:keepNext/>
        <w:pageBreakBefore w:val="0"/>
      </w:pPr>
      <w:r>
        <w:t>3.1 Work packages</w:t>
      </w:r>
    </w:p>
    <w:tbl>
      <w:tblPr>
        <w:tblW w:type="auto" w:w="0"/>
        <w:jc w:val="center"/>
        <w:tblLayout w:type="fixed"/>
        <w:tblLook w:firstColumn="1" w:firstRow="1" w:lastColumn="0" w:lastRow="0" w:noHBand="0" w:noVBand="1" w:val="04A0"/>
      </w:tblPr>
      <w:tblGrid>
        <w:gridCol w:w="1810"/>
        <w:gridCol w:w="1810"/>
        <w:gridCol w:w="1810"/>
        <w:gridCol w:w="1810"/>
        <w:gridCol w:w="1810"/>
      </w:tblGrid>
      <w:tr>
        <w:trPr>
          <w:tblHeader w:val="true"/>
          <w:cantSplit/>
        </w:trPr>
        <w:tc>
          <w:tcPr>
            <w:tcW w:type="dxa" w:w="1977"/>
            <w:vAlign w:val="top"/>
            <w:tcMar>
              <w:top w:w="70" w:type="dxa"/>
              <w:start w:w="90" w:type="dxa"/>
              <w:bottom w:w="70" w:type="dxa"/>
              <w:end w:w="90" w:type="dxa"/>
            </w:tcMar>
            <w:shd w:val="clear" w:color="auto" w:fill="FFE8E1"/>
          </w:tcPr>
          <w:p>
            <w:pPr>
              <w:spacing w:after="0" w:line="240" w:lineRule="auto"/>
            </w:pPr>
            <w:r>
              <w:rPr>
                <w:b/>
              </w:rPr>
            </w:r>
            <w:r>
              <w:rPr>
                <w:b/>
                <w:sz w:val="17"/>
              </w:rPr>
              <w:t>Work package</w:t>
            </w:r>
          </w:p>
        </w:tc>
        <w:tc>
          <w:tcPr>
            <w:tcW w:type="dxa" w:w="1811"/>
            <w:vAlign w:val="top"/>
            <w:tcMar>
              <w:top w:w="70" w:type="dxa"/>
              <w:start w:w="90" w:type="dxa"/>
              <w:bottom w:w="70" w:type="dxa"/>
              <w:end w:w="90" w:type="dxa"/>
            </w:tcMar>
            <w:shd w:val="clear" w:color="auto" w:fill="FFE8E1"/>
          </w:tcPr>
          <w:p>
            <w:pPr>
              <w:spacing w:after="0" w:line="240" w:lineRule="auto"/>
            </w:pPr>
            <w:r>
              <w:rPr>
                <w:b/>
              </w:rPr>
            </w:r>
            <w:r>
              <w:rPr>
                <w:b/>
                <w:sz w:val="17"/>
              </w:rPr>
              <w:t>Scope</w:t>
            </w:r>
          </w:p>
        </w:tc>
        <w:tc>
          <w:tcPr>
            <w:tcW w:type="dxa" w:w="1977"/>
            <w:vAlign w:val="top"/>
            <w:tcMar>
              <w:top w:w="70" w:type="dxa"/>
              <w:start w:w="90" w:type="dxa"/>
              <w:bottom w:w="70" w:type="dxa"/>
              <w:end w:w="90" w:type="dxa"/>
            </w:tcMar>
            <w:shd w:val="clear" w:color="auto" w:fill="FFE8E1"/>
          </w:tcPr>
          <w:p>
            <w:pPr>
              <w:spacing w:after="0" w:line="240" w:lineRule="auto"/>
            </w:pPr>
            <w:r>
              <w:rPr>
                <w:b/>
              </w:rPr>
            </w:r>
            <w:r>
              <w:rPr>
                <w:b/>
                <w:sz w:val="17"/>
              </w:rPr>
              <w:t>Dependencies</w:t>
            </w:r>
          </w:p>
        </w:tc>
        <w:tc>
          <w:tcPr>
            <w:tcW w:type="dxa" w:w="1811"/>
            <w:vAlign w:val="top"/>
            <w:tcMar>
              <w:top w:w="70" w:type="dxa"/>
              <w:start w:w="90" w:type="dxa"/>
              <w:bottom w:w="70" w:type="dxa"/>
              <w:end w:w="90" w:type="dxa"/>
            </w:tcMar>
            <w:shd w:val="clear" w:color="auto" w:fill="FFE8E1"/>
          </w:tcPr>
          <w:p>
            <w:pPr>
              <w:spacing w:after="0" w:line="240" w:lineRule="auto"/>
            </w:pPr>
            <w:r>
              <w:rPr>
                <w:b/>
              </w:rPr>
            </w:r>
            <w:r>
              <w:rPr>
                <w:b/>
                <w:sz w:val="17"/>
              </w:rPr>
              <w:t>Owner</w:t>
            </w:r>
          </w:p>
        </w:tc>
        <w:tc>
          <w:tcPr>
            <w:tcW w:type="dxa" w:w="2141"/>
            <w:vAlign w:val="top"/>
            <w:tcMar>
              <w:top w:w="70" w:type="dxa"/>
              <w:start w:w="90" w:type="dxa"/>
              <w:bottom w:w="70" w:type="dxa"/>
              <w:end w:w="90" w:type="dxa"/>
            </w:tcMar>
            <w:shd w:val="clear" w:color="auto" w:fill="FFE8E1"/>
          </w:tcPr>
          <w:p>
            <w:pPr>
              <w:spacing w:after="0" w:line="240" w:lineRule="auto"/>
            </w:pPr>
            <w:r>
              <w:rPr>
                <w:b/>
              </w:rPr>
            </w:r>
            <w:r>
              <w:rPr>
                <w:b/>
                <w:sz w:val="17"/>
              </w:rPr>
              <w:t>Exit evidence</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TP-01</w:t>
            </w:r>
            <w:r>
              <w:rPr>
                <w:sz w:val="17"/>
              </w:rPr>
              <w:t xml:space="preserve"> Foundation/structure</w:t>
            </w:r>
          </w:p>
        </w:tc>
        <w:tc>
          <w:tcPr>
            <w:tcW w:type="dxa" w:w="1811"/>
            <w:vAlign w:val="top"/>
            <w:tcMar>
              <w:top w:w="70" w:type="dxa"/>
              <w:start w:w="90" w:type="dxa"/>
              <w:bottom w:w="70" w:type="dxa"/>
              <w:end w:w="90" w:type="dxa"/>
            </w:tcMar>
          </w:tcPr>
          <w:p>
            <w:pPr>
              <w:spacing w:after="0" w:line="240" w:lineRule="auto"/>
            </w:pPr>
            <w:r>
              <w:rPr/>
            </w:r>
            <w:r>
              <w:rPr>
                <w:sz w:val="17"/>
              </w:rPr>
              <w:t>Markdown file map, encoding, IDs, links, task catalog, status vocabulary</w:t>
            </w:r>
          </w:p>
        </w:tc>
        <w:tc>
          <w:tcPr>
            <w:tcW w:type="dxa" w:w="1977"/>
            <w:vAlign w:val="top"/>
            <w:tcMar>
              <w:top w:w="70" w:type="dxa"/>
              <w:start w:w="90" w:type="dxa"/>
              <w:bottom w:w="70" w:type="dxa"/>
              <w:end w:w="90" w:type="dxa"/>
            </w:tcMar>
          </w:tcPr>
          <w:p>
            <w:pPr>
              <w:spacing w:after="0" w:line="240" w:lineRule="auto"/>
            </w:pPr>
            <w:r>
              <w:rPr/>
            </w:r>
            <w:r>
              <w:rPr>
                <w:sz w:val="17"/>
              </w:rPr>
              <w:t>Report foundation</w:t>
            </w:r>
          </w:p>
        </w:tc>
        <w:tc>
          <w:tcPr>
            <w:tcW w:type="dxa" w:w="1811"/>
            <w:vAlign w:val="top"/>
            <w:tcMar>
              <w:top w:w="70" w:type="dxa"/>
              <w:start w:w="90" w:type="dxa"/>
              <w:bottom w:w="70" w:type="dxa"/>
              <w:end w:w="90" w:type="dxa"/>
            </w:tcMar>
          </w:tcPr>
          <w:p>
            <w:pPr>
              <w:spacing w:after="0" w:line="240" w:lineRule="auto"/>
            </w:pPr>
            <w:r>
              <w:rPr/>
            </w:r>
            <w:r>
              <w:rPr>
                <w:sz w:val="17"/>
              </w:rPr>
              <w:t>Automation Engineer</w:t>
            </w:r>
          </w:p>
        </w:tc>
        <w:tc>
          <w:tcPr>
            <w:tcW w:type="dxa" w:w="2141"/>
            <w:vAlign w:val="top"/>
            <w:tcMar>
              <w:top w:w="70" w:type="dxa"/>
              <w:start w:w="90" w:type="dxa"/>
              <w:bottom w:w="70" w:type="dxa"/>
              <w:end w:w="90" w:type="dxa"/>
            </w:tcMar>
          </w:tcPr>
          <w:p>
            <w:pPr>
              <w:spacing w:after="0" w:line="240" w:lineRule="auto"/>
            </w:pPr>
            <w:r>
              <w:rPr/>
            </w:r>
            <w:r>
              <w:rPr>
                <w:sz w:val="17"/>
              </w:rPr>
              <w:t>Structural validator result and scan output</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TP-02</w:t>
            </w:r>
            <w:r>
              <w:rPr>
                <w:sz w:val="17"/>
              </w:rPr>
              <w:t xml:space="preserve"> Access/onboarding</w:t>
            </w:r>
          </w:p>
        </w:tc>
        <w:tc>
          <w:tcPr>
            <w:tcW w:type="dxa" w:w="1811"/>
            <w:vAlign w:val="top"/>
            <w:tcMar>
              <w:top w:w="70" w:type="dxa"/>
              <w:start w:w="90" w:type="dxa"/>
              <w:bottom w:w="70" w:type="dxa"/>
              <w:end w:w="90" w:type="dxa"/>
            </w:tcMar>
          </w:tcPr>
          <w:p>
            <w:pPr>
              <w:spacing w:after="0" w:line="240" w:lineRule="auto"/>
            </w:pPr>
            <w:r>
              <w:rPr/>
            </w:r>
            <w:r>
              <w:rPr>
                <w:sz w:val="17"/>
              </w:rPr>
              <w:t>Registration, approval/rejection, Host creation, session/recovery</w:t>
            </w:r>
          </w:p>
        </w:tc>
        <w:tc>
          <w:tcPr>
            <w:tcW w:type="dxa" w:w="1977"/>
            <w:vAlign w:val="top"/>
            <w:tcMar>
              <w:top w:w="70" w:type="dxa"/>
              <w:start w:w="90" w:type="dxa"/>
              <w:bottom w:w="70" w:type="dxa"/>
              <w:end w:w="90" w:type="dxa"/>
            </w:tcMar>
          </w:tcPr>
          <w:p>
            <w:pPr>
              <w:spacing w:after="0" w:line="240" w:lineRule="auto"/>
            </w:pPr>
            <w:r>
              <w:rPr/>
            </w:r>
            <w:r>
              <w:rPr>
                <w:sz w:val="17"/>
              </w:rPr>
              <w:t>Identity/tenancy build</w:t>
            </w:r>
          </w:p>
        </w:tc>
        <w:tc>
          <w:tcPr>
            <w:tcW w:type="dxa" w:w="1811"/>
            <w:vAlign w:val="top"/>
            <w:tcMar>
              <w:top w:w="70" w:type="dxa"/>
              <w:start w:w="90" w:type="dxa"/>
              <w:bottom w:w="70" w:type="dxa"/>
              <w:end w:w="90" w:type="dxa"/>
            </w:tcMar>
          </w:tcPr>
          <w:p>
            <w:pPr>
              <w:spacing w:after="0" w:line="240" w:lineRule="auto"/>
            </w:pPr>
            <w:r>
              <w:rPr/>
            </w:r>
            <w:r>
              <w:rPr>
                <w:sz w:val="17"/>
              </w:rPr>
              <w:t>QA Analyst + Security Reviewer</w:t>
            </w:r>
          </w:p>
        </w:tc>
        <w:tc>
          <w:tcPr>
            <w:tcW w:type="dxa" w:w="2141"/>
            <w:vAlign w:val="top"/>
            <w:tcMar>
              <w:top w:w="70" w:type="dxa"/>
              <w:start w:w="90" w:type="dxa"/>
              <w:bottom w:w="70" w:type="dxa"/>
              <w:end w:w="90" w:type="dxa"/>
            </w:tcMar>
          </w:tcPr>
          <w:p>
            <w:pPr>
              <w:spacing w:after="0" w:line="240" w:lineRule="auto"/>
            </w:pPr>
            <w:r>
              <w:rPr/>
            </w:r>
            <w:r>
              <w:rPr>
                <w:sz w:val="17"/>
              </w:rPr>
              <w:t>API/UI evidence and audit record</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TP-03</w:t>
            </w:r>
            <w:r>
              <w:rPr>
                <w:sz w:val="17"/>
              </w:rPr>
              <w:t xml:space="preserve"> Content/template</w:t>
            </w:r>
          </w:p>
        </w:tc>
        <w:tc>
          <w:tcPr>
            <w:tcW w:type="dxa" w:w="1811"/>
            <w:vAlign w:val="top"/>
            <w:tcMar>
              <w:top w:w="70" w:type="dxa"/>
              <w:start w:w="90" w:type="dxa"/>
              <w:bottom w:w="70" w:type="dxa"/>
              <w:end w:w="90" w:type="dxa"/>
            </w:tcMar>
          </w:tcPr>
          <w:p>
            <w:pPr>
              <w:spacing w:after="0" w:line="240" w:lineRule="auto"/>
            </w:pPr>
            <w:r>
              <w:rPr/>
            </w:r>
            <w:r>
              <w:rPr>
                <w:sz w:val="17"/>
              </w:rPr>
              <w:t>Draft, media, revision, approval, Score Template activation</w:t>
            </w:r>
          </w:p>
        </w:tc>
        <w:tc>
          <w:tcPr>
            <w:tcW w:type="dxa" w:w="1977"/>
            <w:vAlign w:val="top"/>
            <w:tcMar>
              <w:top w:w="70" w:type="dxa"/>
              <w:start w:w="90" w:type="dxa"/>
              <w:bottom w:w="70" w:type="dxa"/>
              <w:end w:w="90" w:type="dxa"/>
            </w:tcMar>
          </w:tcPr>
          <w:p>
            <w:pPr>
              <w:spacing w:after="0" w:line="240" w:lineRule="auto"/>
            </w:pPr>
            <w:r>
              <w:rPr/>
            </w:r>
            <w:r>
              <w:rPr>
                <w:sz w:val="17"/>
              </w:rPr>
              <w:t>Shared content build</w:t>
            </w:r>
          </w:p>
        </w:tc>
        <w:tc>
          <w:tcPr>
            <w:tcW w:type="dxa" w:w="1811"/>
            <w:vAlign w:val="top"/>
            <w:tcMar>
              <w:top w:w="70" w:type="dxa"/>
              <w:start w:w="90" w:type="dxa"/>
              <w:bottom w:w="70" w:type="dxa"/>
              <w:end w:w="90" w:type="dxa"/>
            </w:tcMar>
          </w:tcPr>
          <w:p>
            <w:pPr>
              <w:spacing w:after="0" w:line="240" w:lineRule="auto"/>
            </w:pPr>
            <w:r>
              <w:rPr/>
            </w:r>
            <w:r>
              <w:rPr>
                <w:sz w:val="17"/>
              </w:rPr>
              <w:t>QA Analyst + Business Reviewer</w:t>
            </w:r>
          </w:p>
        </w:tc>
        <w:tc>
          <w:tcPr>
            <w:tcW w:type="dxa" w:w="2141"/>
            <w:vAlign w:val="top"/>
            <w:tcMar>
              <w:top w:w="70" w:type="dxa"/>
              <w:start w:w="90" w:type="dxa"/>
              <w:bottom w:w="70" w:type="dxa"/>
              <w:end w:w="90" w:type="dxa"/>
            </w:tcMar>
          </w:tcPr>
          <w:p>
            <w:pPr>
              <w:spacing w:after="0" w:line="240" w:lineRule="auto"/>
            </w:pPr>
            <w:r>
              <w:rPr/>
            </w:r>
            <w:r>
              <w:rPr>
                <w:sz w:val="17"/>
              </w:rPr>
              <w:t>Revision/status evidence</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TP-04</w:t>
            </w:r>
            <w:r>
              <w:rPr>
                <w:sz w:val="17"/>
              </w:rPr>
              <w:t xml:space="preserve"> Roster/package</w:t>
            </w:r>
          </w:p>
        </w:tc>
        <w:tc>
          <w:tcPr>
            <w:tcW w:type="dxa" w:w="1811"/>
            <w:vAlign w:val="top"/>
            <w:tcMar>
              <w:top w:w="70" w:type="dxa"/>
              <w:start w:w="90" w:type="dxa"/>
              <w:bottom w:w="70" w:type="dxa"/>
              <w:end w:w="90" w:type="dxa"/>
            </w:tcMar>
          </w:tcPr>
          <w:p>
            <w:pPr>
              <w:spacing w:after="0" w:line="240" w:lineRule="auto"/>
            </w:pPr>
            <w:r>
              <w:rPr/>
            </w:r>
            <w:r>
              <w:rPr>
                <w:sz w:val="17"/>
              </w:rPr>
              <w:t>Student import, classes, candidate selection, limits, payment/license</w:t>
            </w:r>
          </w:p>
        </w:tc>
        <w:tc>
          <w:tcPr>
            <w:tcW w:type="dxa" w:w="1977"/>
            <w:vAlign w:val="top"/>
            <w:tcMar>
              <w:top w:w="70" w:type="dxa"/>
              <w:start w:w="90" w:type="dxa"/>
              <w:bottom w:w="70" w:type="dxa"/>
              <w:end w:w="90" w:type="dxa"/>
            </w:tcMar>
          </w:tcPr>
          <w:p>
            <w:pPr>
              <w:spacing w:after="0" w:line="240" w:lineRule="auto"/>
            </w:pPr>
            <w:r>
              <w:rPr/>
            </w:r>
            <w:r>
              <w:rPr>
                <w:sz w:val="17"/>
              </w:rPr>
              <w:t>Tenant/billing build</w:t>
            </w:r>
          </w:p>
        </w:tc>
        <w:tc>
          <w:tcPr>
            <w:tcW w:type="dxa" w:w="1811"/>
            <w:vAlign w:val="top"/>
            <w:tcMar>
              <w:top w:w="70" w:type="dxa"/>
              <w:start w:w="90" w:type="dxa"/>
              <w:bottom w:w="70" w:type="dxa"/>
              <w:end w:w="90" w:type="dxa"/>
            </w:tcMar>
          </w:tcPr>
          <w:p>
            <w:pPr>
              <w:spacing w:after="0" w:line="240" w:lineRule="auto"/>
            </w:pPr>
            <w:r>
              <w:rPr/>
            </w:r>
            <w:r>
              <w:rPr>
                <w:sz w:val="17"/>
              </w:rPr>
              <w:t>QA Analyst</w:t>
            </w:r>
          </w:p>
        </w:tc>
        <w:tc>
          <w:tcPr>
            <w:tcW w:type="dxa" w:w="2141"/>
            <w:vAlign w:val="top"/>
            <w:tcMar>
              <w:top w:w="70" w:type="dxa"/>
              <w:start w:w="90" w:type="dxa"/>
              <w:bottom w:w="70" w:type="dxa"/>
              <w:end w:w="90" w:type="dxa"/>
            </w:tcMar>
          </w:tcPr>
          <w:p>
            <w:pPr>
              <w:spacing w:after="0" w:line="240" w:lineRule="auto"/>
            </w:pPr>
            <w:r>
              <w:rPr/>
            </w:r>
            <w:r>
              <w:rPr>
                <w:sz w:val="17"/>
              </w:rPr>
              <w:t>Conflict/capacity/callback evidence</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TP-05</w:t>
            </w:r>
            <w:r>
              <w:rPr>
                <w:sz w:val="17"/>
              </w:rPr>
              <w:t xml:space="preserve"> Exam generation</w:t>
            </w:r>
          </w:p>
        </w:tc>
        <w:tc>
          <w:tcPr>
            <w:tcW w:type="dxa" w:w="1811"/>
            <w:vAlign w:val="top"/>
            <w:tcMar>
              <w:top w:w="70" w:type="dxa"/>
              <w:start w:w="90" w:type="dxa"/>
              <w:bottom w:w="70" w:type="dxa"/>
              <w:end w:w="90" w:type="dxa"/>
            </w:tcMar>
          </w:tcPr>
          <w:p>
            <w:pPr>
              <w:spacing w:after="0" w:line="240" w:lineRule="auto"/>
            </w:pPr>
            <w:r>
              <w:rPr/>
            </w:r>
            <w:r>
              <w:rPr>
                <w:sz w:val="17"/>
              </w:rPr>
              <w:t>Draft validation, fixed version, form mode, schedule/lifecycle</w:t>
            </w:r>
          </w:p>
        </w:tc>
        <w:tc>
          <w:tcPr>
            <w:tcW w:type="dxa" w:w="1977"/>
            <w:vAlign w:val="top"/>
            <w:tcMar>
              <w:top w:w="70" w:type="dxa"/>
              <w:start w:w="90" w:type="dxa"/>
              <w:bottom w:w="70" w:type="dxa"/>
              <w:end w:w="90" w:type="dxa"/>
            </w:tcMar>
          </w:tcPr>
          <w:p>
            <w:pPr>
              <w:spacing w:after="0" w:line="240" w:lineRule="auto"/>
            </w:pPr>
            <w:r>
              <w:rPr/>
            </w:r>
            <w:r>
              <w:rPr>
                <w:sz w:val="17"/>
              </w:rPr>
              <w:t>Report 4 generation design</w:t>
            </w:r>
          </w:p>
        </w:tc>
        <w:tc>
          <w:tcPr>
            <w:tcW w:type="dxa" w:w="1811"/>
            <w:vAlign w:val="top"/>
            <w:tcMar>
              <w:top w:w="70" w:type="dxa"/>
              <w:start w:w="90" w:type="dxa"/>
              <w:bottom w:w="70" w:type="dxa"/>
              <w:end w:w="90" w:type="dxa"/>
            </w:tcMar>
          </w:tcPr>
          <w:p>
            <w:pPr>
              <w:spacing w:after="0" w:line="240" w:lineRule="auto"/>
            </w:pPr>
            <w:r>
              <w:rPr/>
            </w:r>
            <w:r>
              <w:rPr>
                <w:sz w:val="17"/>
              </w:rPr>
              <w:t>QA Analyst + Automation Engineer</w:t>
            </w:r>
          </w:p>
        </w:tc>
        <w:tc>
          <w:tcPr>
            <w:tcW w:type="dxa" w:w="2141"/>
            <w:vAlign w:val="top"/>
            <w:tcMar>
              <w:top w:w="70" w:type="dxa"/>
              <w:start w:w="90" w:type="dxa"/>
              <w:bottom w:w="70" w:type="dxa"/>
              <w:end w:w="90" w:type="dxa"/>
            </w:tcMar>
          </w:tcPr>
          <w:p>
            <w:pPr>
              <w:spacing w:after="0" w:line="240" w:lineRule="auto"/>
            </w:pPr>
            <w:r>
              <w:rPr/>
            </w:r>
            <w:r>
              <w:rPr>
                <w:sz w:val="17"/>
              </w:rPr>
              <w:t>Snapshot/provenance/state evidence</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TP-06</w:t>
            </w:r>
            <w:r>
              <w:rPr>
                <w:sz w:val="17"/>
              </w:rPr>
              <w:t xml:space="preserve"> Student delivery</w:t>
            </w:r>
          </w:p>
        </w:tc>
        <w:tc>
          <w:tcPr>
            <w:tcW w:type="dxa" w:w="1811"/>
            <w:vAlign w:val="top"/>
            <w:tcMar>
              <w:top w:w="70" w:type="dxa"/>
              <w:start w:w="90" w:type="dxa"/>
              <w:bottom w:w="70" w:type="dxa"/>
              <w:end w:w="90" w:type="dxa"/>
            </w:tcMar>
          </w:tcPr>
          <w:p>
            <w:pPr>
              <w:spacing w:after="0" w:line="240" w:lineRule="auto"/>
            </w:pPr>
            <w:r>
              <w:rPr/>
            </w:r>
            <w:r>
              <w:rPr>
                <w:sz w:val="17"/>
              </w:rPr>
              <w:t>Device check, timed tasks, local save, sync/retry, submit</w:t>
            </w:r>
          </w:p>
        </w:tc>
        <w:tc>
          <w:tcPr>
            <w:tcW w:type="dxa" w:w="1977"/>
            <w:vAlign w:val="top"/>
            <w:tcMar>
              <w:top w:w="70" w:type="dxa"/>
              <w:start w:w="90" w:type="dxa"/>
              <w:bottom w:w="70" w:type="dxa"/>
              <w:end w:w="90" w:type="dxa"/>
            </w:tcMar>
          </w:tcPr>
          <w:p>
            <w:pPr>
              <w:spacing w:after="0" w:line="240" w:lineRule="auto"/>
            </w:pPr>
            <w:r>
              <w:rPr/>
            </w:r>
            <w:r>
              <w:rPr>
                <w:sz w:val="17"/>
              </w:rPr>
              <w:t>Windows client + attempt service</w:t>
            </w:r>
          </w:p>
        </w:tc>
        <w:tc>
          <w:tcPr>
            <w:tcW w:type="dxa" w:w="1811"/>
            <w:vAlign w:val="top"/>
            <w:tcMar>
              <w:top w:w="70" w:type="dxa"/>
              <w:start w:w="90" w:type="dxa"/>
              <w:bottom w:w="70" w:type="dxa"/>
              <w:end w:w="90" w:type="dxa"/>
            </w:tcMar>
          </w:tcPr>
          <w:p>
            <w:pPr>
              <w:spacing w:after="0" w:line="240" w:lineRule="auto"/>
            </w:pPr>
            <w:r>
              <w:rPr/>
            </w:r>
            <w:r>
              <w:rPr>
                <w:sz w:val="17"/>
              </w:rPr>
              <w:t>QA Analyst + Automation Engineer</w:t>
            </w:r>
          </w:p>
        </w:tc>
        <w:tc>
          <w:tcPr>
            <w:tcW w:type="dxa" w:w="2141"/>
            <w:vAlign w:val="top"/>
            <w:tcMar>
              <w:top w:w="70" w:type="dxa"/>
              <w:start w:w="90" w:type="dxa"/>
              <w:bottom w:w="70" w:type="dxa"/>
              <w:end w:w="90" w:type="dxa"/>
            </w:tcMar>
          </w:tcPr>
          <w:p>
            <w:pPr>
              <w:spacing w:after="0" w:line="240" w:lineRule="auto"/>
            </w:pPr>
            <w:r>
              <w:rPr/>
            </w:r>
            <w:r>
              <w:rPr>
                <w:sz w:val="17"/>
              </w:rPr>
              <w:t>Client/server correlation evidence</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TP-07</w:t>
            </w:r>
            <w:r>
              <w:rPr>
                <w:sz w:val="17"/>
              </w:rPr>
              <w:t xml:space="preserve"> Integrity</w:t>
            </w:r>
          </w:p>
        </w:tc>
        <w:tc>
          <w:tcPr>
            <w:tcW w:type="dxa" w:w="1811"/>
            <w:vAlign w:val="top"/>
            <w:tcMar>
              <w:top w:w="70" w:type="dxa"/>
              <w:start w:w="90" w:type="dxa"/>
              <w:bottom w:w="70" w:type="dxa"/>
              <w:end w:w="90" w:type="dxa"/>
            </w:tcMar>
          </w:tcPr>
          <w:p>
            <w:pPr>
              <w:spacing w:after="0" w:line="240" w:lineRule="auto"/>
            </w:pPr>
            <w:r>
              <w:rPr/>
            </w:r>
            <w:r>
              <w:rPr>
                <w:sz w:val="17"/>
              </w:rPr>
              <w:t>Proctor assignment, monitoring, violation, allowed intervention</w:t>
            </w:r>
          </w:p>
        </w:tc>
        <w:tc>
          <w:tcPr>
            <w:tcW w:type="dxa" w:w="1977"/>
            <w:vAlign w:val="top"/>
            <w:tcMar>
              <w:top w:w="70" w:type="dxa"/>
              <w:start w:w="90" w:type="dxa"/>
              <w:bottom w:w="70" w:type="dxa"/>
              <w:end w:w="90" w:type="dxa"/>
            </w:tcMar>
          </w:tcPr>
          <w:p>
            <w:pPr>
              <w:spacing w:after="0" w:line="240" w:lineRule="auto"/>
            </w:pPr>
            <w:r>
              <w:rPr/>
            </w:r>
            <w:r>
              <w:rPr>
                <w:sz w:val="17"/>
              </w:rPr>
              <w:t>Proctoring design and policy</w:t>
            </w:r>
          </w:p>
        </w:tc>
        <w:tc>
          <w:tcPr>
            <w:tcW w:type="dxa" w:w="1811"/>
            <w:vAlign w:val="top"/>
            <w:tcMar>
              <w:top w:w="70" w:type="dxa"/>
              <w:start w:w="90" w:type="dxa"/>
              <w:bottom w:w="70" w:type="dxa"/>
              <w:end w:w="90" w:type="dxa"/>
            </w:tcMar>
          </w:tcPr>
          <w:p>
            <w:pPr>
              <w:spacing w:after="0" w:line="240" w:lineRule="auto"/>
            </w:pPr>
            <w:r>
              <w:rPr/>
            </w:r>
            <w:r>
              <w:rPr>
                <w:sz w:val="17"/>
              </w:rPr>
              <w:t>Security Reviewer + QA Analyst</w:t>
            </w:r>
          </w:p>
        </w:tc>
        <w:tc>
          <w:tcPr>
            <w:tcW w:type="dxa" w:w="2141"/>
            <w:vAlign w:val="top"/>
            <w:tcMar>
              <w:top w:w="70" w:type="dxa"/>
              <w:start w:w="90" w:type="dxa"/>
              <w:bottom w:w="70" w:type="dxa"/>
              <w:end w:w="90" w:type="dxa"/>
            </w:tcMar>
          </w:tcPr>
          <w:p>
            <w:pPr>
              <w:spacing w:after="0" w:line="240" w:lineRule="auto"/>
            </w:pPr>
            <w:r>
              <w:rPr/>
            </w:r>
            <w:r>
              <w:rPr>
                <w:sz w:val="17"/>
              </w:rPr>
              <w:t>Assignment/audit/policy evidence</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TP-08</w:t>
            </w:r>
            <w:r>
              <w:rPr>
                <w:sz w:val="17"/>
              </w:rPr>
              <w:t xml:space="preserve"> Scoring/report</w:t>
            </w:r>
          </w:p>
        </w:tc>
        <w:tc>
          <w:tcPr>
            <w:tcW w:type="dxa" w:w="1811"/>
            <w:vAlign w:val="top"/>
            <w:tcMar>
              <w:top w:w="70" w:type="dxa"/>
              <w:start w:w="90" w:type="dxa"/>
              <w:bottom w:w="70" w:type="dxa"/>
              <w:end w:w="90" w:type="dxa"/>
            </w:tcMar>
          </w:tcPr>
          <w:p>
            <w:pPr>
              <w:spacing w:after="0" w:line="240" w:lineRule="auto"/>
            </w:pPr>
            <w:r>
              <w:rPr/>
            </w:r>
            <w:r>
              <w:rPr>
                <w:sz w:val="17"/>
              </w:rPr>
              <w:t>Examiner queue, source states, Host review, readiness, publication</w:t>
            </w:r>
          </w:p>
        </w:tc>
        <w:tc>
          <w:tcPr>
            <w:tcW w:type="dxa" w:w="1977"/>
            <w:vAlign w:val="top"/>
            <w:tcMar>
              <w:top w:w="70" w:type="dxa"/>
              <w:start w:w="90" w:type="dxa"/>
              <w:bottom w:w="70" w:type="dxa"/>
              <w:end w:w="90" w:type="dxa"/>
            </w:tcMar>
          </w:tcPr>
          <w:p>
            <w:pPr>
              <w:spacing w:after="0" w:line="240" w:lineRule="auto"/>
            </w:pPr>
            <w:r>
              <w:rPr/>
            </w:r>
            <w:r>
              <w:rPr>
                <w:sz w:val="17"/>
              </w:rPr>
              <w:t>Scoring/reporting design</w:t>
            </w:r>
          </w:p>
        </w:tc>
        <w:tc>
          <w:tcPr>
            <w:tcW w:type="dxa" w:w="1811"/>
            <w:vAlign w:val="top"/>
            <w:tcMar>
              <w:top w:w="70" w:type="dxa"/>
              <w:start w:w="90" w:type="dxa"/>
              <w:bottom w:w="70" w:type="dxa"/>
              <w:end w:w="90" w:type="dxa"/>
            </w:tcMar>
          </w:tcPr>
          <w:p>
            <w:pPr>
              <w:spacing w:after="0" w:line="240" w:lineRule="auto"/>
            </w:pPr>
            <w:r>
              <w:rPr/>
            </w:r>
            <w:r>
              <w:rPr>
                <w:sz w:val="17"/>
              </w:rPr>
              <w:t>QA Analyst + Business Reviewer</w:t>
            </w:r>
          </w:p>
        </w:tc>
        <w:tc>
          <w:tcPr>
            <w:tcW w:type="dxa" w:w="2141"/>
            <w:vAlign w:val="top"/>
            <w:tcMar>
              <w:top w:w="70" w:type="dxa"/>
              <w:start w:w="90" w:type="dxa"/>
              <w:bottom w:w="70" w:type="dxa"/>
              <w:end w:w="90" w:type="dxa"/>
            </w:tcMar>
          </w:tcPr>
          <w:p>
            <w:pPr>
              <w:spacing w:after="0" w:line="240" w:lineRule="auto"/>
            </w:pPr>
            <w:r>
              <w:rPr/>
            </w:r>
            <w:r>
              <w:rPr>
                <w:sz w:val="17"/>
              </w:rPr>
              <w:t>Score-source/publication evidence</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TP-09</w:t>
            </w:r>
            <w:r>
              <w:rPr>
                <w:sz w:val="17"/>
              </w:rPr>
              <w:t xml:space="preserve"> External services</w:t>
            </w:r>
          </w:p>
        </w:tc>
        <w:tc>
          <w:tcPr>
            <w:tcW w:type="dxa" w:w="1811"/>
            <w:vAlign w:val="top"/>
            <w:tcMar>
              <w:top w:w="70" w:type="dxa"/>
              <w:start w:w="90" w:type="dxa"/>
              <w:bottom w:w="70" w:type="dxa"/>
              <w:end w:w="90" w:type="dxa"/>
            </w:tcMar>
          </w:tcPr>
          <w:p>
            <w:pPr>
              <w:spacing w:after="0" w:line="240" w:lineRule="auto"/>
            </w:pPr>
            <w:r>
              <w:rPr/>
            </w:r>
            <w:r>
              <w:rPr>
                <w:sz w:val="17"/>
              </w:rPr>
              <w:t>Payment/media/AI/notification failure/retry/idempotency</w:t>
            </w:r>
          </w:p>
        </w:tc>
        <w:tc>
          <w:tcPr>
            <w:tcW w:type="dxa" w:w="1977"/>
            <w:vAlign w:val="top"/>
            <w:tcMar>
              <w:top w:w="70" w:type="dxa"/>
              <w:start w:w="90" w:type="dxa"/>
              <w:bottom w:w="70" w:type="dxa"/>
              <w:end w:w="90" w:type="dxa"/>
            </w:tcMar>
          </w:tcPr>
          <w:p>
            <w:pPr>
              <w:spacing w:after="0" w:line="240" w:lineRule="auto"/>
            </w:pPr>
            <w:r>
              <w:rPr/>
            </w:r>
            <w:r>
              <w:rPr>
                <w:sz w:val="17"/>
              </w:rPr>
              <w:t>Provider boundary/simulators</w:t>
            </w:r>
          </w:p>
        </w:tc>
        <w:tc>
          <w:tcPr>
            <w:tcW w:type="dxa" w:w="1811"/>
            <w:vAlign w:val="top"/>
            <w:tcMar>
              <w:top w:w="70" w:type="dxa"/>
              <w:start w:w="90" w:type="dxa"/>
              <w:bottom w:w="70" w:type="dxa"/>
              <w:end w:w="90" w:type="dxa"/>
            </w:tcMar>
          </w:tcPr>
          <w:p>
            <w:pPr>
              <w:spacing w:after="0" w:line="240" w:lineRule="auto"/>
            </w:pPr>
            <w:r>
              <w:rPr/>
            </w:r>
            <w:r>
              <w:rPr>
                <w:sz w:val="17"/>
              </w:rPr>
              <w:t>Integration test owner</w:t>
            </w:r>
          </w:p>
        </w:tc>
        <w:tc>
          <w:tcPr>
            <w:tcW w:type="dxa" w:w="2141"/>
            <w:vAlign w:val="top"/>
            <w:tcMar>
              <w:top w:w="70" w:type="dxa"/>
              <w:start w:w="90" w:type="dxa"/>
              <w:bottom w:w="70" w:type="dxa"/>
              <w:end w:w="90" w:type="dxa"/>
            </w:tcMar>
          </w:tcPr>
          <w:p>
            <w:pPr>
              <w:spacing w:after="0" w:line="240" w:lineRule="auto"/>
            </w:pPr>
            <w:r>
              <w:rPr/>
            </w:r>
            <w:r>
              <w:rPr>
                <w:sz w:val="17"/>
              </w:rPr>
              <w:t>Correlation/retry evidence</w:t>
            </w:r>
          </w:p>
        </w:tc>
      </w:tr>
      <w:tr>
        <w:trPr>
          <w:cantSplit/>
        </w:trPr>
        <w:tc>
          <w:tcPr>
            <w:tcW w:type="dxa" w:w="1977"/>
            <w:vAlign w:val="top"/>
            <w:tcMar>
              <w:top w:w="70" w:type="dxa"/>
              <w:start w:w="90" w:type="dxa"/>
              <w:bottom w:w="70" w:type="dxa"/>
              <w:end w:w="90" w:type="dxa"/>
            </w:tcMar>
          </w:tcPr>
          <w:p>
            <w:pPr>
              <w:spacing w:after="0" w:line="240" w:lineRule="auto"/>
            </w:pPr>
            <w:r>
              <w:rPr/>
            </w:r>
            <w:r>
              <w:rPr>
                <w:rFonts w:ascii="Consolas" w:hAnsi="Consolas"/>
                <w:b w:val="0"/>
                <w:i w:val="0"/>
                <w:sz w:val="17"/>
              </w:rPr>
              <w:t>TP-10</w:t>
            </w:r>
            <w:r>
              <w:rPr>
                <w:sz w:val="17"/>
              </w:rPr>
              <w:t xml:space="preserve"> Quality targets</w:t>
            </w:r>
          </w:p>
        </w:tc>
        <w:tc>
          <w:tcPr>
            <w:tcW w:type="dxa" w:w="1811"/>
            <w:vAlign w:val="top"/>
            <w:tcMar>
              <w:top w:w="70" w:type="dxa"/>
              <w:start w:w="90" w:type="dxa"/>
              <w:bottom w:w="70" w:type="dxa"/>
              <w:end w:w="90" w:type="dxa"/>
            </w:tcMar>
          </w:tcPr>
          <w:p>
            <w:pPr>
              <w:spacing w:after="0" w:line="240" w:lineRule="auto"/>
            </w:pPr>
            <w:r>
              <w:rPr/>
            </w:r>
            <w:r>
              <w:rPr>
                <w:sz w:val="17"/>
              </w:rPr>
              <w:t>Performance, availability/recovery, accessibility, compatibility</w:t>
            </w:r>
          </w:p>
        </w:tc>
        <w:tc>
          <w:tcPr>
            <w:tcW w:type="dxa" w:w="1977"/>
            <w:vAlign w:val="top"/>
            <w:tcMar>
              <w:top w:w="70" w:type="dxa"/>
              <w:start w:w="90" w:type="dxa"/>
              <w:bottom w:w="70" w:type="dxa"/>
              <w:end w:w="90" w:type="dxa"/>
            </w:tcMar>
          </w:tcPr>
          <w:p>
            <w:pPr>
              <w:spacing w:after="0" w:line="240" w:lineRule="auto"/>
            </w:pPr>
            <w:r>
              <w:rPr/>
            </w:r>
            <w:r>
              <w:rPr>
                <w:sz w:val="17"/>
              </w:rPr>
              <w:t>Stable environment and workload</w:t>
            </w:r>
          </w:p>
        </w:tc>
        <w:tc>
          <w:tcPr>
            <w:tcW w:type="dxa" w:w="1811"/>
            <w:vAlign w:val="top"/>
            <w:tcMar>
              <w:top w:w="70" w:type="dxa"/>
              <w:start w:w="90" w:type="dxa"/>
              <w:bottom w:w="70" w:type="dxa"/>
              <w:end w:w="90" w:type="dxa"/>
            </w:tcMar>
          </w:tcPr>
          <w:p>
            <w:pPr>
              <w:spacing w:after="0" w:line="240" w:lineRule="auto"/>
            </w:pPr>
            <w:r>
              <w:rPr/>
            </w:r>
            <w:r>
              <w:rPr>
                <w:sz w:val="17"/>
              </w:rPr>
              <w:t>Performance Analyst/Security Reviewer</w:t>
            </w:r>
          </w:p>
        </w:tc>
        <w:tc>
          <w:tcPr>
            <w:tcW w:type="dxa" w:w="2141"/>
            <w:vAlign w:val="top"/>
            <w:tcMar>
              <w:top w:w="70" w:type="dxa"/>
              <w:start w:w="90" w:type="dxa"/>
              <w:bottom w:w="70" w:type="dxa"/>
              <w:end w:w="90" w:type="dxa"/>
            </w:tcMar>
          </w:tcPr>
          <w:p>
            <w:pPr>
              <w:spacing w:after="0" w:line="240" w:lineRule="auto"/>
            </w:pPr>
            <w:r>
              <w:rPr/>
            </w:r>
            <w:r>
              <w:rPr>
                <w:sz w:val="17"/>
              </w:rPr>
              <w:t>Dated measured results</w:t>
            </w:r>
          </w:p>
        </w:tc>
      </w:tr>
    </w:tbl>
    <w:p>
      <w:pPr>
        <w:spacing w:after="20"/>
      </w:pPr>
    </w:p>
    <w:p>
      <w:pPr>
        <w:pStyle w:val="Heading3"/>
        <w:keepNext/>
        <w:pageBreakBefore w:val="0"/>
      </w:pPr>
      <w:r>
        <w:t>3.2 Execution order</w:t>
      </w:r>
    </w:p>
    <w:p>
      <w:pPr>
        <w:pStyle w:val="ListParagraph"/>
        <w:numPr>
          <w:ilvl w:val="0"/>
          <w:numId w:val="18"/>
        </w:numPr>
        <w:spacing w:after="40"/>
      </w:pPr>
      <w:r>
        <w:rPr>
          <w:sz w:val="18"/>
        </w:rPr>
        <w:t>Run structural/encoding/secret checks before functional execution.</w:t>
      </w:r>
    </w:p>
    <w:p>
      <w:pPr>
        <w:pStyle w:val="ListParagraph"/>
        <w:numPr>
          <w:ilvl w:val="0"/>
          <w:numId w:val="18"/>
        </w:numPr>
        <w:spacing w:after="40"/>
      </w:pPr>
      <w:r>
        <w:rPr>
          <w:sz w:val="18"/>
        </w:rPr>
        <w:t>Establish two organization fixtures and role/assignment fixtures.</w:t>
      </w:r>
    </w:p>
    <w:p>
      <w:pPr>
        <w:pStyle w:val="ListParagraph"/>
        <w:numPr>
          <w:ilvl w:val="0"/>
          <w:numId w:val="18"/>
        </w:numPr>
        <w:spacing w:after="40"/>
      </w:pPr>
      <w:r>
        <w:rPr>
          <w:sz w:val="18"/>
        </w:rPr>
        <w:t>Verify onboarding and access before creating tenant-owned test data.</w:t>
      </w:r>
    </w:p>
    <w:p>
      <w:pPr>
        <w:pStyle w:val="ListParagraph"/>
        <w:numPr>
          <w:ilvl w:val="0"/>
          <w:numId w:val="18"/>
        </w:numPr>
        <w:spacing w:after="40"/>
      </w:pPr>
      <w:r>
        <w:rPr>
          <w:sz w:val="18"/>
        </w:rPr>
        <w:t>Verify content/template readiness before exam generation.</w:t>
      </w:r>
    </w:p>
    <w:p>
      <w:pPr>
        <w:pStyle w:val="ListParagraph"/>
        <w:numPr>
          <w:ilvl w:val="0"/>
          <w:numId w:val="18"/>
        </w:numPr>
        <w:spacing w:after="40"/>
      </w:pPr>
      <w:r>
        <w:rPr>
          <w:sz w:val="18"/>
        </w:rPr>
        <w:t>Verify package/roster validation before schedule/generation tests.</w:t>
      </w:r>
    </w:p>
    <w:p>
      <w:pPr>
        <w:pStyle w:val="ListParagraph"/>
        <w:numPr>
          <w:ilvl w:val="0"/>
          <w:numId w:val="18"/>
        </w:numPr>
        <w:spacing w:after="40"/>
      </w:pPr>
      <w:r>
        <w:rPr>
          <w:sz w:val="18"/>
        </w:rPr>
        <w:t>Verify fixed-version generation before delivery/proctor/scoring tests.</w:t>
      </w:r>
    </w:p>
    <w:p>
      <w:pPr>
        <w:pStyle w:val="ListParagraph"/>
        <w:numPr>
          <w:ilvl w:val="0"/>
          <w:numId w:val="18"/>
        </w:numPr>
        <w:spacing w:after="40"/>
      </w:pPr>
      <w:r>
        <w:rPr>
          <w:sz w:val="18"/>
        </w:rPr>
        <w:t>Run delivery/retry cases before publication cases, because reports depend on submitted attempts.</w:t>
      </w:r>
    </w:p>
    <w:p>
      <w:pPr>
        <w:pStyle w:val="ListParagraph"/>
        <w:numPr>
          <w:ilvl w:val="0"/>
          <w:numId w:val="18"/>
        </w:numPr>
        <w:spacing w:after="40"/>
      </w:pPr>
      <w:r>
        <w:rPr>
          <w:sz w:val="18"/>
        </w:rPr>
        <w:t>Run scoring/publication and notification failure cases.</w:t>
      </w:r>
    </w:p>
    <w:p>
      <w:pPr>
        <w:pStyle w:val="ListParagraph"/>
        <w:numPr>
          <w:ilvl w:val="0"/>
          <w:numId w:val="18"/>
        </w:numPr>
        <w:spacing w:after="40"/>
      </w:pPr>
      <w:r>
        <w:rPr>
          <w:sz w:val="18"/>
        </w:rPr>
        <w:t>Run cross-flow, performance, recovery, accessibility, and compatibility checks after the baseline is stable.</w:t>
      </w:r>
    </w:p>
    <w:p>
      <w:pPr>
        <w:pStyle w:val="Heading3"/>
        <w:keepNext/>
        <w:pageBreakBefore w:val="0"/>
      </w:pPr>
      <w:r>
        <w:t>3.3 Environment matrix</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2268"/>
            <w:vAlign w:val="top"/>
            <w:tcMar>
              <w:top w:w="70" w:type="dxa"/>
              <w:start w:w="90" w:type="dxa"/>
              <w:bottom w:w="70" w:type="dxa"/>
              <w:end w:w="90" w:type="dxa"/>
            </w:tcMar>
            <w:shd w:val="clear" w:color="auto" w:fill="FFE8E1"/>
          </w:tcPr>
          <w:p>
            <w:pPr>
              <w:spacing w:after="0" w:line="240" w:lineRule="auto"/>
            </w:pPr>
            <w:r>
              <w:rPr>
                <w:b/>
              </w:rPr>
            </w:r>
            <w:r>
              <w:rPr>
                <w:b/>
                <w:sz w:val="17"/>
              </w:rPr>
              <w:t>Environment ID</w:t>
            </w:r>
          </w:p>
        </w:tc>
        <w:tc>
          <w:tcPr>
            <w:tcW w:type="dxa" w:w="1781"/>
            <w:vAlign w:val="top"/>
            <w:tcMar>
              <w:top w:w="70" w:type="dxa"/>
              <w:start w:w="90" w:type="dxa"/>
              <w:bottom w:w="70" w:type="dxa"/>
              <w:end w:w="90" w:type="dxa"/>
            </w:tcMar>
            <w:shd w:val="clear" w:color="auto" w:fill="FFE8E1"/>
          </w:tcPr>
          <w:p>
            <w:pPr>
              <w:spacing w:after="0" w:line="240" w:lineRule="auto"/>
            </w:pPr>
            <w:r>
              <w:rPr>
                <w:b/>
              </w:rPr>
            </w:r>
            <w:r>
              <w:rPr>
                <w:b/>
                <w:sz w:val="17"/>
              </w:rPr>
              <w:t>Purpose</w:t>
            </w:r>
          </w:p>
        </w:tc>
        <w:tc>
          <w:tcPr>
            <w:tcW w:type="dxa" w:w="2592"/>
            <w:vAlign w:val="top"/>
            <w:tcMar>
              <w:top w:w="70" w:type="dxa"/>
              <w:start w:w="90" w:type="dxa"/>
              <w:bottom w:w="70" w:type="dxa"/>
              <w:end w:w="90" w:type="dxa"/>
            </w:tcMar>
            <w:shd w:val="clear" w:color="auto" w:fill="FFE8E1"/>
          </w:tcPr>
          <w:p>
            <w:pPr>
              <w:spacing w:after="0" w:line="240" w:lineRule="auto"/>
            </w:pPr>
            <w:r>
              <w:rPr>
                <w:b/>
              </w:rPr>
            </w:r>
            <w:r>
              <w:rPr>
                <w:b/>
                <w:sz w:val="17"/>
              </w:rPr>
              <w:t>Required records</w:t>
            </w:r>
          </w:p>
        </w:tc>
        <w:tc>
          <w:tcPr>
            <w:tcW w:type="dxa" w:w="3077"/>
            <w:vAlign w:val="top"/>
            <w:tcMar>
              <w:top w:w="70" w:type="dxa"/>
              <w:start w:w="90" w:type="dxa"/>
              <w:bottom w:w="70" w:type="dxa"/>
              <w:end w:w="90" w:type="dxa"/>
            </w:tcMar>
            <w:shd w:val="clear" w:color="auto" w:fill="FFE8E1"/>
          </w:tcPr>
          <w:p>
            <w:pPr>
              <w:spacing w:after="0" w:line="240" w:lineRule="auto"/>
            </w:pPr>
            <w:r>
              <w:rPr>
                <w:b/>
              </w:rPr>
            </w:r>
            <w:r>
              <w:rPr>
                <w:b/>
                <w:sz w:val="17"/>
              </w:rPr>
              <w:t>Sensitive-data rule</w:t>
            </w:r>
          </w:p>
        </w:tc>
      </w:tr>
      <w:tr>
        <w:trPr>
          <w:cantSplit/>
        </w:trPr>
        <w:tc>
          <w:tcPr>
            <w:tcW w:type="dxa" w:w="2268"/>
            <w:vAlign w:val="top"/>
            <w:tcMar>
              <w:top w:w="70" w:type="dxa"/>
              <w:start w:w="90" w:type="dxa"/>
              <w:bottom w:w="70" w:type="dxa"/>
              <w:end w:w="90" w:type="dxa"/>
            </w:tcMar>
          </w:tcPr>
          <w:p>
            <w:pPr>
              <w:spacing w:after="0" w:line="240" w:lineRule="auto"/>
            </w:pPr>
            <w:r>
              <w:rPr/>
            </w:r>
            <w:r>
              <w:rPr>
                <w:rFonts w:ascii="Consolas" w:hAnsi="Consolas"/>
                <w:b w:val="0"/>
                <w:i w:val="0"/>
                <w:sz w:val="17"/>
              </w:rPr>
              <w:t>ENV-DOCS</w:t>
            </w:r>
          </w:p>
        </w:tc>
        <w:tc>
          <w:tcPr>
            <w:tcW w:type="dxa" w:w="1781"/>
            <w:vAlign w:val="top"/>
            <w:tcMar>
              <w:top w:w="70" w:type="dxa"/>
              <w:start w:w="90" w:type="dxa"/>
              <w:bottom w:w="70" w:type="dxa"/>
              <w:end w:w="90" w:type="dxa"/>
            </w:tcMar>
          </w:tcPr>
          <w:p>
            <w:pPr>
              <w:spacing w:after="0" w:line="240" w:lineRule="auto"/>
            </w:pPr>
            <w:r>
              <w:rPr/>
            </w:r>
            <w:r>
              <w:rPr>
                <w:sz w:val="17"/>
              </w:rPr>
              <w:t>Structural documentation tests</w:t>
            </w:r>
          </w:p>
        </w:tc>
        <w:tc>
          <w:tcPr>
            <w:tcW w:type="dxa" w:w="2592"/>
            <w:vAlign w:val="top"/>
            <w:tcMar>
              <w:top w:w="70" w:type="dxa"/>
              <w:start w:w="90" w:type="dxa"/>
              <w:bottom w:w="70" w:type="dxa"/>
              <w:end w:w="90" w:type="dxa"/>
            </w:tcMar>
          </w:tcPr>
          <w:p>
            <w:pPr>
              <w:spacing w:after="0" w:line="240" w:lineRule="auto"/>
            </w:pPr>
            <w:r>
              <w:rPr/>
            </w:r>
            <w:r>
              <w:rPr>
                <w:sz w:val="17"/>
              </w:rPr>
              <w:t>Repository commit/worktree identifier, Python version</w:t>
            </w:r>
          </w:p>
        </w:tc>
        <w:tc>
          <w:tcPr>
            <w:tcW w:type="dxa" w:w="3077"/>
            <w:vAlign w:val="top"/>
            <w:tcMar>
              <w:top w:w="70" w:type="dxa"/>
              <w:start w:w="90" w:type="dxa"/>
              <w:bottom w:w="70" w:type="dxa"/>
              <w:end w:w="90" w:type="dxa"/>
            </w:tcMar>
          </w:tcPr>
          <w:p>
            <w:pPr>
              <w:spacing w:after="0" w:line="240" w:lineRule="auto"/>
            </w:pPr>
            <w:r>
              <w:rPr/>
            </w:r>
            <w:r>
              <w:rPr>
                <w:sz w:val="17"/>
              </w:rPr>
              <w:t>No product data.</w:t>
            </w:r>
          </w:p>
        </w:tc>
      </w:tr>
      <w:tr>
        <w:trPr>
          <w:cantSplit/>
        </w:trPr>
        <w:tc>
          <w:tcPr>
            <w:tcW w:type="dxa" w:w="2268"/>
            <w:vAlign w:val="top"/>
            <w:tcMar>
              <w:top w:w="70" w:type="dxa"/>
              <w:start w:w="90" w:type="dxa"/>
              <w:bottom w:w="70" w:type="dxa"/>
              <w:end w:w="90" w:type="dxa"/>
            </w:tcMar>
          </w:tcPr>
          <w:p>
            <w:pPr>
              <w:spacing w:after="0" w:line="240" w:lineRule="auto"/>
            </w:pPr>
            <w:r>
              <w:rPr/>
            </w:r>
            <w:r>
              <w:rPr>
                <w:rFonts w:ascii="Consolas" w:hAnsi="Consolas"/>
                <w:b w:val="0"/>
                <w:i w:val="0"/>
                <w:sz w:val="17"/>
              </w:rPr>
              <w:t>ENV-LOCAL</w:t>
            </w:r>
          </w:p>
        </w:tc>
        <w:tc>
          <w:tcPr>
            <w:tcW w:type="dxa" w:w="1781"/>
            <w:vAlign w:val="top"/>
            <w:tcMar>
              <w:top w:w="70" w:type="dxa"/>
              <w:start w:w="90" w:type="dxa"/>
              <w:bottom w:w="70" w:type="dxa"/>
              <w:end w:w="90" w:type="dxa"/>
            </w:tcMar>
          </w:tcPr>
          <w:p>
            <w:pPr>
              <w:spacing w:after="0" w:line="240" w:lineRule="auto"/>
            </w:pPr>
            <w:r>
              <w:rPr/>
            </w:r>
            <w:r>
              <w:rPr>
                <w:sz w:val="17"/>
              </w:rPr>
              <w:t>Developer API/UI/client checks</w:t>
            </w:r>
          </w:p>
        </w:tc>
        <w:tc>
          <w:tcPr>
            <w:tcW w:type="dxa" w:w="2592"/>
            <w:vAlign w:val="top"/>
            <w:tcMar>
              <w:top w:w="70" w:type="dxa"/>
              <w:start w:w="90" w:type="dxa"/>
              <w:bottom w:w="70" w:type="dxa"/>
              <w:end w:w="90" w:type="dxa"/>
            </w:tcMar>
          </w:tcPr>
          <w:p>
            <w:pPr>
              <w:spacing w:after="0" w:line="240" w:lineRule="auto"/>
            </w:pPr>
            <w:r>
              <w:rPr/>
            </w:r>
            <w:r>
              <w:rPr>
                <w:sz w:val="17"/>
              </w:rPr>
              <w:t>Compose profile, build identifier, configuration checklist</w:t>
            </w:r>
          </w:p>
        </w:tc>
        <w:tc>
          <w:tcPr>
            <w:tcW w:type="dxa" w:w="3077"/>
            <w:vAlign w:val="top"/>
            <w:tcMar>
              <w:top w:w="70" w:type="dxa"/>
              <w:start w:w="90" w:type="dxa"/>
              <w:bottom w:w="70" w:type="dxa"/>
              <w:end w:w="90" w:type="dxa"/>
            </w:tcMar>
          </w:tcPr>
          <w:p>
            <w:pPr>
              <w:spacing w:after="0" w:line="240" w:lineRule="auto"/>
            </w:pPr>
            <w:r>
              <w:rPr/>
            </w:r>
            <w:r>
              <w:rPr>
                <w:sz w:val="17"/>
              </w:rPr>
              <w:t>Local synthetic data only.</w:t>
            </w:r>
          </w:p>
        </w:tc>
      </w:tr>
      <w:tr>
        <w:trPr>
          <w:cantSplit/>
        </w:trPr>
        <w:tc>
          <w:tcPr>
            <w:tcW w:type="dxa" w:w="2268"/>
            <w:vAlign w:val="top"/>
            <w:tcMar>
              <w:top w:w="70" w:type="dxa"/>
              <w:start w:w="90" w:type="dxa"/>
              <w:bottom w:w="70" w:type="dxa"/>
              <w:end w:w="90" w:type="dxa"/>
            </w:tcMar>
          </w:tcPr>
          <w:p>
            <w:pPr>
              <w:spacing w:after="0" w:line="240" w:lineRule="auto"/>
            </w:pPr>
            <w:r>
              <w:rPr/>
            </w:r>
            <w:r>
              <w:rPr>
                <w:rFonts w:ascii="Consolas" w:hAnsi="Consolas"/>
                <w:b w:val="0"/>
                <w:i w:val="0"/>
                <w:sz w:val="17"/>
              </w:rPr>
              <w:t>ENV-STAGE</w:t>
            </w:r>
          </w:p>
        </w:tc>
        <w:tc>
          <w:tcPr>
            <w:tcW w:type="dxa" w:w="1781"/>
            <w:vAlign w:val="top"/>
            <w:tcMar>
              <w:top w:w="70" w:type="dxa"/>
              <w:start w:w="90" w:type="dxa"/>
              <w:bottom w:w="70" w:type="dxa"/>
              <w:end w:w="90" w:type="dxa"/>
            </w:tcMar>
          </w:tcPr>
          <w:p>
            <w:pPr>
              <w:spacing w:after="0" w:line="240" w:lineRule="auto"/>
            </w:pPr>
            <w:r>
              <w:rPr/>
            </w:r>
            <w:r>
              <w:rPr>
                <w:sz w:val="17"/>
              </w:rPr>
              <w:t>Integrated UAT and provider simulation</w:t>
            </w:r>
          </w:p>
        </w:tc>
        <w:tc>
          <w:tcPr>
            <w:tcW w:type="dxa" w:w="2592"/>
            <w:vAlign w:val="top"/>
            <w:tcMar>
              <w:top w:w="70" w:type="dxa"/>
              <w:start w:w="90" w:type="dxa"/>
              <w:bottom w:w="70" w:type="dxa"/>
              <w:end w:w="90" w:type="dxa"/>
            </w:tcMar>
          </w:tcPr>
          <w:p>
            <w:pPr>
              <w:spacing w:after="0" w:line="240" w:lineRule="auto"/>
            </w:pPr>
            <w:r>
              <w:rPr/>
            </w:r>
            <w:r>
              <w:rPr>
                <w:sz w:val="17"/>
              </w:rPr>
              <w:t>Deployment ID, web/client builds, provider mode</w:t>
            </w:r>
          </w:p>
        </w:tc>
        <w:tc>
          <w:tcPr>
            <w:tcW w:type="dxa" w:w="3077"/>
            <w:vAlign w:val="top"/>
            <w:tcMar>
              <w:top w:w="70" w:type="dxa"/>
              <w:start w:w="90" w:type="dxa"/>
              <w:bottom w:w="70" w:type="dxa"/>
              <w:end w:w="90" w:type="dxa"/>
            </w:tcMar>
          </w:tcPr>
          <w:p>
            <w:pPr>
              <w:spacing w:after="0" w:line="240" w:lineRule="auto"/>
            </w:pPr>
            <w:r>
              <w:rPr/>
            </w:r>
            <w:r>
              <w:rPr>
                <w:sz w:val="17"/>
              </w:rPr>
              <w:t>Masked synthetic organization/Student data.</w:t>
            </w:r>
          </w:p>
        </w:tc>
      </w:tr>
      <w:tr>
        <w:trPr>
          <w:cantSplit/>
        </w:trPr>
        <w:tc>
          <w:tcPr>
            <w:tcW w:type="dxa" w:w="2268"/>
            <w:vAlign w:val="top"/>
            <w:tcMar>
              <w:top w:w="70" w:type="dxa"/>
              <w:start w:w="90" w:type="dxa"/>
              <w:bottom w:w="70" w:type="dxa"/>
              <w:end w:w="90" w:type="dxa"/>
            </w:tcMar>
          </w:tcPr>
          <w:p>
            <w:pPr>
              <w:spacing w:after="0" w:line="240" w:lineRule="auto"/>
            </w:pPr>
            <w:r>
              <w:rPr/>
            </w:r>
            <w:r>
              <w:rPr>
                <w:rFonts w:ascii="Consolas" w:hAnsi="Consolas"/>
                <w:b w:val="0"/>
                <w:i w:val="0"/>
                <w:sz w:val="17"/>
              </w:rPr>
              <w:t>ENV-PERF</w:t>
            </w:r>
          </w:p>
        </w:tc>
        <w:tc>
          <w:tcPr>
            <w:tcW w:type="dxa" w:w="1781"/>
            <w:vAlign w:val="top"/>
            <w:tcMar>
              <w:top w:w="70" w:type="dxa"/>
              <w:start w:w="90" w:type="dxa"/>
              <w:bottom w:w="70" w:type="dxa"/>
              <w:end w:w="90" w:type="dxa"/>
            </w:tcMar>
          </w:tcPr>
          <w:p>
            <w:pPr>
              <w:spacing w:after="0" w:line="240" w:lineRule="auto"/>
            </w:pPr>
            <w:r>
              <w:rPr/>
            </w:r>
            <w:r>
              <w:rPr>
                <w:sz w:val="17"/>
              </w:rPr>
              <w:t>NFR load/capacity/recovery</w:t>
            </w:r>
          </w:p>
        </w:tc>
        <w:tc>
          <w:tcPr>
            <w:tcW w:type="dxa" w:w="2592"/>
            <w:vAlign w:val="top"/>
            <w:tcMar>
              <w:top w:w="70" w:type="dxa"/>
              <w:start w:w="90" w:type="dxa"/>
              <w:bottom w:w="70" w:type="dxa"/>
              <w:end w:w="90" w:type="dxa"/>
            </w:tcMar>
          </w:tcPr>
          <w:p>
            <w:pPr>
              <w:spacing w:after="0" w:line="240" w:lineRule="auto"/>
            </w:pPr>
            <w:r>
              <w:rPr/>
            </w:r>
            <w:r>
              <w:rPr>
                <w:sz w:val="17"/>
              </w:rPr>
              <w:t>Workload profile, resource limits, monitoring</w:t>
            </w:r>
          </w:p>
        </w:tc>
        <w:tc>
          <w:tcPr>
            <w:tcW w:type="dxa" w:w="3077"/>
            <w:vAlign w:val="top"/>
            <w:tcMar>
              <w:top w:w="70" w:type="dxa"/>
              <w:start w:w="90" w:type="dxa"/>
              <w:bottom w:w="70" w:type="dxa"/>
              <w:end w:w="90" w:type="dxa"/>
            </w:tcMar>
          </w:tcPr>
          <w:p>
            <w:pPr>
              <w:spacing w:after="0" w:line="240" w:lineRule="auto"/>
            </w:pPr>
            <w:r>
              <w:rPr/>
            </w:r>
            <w:r>
              <w:rPr>
                <w:sz w:val="17"/>
              </w:rPr>
              <w:t>Synthetic data; no real credentials in tools.</w:t>
            </w:r>
          </w:p>
        </w:tc>
      </w:tr>
      <w:tr>
        <w:trPr>
          <w:cantSplit/>
        </w:trPr>
        <w:tc>
          <w:tcPr>
            <w:tcW w:type="dxa" w:w="2268"/>
            <w:vAlign w:val="top"/>
            <w:tcMar>
              <w:top w:w="70" w:type="dxa"/>
              <w:start w:w="90" w:type="dxa"/>
              <w:bottom w:w="70" w:type="dxa"/>
              <w:end w:w="90" w:type="dxa"/>
            </w:tcMar>
          </w:tcPr>
          <w:p>
            <w:pPr>
              <w:spacing w:after="0" w:line="240" w:lineRule="auto"/>
            </w:pPr>
            <w:r>
              <w:rPr/>
            </w:r>
            <w:r>
              <w:rPr>
                <w:rFonts w:ascii="Consolas" w:hAnsi="Consolas"/>
                <w:b w:val="0"/>
                <w:i w:val="0"/>
                <w:sz w:val="17"/>
              </w:rPr>
              <w:t>ENV-PROD-DRILL</w:t>
            </w:r>
          </w:p>
        </w:tc>
        <w:tc>
          <w:tcPr>
            <w:tcW w:type="dxa" w:w="1781"/>
            <w:vAlign w:val="top"/>
            <w:tcMar>
              <w:top w:w="70" w:type="dxa"/>
              <w:start w:w="90" w:type="dxa"/>
              <w:bottom w:w="70" w:type="dxa"/>
              <w:end w:w="90" w:type="dxa"/>
            </w:tcMar>
          </w:tcPr>
          <w:p>
            <w:pPr>
              <w:spacing w:after="0" w:line="240" w:lineRule="auto"/>
            </w:pPr>
            <w:r>
              <w:rPr/>
            </w:r>
            <w:r>
              <w:rPr>
                <w:sz w:val="17"/>
              </w:rPr>
              <w:t>Approved operations drill only</w:t>
            </w:r>
          </w:p>
        </w:tc>
        <w:tc>
          <w:tcPr>
            <w:tcW w:type="dxa" w:w="2592"/>
            <w:vAlign w:val="top"/>
            <w:tcMar>
              <w:top w:w="70" w:type="dxa"/>
              <w:start w:w="90" w:type="dxa"/>
              <w:bottom w:w="70" w:type="dxa"/>
              <w:end w:w="90" w:type="dxa"/>
            </w:tcMar>
          </w:tcPr>
          <w:p>
            <w:pPr>
              <w:spacing w:after="0" w:line="240" w:lineRule="auto"/>
            </w:pPr>
            <w:r>
              <w:rPr/>
            </w:r>
            <w:r>
              <w:rPr>
                <w:sz w:val="17"/>
              </w:rPr>
              <w:t>Incident/change approval and backup evidence</w:t>
            </w:r>
          </w:p>
        </w:tc>
        <w:tc>
          <w:tcPr>
            <w:tcW w:type="dxa" w:w="3077"/>
            <w:vAlign w:val="top"/>
            <w:tcMar>
              <w:top w:w="70" w:type="dxa"/>
              <w:start w:w="90" w:type="dxa"/>
              <w:bottom w:w="70" w:type="dxa"/>
              <w:end w:w="90" w:type="dxa"/>
            </w:tcMar>
          </w:tcPr>
          <w:p>
            <w:pPr>
              <w:spacing w:after="0" w:line="240" w:lineRule="auto"/>
            </w:pPr>
            <w:r>
              <w:rPr/>
            </w:r>
            <w:r>
              <w:rPr>
                <w:sz w:val="17"/>
              </w:rPr>
              <w:t>Requires explicit operational authorization; not implied by this report.</w:t>
            </w:r>
          </w:p>
        </w:tc>
      </w:tr>
    </w:tbl>
    <w:p>
      <w:pPr>
        <w:spacing w:after="20"/>
      </w:pPr>
    </w:p>
    <w:p>
      <w:pPr>
        <w:pStyle w:val="Heading3"/>
        <w:keepNext/>
        <w:pageBreakBefore w:val="0"/>
      </w:pPr>
      <w:r>
        <w:t>3.4 Entry checklist</w:t>
      </w:r>
    </w:p>
    <w:p>
      <w:pPr>
        <w:pStyle w:val="ListParagraph"/>
        <w:numPr>
          <w:ilvl w:val="0"/>
          <w:numId w:val="17"/>
        </w:numPr>
        <w:spacing w:after="40"/>
      </w:pPr>
      <w:r>
        <w:rPr>
          <w:sz w:val="18"/>
        </w:rPr>
        <w:t>Build and deployment identifier recorded.</w:t>
      </w:r>
    </w:p>
    <w:p>
      <w:pPr>
        <w:pStyle w:val="ListParagraph"/>
        <w:numPr>
          <w:ilvl w:val="0"/>
          <w:numId w:val="17"/>
        </w:numPr>
        <w:spacing w:after="40"/>
      </w:pPr>
      <w:r>
        <w:rPr>
          <w:sz w:val="18"/>
        </w:rPr>
        <w:t>Database migration/configuration state known.</w:t>
      </w:r>
    </w:p>
    <w:p>
      <w:pPr>
        <w:pStyle w:val="ListParagraph"/>
        <w:numPr>
          <w:ilvl w:val="0"/>
          <w:numId w:val="17"/>
        </w:numPr>
        <w:spacing w:after="40"/>
      </w:pPr>
      <w:r>
        <w:rPr>
          <w:sz w:val="18"/>
        </w:rPr>
        <w:t>Test accounts have only the intended approved product role.</w:t>
      </w:r>
    </w:p>
    <w:p>
      <w:pPr>
        <w:pStyle w:val="ListParagraph"/>
        <w:numPr>
          <w:ilvl w:val="0"/>
          <w:numId w:val="17"/>
        </w:numPr>
        <w:spacing w:after="40"/>
      </w:pPr>
      <w:r>
        <w:rPr>
          <w:sz w:val="18"/>
        </w:rPr>
        <w:t>Organization A and B fixtures are isolated and safe.</w:t>
      </w:r>
    </w:p>
    <w:p>
      <w:pPr>
        <w:pStyle w:val="ListParagraph"/>
        <w:numPr>
          <w:ilvl w:val="0"/>
          <w:numId w:val="17"/>
        </w:numPr>
        <w:spacing w:after="40"/>
      </w:pPr>
      <w:r>
        <w:rPr>
          <w:sz w:val="18"/>
        </w:rPr>
        <w:t>Content/media/template revisions are versioned and complete for the test mode.</w:t>
      </w:r>
    </w:p>
    <w:p>
      <w:pPr>
        <w:pStyle w:val="ListParagraph"/>
        <w:numPr>
          <w:ilvl w:val="0"/>
          <w:numId w:val="17"/>
        </w:numPr>
        <w:spacing w:after="40"/>
      </w:pPr>
      <w:r>
        <w:rPr>
          <w:sz w:val="18"/>
        </w:rPr>
        <w:t>Package/license and date/capacity data are deterministic.</w:t>
      </w:r>
    </w:p>
    <w:p>
      <w:pPr>
        <w:pStyle w:val="ListParagraph"/>
        <w:numPr>
          <w:ilvl w:val="0"/>
          <w:numId w:val="17"/>
        </w:numPr>
        <w:spacing w:after="40"/>
      </w:pPr>
      <w:r>
        <w:rPr>
          <w:sz w:val="18"/>
        </w:rPr>
        <w:t>Provider stubs/sandboxes and failure controls are identified.</w:t>
      </w:r>
    </w:p>
    <w:p>
      <w:pPr>
        <w:pStyle w:val="ListParagraph"/>
        <w:numPr>
          <w:ilvl w:val="0"/>
          <w:numId w:val="17"/>
        </w:numPr>
        <w:spacing w:after="40"/>
      </w:pPr>
      <w:r>
        <w:rPr>
          <w:sz w:val="18"/>
        </w:rPr>
        <w:t>Evidence folder is writable and contains no secrets.</w:t>
      </w:r>
    </w:p>
    <w:p>
      <w:pPr>
        <w:pStyle w:val="Heading3"/>
        <w:keepNext/>
        <w:pageBreakBefore w:val="0"/>
      </w:pPr>
      <w:r>
        <w:t>3.5 Exit checklist</w:t>
      </w:r>
    </w:p>
    <w:p>
      <w:pPr>
        <w:pStyle w:val="ListParagraph"/>
        <w:numPr>
          <w:ilvl w:val="0"/>
          <w:numId w:val="17"/>
        </w:numPr>
        <w:spacing w:after="40"/>
      </w:pPr>
      <w:r>
        <w:rPr>
          <w:sz w:val="18"/>
        </w:rPr>
        <w:t>Critical/high cases have executed evidence or a documented blocker/dependency.</w:t>
      </w:r>
    </w:p>
    <w:p>
      <w:pPr>
        <w:pStyle w:val="ListParagraph"/>
        <w:numPr>
          <w:ilvl w:val="0"/>
          <w:numId w:val="17"/>
        </w:numPr>
        <w:spacing w:after="40"/>
      </w:pPr>
      <w:r>
        <w:rPr>
          <w:sz w:val="18"/>
        </w:rPr>
        <w:t>No test result is inferred from a plan, screenshot mock, or code presence alone.</w:t>
      </w:r>
    </w:p>
    <w:p>
      <w:pPr>
        <w:pStyle w:val="ListParagraph"/>
        <w:numPr>
          <w:ilvl w:val="0"/>
          <w:numId w:val="17"/>
        </w:numPr>
        <w:spacing w:after="40"/>
      </w:pPr>
      <w:r>
        <w:rPr>
          <w:sz w:val="18"/>
        </w:rPr>
        <w:t>Defect IDs link to requirement/design/case and owner.</w:t>
      </w:r>
    </w:p>
    <w:p>
      <w:pPr>
        <w:pStyle w:val="ListParagraph"/>
        <w:numPr>
          <w:ilvl w:val="0"/>
          <w:numId w:val="17"/>
        </w:numPr>
        <w:spacing w:after="40"/>
      </w:pPr>
      <w:r>
        <w:rPr>
          <w:sz w:val="18"/>
        </w:rPr>
        <w:t>NFR measurements include workload/environment/tool/result.</w:t>
      </w:r>
    </w:p>
    <w:p>
      <w:pPr>
        <w:pStyle w:val="ListParagraph"/>
        <w:numPr>
          <w:ilvl w:val="0"/>
          <w:numId w:val="17"/>
        </w:numPr>
        <w:spacing w:after="40"/>
      </w:pPr>
      <w:r>
        <w:rPr>
          <w:sz w:val="18"/>
        </w:rPr>
        <w:t>Cross-tenant and assignment-negative cases are included.</w:t>
      </w:r>
    </w:p>
    <w:p>
      <w:pPr>
        <w:pStyle w:val="ListParagraph"/>
        <w:numPr>
          <w:ilvl w:val="0"/>
          <w:numId w:val="17"/>
        </w:numPr>
        <w:spacing w:after="40"/>
      </w:pPr>
      <w:r>
        <w:rPr>
          <w:sz w:val="18"/>
        </w:rPr>
        <w:t>Offline/retry/duplicate/publication cases are included.</w:t>
      </w:r>
    </w:p>
    <w:p>
      <w:pPr>
        <w:pStyle w:val="ListParagraph"/>
        <w:numPr>
          <w:ilvl w:val="0"/>
          <w:numId w:val="17"/>
        </w:numPr>
        <w:spacing w:after="40"/>
      </w:pPr>
      <w:r>
        <w:rPr>
          <w:sz w:val="18"/>
        </w:rPr>
        <w:t>Remaining TBD items are visible in the handoff report.</w:t>
      </w:r>
    </w:p>
    <w:p>
      <w:pPr>
        <w:pStyle w:val="Heading3"/>
        <w:keepNext/>
        <w:pageBreakBefore w:val="0"/>
      </w:pPr>
      <w:r>
        <w:t>3.6 Schedule and milestones</w:t>
      </w:r>
    </w:p>
    <w:p>
      <w:pPr>
        <w:spacing w:after="80" w:line="240" w:lineRule="auto"/>
      </w:pPr>
      <w:r>
        <w:rPr>
          <w:sz w:val="19"/>
        </w:rPr>
        <w:t>Dates are intentionally represented as release-planning slots until the project schedule is approved.</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2592"/>
            <w:vAlign w:val="top"/>
            <w:tcMar>
              <w:top w:w="70" w:type="dxa"/>
              <w:start w:w="90" w:type="dxa"/>
              <w:bottom w:w="70" w:type="dxa"/>
              <w:end w:w="90" w:type="dxa"/>
            </w:tcMar>
            <w:shd w:val="clear" w:color="auto" w:fill="FFE8E1"/>
          </w:tcPr>
          <w:p>
            <w:pPr>
              <w:spacing w:after="0" w:line="240" w:lineRule="auto"/>
            </w:pPr>
            <w:r>
              <w:rPr>
                <w:b/>
              </w:rPr>
            </w:r>
            <w:r>
              <w:rPr>
                <w:b/>
                <w:sz w:val="17"/>
              </w:rPr>
              <w:t>Milestone</w:t>
            </w:r>
          </w:p>
        </w:tc>
        <w:tc>
          <w:tcPr>
            <w:tcW w:type="dxa" w:w="2592"/>
            <w:vAlign w:val="top"/>
            <w:tcMar>
              <w:top w:w="70" w:type="dxa"/>
              <w:start w:w="90" w:type="dxa"/>
              <w:bottom w:w="70" w:type="dxa"/>
              <w:end w:w="90" w:type="dxa"/>
            </w:tcMar>
            <w:shd w:val="clear" w:color="auto" w:fill="FFE8E1"/>
          </w:tcPr>
          <w:p>
            <w:pPr>
              <w:spacing w:after="0" w:line="240" w:lineRule="auto"/>
            </w:pPr>
            <w:r>
              <w:rPr>
                <w:b/>
              </w:rPr>
            </w:r>
            <w:r>
              <w:rPr>
                <w:b/>
                <w:sz w:val="17"/>
              </w:rPr>
              <w:t>Entry</w:t>
            </w:r>
          </w:p>
        </w:tc>
        <w:tc>
          <w:tcPr>
            <w:tcW w:type="dxa" w:w="2592"/>
            <w:vAlign w:val="top"/>
            <w:tcMar>
              <w:top w:w="70" w:type="dxa"/>
              <w:start w:w="90" w:type="dxa"/>
              <w:bottom w:w="70" w:type="dxa"/>
              <w:end w:w="90" w:type="dxa"/>
            </w:tcMar>
            <w:shd w:val="clear" w:color="auto" w:fill="FFE8E1"/>
          </w:tcPr>
          <w:p>
            <w:pPr>
              <w:spacing w:after="0" w:line="240" w:lineRule="auto"/>
            </w:pPr>
            <w:r>
              <w:rPr>
                <w:b/>
              </w:rPr>
            </w:r>
            <w:r>
              <w:rPr>
                <w:b/>
                <w:sz w:val="17"/>
              </w:rPr>
              <w:t>Exit</w:t>
            </w:r>
          </w:p>
        </w:tc>
        <w:tc>
          <w:tcPr>
            <w:tcW w:type="dxa" w:w="1944"/>
            <w:vAlign w:val="top"/>
            <w:tcMar>
              <w:top w:w="70" w:type="dxa"/>
              <w:start w:w="90" w:type="dxa"/>
              <w:bottom w:w="70" w:type="dxa"/>
              <w:end w:w="90" w:type="dxa"/>
            </w:tcMar>
            <w:shd w:val="clear" w:color="auto" w:fill="FFE8E1"/>
          </w:tcPr>
          <w:p>
            <w:pPr>
              <w:spacing w:after="0" w:line="240" w:lineRule="auto"/>
            </w:pPr>
            <w:r>
              <w:rPr>
                <w:b/>
              </w:rPr>
            </w:r>
            <w:r>
              <w:rPr>
                <w:b/>
                <w:sz w:val="17"/>
              </w:rPr>
              <w:t>Status</w:t>
            </w:r>
          </w:p>
        </w:tc>
      </w:tr>
      <w:tr>
        <w:trPr>
          <w:cantSplit/>
        </w:trPr>
        <w:tc>
          <w:tcPr>
            <w:tcW w:type="dxa" w:w="2592"/>
            <w:vAlign w:val="top"/>
            <w:tcMar>
              <w:top w:w="70" w:type="dxa"/>
              <w:start w:w="90" w:type="dxa"/>
              <w:bottom w:w="70" w:type="dxa"/>
              <w:end w:w="90" w:type="dxa"/>
            </w:tcMar>
          </w:tcPr>
          <w:p>
            <w:pPr>
              <w:spacing w:after="0" w:line="240" w:lineRule="auto"/>
            </w:pPr>
            <w:r>
              <w:rPr/>
            </w:r>
            <w:r>
              <w:rPr>
                <w:rFonts w:ascii="Consolas" w:hAnsi="Consolas"/>
                <w:b w:val="0"/>
                <w:i w:val="0"/>
                <w:sz w:val="17"/>
              </w:rPr>
              <w:t>M-01</w:t>
            </w:r>
            <w:r>
              <w:rPr>
                <w:sz w:val="17"/>
              </w:rPr>
              <w:t xml:space="preserve"> Documentation baseline</w:t>
            </w:r>
          </w:p>
        </w:tc>
        <w:tc>
          <w:tcPr>
            <w:tcW w:type="dxa" w:w="2592"/>
            <w:vAlign w:val="top"/>
            <w:tcMar>
              <w:top w:w="70" w:type="dxa"/>
              <w:start w:w="90" w:type="dxa"/>
              <w:bottom w:w="70" w:type="dxa"/>
              <w:end w:w="90" w:type="dxa"/>
            </w:tcMar>
          </w:tcPr>
          <w:p>
            <w:pPr>
              <w:spacing w:after="0" w:line="240" w:lineRule="auto"/>
            </w:pPr>
            <w:r>
              <w:rPr/>
            </w:r>
            <w:r>
              <w:rPr>
                <w:sz w:val="17"/>
              </w:rPr>
              <w:t>Reports 3–4 exist</w:t>
            </w:r>
          </w:p>
        </w:tc>
        <w:tc>
          <w:tcPr>
            <w:tcW w:type="dxa" w:w="2592"/>
            <w:vAlign w:val="top"/>
            <w:tcMar>
              <w:top w:w="70" w:type="dxa"/>
              <w:start w:w="90" w:type="dxa"/>
              <w:bottom w:w="70" w:type="dxa"/>
              <w:end w:w="90" w:type="dxa"/>
            </w:tcMar>
          </w:tcPr>
          <w:p>
            <w:pPr>
              <w:spacing w:after="0" w:line="240" w:lineRule="auto"/>
            </w:pPr>
            <w:r>
              <w:rPr/>
            </w:r>
            <w:r>
              <w:rPr>
                <w:sz w:val="17"/>
              </w:rPr>
              <w:t>Structural and traceability scan</w:t>
            </w:r>
          </w:p>
        </w:tc>
        <w:tc>
          <w:tcPr>
            <w:tcW w:type="dxa" w:w="1944"/>
            <w:vAlign w:val="top"/>
            <w:tcMar>
              <w:top w:w="70" w:type="dxa"/>
              <w:start w:w="90" w:type="dxa"/>
              <w:bottom w:w="70" w:type="dxa"/>
              <w:end w:w="90" w:type="dxa"/>
            </w:tcMar>
          </w:tcPr>
          <w:p>
            <w:pPr>
              <w:spacing w:after="0" w:line="240" w:lineRule="auto"/>
            </w:pPr>
            <w:r>
              <w:rPr/>
            </w:r>
            <w:r>
              <w:rPr>
                <w:sz w:val="17"/>
              </w:rPr>
              <w:t>Current for this documentation work package</w:t>
            </w:r>
          </w:p>
        </w:tc>
      </w:tr>
      <w:tr>
        <w:trPr>
          <w:cantSplit/>
        </w:trPr>
        <w:tc>
          <w:tcPr>
            <w:tcW w:type="dxa" w:w="2592"/>
            <w:vAlign w:val="top"/>
            <w:tcMar>
              <w:top w:w="70" w:type="dxa"/>
              <w:start w:w="90" w:type="dxa"/>
              <w:bottom w:w="70" w:type="dxa"/>
              <w:end w:w="90" w:type="dxa"/>
            </w:tcMar>
          </w:tcPr>
          <w:p>
            <w:pPr>
              <w:spacing w:after="0" w:line="240" w:lineRule="auto"/>
            </w:pPr>
            <w:r>
              <w:rPr/>
            </w:r>
            <w:r>
              <w:rPr>
                <w:rFonts w:ascii="Consolas" w:hAnsi="Consolas"/>
                <w:b w:val="0"/>
                <w:i w:val="0"/>
                <w:sz w:val="17"/>
              </w:rPr>
              <w:t>M-02</w:t>
            </w:r>
            <w:r>
              <w:rPr>
                <w:sz w:val="17"/>
              </w:rPr>
              <w:t xml:space="preserve"> Core functional readiness</w:t>
            </w:r>
          </w:p>
        </w:tc>
        <w:tc>
          <w:tcPr>
            <w:tcW w:type="dxa" w:w="2592"/>
            <w:vAlign w:val="top"/>
            <w:tcMar>
              <w:top w:w="70" w:type="dxa"/>
              <w:start w:w="90" w:type="dxa"/>
              <w:bottom w:w="70" w:type="dxa"/>
              <w:end w:w="90" w:type="dxa"/>
            </w:tcMar>
          </w:tcPr>
          <w:p>
            <w:pPr>
              <w:spacing w:after="0" w:line="240" w:lineRule="auto"/>
            </w:pPr>
            <w:r>
              <w:rPr/>
            </w:r>
            <w:r>
              <w:rPr>
                <w:sz w:val="17"/>
              </w:rPr>
              <w:t>Access/content/roster/exam flows available</w:t>
            </w:r>
          </w:p>
        </w:tc>
        <w:tc>
          <w:tcPr>
            <w:tcW w:type="dxa" w:w="2592"/>
            <w:vAlign w:val="top"/>
            <w:tcMar>
              <w:top w:w="70" w:type="dxa"/>
              <w:start w:w="90" w:type="dxa"/>
              <w:bottom w:w="70" w:type="dxa"/>
              <w:end w:w="90" w:type="dxa"/>
            </w:tcMar>
          </w:tcPr>
          <w:p>
            <w:pPr>
              <w:spacing w:after="0" w:line="240" w:lineRule="auto"/>
            </w:pPr>
            <w:r>
              <w:rPr/>
            </w:r>
            <w:r>
              <w:rPr>
                <w:sz w:val="17"/>
              </w:rPr>
              <w:t>Critical functional/negative cases have evidence</w:t>
            </w:r>
          </w:p>
        </w:tc>
        <w:tc>
          <w:tcPr>
            <w:tcW w:type="dxa" w:w="1944"/>
            <w:vAlign w:val="top"/>
            <w:tcMar>
              <w:top w:w="70" w:type="dxa"/>
              <w:start w:w="90" w:type="dxa"/>
              <w:bottom w:w="70" w:type="dxa"/>
              <w:end w:w="90" w:type="dxa"/>
            </w:tcMar>
          </w:tcPr>
          <w:p>
            <w:pPr>
              <w:spacing w:after="0" w:line="240" w:lineRule="auto"/>
            </w:pPr>
            <w:r>
              <w:rPr/>
            </w:r>
            <w:r>
              <w:rPr>
                <w:sz w:val="17"/>
              </w:rPr>
              <w:t>Planned/Future</w:t>
            </w:r>
          </w:p>
        </w:tc>
      </w:tr>
      <w:tr>
        <w:trPr>
          <w:cantSplit/>
        </w:trPr>
        <w:tc>
          <w:tcPr>
            <w:tcW w:type="dxa" w:w="2592"/>
            <w:vAlign w:val="top"/>
            <w:tcMar>
              <w:top w:w="70" w:type="dxa"/>
              <w:start w:w="90" w:type="dxa"/>
              <w:bottom w:w="70" w:type="dxa"/>
              <w:end w:w="90" w:type="dxa"/>
            </w:tcMar>
          </w:tcPr>
          <w:p>
            <w:pPr>
              <w:spacing w:after="0" w:line="240" w:lineRule="auto"/>
            </w:pPr>
            <w:r>
              <w:rPr/>
            </w:r>
            <w:r>
              <w:rPr>
                <w:rFonts w:ascii="Consolas" w:hAnsi="Consolas"/>
                <w:b w:val="0"/>
                <w:i w:val="0"/>
                <w:sz w:val="17"/>
              </w:rPr>
              <w:t>M-03</w:t>
            </w:r>
            <w:r>
              <w:rPr>
                <w:sz w:val="17"/>
              </w:rPr>
              <w:t xml:space="preserve"> Delivery and integrity readiness</w:t>
            </w:r>
          </w:p>
        </w:tc>
        <w:tc>
          <w:tcPr>
            <w:tcW w:type="dxa" w:w="2592"/>
            <w:vAlign w:val="top"/>
            <w:tcMar>
              <w:top w:w="70" w:type="dxa"/>
              <w:start w:w="90" w:type="dxa"/>
              <w:bottom w:w="70" w:type="dxa"/>
              <w:end w:w="90" w:type="dxa"/>
            </w:tcMar>
          </w:tcPr>
          <w:p>
            <w:pPr>
              <w:spacing w:after="0" w:line="240" w:lineRule="auto"/>
            </w:pPr>
            <w:r>
              <w:rPr/>
            </w:r>
            <w:r>
              <w:rPr>
                <w:sz w:val="17"/>
              </w:rPr>
              <w:t>Fixed version and client baseline available</w:t>
            </w:r>
          </w:p>
        </w:tc>
        <w:tc>
          <w:tcPr>
            <w:tcW w:type="dxa" w:w="2592"/>
            <w:vAlign w:val="top"/>
            <w:tcMar>
              <w:top w:w="70" w:type="dxa"/>
              <w:start w:w="90" w:type="dxa"/>
              <w:bottom w:w="70" w:type="dxa"/>
              <w:end w:w="90" w:type="dxa"/>
            </w:tcMar>
          </w:tcPr>
          <w:p>
            <w:pPr>
              <w:spacing w:after="0" w:line="240" w:lineRule="auto"/>
            </w:pPr>
            <w:r>
              <w:rPr/>
            </w:r>
            <w:r>
              <w:rPr>
                <w:sz w:val="17"/>
              </w:rPr>
              <w:t>Retry, Proctor, audit, and submission evidence</w:t>
            </w:r>
          </w:p>
        </w:tc>
        <w:tc>
          <w:tcPr>
            <w:tcW w:type="dxa" w:w="1944"/>
            <w:vAlign w:val="top"/>
            <w:tcMar>
              <w:top w:w="70" w:type="dxa"/>
              <w:start w:w="90" w:type="dxa"/>
              <w:bottom w:w="70" w:type="dxa"/>
              <w:end w:w="90" w:type="dxa"/>
            </w:tcMar>
          </w:tcPr>
          <w:p>
            <w:pPr>
              <w:spacing w:after="0" w:line="240" w:lineRule="auto"/>
            </w:pPr>
            <w:r>
              <w:rPr/>
            </w:r>
            <w:r>
              <w:rPr>
                <w:sz w:val="17"/>
              </w:rPr>
              <w:t>Planned/Future/TBD client matrix</w:t>
            </w:r>
          </w:p>
        </w:tc>
      </w:tr>
      <w:tr>
        <w:trPr>
          <w:cantSplit/>
        </w:trPr>
        <w:tc>
          <w:tcPr>
            <w:tcW w:type="dxa" w:w="2592"/>
            <w:vAlign w:val="top"/>
            <w:tcMar>
              <w:top w:w="70" w:type="dxa"/>
              <w:start w:w="90" w:type="dxa"/>
              <w:bottom w:w="70" w:type="dxa"/>
              <w:end w:w="90" w:type="dxa"/>
            </w:tcMar>
          </w:tcPr>
          <w:p>
            <w:pPr>
              <w:spacing w:after="0" w:line="240" w:lineRule="auto"/>
            </w:pPr>
            <w:r>
              <w:rPr/>
            </w:r>
            <w:r>
              <w:rPr>
                <w:rFonts w:ascii="Consolas" w:hAnsi="Consolas"/>
                <w:b w:val="0"/>
                <w:i w:val="0"/>
                <w:sz w:val="17"/>
              </w:rPr>
              <w:t>M-04</w:t>
            </w:r>
            <w:r>
              <w:rPr>
                <w:sz w:val="17"/>
              </w:rPr>
              <w:t xml:space="preserve"> Scoring/publication readiness</w:t>
            </w:r>
          </w:p>
        </w:tc>
        <w:tc>
          <w:tcPr>
            <w:tcW w:type="dxa" w:w="2592"/>
            <w:vAlign w:val="top"/>
            <w:tcMar>
              <w:top w:w="70" w:type="dxa"/>
              <w:start w:w="90" w:type="dxa"/>
              <w:bottom w:w="70" w:type="dxa"/>
              <w:end w:w="90" w:type="dxa"/>
            </w:tcMar>
          </w:tcPr>
          <w:p>
            <w:pPr>
              <w:spacing w:after="0" w:line="240" w:lineRule="auto"/>
            </w:pPr>
            <w:r>
              <w:rPr/>
            </w:r>
            <w:r>
              <w:rPr>
                <w:sz w:val="17"/>
              </w:rPr>
              <w:t>Score sources and Host review available</w:t>
            </w:r>
          </w:p>
        </w:tc>
        <w:tc>
          <w:tcPr>
            <w:tcW w:type="dxa" w:w="2592"/>
            <w:vAlign w:val="top"/>
            <w:tcMar>
              <w:top w:w="70" w:type="dxa"/>
              <w:start w:w="90" w:type="dxa"/>
              <w:bottom w:w="70" w:type="dxa"/>
              <w:end w:w="90" w:type="dxa"/>
            </w:tcMar>
          </w:tcPr>
          <w:p>
            <w:pPr>
              <w:spacing w:after="0" w:line="240" w:lineRule="auto"/>
            </w:pPr>
            <w:r>
              <w:rPr/>
            </w:r>
            <w:r>
              <w:rPr>
                <w:sz w:val="17"/>
              </w:rPr>
              <w:t>Publication gate and Student visibility evidence</w:t>
            </w:r>
          </w:p>
        </w:tc>
        <w:tc>
          <w:tcPr>
            <w:tcW w:type="dxa" w:w="1944"/>
            <w:vAlign w:val="top"/>
            <w:tcMar>
              <w:top w:w="70" w:type="dxa"/>
              <w:start w:w="90" w:type="dxa"/>
              <w:bottom w:w="70" w:type="dxa"/>
              <w:end w:w="90" w:type="dxa"/>
            </w:tcMar>
          </w:tcPr>
          <w:p>
            <w:pPr>
              <w:spacing w:after="0" w:line="240" w:lineRule="auto"/>
            </w:pPr>
            <w:r>
              <w:rPr/>
            </w:r>
            <w:r>
              <w:rPr>
                <w:sz w:val="17"/>
              </w:rPr>
              <w:t>Planned/Future/TBD AI policy</w:t>
            </w:r>
          </w:p>
        </w:tc>
      </w:tr>
      <w:tr>
        <w:trPr>
          <w:cantSplit/>
        </w:trPr>
        <w:tc>
          <w:tcPr>
            <w:tcW w:type="dxa" w:w="2592"/>
            <w:vAlign w:val="top"/>
            <w:tcMar>
              <w:top w:w="70" w:type="dxa"/>
              <w:start w:w="90" w:type="dxa"/>
              <w:bottom w:w="70" w:type="dxa"/>
              <w:end w:w="90" w:type="dxa"/>
            </w:tcMar>
          </w:tcPr>
          <w:p>
            <w:pPr>
              <w:spacing w:after="0" w:line="240" w:lineRule="auto"/>
            </w:pPr>
            <w:r>
              <w:rPr/>
            </w:r>
            <w:r>
              <w:rPr>
                <w:rFonts w:ascii="Consolas" w:hAnsi="Consolas"/>
                <w:b w:val="0"/>
                <w:i w:val="0"/>
                <w:sz w:val="17"/>
              </w:rPr>
              <w:t>M-05</w:t>
            </w:r>
            <w:r>
              <w:rPr>
                <w:sz w:val="17"/>
              </w:rPr>
              <w:t xml:space="preserve"> Release acceptance</w:t>
            </w:r>
          </w:p>
        </w:tc>
        <w:tc>
          <w:tcPr>
            <w:tcW w:type="dxa" w:w="2592"/>
            <w:vAlign w:val="top"/>
            <w:tcMar>
              <w:top w:w="70" w:type="dxa"/>
              <w:start w:w="90" w:type="dxa"/>
              <w:bottom w:w="70" w:type="dxa"/>
              <w:end w:w="90" w:type="dxa"/>
            </w:tcMar>
          </w:tcPr>
          <w:p>
            <w:pPr>
              <w:spacing w:after="0" w:line="240" w:lineRule="auto"/>
            </w:pPr>
            <w:r>
              <w:rPr/>
            </w:r>
            <w:r>
              <w:rPr>
                <w:sz w:val="17"/>
              </w:rPr>
              <w:t>Functional and NFR evidence reviewed</w:t>
            </w:r>
          </w:p>
        </w:tc>
        <w:tc>
          <w:tcPr>
            <w:tcW w:type="dxa" w:w="2592"/>
            <w:vAlign w:val="top"/>
            <w:tcMar>
              <w:top w:w="70" w:type="dxa"/>
              <w:start w:w="90" w:type="dxa"/>
              <w:bottom w:w="70" w:type="dxa"/>
              <w:end w:w="90" w:type="dxa"/>
            </w:tcMar>
          </w:tcPr>
          <w:p>
            <w:pPr>
              <w:spacing w:after="0" w:line="240" w:lineRule="auto"/>
            </w:pPr>
            <w:r>
              <w:rPr/>
            </w:r>
            <w:r>
              <w:rPr>
                <w:sz w:val="17"/>
              </w:rPr>
              <w:t>Test report/sign-off with open defects</w:t>
            </w:r>
          </w:p>
        </w:tc>
        <w:tc>
          <w:tcPr>
            <w:tcW w:type="dxa" w:w="1944"/>
            <w:vAlign w:val="top"/>
            <w:tcMar>
              <w:top w:w="70" w:type="dxa"/>
              <w:start w:w="90" w:type="dxa"/>
              <w:bottom w:w="70" w:type="dxa"/>
              <w:end w:w="90" w:type="dxa"/>
            </w:tcMar>
          </w:tcPr>
          <w:p>
            <w:pPr>
              <w:spacing w:after="0" w:line="240" w:lineRule="auto"/>
            </w:pPr>
            <w:r>
              <w:rPr/>
            </w:r>
            <w:r>
              <w:rPr>
                <w:sz w:val="17"/>
              </w:rPr>
              <w:t>Planned/Future</w:t>
            </w:r>
          </w:p>
        </w:tc>
      </w:tr>
    </w:tbl>
    <w:p>
      <w:pPr>
        <w:spacing w:after="20"/>
      </w:pPr>
    </w:p>
    <w:p>
      <w:pPr>
        <w:pStyle w:val="Heading3"/>
        <w:keepNext/>
        <w:pageBreakBefore w:val="0"/>
      </w:pPr>
      <w:r>
        <w:t>3.7 Test record ownership</w:t>
      </w:r>
    </w:p>
    <w:p>
      <w:pPr>
        <w:spacing w:after="80" w:line="240" w:lineRule="auto"/>
      </w:pPr>
      <w:r>
        <w:rPr>
          <w:sz w:val="19"/>
        </w:rPr>
        <w:t>The person executing a case is responsible for actual evidence, but the Test Lead owns the summary. A product actor may participate in UAT, but a test result must identify test responsibility separately from the product role to avoid confusing permissions with verification ownership.</w:t>
      </w:r>
    </w:p>
    <w:p>
      <w:pPr>
        <w:pStyle w:val="Heading3"/>
        <w:keepNext/>
        <w:pageBreakBefore w:val="0"/>
      </w:pPr>
      <w:r>
        <w:t>3.8 Scope revision work packages</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2592"/>
            <w:vAlign w:val="top"/>
            <w:tcMar>
              <w:top w:w="70" w:type="dxa"/>
              <w:start w:w="90" w:type="dxa"/>
              <w:bottom w:w="70" w:type="dxa"/>
              <w:end w:w="90" w:type="dxa"/>
            </w:tcMar>
            <w:shd w:val="clear" w:color="auto" w:fill="FFE8E1"/>
          </w:tcPr>
          <w:p>
            <w:pPr>
              <w:spacing w:after="0" w:line="240" w:lineRule="auto"/>
            </w:pPr>
            <w:r>
              <w:rPr>
                <w:b/>
              </w:rPr>
            </w:r>
            <w:r>
              <w:rPr>
                <w:b/>
                <w:sz w:val="17"/>
              </w:rPr>
              <w:t>Work package</w:t>
            </w:r>
          </w:p>
        </w:tc>
        <w:tc>
          <w:tcPr>
            <w:tcW w:type="dxa" w:w="2376"/>
            <w:vAlign w:val="top"/>
            <w:tcMar>
              <w:top w:w="70" w:type="dxa"/>
              <w:start w:w="90" w:type="dxa"/>
              <w:bottom w:w="70" w:type="dxa"/>
              <w:end w:w="90" w:type="dxa"/>
            </w:tcMar>
            <w:shd w:val="clear" w:color="auto" w:fill="FFE8E1"/>
          </w:tcPr>
          <w:p>
            <w:pPr>
              <w:spacing w:after="0" w:line="240" w:lineRule="auto"/>
            </w:pPr>
            <w:r>
              <w:rPr>
                <w:b/>
              </w:rPr>
            </w:r>
            <w:r>
              <w:rPr>
                <w:b/>
                <w:sz w:val="17"/>
              </w:rPr>
              <w:t>Main cases</w:t>
            </w:r>
          </w:p>
        </w:tc>
        <w:tc>
          <w:tcPr>
            <w:tcW w:type="dxa" w:w="2376"/>
            <w:vAlign w:val="top"/>
            <w:tcMar>
              <w:top w:w="70" w:type="dxa"/>
              <w:start w:w="90" w:type="dxa"/>
              <w:bottom w:w="70" w:type="dxa"/>
              <w:end w:w="90" w:type="dxa"/>
            </w:tcMar>
            <w:shd w:val="clear" w:color="auto" w:fill="FFE8E1"/>
          </w:tcPr>
          <w:p>
            <w:pPr>
              <w:spacing w:after="0" w:line="240" w:lineRule="auto"/>
            </w:pPr>
            <w:r>
              <w:rPr>
                <w:b/>
              </w:rPr>
            </w:r>
            <w:r>
              <w:rPr>
                <w:b/>
                <w:sz w:val="17"/>
              </w:rPr>
              <w:t>Owner</w:t>
            </w:r>
          </w:p>
        </w:tc>
        <w:tc>
          <w:tcPr>
            <w:tcW w:type="dxa" w:w="2376"/>
            <w:vAlign w:val="top"/>
            <w:tcMar>
              <w:top w:w="70" w:type="dxa"/>
              <w:start w:w="90" w:type="dxa"/>
              <w:bottom w:w="70" w:type="dxa"/>
              <w:end w:w="90" w:type="dxa"/>
            </w:tcMar>
            <w:shd w:val="clear" w:color="auto" w:fill="FFE8E1"/>
          </w:tcPr>
          <w:p>
            <w:pPr>
              <w:spacing w:after="0" w:line="240" w:lineRule="auto"/>
            </w:pPr>
            <w:r>
              <w:rPr>
                <w:b/>
              </w:rPr>
            </w:r>
            <w:r>
              <w:rPr>
                <w:b/>
                <w:sz w:val="17"/>
              </w:rPr>
              <w:t>Gate</w:t>
            </w:r>
          </w:p>
        </w:tc>
      </w:tr>
      <w:tr>
        <w:trPr>
          <w:cantSplit/>
        </w:trPr>
        <w:tc>
          <w:tcPr>
            <w:tcW w:type="dxa" w:w="2592"/>
            <w:vAlign w:val="top"/>
            <w:tcMar>
              <w:top w:w="70" w:type="dxa"/>
              <w:start w:w="90" w:type="dxa"/>
              <w:bottom w:w="70" w:type="dxa"/>
              <w:end w:w="90" w:type="dxa"/>
            </w:tcMar>
          </w:tcPr>
          <w:p>
            <w:pPr>
              <w:spacing w:after="0" w:line="240" w:lineRule="auto"/>
            </w:pPr>
            <w:r>
              <w:rPr/>
            </w:r>
            <w:r>
              <w:rPr>
                <w:sz w:val="17"/>
              </w:rPr>
              <w:t>WP-01 Role governance</w:t>
            </w:r>
          </w:p>
        </w:tc>
        <w:tc>
          <w:tcPr>
            <w:tcW w:type="dxa" w:w="2376"/>
            <w:vAlign w:val="top"/>
            <w:tcMar>
              <w:top w:w="70" w:type="dxa"/>
              <w:start w:w="90" w:type="dxa"/>
              <w:bottom w:w="70" w:type="dxa"/>
              <w:end w:w="90" w:type="dxa"/>
            </w:tcMar>
          </w:tcPr>
          <w:p>
            <w:pPr>
              <w:spacing w:after="0" w:line="240" w:lineRule="auto"/>
            </w:pPr>
            <w:r>
              <w:rPr/>
            </w:r>
            <w:r>
              <w:rPr>
                <w:rFonts w:ascii="Consolas" w:hAnsi="Consolas"/>
                <w:b w:val="0"/>
                <w:i w:val="0"/>
                <w:sz w:val="17"/>
              </w:rPr>
              <w:t>TC-ROLE-001</w:t>
            </w:r>
            <w:r>
              <w:rPr>
                <w:sz w:val="17"/>
              </w:rPr>
              <w:t xml:space="preserve"> through </w:t>
            </w:r>
            <w:r>
              <w:rPr>
                <w:rFonts w:ascii="Consolas" w:hAnsi="Consolas"/>
                <w:b w:val="0"/>
                <w:i w:val="0"/>
                <w:sz w:val="17"/>
              </w:rPr>
              <w:t>TC-ROLE-006</w:t>
            </w:r>
          </w:p>
        </w:tc>
        <w:tc>
          <w:tcPr>
            <w:tcW w:type="dxa" w:w="2376"/>
            <w:vAlign w:val="top"/>
            <w:tcMar>
              <w:top w:w="70" w:type="dxa"/>
              <w:start w:w="90" w:type="dxa"/>
              <w:bottom w:w="70" w:type="dxa"/>
              <w:end w:w="90" w:type="dxa"/>
            </w:tcMar>
          </w:tcPr>
          <w:p>
            <w:pPr>
              <w:spacing w:after="0" w:line="240" w:lineRule="auto"/>
            </w:pPr>
            <w:r>
              <w:rPr/>
            </w:r>
            <w:r>
              <w:rPr>
                <w:sz w:val="17"/>
              </w:rPr>
              <w:t>Platform/academic workflow owner</w:t>
            </w:r>
          </w:p>
        </w:tc>
        <w:tc>
          <w:tcPr>
            <w:tcW w:type="dxa" w:w="2376"/>
            <w:vAlign w:val="top"/>
            <w:tcMar>
              <w:top w:w="70" w:type="dxa"/>
              <w:start w:w="90" w:type="dxa"/>
              <w:bottom w:w="70" w:type="dxa"/>
              <w:end w:w="90" w:type="dxa"/>
            </w:tcMar>
          </w:tcPr>
          <w:p>
            <w:pPr>
              <w:spacing w:after="0" w:line="240" w:lineRule="auto"/>
            </w:pPr>
            <w:r>
              <w:rPr/>
            </w:r>
            <w:r>
              <w:rPr>
                <w:sz w:val="17"/>
              </w:rPr>
              <w:t>No role can perform an action outside its scope</w:t>
            </w:r>
          </w:p>
        </w:tc>
      </w:tr>
      <w:tr>
        <w:trPr>
          <w:cantSplit/>
        </w:trPr>
        <w:tc>
          <w:tcPr>
            <w:tcW w:type="dxa" w:w="2592"/>
            <w:vAlign w:val="top"/>
            <w:tcMar>
              <w:top w:w="70" w:type="dxa"/>
              <w:start w:w="90" w:type="dxa"/>
              <w:bottom w:w="70" w:type="dxa"/>
              <w:end w:w="90" w:type="dxa"/>
            </w:tcMar>
          </w:tcPr>
          <w:p>
            <w:pPr>
              <w:spacing w:after="0" w:line="240" w:lineRule="auto"/>
            </w:pPr>
            <w:r>
              <w:rPr/>
            </w:r>
            <w:r>
              <w:rPr>
                <w:sz w:val="17"/>
              </w:rPr>
              <w:t>WP-02 Identity and context</w:t>
            </w:r>
          </w:p>
        </w:tc>
        <w:tc>
          <w:tcPr>
            <w:tcW w:type="dxa" w:w="2376"/>
            <w:vAlign w:val="top"/>
            <w:tcMar>
              <w:top w:w="70" w:type="dxa"/>
              <w:start w:w="90" w:type="dxa"/>
              <w:bottom w:w="70" w:type="dxa"/>
              <w:end w:w="90" w:type="dxa"/>
            </w:tcMar>
          </w:tcPr>
          <w:p>
            <w:pPr>
              <w:spacing w:after="0" w:line="240" w:lineRule="auto"/>
            </w:pPr>
            <w:r>
              <w:rPr/>
            </w:r>
            <w:r>
              <w:rPr>
                <w:rFonts w:ascii="Consolas" w:hAnsi="Consolas"/>
                <w:b w:val="0"/>
                <w:i w:val="0"/>
                <w:sz w:val="17"/>
              </w:rPr>
              <w:t>TC-PRACTICE-001</w:t>
            </w:r>
            <w:r>
              <w:rPr>
                <w:sz w:val="17"/>
              </w:rPr>
              <w:t xml:space="preserve"> through </w:t>
            </w:r>
            <w:r>
              <w:rPr>
                <w:rFonts w:ascii="Consolas" w:hAnsi="Consolas"/>
                <w:b w:val="0"/>
                <w:i w:val="0"/>
                <w:sz w:val="17"/>
              </w:rPr>
              <w:t>TC-PRACTICE-003</w:t>
            </w:r>
          </w:p>
        </w:tc>
        <w:tc>
          <w:tcPr>
            <w:tcW w:type="dxa" w:w="2376"/>
            <w:vAlign w:val="top"/>
            <w:tcMar>
              <w:top w:w="70" w:type="dxa"/>
              <w:start w:w="90" w:type="dxa"/>
              <w:bottom w:w="70" w:type="dxa"/>
              <w:end w:w="90" w:type="dxa"/>
            </w:tcMar>
          </w:tcPr>
          <w:p>
            <w:pPr>
              <w:spacing w:after="0" w:line="240" w:lineRule="auto"/>
            </w:pPr>
            <w:r>
              <w:rPr/>
            </w:r>
            <w:r>
              <w:rPr>
                <w:sz w:val="17"/>
              </w:rPr>
              <w:t>Identity owner</w:t>
            </w:r>
          </w:p>
        </w:tc>
        <w:tc>
          <w:tcPr>
            <w:tcW w:type="dxa" w:w="2376"/>
            <w:vAlign w:val="top"/>
            <w:tcMar>
              <w:top w:w="70" w:type="dxa"/>
              <w:start w:w="90" w:type="dxa"/>
              <w:bottom w:w="70" w:type="dxa"/>
              <w:end w:w="90" w:type="dxa"/>
            </w:tcMar>
          </w:tcPr>
          <w:p>
            <w:pPr>
              <w:spacing w:after="0" w:line="240" w:lineRule="auto"/>
            </w:pPr>
            <w:r>
              <w:rPr/>
            </w:r>
            <w:r>
              <w:rPr>
                <w:sz w:val="17"/>
              </w:rPr>
              <w:t>Invalid code, no context and ambiguous context are safe</w:t>
            </w:r>
          </w:p>
        </w:tc>
      </w:tr>
      <w:tr>
        <w:trPr>
          <w:cantSplit/>
        </w:trPr>
        <w:tc>
          <w:tcPr>
            <w:tcW w:type="dxa" w:w="2592"/>
            <w:vAlign w:val="top"/>
            <w:tcMar>
              <w:top w:w="70" w:type="dxa"/>
              <w:start w:w="90" w:type="dxa"/>
              <w:bottom w:w="70" w:type="dxa"/>
              <w:end w:w="90" w:type="dxa"/>
            </w:tcMar>
          </w:tcPr>
          <w:p>
            <w:pPr>
              <w:spacing w:after="0" w:line="240" w:lineRule="auto"/>
            </w:pPr>
            <w:r>
              <w:rPr/>
            </w:r>
            <w:r>
              <w:rPr>
                <w:sz w:val="17"/>
              </w:rPr>
              <w:t>WP-03 Practice catalog/session</w:t>
            </w:r>
          </w:p>
        </w:tc>
        <w:tc>
          <w:tcPr>
            <w:tcW w:type="dxa" w:w="2376"/>
            <w:vAlign w:val="top"/>
            <w:tcMar>
              <w:top w:w="70" w:type="dxa"/>
              <w:start w:w="90" w:type="dxa"/>
              <w:bottom w:w="70" w:type="dxa"/>
              <w:end w:w="90" w:type="dxa"/>
            </w:tcMar>
          </w:tcPr>
          <w:p>
            <w:pPr>
              <w:spacing w:after="0" w:line="240" w:lineRule="auto"/>
            </w:pPr>
            <w:r>
              <w:rPr/>
            </w:r>
            <w:r>
              <w:rPr>
                <w:rFonts w:ascii="Consolas" w:hAnsi="Consolas"/>
                <w:b w:val="0"/>
                <w:i w:val="0"/>
                <w:sz w:val="17"/>
              </w:rPr>
              <w:t>TC-PRACTICE-004</w:t>
            </w:r>
            <w:r>
              <w:rPr>
                <w:sz w:val="17"/>
              </w:rPr>
              <w:t xml:space="preserve"> through </w:t>
            </w:r>
            <w:r>
              <w:rPr>
                <w:rFonts w:ascii="Consolas" w:hAnsi="Consolas"/>
                <w:b w:val="0"/>
                <w:i w:val="0"/>
                <w:sz w:val="17"/>
              </w:rPr>
              <w:t>TC-PRACTICE-008</w:t>
            </w:r>
          </w:p>
        </w:tc>
        <w:tc>
          <w:tcPr>
            <w:tcW w:type="dxa" w:w="2376"/>
            <w:vAlign w:val="top"/>
            <w:tcMar>
              <w:top w:w="70" w:type="dxa"/>
              <w:start w:w="90" w:type="dxa"/>
              <w:bottom w:w="70" w:type="dxa"/>
              <w:end w:w="90" w:type="dxa"/>
            </w:tcMar>
          </w:tcPr>
          <w:p>
            <w:pPr>
              <w:spacing w:after="0" w:line="240" w:lineRule="auto"/>
            </w:pPr>
            <w:r>
              <w:rPr/>
            </w:r>
            <w:r>
              <w:rPr>
                <w:sz w:val="17"/>
              </w:rPr>
              <w:t>Practice owner</w:t>
            </w:r>
          </w:p>
        </w:tc>
        <w:tc>
          <w:tcPr>
            <w:tcW w:type="dxa" w:w="2376"/>
            <w:vAlign w:val="top"/>
            <w:tcMar>
              <w:top w:w="70" w:type="dxa"/>
              <w:start w:w="90" w:type="dxa"/>
              <w:bottom w:w="70" w:type="dxa"/>
              <w:end w:w="90" w:type="dxa"/>
            </w:tcMar>
          </w:tcPr>
          <w:p>
            <w:pPr>
              <w:spacing w:after="0" w:line="240" w:lineRule="auto"/>
            </w:pPr>
            <w:r>
              <w:rPr/>
            </w:r>
            <w:r>
              <w:rPr>
                <w:sz w:val="17"/>
              </w:rPr>
              <w:t>Eligible content, ownership, save/resume and submit are deterministic</w:t>
            </w:r>
          </w:p>
        </w:tc>
      </w:tr>
      <w:tr>
        <w:trPr>
          <w:cantSplit/>
        </w:trPr>
        <w:tc>
          <w:tcPr>
            <w:tcW w:type="dxa" w:w="2592"/>
            <w:vAlign w:val="top"/>
            <w:tcMar>
              <w:top w:w="70" w:type="dxa"/>
              <w:start w:w="90" w:type="dxa"/>
              <w:bottom w:w="70" w:type="dxa"/>
              <w:end w:w="90" w:type="dxa"/>
            </w:tcMar>
          </w:tcPr>
          <w:p>
            <w:pPr>
              <w:spacing w:after="0" w:line="240" w:lineRule="auto"/>
            </w:pPr>
            <w:r>
              <w:rPr/>
            </w:r>
            <w:r>
              <w:rPr>
                <w:sz w:val="17"/>
              </w:rPr>
              <w:t>WP-04 Media and feedback</w:t>
            </w:r>
          </w:p>
        </w:tc>
        <w:tc>
          <w:tcPr>
            <w:tcW w:type="dxa" w:w="2376"/>
            <w:vAlign w:val="top"/>
            <w:tcMar>
              <w:top w:w="70" w:type="dxa"/>
              <w:start w:w="90" w:type="dxa"/>
              <w:bottom w:w="70" w:type="dxa"/>
              <w:end w:w="90" w:type="dxa"/>
            </w:tcMar>
          </w:tcPr>
          <w:p>
            <w:pPr>
              <w:spacing w:after="0" w:line="240" w:lineRule="auto"/>
            </w:pPr>
            <w:r>
              <w:rPr/>
            </w:r>
            <w:r>
              <w:rPr>
                <w:rFonts w:ascii="Consolas" w:hAnsi="Consolas"/>
                <w:b w:val="0"/>
                <w:i w:val="0"/>
                <w:sz w:val="17"/>
              </w:rPr>
              <w:t>TC-PRACTICE-009</w:t>
            </w:r>
            <w:r>
              <w:rPr>
                <w:sz w:val="17"/>
              </w:rPr>
              <w:t xml:space="preserve"> through </w:t>
            </w:r>
            <w:r>
              <w:rPr>
                <w:rFonts w:ascii="Consolas" w:hAnsi="Consolas"/>
                <w:b w:val="0"/>
                <w:i w:val="0"/>
                <w:sz w:val="17"/>
              </w:rPr>
              <w:t>TC-PRACTICE-012</w:t>
            </w:r>
          </w:p>
        </w:tc>
        <w:tc>
          <w:tcPr>
            <w:tcW w:type="dxa" w:w="2376"/>
            <w:vAlign w:val="top"/>
            <w:tcMar>
              <w:top w:w="70" w:type="dxa"/>
              <w:start w:w="90" w:type="dxa"/>
              <w:bottom w:w="70" w:type="dxa"/>
              <w:end w:w="90" w:type="dxa"/>
            </w:tcMar>
          </w:tcPr>
          <w:p>
            <w:pPr>
              <w:spacing w:after="0" w:line="240" w:lineRule="auto"/>
            </w:pPr>
            <w:r>
              <w:rPr/>
            </w:r>
            <w:r>
              <w:rPr>
                <w:sz w:val="17"/>
              </w:rPr>
              <w:t>Practice/AI integration owner</w:t>
            </w:r>
          </w:p>
        </w:tc>
        <w:tc>
          <w:tcPr>
            <w:tcW w:type="dxa" w:w="2376"/>
            <w:vAlign w:val="top"/>
            <w:tcMar>
              <w:top w:w="70" w:type="dxa"/>
              <w:start w:w="90" w:type="dxa"/>
              <w:bottom w:w="70" w:type="dxa"/>
              <w:end w:w="90" w:type="dxa"/>
            </w:tcMar>
          </w:tcPr>
          <w:p>
            <w:pPr>
              <w:spacing w:after="0" w:line="240" w:lineRule="auto"/>
            </w:pPr>
            <w:r>
              <w:rPr/>
            </w:r>
            <w:r>
              <w:rPr>
                <w:sz w:val="17"/>
              </w:rPr>
              <w:t>Media and AI failures preserve answer state</w:t>
            </w:r>
          </w:p>
        </w:tc>
      </w:tr>
      <w:tr>
        <w:trPr>
          <w:cantSplit/>
        </w:trPr>
        <w:tc>
          <w:tcPr>
            <w:tcW w:type="dxa" w:w="2592"/>
            <w:vAlign w:val="top"/>
            <w:tcMar>
              <w:top w:w="70" w:type="dxa"/>
              <w:start w:w="90" w:type="dxa"/>
              <w:bottom w:w="70" w:type="dxa"/>
              <w:end w:w="90" w:type="dxa"/>
            </w:tcMar>
          </w:tcPr>
          <w:p>
            <w:pPr>
              <w:spacing w:after="0" w:line="240" w:lineRule="auto"/>
            </w:pPr>
            <w:r>
              <w:rPr/>
            </w:r>
            <w:r>
              <w:rPr>
                <w:sz w:val="17"/>
              </w:rPr>
              <w:t>WP-05 Channel flags</w:t>
            </w:r>
          </w:p>
        </w:tc>
        <w:tc>
          <w:tcPr>
            <w:tcW w:type="dxa" w:w="2376"/>
            <w:vAlign w:val="top"/>
            <w:tcMar>
              <w:top w:w="70" w:type="dxa"/>
              <w:start w:w="90" w:type="dxa"/>
              <w:bottom w:w="70" w:type="dxa"/>
              <w:end w:w="90" w:type="dxa"/>
            </w:tcMar>
          </w:tcPr>
          <w:p>
            <w:pPr>
              <w:spacing w:after="0" w:line="240" w:lineRule="auto"/>
            </w:pPr>
            <w:r>
              <w:rPr/>
            </w:r>
            <w:r>
              <w:rPr>
                <w:rFonts w:ascii="Consolas" w:hAnsi="Consolas"/>
                <w:b w:val="0"/>
                <w:i w:val="0"/>
                <w:sz w:val="17"/>
              </w:rPr>
              <w:t>TC-CONTENT-003</w:t>
            </w:r>
            <w:r>
              <w:rPr>
                <w:sz w:val="17"/>
              </w:rPr>
              <w:t xml:space="preserve"> through </w:t>
            </w:r>
            <w:r>
              <w:rPr>
                <w:rFonts w:ascii="Consolas" w:hAnsi="Consolas"/>
                <w:b w:val="0"/>
                <w:i w:val="0"/>
                <w:sz w:val="17"/>
              </w:rPr>
              <w:t>TC-CONTENT-006</w:t>
            </w:r>
          </w:p>
        </w:tc>
        <w:tc>
          <w:tcPr>
            <w:tcW w:type="dxa" w:w="2376"/>
            <w:vAlign w:val="top"/>
            <w:tcMar>
              <w:top w:w="70" w:type="dxa"/>
              <w:start w:w="90" w:type="dxa"/>
              <w:bottom w:w="70" w:type="dxa"/>
              <w:end w:w="90" w:type="dxa"/>
            </w:tcMar>
          </w:tcPr>
          <w:p>
            <w:pPr>
              <w:spacing w:after="0" w:line="240" w:lineRule="auto"/>
            </w:pPr>
            <w:r>
              <w:rPr/>
            </w:r>
            <w:r>
              <w:rPr>
                <w:sz w:val="17"/>
              </w:rPr>
              <w:t>Academic content owner</w:t>
            </w:r>
          </w:p>
        </w:tc>
        <w:tc>
          <w:tcPr>
            <w:tcW w:type="dxa" w:w="2376"/>
            <w:vAlign w:val="top"/>
            <w:tcMar>
              <w:top w:w="70" w:type="dxa"/>
              <w:start w:w="90" w:type="dxa"/>
              <w:bottom w:w="70" w:type="dxa"/>
              <w:end w:w="90" w:type="dxa"/>
            </w:tcMar>
          </w:tcPr>
          <w:p>
            <w:pPr>
              <w:spacing w:after="0" w:line="240" w:lineRule="auto"/>
            </w:pPr>
            <w:r>
              <w:rPr/>
            </w:r>
            <w:r>
              <w:rPr>
                <w:sz w:val="17"/>
              </w:rPr>
              <w:t>No cross-channel selection or frozen-content rewrite</w:t>
            </w:r>
          </w:p>
        </w:tc>
      </w:tr>
      <w:tr>
        <w:trPr>
          <w:cantSplit/>
        </w:trPr>
        <w:tc>
          <w:tcPr>
            <w:tcW w:type="dxa" w:w="2592"/>
            <w:vAlign w:val="top"/>
            <w:tcMar>
              <w:top w:w="70" w:type="dxa"/>
              <w:start w:w="90" w:type="dxa"/>
              <w:bottom w:w="70" w:type="dxa"/>
              <w:end w:w="90" w:type="dxa"/>
            </w:tcMar>
          </w:tcPr>
          <w:p>
            <w:pPr>
              <w:spacing w:after="0" w:line="240" w:lineRule="auto"/>
            </w:pPr>
            <w:r>
              <w:rPr/>
            </w:r>
            <w:r>
              <w:rPr>
                <w:sz w:val="17"/>
              </w:rPr>
              <w:t>WP-06 Exam regression</w:t>
            </w:r>
          </w:p>
        </w:tc>
        <w:tc>
          <w:tcPr>
            <w:tcW w:type="dxa" w:w="2376"/>
            <w:vAlign w:val="top"/>
            <w:tcMar>
              <w:top w:w="70" w:type="dxa"/>
              <w:start w:w="90" w:type="dxa"/>
              <w:bottom w:w="70" w:type="dxa"/>
              <w:end w:w="90" w:type="dxa"/>
            </w:tcMar>
          </w:tcPr>
          <w:p>
            <w:pPr>
              <w:spacing w:after="0" w:line="240" w:lineRule="auto"/>
            </w:pPr>
            <w:r>
              <w:rPr/>
            </w:r>
            <w:r>
              <w:rPr>
                <w:sz w:val="17"/>
              </w:rPr>
              <w:t>Existing delivery, Proctor, Examiner and publication cases</w:t>
            </w:r>
          </w:p>
        </w:tc>
        <w:tc>
          <w:tcPr>
            <w:tcW w:type="dxa" w:w="2376"/>
            <w:vAlign w:val="top"/>
            <w:tcMar>
              <w:top w:w="70" w:type="dxa"/>
              <w:start w:w="90" w:type="dxa"/>
              <w:bottom w:w="70" w:type="dxa"/>
              <w:end w:w="90" w:type="dxa"/>
            </w:tcMar>
          </w:tcPr>
          <w:p>
            <w:pPr>
              <w:spacing w:after="0" w:line="240" w:lineRule="auto"/>
            </w:pPr>
            <w:r>
              <w:rPr/>
            </w:r>
            <w:r>
              <w:rPr>
                <w:sz w:val="17"/>
              </w:rPr>
              <w:t>Exam workflow owner</w:t>
            </w:r>
          </w:p>
        </w:tc>
        <w:tc>
          <w:tcPr>
            <w:tcW w:type="dxa" w:w="2376"/>
            <w:vAlign w:val="top"/>
            <w:tcMar>
              <w:top w:w="70" w:type="dxa"/>
              <w:start w:w="90" w:type="dxa"/>
              <w:bottom w:w="70" w:type="dxa"/>
              <w:end w:w="90" w:type="dxa"/>
            </w:tcMar>
          </w:tcPr>
          <w:p>
            <w:pPr>
              <w:spacing w:after="0" w:line="240" w:lineRule="auto"/>
            </w:pPr>
            <w:r>
              <w:rPr/>
            </w:r>
            <w:r>
              <w:rPr>
                <w:sz w:val="17"/>
              </w:rPr>
              <w:t>New practice changes do not regress organization exam behavior</w:t>
            </w:r>
          </w:p>
        </w:tc>
      </w:tr>
    </w:tbl>
    <w:p>
      <w:pPr>
        <w:spacing w:after="20"/>
      </w:pPr>
    </w:p>
    <w:p>
      <w:pPr>
        <w:spacing w:after="80" w:line="240" w:lineRule="auto"/>
      </w:pPr>
      <w:r>
        <w:rPr>
          <w:sz w:val="19"/>
        </w:rPr>
        <w:t xml:space="preserve">Dependent D01-D03 cases remain </w:t>
      </w:r>
      <w:r>
        <w:rPr>
          <w:rFonts w:ascii="Consolas" w:hAnsi="Consolas"/>
          <w:b w:val="0"/>
          <w:i w:val="0"/>
          <w:sz w:val="17"/>
        </w:rPr>
        <w:t>Blocked by decision</w:t>
      </w:r>
      <w:r>
        <w:rPr>
          <w:sz w:val="19"/>
        </w:rPr>
        <w:t xml:space="preserve"> until the corresponding expected result is accepted. This is different from </w:t>
      </w:r>
      <w:r>
        <w:rPr>
          <w:rFonts w:ascii="Consolas" w:hAnsi="Consolas"/>
          <w:b w:val="0"/>
          <w:i w:val="0"/>
          <w:sz w:val="17"/>
        </w:rPr>
        <w:t>Out of scope</w:t>
      </w:r>
      <w:r>
        <w:rPr>
          <w:sz w:val="19"/>
        </w:rPr>
        <w:t xml:space="preserve"> and must not be counted as a passed test.</w:t>
      </w:r>
    </w:p>
    <w:p>
      <w:pPr>
        <w:pStyle w:val="Heading2"/>
        <w:keepNext/>
        <w:pageBreakBefore w:val="0"/>
      </w:pPr>
      <w:r>
        <w:t>4. Test Cases</w:t>
      </w:r>
    </w:p>
    <w:p>
      <w:pPr>
        <w:spacing w:after="80" w:line="240" w:lineRule="auto"/>
      </w:pPr>
      <w:r>
        <w:rPr>
          <w:sz w:val="19"/>
        </w:rPr>
        <w:t xml:space="preserve">This section maps the original DOCX heading </w:t>
      </w:r>
      <w:r>
        <w:rPr>
          <w:b/>
          <w:i w:val="0"/>
          <w:sz w:val="19"/>
        </w:rPr>
        <w:t>4. Test Cases</w:t>
      </w:r>
      <w:r>
        <w:rPr>
          <w:sz w:val="19"/>
        </w:rPr>
        <w:t xml:space="preserve">. The cases are executable specifications derived from Reports 3–4. Their baseline status is </w:t>
      </w:r>
      <w:r>
        <w:rPr>
          <w:b/>
          <w:i w:val="0"/>
          <w:sz w:val="19"/>
        </w:rPr>
        <w:t>Planned</w:t>
      </w:r>
      <w:r>
        <w:rPr>
          <w:sz w:val="19"/>
        </w:rPr>
        <w:t>; no case is presented as an executed result in this documentation version.</w:t>
      </w:r>
    </w:p>
    <w:p>
      <w:pPr>
        <w:pStyle w:val="Heading3"/>
        <w:keepNext/>
        <w:pageBreakBefore w:val="0"/>
      </w:pPr>
      <w:r>
        <w:t>4.1 Test-case record format</w:t>
      </w:r>
    </w:p>
    <w:p>
      <w:pPr>
        <w:spacing w:after="80" w:line="240" w:lineRule="auto"/>
      </w:pPr>
      <w:r>
        <w:rPr>
          <w:sz w:val="19"/>
        </w:rPr>
        <w:t>Each case records:</w:t>
      </w:r>
    </w:p>
    <w:p>
      <w:pPr>
        <w:pStyle w:val="ListParagraph"/>
        <w:numPr>
          <w:ilvl w:val="0"/>
          <w:numId w:val="17"/>
        </w:numPr>
        <w:spacing w:after="40"/>
      </w:pPr>
      <w:r>
        <w:rPr>
          <w:rFonts w:ascii="Consolas" w:hAnsi="Consolas"/>
          <w:b w:val="0"/>
          <w:i w:val="0"/>
          <w:sz w:val="17"/>
        </w:rPr>
        <w:t>TC-*</w:t>
      </w:r>
      <w:r>
        <w:rPr>
          <w:sz w:val="18"/>
        </w:rPr>
        <w:t xml:space="preserve"> case ID and </w:t>
      </w:r>
      <w:r>
        <w:rPr>
          <w:rFonts w:ascii="Consolas" w:hAnsi="Consolas"/>
          <w:b w:val="0"/>
          <w:i w:val="0"/>
          <w:sz w:val="17"/>
        </w:rPr>
        <w:t>OBJ-*</w:t>
      </w:r>
      <w:r>
        <w:rPr>
          <w:sz w:val="18"/>
        </w:rPr>
        <w:t xml:space="preserve"> objective;</w:t>
      </w:r>
    </w:p>
    <w:p>
      <w:pPr>
        <w:pStyle w:val="ListParagraph"/>
        <w:numPr>
          <w:ilvl w:val="0"/>
          <w:numId w:val="17"/>
        </w:numPr>
        <w:spacing w:after="40"/>
      </w:pPr>
      <w:r>
        <w:rPr>
          <w:sz w:val="18"/>
        </w:rPr>
        <w:t>risk/priority and test level/type;</w:t>
      </w:r>
    </w:p>
    <w:p>
      <w:pPr>
        <w:pStyle w:val="ListParagraph"/>
        <w:numPr>
          <w:ilvl w:val="0"/>
          <w:numId w:val="17"/>
        </w:numPr>
        <w:spacing w:after="40"/>
      </w:pPr>
      <w:r>
        <w:rPr>
          <w:sz w:val="18"/>
        </w:rPr>
        <w:t>product actor and test responsibility separately;</w:t>
      </w:r>
    </w:p>
    <w:p>
      <w:pPr>
        <w:pStyle w:val="ListParagraph"/>
        <w:numPr>
          <w:ilvl w:val="0"/>
          <w:numId w:val="17"/>
        </w:numPr>
        <w:spacing w:after="40"/>
      </w:pPr>
      <w:r>
        <w:rPr>
          <w:sz w:val="18"/>
        </w:rPr>
        <w:t>preconditions, safe data, steps, expected result;</w:t>
      </w:r>
    </w:p>
    <w:p>
      <w:pPr>
        <w:pStyle w:val="ListParagraph"/>
        <w:numPr>
          <w:ilvl w:val="0"/>
          <w:numId w:val="17"/>
        </w:numPr>
        <w:spacing w:after="40"/>
      </w:pPr>
      <w:r>
        <w:rPr>
          <w:sz w:val="18"/>
        </w:rPr>
        <w:t>requirement/business/design/sequence links;</w:t>
      </w:r>
    </w:p>
    <w:p>
      <w:pPr>
        <w:pStyle w:val="ListParagraph"/>
        <w:numPr>
          <w:ilvl w:val="0"/>
          <w:numId w:val="17"/>
        </w:numPr>
        <w:spacing w:after="40"/>
      </w:pPr>
      <w:r>
        <w:rPr>
          <w:sz w:val="18"/>
        </w:rPr>
        <w:t>environment/build and evidence path fields;</w:t>
      </w:r>
    </w:p>
    <w:p>
      <w:pPr>
        <w:pStyle w:val="ListParagraph"/>
        <w:numPr>
          <w:ilvl w:val="0"/>
          <w:numId w:val="17"/>
        </w:numPr>
        <w:spacing w:after="40"/>
      </w:pPr>
      <w:r>
        <w:rPr>
          <w:sz w:val="18"/>
        </w:rPr>
        <w:t>result state to fill only after an actual run.</w:t>
      </w:r>
    </w:p>
    <w:p>
      <w:pPr>
        <w:pStyle w:val="Heading3"/>
        <w:keepNext/>
        <w:pageBreakBefore w:val="0"/>
      </w:pPr>
      <w:r>
        <w:t>4.2 Access, tenant, and onboarding cases</w:t>
      </w:r>
    </w:p>
    <w:tbl>
      <w:tblPr>
        <w:tblW w:type="auto" w:w="0"/>
        <w:jc w:val="center"/>
        <w:tblLayout w:type="fixed"/>
        <w:tblLook w:firstColumn="1" w:firstRow="1" w:lastColumn="0" w:lastRow="0" w:noHBand="0" w:noVBand="1" w:val="04A0"/>
      </w:tblPr>
      <w:tblGrid>
        <w:gridCol w:w="1293"/>
        <w:gridCol w:w="1293"/>
        <w:gridCol w:w="1293"/>
        <w:gridCol w:w="1293"/>
        <w:gridCol w:w="1293"/>
        <w:gridCol w:w="1293"/>
        <w:gridCol w:w="1293"/>
      </w:tblGrid>
      <w:tr>
        <w:trPr>
          <w:tblHeader w:val="true"/>
          <w:cantSplit/>
        </w:trPr>
        <w:tc>
          <w:tcPr>
            <w:tcW w:type="dxa" w:w="761"/>
            <w:vAlign w:val="top"/>
            <w:tcMar>
              <w:top w:w="70" w:type="dxa"/>
              <w:start w:w="90" w:type="dxa"/>
              <w:bottom w:w="70" w:type="dxa"/>
              <w:end w:w="90" w:type="dxa"/>
            </w:tcMar>
            <w:shd w:val="clear" w:color="auto" w:fill="FFE8E1"/>
          </w:tcPr>
          <w:p>
            <w:pPr>
              <w:spacing w:after="0" w:line="240" w:lineRule="auto"/>
            </w:pPr>
            <w:r>
              <w:rPr>
                <w:b/>
              </w:rPr>
            </w:r>
            <w:r>
              <w:rPr>
                <w:b/>
                <w:sz w:val="16"/>
              </w:rPr>
              <w:t>ID</w:t>
            </w:r>
          </w:p>
        </w:tc>
        <w:tc>
          <w:tcPr>
            <w:tcW w:type="dxa" w:w="1015"/>
            <w:vAlign w:val="top"/>
            <w:tcMar>
              <w:top w:w="70" w:type="dxa"/>
              <w:start w:w="90" w:type="dxa"/>
              <w:bottom w:w="70" w:type="dxa"/>
              <w:end w:w="90" w:type="dxa"/>
            </w:tcMar>
            <w:shd w:val="clear" w:color="auto" w:fill="FFE8E1"/>
          </w:tcPr>
          <w:p>
            <w:pPr>
              <w:spacing w:after="0" w:line="240" w:lineRule="auto"/>
            </w:pPr>
            <w:r>
              <w:rPr>
                <w:b/>
              </w:rPr>
            </w:r>
            <w:r>
              <w:rPr>
                <w:b/>
                <w:sz w:val="16"/>
              </w:rPr>
              <w:t>Objective</w:t>
            </w:r>
          </w:p>
        </w:tc>
        <w:tc>
          <w:tcPr>
            <w:tcW w:type="dxa" w:w="1200"/>
            <w:vAlign w:val="top"/>
            <w:tcMar>
              <w:top w:w="70" w:type="dxa"/>
              <w:start w:w="90" w:type="dxa"/>
              <w:bottom w:w="70" w:type="dxa"/>
              <w:end w:w="90" w:type="dxa"/>
            </w:tcMar>
            <w:shd w:val="clear" w:color="auto" w:fill="FFE8E1"/>
          </w:tcPr>
          <w:p>
            <w:pPr>
              <w:spacing w:after="0" w:line="240" w:lineRule="auto"/>
            </w:pPr>
            <w:r>
              <w:rPr>
                <w:b/>
              </w:rPr>
            </w:r>
            <w:r>
              <w:rPr>
                <w:b/>
                <w:sz w:val="16"/>
              </w:rPr>
              <w:t>Type/priority</w:t>
            </w:r>
          </w:p>
        </w:tc>
        <w:tc>
          <w:tcPr>
            <w:tcW w:type="dxa" w:w="2124"/>
            <w:vAlign w:val="top"/>
            <w:tcMar>
              <w:top w:w="70" w:type="dxa"/>
              <w:start w:w="90" w:type="dxa"/>
              <w:bottom w:w="70" w:type="dxa"/>
              <w:end w:w="90" w:type="dxa"/>
            </w:tcMar>
            <w:shd w:val="clear" w:color="auto" w:fill="FFE8E1"/>
          </w:tcPr>
          <w:p>
            <w:pPr>
              <w:spacing w:after="0" w:line="240" w:lineRule="auto"/>
            </w:pPr>
            <w:r>
              <w:rPr>
                <w:b/>
              </w:rPr>
            </w:r>
            <w:r>
              <w:rPr>
                <w:b/>
                <w:sz w:val="16"/>
              </w:rPr>
              <w:t>Preconditions and steps</w:t>
            </w:r>
          </w:p>
        </w:tc>
        <w:tc>
          <w:tcPr>
            <w:tcW w:type="dxa" w:w="1385"/>
            <w:vAlign w:val="top"/>
            <w:tcMar>
              <w:top w:w="70" w:type="dxa"/>
              <w:start w:w="90" w:type="dxa"/>
              <w:bottom w:w="70" w:type="dxa"/>
              <w:end w:w="90" w:type="dxa"/>
            </w:tcMar>
            <w:shd w:val="clear" w:color="auto" w:fill="FFE8E1"/>
          </w:tcPr>
          <w:p>
            <w:pPr>
              <w:spacing w:after="0" w:line="240" w:lineRule="auto"/>
            </w:pPr>
            <w:r>
              <w:rPr>
                <w:b/>
              </w:rPr>
            </w:r>
            <w:r>
              <w:rPr>
                <w:b/>
                <w:sz w:val="16"/>
              </w:rPr>
              <w:t>Expected result</w:t>
            </w:r>
          </w:p>
        </w:tc>
        <w:tc>
          <w:tcPr>
            <w:tcW w:type="dxa" w:w="1108"/>
            <w:vAlign w:val="top"/>
            <w:tcMar>
              <w:top w:w="70" w:type="dxa"/>
              <w:start w:w="90" w:type="dxa"/>
              <w:bottom w:w="70" w:type="dxa"/>
              <w:end w:w="90" w:type="dxa"/>
            </w:tcMar>
            <w:shd w:val="clear" w:color="auto" w:fill="FFE8E1"/>
          </w:tcPr>
          <w:p>
            <w:pPr>
              <w:spacing w:after="0" w:line="240" w:lineRule="auto"/>
            </w:pPr>
            <w:r>
              <w:rPr>
                <w:b/>
              </w:rPr>
            </w:r>
            <w:r>
              <w:rPr>
                <w:b/>
                <w:sz w:val="16"/>
              </w:rPr>
              <w:t>Traceability</w:t>
            </w:r>
          </w:p>
        </w:tc>
        <w:tc>
          <w:tcPr>
            <w:tcW w:type="dxa" w:w="2124"/>
            <w:vAlign w:val="top"/>
            <w:tcMar>
              <w:top w:w="70" w:type="dxa"/>
              <w:start w:w="90" w:type="dxa"/>
              <w:bottom w:w="70" w:type="dxa"/>
              <w:end w:w="90" w:type="dxa"/>
            </w:tcMar>
            <w:shd w:val="clear" w:color="auto" w:fill="FFE8E1"/>
          </w:tcPr>
          <w:p>
            <w:pPr>
              <w:spacing w:after="0" w:line="240" w:lineRule="auto"/>
            </w:pPr>
            <w:r>
              <w:rPr>
                <w:b/>
              </w:rPr>
            </w:r>
            <w:r>
              <w:rPr>
                <w:b/>
                <w:sz w:val="16"/>
              </w:rPr>
              <w:t>Planned result/evidence</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TC-ACCESS-001</w:t>
            </w:r>
          </w:p>
        </w:tc>
        <w:tc>
          <w:tcPr>
            <w:tcW w:type="dxa" w:w="1015"/>
            <w:vAlign w:val="top"/>
            <w:tcMar>
              <w:top w:w="70" w:type="dxa"/>
              <w:start w:w="90" w:type="dxa"/>
              <w:bottom w:w="70" w:type="dxa"/>
              <w:end w:w="90" w:type="dxa"/>
            </w:tcMar>
          </w:tcPr>
          <w:p>
            <w:pPr>
              <w:spacing w:after="0" w:line="240" w:lineRule="auto"/>
            </w:pPr>
            <w:r>
              <w:rPr/>
            </w:r>
            <w:r>
              <w:rPr>
                <w:sz w:val="16"/>
              </w:rPr>
              <w:t>Verify pending registration cannot enter a workspace</w:t>
            </w:r>
          </w:p>
        </w:tc>
        <w:tc>
          <w:tcPr>
            <w:tcW w:type="dxa" w:w="1200"/>
            <w:vAlign w:val="top"/>
            <w:tcMar>
              <w:top w:w="70" w:type="dxa"/>
              <w:start w:w="90" w:type="dxa"/>
              <w:bottom w:w="70" w:type="dxa"/>
              <w:end w:w="90" w:type="dxa"/>
            </w:tcMar>
          </w:tcPr>
          <w:p>
            <w:pPr>
              <w:spacing w:after="0" w:line="240" w:lineRule="auto"/>
            </w:pPr>
            <w:r>
              <w:rPr/>
            </w:r>
            <w:r>
              <w:rPr>
                <w:sz w:val="16"/>
              </w:rPr>
              <w:t>Negative, Critical</w:t>
            </w:r>
          </w:p>
        </w:tc>
        <w:tc>
          <w:tcPr>
            <w:tcW w:type="dxa" w:w="2124"/>
            <w:vAlign w:val="top"/>
            <w:tcMar>
              <w:top w:w="70" w:type="dxa"/>
              <w:start w:w="90" w:type="dxa"/>
              <w:bottom w:w="70" w:type="dxa"/>
              <w:end w:w="90" w:type="dxa"/>
            </w:tcMar>
          </w:tcPr>
          <w:p>
            <w:pPr>
              <w:spacing w:after="0" w:line="240" w:lineRule="auto"/>
            </w:pPr>
            <w:r>
              <w:rPr/>
            </w:r>
            <w:r>
              <w:rPr>
                <w:sz w:val="16"/>
              </w:rPr>
              <w:t>Submit valid registration; attempt tenant operation before approval.</w:t>
            </w:r>
          </w:p>
        </w:tc>
        <w:tc>
          <w:tcPr>
            <w:tcW w:type="dxa" w:w="1385"/>
            <w:vAlign w:val="top"/>
            <w:tcMar>
              <w:top w:w="70" w:type="dxa"/>
              <w:start w:w="90" w:type="dxa"/>
              <w:bottom w:w="70" w:type="dxa"/>
              <w:end w:w="90" w:type="dxa"/>
            </w:tcMar>
          </w:tcPr>
          <w:p>
            <w:pPr>
              <w:spacing w:after="0" w:line="240" w:lineRule="auto"/>
            </w:pPr>
            <w:r>
              <w:rPr/>
            </w:r>
            <w:r>
              <w:rPr>
                <w:sz w:val="16"/>
              </w:rPr>
              <w:t>Registration remains pending; no Host workspace or package action is available.</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OBJ-ACCESS-001</w:t>
            </w:r>
            <w:r>
              <w:rPr>
                <w:sz w:val="16"/>
              </w:rPr>
              <w:t xml:space="preserve">, </w:t>
            </w:r>
            <w:r>
              <w:rPr>
                <w:rFonts w:ascii="Consolas" w:hAnsi="Consolas"/>
                <w:b w:val="0"/>
                <w:i w:val="0"/>
                <w:sz w:val="17"/>
              </w:rPr>
              <w:t>FR-ONBOARD-001</w:t>
            </w:r>
            <w:r>
              <w:rPr>
                <w:sz w:val="16"/>
              </w:rPr>
              <w:t xml:space="preserve">, </w:t>
            </w:r>
            <w:r>
              <w:rPr>
                <w:rFonts w:ascii="Consolas" w:hAnsi="Consolas"/>
                <w:b w:val="0"/>
                <w:i w:val="0"/>
                <w:sz w:val="17"/>
              </w:rPr>
              <w:t>BR-ACCESS-008</w:t>
            </w:r>
            <w:r>
              <w:rPr>
                <w:sz w:val="16"/>
              </w:rPr>
              <w:t xml:space="preserve">, </w:t>
            </w:r>
            <w:r>
              <w:rPr>
                <w:rFonts w:ascii="Consolas" w:hAnsi="Consolas"/>
                <w:b w:val="0"/>
                <w:i w:val="0"/>
                <w:sz w:val="17"/>
              </w:rPr>
              <w:t>NFR-09</w:t>
            </w:r>
          </w:p>
        </w:tc>
        <w:tc>
          <w:tcPr>
            <w:tcW w:type="dxa" w:w="2124"/>
            <w:vAlign w:val="top"/>
            <w:tcMar>
              <w:top w:w="70" w:type="dxa"/>
              <w:start w:w="90" w:type="dxa"/>
              <w:bottom w:w="70" w:type="dxa"/>
              <w:end w:w="90" w:type="dxa"/>
            </w:tcMar>
          </w:tcPr>
          <w:p>
            <w:pPr>
              <w:spacing w:after="0" w:line="240" w:lineRule="auto"/>
            </w:pPr>
            <w:r>
              <w:rPr/>
            </w:r>
            <w:r>
              <w:rPr>
                <w:sz w:val="16"/>
              </w:rPr>
              <w:t xml:space="preserve">Planned; fill </w:t>
            </w:r>
            <w:r>
              <w:rPr>
                <w:rFonts w:ascii="Consolas" w:hAnsi="Consolas"/>
                <w:b w:val="0"/>
                <w:i w:val="0"/>
                <w:sz w:val="17"/>
              </w:rPr>
              <w:t>ENV-*</w:t>
            </w:r>
            <w:r>
              <w:rPr>
                <w:sz w:val="16"/>
              </w:rPr>
              <w:t>, date, observation, evidence.</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TC-ACCESS-002</w:t>
            </w:r>
          </w:p>
        </w:tc>
        <w:tc>
          <w:tcPr>
            <w:tcW w:type="dxa" w:w="1015"/>
            <w:vAlign w:val="top"/>
            <w:tcMar>
              <w:top w:w="70" w:type="dxa"/>
              <w:start w:w="90" w:type="dxa"/>
              <w:bottom w:w="70" w:type="dxa"/>
              <w:end w:w="90" w:type="dxa"/>
            </w:tcMar>
          </w:tcPr>
          <w:p>
            <w:pPr>
              <w:spacing w:after="0" w:line="240" w:lineRule="auto"/>
            </w:pPr>
            <w:r>
              <w:rPr/>
            </w:r>
            <w:r>
              <w:rPr>
                <w:sz w:val="16"/>
              </w:rPr>
              <w:t>Verify approval materializes one organization/Host</w:t>
            </w:r>
          </w:p>
        </w:tc>
        <w:tc>
          <w:tcPr>
            <w:tcW w:type="dxa" w:w="1200"/>
            <w:vAlign w:val="top"/>
            <w:tcMar>
              <w:top w:w="70" w:type="dxa"/>
              <w:start w:w="90" w:type="dxa"/>
              <w:bottom w:w="70" w:type="dxa"/>
              <w:end w:w="90" w:type="dxa"/>
            </w:tcMar>
          </w:tcPr>
          <w:p>
            <w:pPr>
              <w:spacing w:after="0" w:line="240" w:lineRule="auto"/>
            </w:pPr>
            <w:r>
              <w:rPr/>
            </w:r>
            <w:r>
              <w:rPr>
                <w:sz w:val="16"/>
              </w:rPr>
              <w:t>Functional/idempotency, Critical</w:t>
            </w:r>
          </w:p>
        </w:tc>
        <w:tc>
          <w:tcPr>
            <w:tcW w:type="dxa" w:w="2124"/>
            <w:vAlign w:val="top"/>
            <w:tcMar>
              <w:top w:w="70" w:type="dxa"/>
              <w:start w:w="90" w:type="dxa"/>
              <w:bottom w:w="70" w:type="dxa"/>
              <w:end w:w="90" w:type="dxa"/>
            </w:tcMar>
          </w:tcPr>
          <w:p>
            <w:pPr>
              <w:spacing w:after="0" w:line="240" w:lineRule="auto"/>
            </w:pPr>
            <w:r>
              <w:rPr/>
            </w:r>
            <w:r>
              <w:rPr>
                <w:sz w:val="16"/>
              </w:rPr>
              <w:t>Approve one pending registration; repeat approval request.</w:t>
            </w:r>
          </w:p>
        </w:tc>
        <w:tc>
          <w:tcPr>
            <w:tcW w:type="dxa" w:w="1385"/>
            <w:vAlign w:val="top"/>
            <w:tcMar>
              <w:top w:w="70" w:type="dxa"/>
              <w:start w:w="90" w:type="dxa"/>
              <w:bottom w:w="70" w:type="dxa"/>
              <w:end w:w="90" w:type="dxa"/>
            </w:tcMar>
          </w:tcPr>
          <w:p>
            <w:pPr>
              <w:spacing w:after="0" w:line="240" w:lineRule="auto"/>
            </w:pPr>
            <w:r>
              <w:rPr/>
            </w:r>
            <w:r>
              <w:rPr>
                <w:sz w:val="16"/>
              </w:rPr>
              <w:t>One organization and first Host scope exist; repeat returns existing state; audit shows one decision.</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OBJ-ACCESS-002</w:t>
            </w:r>
            <w:r>
              <w:rPr>
                <w:sz w:val="16"/>
              </w:rPr>
              <w:t xml:space="preserve">, </w:t>
            </w:r>
            <w:r>
              <w:rPr>
                <w:rFonts w:ascii="Consolas" w:hAnsi="Consolas"/>
                <w:b w:val="0"/>
                <w:i w:val="0"/>
                <w:sz w:val="17"/>
              </w:rPr>
              <w:t>FR-ONBOARD-002</w:t>
            </w:r>
            <w:r>
              <w:rPr>
                <w:sz w:val="16"/>
              </w:rPr>
              <w:t>–</w:t>
            </w:r>
            <w:r>
              <w:rPr>
                <w:rFonts w:ascii="Consolas" w:hAnsi="Consolas"/>
                <w:b w:val="0"/>
                <w:i w:val="0"/>
                <w:sz w:val="17"/>
              </w:rPr>
              <w:t>FR-ONBOARD-003</w:t>
            </w:r>
            <w:r>
              <w:rPr>
                <w:sz w:val="16"/>
              </w:rPr>
              <w:t xml:space="preserve">, </w:t>
            </w:r>
            <w:r>
              <w:rPr>
                <w:rFonts w:ascii="Consolas" w:hAnsi="Consolas"/>
                <w:b w:val="0"/>
                <w:i w:val="0"/>
                <w:sz w:val="17"/>
              </w:rPr>
              <w:t>SEQ-ONBOARD-001</w:t>
            </w:r>
            <w:r>
              <w:rPr>
                <w:sz w:val="16"/>
              </w:rPr>
              <w:t xml:space="preserve">, </w:t>
            </w:r>
            <w:r>
              <w:rPr>
                <w:rFonts w:ascii="Consolas" w:hAnsi="Consolas"/>
                <w:b w:val="0"/>
                <w:i w:val="0"/>
                <w:sz w:val="17"/>
              </w:rPr>
              <w:t>DB-INV-003</w:t>
            </w:r>
          </w:p>
        </w:tc>
        <w:tc>
          <w:tcPr>
            <w:tcW w:type="dxa" w:w="2124"/>
            <w:vAlign w:val="top"/>
            <w:tcMar>
              <w:top w:w="70" w:type="dxa"/>
              <w:start w:w="90" w:type="dxa"/>
              <w:bottom w:w="70" w:type="dxa"/>
              <w:end w:w="90" w:type="dxa"/>
            </w:tcMar>
          </w:tcPr>
          <w:p>
            <w:pPr>
              <w:spacing w:after="0" w:line="240" w:lineRule="auto"/>
            </w:pPr>
            <w:r>
              <w:rPr/>
            </w:r>
            <w:r>
              <w:rPr>
                <w:sz w:val="16"/>
              </w:rPr>
              <w:t>Planned; no execution claim.</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TC-ACCESS-003</w:t>
            </w:r>
          </w:p>
        </w:tc>
        <w:tc>
          <w:tcPr>
            <w:tcW w:type="dxa" w:w="1015"/>
            <w:vAlign w:val="top"/>
            <w:tcMar>
              <w:top w:w="70" w:type="dxa"/>
              <w:start w:w="90" w:type="dxa"/>
              <w:bottom w:w="70" w:type="dxa"/>
              <w:end w:w="90" w:type="dxa"/>
            </w:tcMar>
          </w:tcPr>
          <w:p>
            <w:pPr>
              <w:spacing w:after="0" w:line="240" w:lineRule="auto"/>
            </w:pPr>
            <w:r>
              <w:rPr/>
            </w:r>
            <w:r>
              <w:rPr>
                <w:sz w:val="16"/>
              </w:rPr>
              <w:t>Verify cross-tenant denial</w:t>
            </w:r>
          </w:p>
        </w:tc>
        <w:tc>
          <w:tcPr>
            <w:tcW w:type="dxa" w:w="1200"/>
            <w:vAlign w:val="top"/>
            <w:tcMar>
              <w:top w:w="70" w:type="dxa"/>
              <w:start w:w="90" w:type="dxa"/>
              <w:bottom w:w="70" w:type="dxa"/>
              <w:end w:w="90" w:type="dxa"/>
            </w:tcMar>
          </w:tcPr>
          <w:p>
            <w:pPr>
              <w:spacing w:after="0" w:line="240" w:lineRule="auto"/>
            </w:pPr>
            <w:r>
              <w:rPr/>
            </w:r>
            <w:r>
              <w:rPr>
                <w:sz w:val="16"/>
              </w:rPr>
              <w:t>Authorization, Critical</w:t>
            </w:r>
          </w:p>
        </w:tc>
        <w:tc>
          <w:tcPr>
            <w:tcW w:type="dxa" w:w="2124"/>
            <w:vAlign w:val="top"/>
            <w:tcMar>
              <w:top w:w="70" w:type="dxa"/>
              <w:start w:w="90" w:type="dxa"/>
              <w:bottom w:w="70" w:type="dxa"/>
              <w:end w:w="90" w:type="dxa"/>
            </w:tcMar>
          </w:tcPr>
          <w:p>
            <w:pPr>
              <w:spacing w:after="0" w:line="240" w:lineRule="auto"/>
            </w:pPr>
            <w:r>
              <w:rPr/>
            </w:r>
            <w:r>
              <w:rPr>
                <w:sz w:val="16"/>
              </w:rPr>
              <w:t>Sign in as Host A; request Student/attempt/report object belonging to B.</w:t>
            </w:r>
          </w:p>
        </w:tc>
        <w:tc>
          <w:tcPr>
            <w:tcW w:type="dxa" w:w="1385"/>
            <w:vAlign w:val="top"/>
            <w:tcMar>
              <w:top w:w="70" w:type="dxa"/>
              <w:start w:w="90" w:type="dxa"/>
              <w:bottom w:w="70" w:type="dxa"/>
              <w:end w:w="90" w:type="dxa"/>
            </w:tcMar>
          </w:tcPr>
          <w:p>
            <w:pPr>
              <w:spacing w:after="0" w:line="240" w:lineRule="auto"/>
            </w:pPr>
            <w:r>
              <w:rPr/>
            </w:r>
            <w:r>
              <w:rPr>
                <w:sz w:val="16"/>
              </w:rPr>
              <w:t>Server denies; no data mutation or sensitive detail appears.</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OBJ-SEC-001</w:t>
            </w:r>
            <w:r>
              <w:rPr>
                <w:sz w:val="16"/>
              </w:rPr>
              <w:t xml:space="preserve">, </w:t>
            </w:r>
            <w:r>
              <w:rPr>
                <w:rFonts w:ascii="Consolas" w:hAnsi="Consolas"/>
                <w:b w:val="0"/>
                <w:i w:val="0"/>
                <w:sz w:val="17"/>
              </w:rPr>
              <w:t>FR-HARDENING-002</w:t>
            </w:r>
            <w:r>
              <w:rPr>
                <w:sz w:val="16"/>
              </w:rPr>
              <w:t xml:space="preserve">, </w:t>
            </w:r>
            <w:r>
              <w:rPr>
                <w:rFonts w:ascii="Consolas" w:hAnsi="Consolas"/>
                <w:b w:val="0"/>
                <w:i w:val="0"/>
                <w:sz w:val="17"/>
              </w:rPr>
              <w:t>NFR-09</w:t>
            </w:r>
            <w:r>
              <w:rPr>
                <w:sz w:val="16"/>
              </w:rPr>
              <w:t xml:space="preserve">, </w:t>
            </w:r>
            <w:r>
              <w:rPr>
                <w:rFonts w:ascii="Consolas" w:hAnsi="Consolas"/>
                <w:b w:val="0"/>
                <w:i w:val="0"/>
                <w:sz w:val="17"/>
              </w:rPr>
              <w:t>DB-INV-001</w:t>
            </w:r>
          </w:p>
        </w:tc>
        <w:tc>
          <w:tcPr>
            <w:tcW w:type="dxa" w:w="2124"/>
            <w:vAlign w:val="top"/>
            <w:tcMar>
              <w:top w:w="70" w:type="dxa"/>
              <w:start w:w="90" w:type="dxa"/>
              <w:bottom w:w="70" w:type="dxa"/>
              <w:end w:w="90" w:type="dxa"/>
            </w:tcMar>
          </w:tcPr>
          <w:p>
            <w:pPr>
              <w:spacing w:after="0" w:line="240" w:lineRule="auto"/>
            </w:pPr>
            <w:r>
              <w:rPr/>
            </w:r>
            <w:r>
              <w:rPr>
                <w:sz w:val="16"/>
              </w:rPr>
              <w:t>Planned; requires Organization A/B fixture.</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TC-ACCESS-004</w:t>
            </w:r>
          </w:p>
        </w:tc>
        <w:tc>
          <w:tcPr>
            <w:tcW w:type="dxa" w:w="1015"/>
            <w:vAlign w:val="top"/>
            <w:tcMar>
              <w:top w:w="70" w:type="dxa"/>
              <w:start w:w="90" w:type="dxa"/>
              <w:bottom w:w="70" w:type="dxa"/>
              <w:end w:w="90" w:type="dxa"/>
            </w:tcMar>
          </w:tcPr>
          <w:p>
            <w:pPr>
              <w:spacing w:after="0" w:line="240" w:lineRule="auto"/>
            </w:pPr>
            <w:r>
              <w:rPr/>
            </w:r>
            <w:r>
              <w:rPr>
                <w:sz w:val="16"/>
              </w:rPr>
              <w:t>Verify assignment-scope denial</w:t>
            </w:r>
          </w:p>
        </w:tc>
        <w:tc>
          <w:tcPr>
            <w:tcW w:type="dxa" w:w="1200"/>
            <w:vAlign w:val="top"/>
            <w:tcMar>
              <w:top w:w="70" w:type="dxa"/>
              <w:start w:w="90" w:type="dxa"/>
              <w:bottom w:w="70" w:type="dxa"/>
              <w:end w:w="90" w:type="dxa"/>
            </w:tcMar>
          </w:tcPr>
          <w:p>
            <w:pPr>
              <w:spacing w:after="0" w:line="240" w:lineRule="auto"/>
            </w:pPr>
            <w:r>
              <w:rPr/>
            </w:r>
            <w:r>
              <w:rPr>
                <w:sz w:val="16"/>
              </w:rPr>
              <w:t>Authorization, High</w:t>
            </w:r>
          </w:p>
        </w:tc>
        <w:tc>
          <w:tcPr>
            <w:tcW w:type="dxa" w:w="2124"/>
            <w:vAlign w:val="top"/>
            <w:tcMar>
              <w:top w:w="70" w:type="dxa"/>
              <w:start w:w="90" w:type="dxa"/>
              <w:bottom w:w="70" w:type="dxa"/>
              <w:end w:w="90" w:type="dxa"/>
            </w:tcMar>
          </w:tcPr>
          <w:p>
            <w:pPr>
              <w:spacing w:after="0" w:line="240" w:lineRule="auto"/>
            </w:pPr>
            <w:r>
              <w:rPr/>
            </w:r>
            <w:r>
              <w:rPr>
                <w:sz w:val="16"/>
              </w:rPr>
              <w:t>Proctor/Examiner from another exam requests status/work item.</w:t>
            </w:r>
          </w:p>
        </w:tc>
        <w:tc>
          <w:tcPr>
            <w:tcW w:type="dxa" w:w="1385"/>
            <w:vAlign w:val="top"/>
            <w:tcMar>
              <w:top w:w="70" w:type="dxa"/>
              <w:start w:w="90" w:type="dxa"/>
              <w:bottom w:w="70" w:type="dxa"/>
              <w:end w:w="90" w:type="dxa"/>
            </w:tcMar>
          </w:tcPr>
          <w:p>
            <w:pPr>
              <w:spacing w:after="0" w:line="240" w:lineRule="auto"/>
            </w:pPr>
            <w:r>
              <w:rPr/>
            </w:r>
            <w:r>
              <w:rPr>
                <w:sz w:val="16"/>
              </w:rPr>
              <w:t>Access is denied; no event/score is created.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OBJ-SEC-002</w:t>
            </w:r>
            <w:r>
              <w:rPr>
                <w:sz w:val="16"/>
              </w:rPr>
              <w:t xml:space="preserve">, </w:t>
            </w:r>
            <w:r>
              <w:rPr>
                <w:rFonts w:ascii="Consolas" w:hAnsi="Consolas"/>
                <w:b w:val="0"/>
                <w:i w:val="0"/>
                <w:sz w:val="17"/>
              </w:rPr>
              <w:t>FR-INTEGRITY-001</w:t>
            </w:r>
            <w:r>
              <w:rPr>
                <w:sz w:val="16"/>
              </w:rPr>
              <w:t xml:space="preserve">, </w:t>
            </w:r>
            <w:r>
              <w:rPr>
                <w:rFonts w:ascii="Consolas" w:hAnsi="Consolas"/>
                <w:b w:val="0"/>
                <w:i w:val="0"/>
                <w:sz w:val="17"/>
              </w:rPr>
              <w:t>FR-SCORE-001</w:t>
            </w:r>
            <w:r>
              <w:rPr>
                <w:sz w:val="16"/>
              </w:rPr>
              <w:t xml:space="preserve">, </w:t>
            </w:r>
            <w:r>
              <w:rPr>
                <w:rFonts w:ascii="Consolas" w:hAnsi="Consolas"/>
                <w:b w:val="0"/>
                <w:i w:val="0"/>
                <w:sz w:val="17"/>
              </w:rPr>
              <w:t>CR-AUTH-001</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TC-ACCESS-005</w:t>
            </w:r>
          </w:p>
        </w:tc>
        <w:tc>
          <w:tcPr>
            <w:tcW w:type="dxa" w:w="1015"/>
            <w:vAlign w:val="top"/>
            <w:tcMar>
              <w:top w:w="70" w:type="dxa"/>
              <w:start w:w="90" w:type="dxa"/>
              <w:bottom w:w="70" w:type="dxa"/>
              <w:end w:w="90" w:type="dxa"/>
            </w:tcMar>
          </w:tcPr>
          <w:p>
            <w:pPr>
              <w:spacing w:after="0" w:line="240" w:lineRule="auto"/>
            </w:pPr>
            <w:r>
              <w:rPr/>
            </w:r>
            <w:r>
              <w:rPr>
                <w:sz w:val="16"/>
              </w:rPr>
              <w:t>Verify login protection and recovery</w:t>
            </w:r>
          </w:p>
        </w:tc>
        <w:tc>
          <w:tcPr>
            <w:tcW w:type="dxa" w:w="1200"/>
            <w:vAlign w:val="top"/>
            <w:tcMar>
              <w:top w:w="70" w:type="dxa"/>
              <w:start w:w="90" w:type="dxa"/>
              <w:bottom w:w="70" w:type="dxa"/>
              <w:end w:w="90" w:type="dxa"/>
            </w:tcMar>
          </w:tcPr>
          <w:p>
            <w:pPr>
              <w:spacing w:after="0" w:line="240" w:lineRule="auto"/>
            </w:pPr>
            <w:r>
              <w:rPr/>
            </w:r>
            <w:r>
              <w:rPr>
                <w:sz w:val="16"/>
              </w:rPr>
              <w:t>Security/High</w:t>
            </w:r>
          </w:p>
        </w:tc>
        <w:tc>
          <w:tcPr>
            <w:tcW w:type="dxa" w:w="2124"/>
            <w:vAlign w:val="top"/>
            <w:tcMar>
              <w:top w:w="70" w:type="dxa"/>
              <w:start w:w="90" w:type="dxa"/>
              <w:bottom w:w="70" w:type="dxa"/>
              <w:end w:w="90" w:type="dxa"/>
            </w:tcMar>
          </w:tcPr>
          <w:p>
            <w:pPr>
              <w:spacing w:after="0" w:line="240" w:lineRule="auto"/>
            </w:pPr>
            <w:r>
              <w:rPr/>
            </w:r>
            <w:r>
              <w:rPr>
                <w:sz w:val="16"/>
              </w:rPr>
              <w:t>Use invalid credentials up to configured threshold; attempt recovery on locked/suspended account.</w:t>
            </w:r>
          </w:p>
        </w:tc>
        <w:tc>
          <w:tcPr>
            <w:tcW w:type="dxa" w:w="1385"/>
            <w:vAlign w:val="top"/>
            <w:tcMar>
              <w:top w:w="70" w:type="dxa"/>
              <w:start w:w="90" w:type="dxa"/>
              <w:bottom w:w="70" w:type="dxa"/>
              <w:end w:w="90" w:type="dxa"/>
            </w:tcMar>
          </w:tcPr>
          <w:p>
            <w:pPr>
              <w:spacing w:after="0" w:line="240" w:lineRule="auto"/>
            </w:pPr>
            <w:r>
              <w:rPr/>
            </w:r>
            <w:r>
              <w:rPr>
                <w:sz w:val="16"/>
              </w:rPr>
              <w:t>Protection state is safe; recovery does not broaden role/tenant scope.</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OBJ-SEC-003</w:t>
            </w:r>
            <w:r>
              <w:rPr>
                <w:sz w:val="16"/>
              </w:rPr>
              <w:t xml:space="preserve">, </w:t>
            </w:r>
            <w:r>
              <w:rPr>
                <w:rFonts w:ascii="Consolas" w:hAnsi="Consolas"/>
                <w:b w:val="0"/>
                <w:i w:val="0"/>
                <w:sz w:val="17"/>
              </w:rPr>
              <w:t>FR-ONBOARD-004</w:t>
            </w:r>
            <w:r>
              <w:rPr>
                <w:sz w:val="16"/>
              </w:rPr>
              <w:t xml:space="preserve">, </w:t>
            </w:r>
            <w:r>
              <w:rPr>
                <w:rFonts w:ascii="Consolas" w:hAnsi="Consolas"/>
                <w:b w:val="0"/>
                <w:i w:val="0"/>
                <w:sz w:val="17"/>
              </w:rPr>
              <w:t>NFR-11</w:t>
            </w:r>
          </w:p>
        </w:tc>
        <w:tc>
          <w:tcPr>
            <w:tcW w:type="dxa" w:w="2124"/>
            <w:vAlign w:val="top"/>
            <w:tcMar>
              <w:top w:w="70" w:type="dxa"/>
              <w:start w:w="90" w:type="dxa"/>
              <w:bottom w:w="70" w:type="dxa"/>
              <w:end w:w="90" w:type="dxa"/>
            </w:tcMar>
          </w:tcPr>
          <w:p>
            <w:pPr>
              <w:spacing w:after="0" w:line="240" w:lineRule="auto"/>
            </w:pPr>
            <w:r>
              <w:rPr/>
            </w:r>
            <w:r>
              <w:rPr>
                <w:sz w:val="16"/>
              </w:rPr>
              <w:t>Planned; threshold is an NFR target until measured.</w:t>
            </w:r>
          </w:p>
        </w:tc>
      </w:tr>
    </w:tbl>
    <w:p>
      <w:pPr>
        <w:spacing w:after="20"/>
      </w:pPr>
    </w:p>
    <w:p>
      <w:pPr>
        <w:pStyle w:val="Heading3"/>
        <w:keepNext/>
        <w:pageBreakBefore w:val="0"/>
      </w:pPr>
      <w:r>
        <w:t>4.3 Content, package, roster, and exam preparation cases</w:t>
      </w:r>
    </w:p>
    <w:tbl>
      <w:tblPr>
        <w:tblW w:type="auto" w:w="0"/>
        <w:jc w:val="center"/>
        <w:tblLayout w:type="fixed"/>
        <w:tblLook w:firstColumn="1" w:firstRow="1" w:lastColumn="0" w:lastRow="0" w:noHBand="0" w:noVBand="1" w:val="04A0"/>
      </w:tblPr>
      <w:tblGrid>
        <w:gridCol w:w="1293"/>
        <w:gridCol w:w="1293"/>
        <w:gridCol w:w="1293"/>
        <w:gridCol w:w="1293"/>
        <w:gridCol w:w="1293"/>
        <w:gridCol w:w="1293"/>
        <w:gridCol w:w="1293"/>
      </w:tblGrid>
      <w:tr>
        <w:trPr>
          <w:tblHeader w:val="true"/>
          <w:cantSplit/>
        </w:trPr>
        <w:tc>
          <w:tcPr>
            <w:tcW w:type="dxa" w:w="761"/>
            <w:vAlign w:val="top"/>
            <w:tcMar>
              <w:top w:w="70" w:type="dxa"/>
              <w:start w:w="90" w:type="dxa"/>
              <w:bottom w:w="70" w:type="dxa"/>
              <w:end w:w="90" w:type="dxa"/>
            </w:tcMar>
            <w:shd w:val="clear" w:color="auto" w:fill="FFE8E1"/>
          </w:tcPr>
          <w:p>
            <w:pPr>
              <w:spacing w:after="0" w:line="240" w:lineRule="auto"/>
            </w:pPr>
            <w:r>
              <w:rPr>
                <w:b/>
              </w:rPr>
            </w:r>
            <w:r>
              <w:rPr>
                <w:b/>
                <w:sz w:val="16"/>
              </w:rPr>
              <w:t>ID</w:t>
            </w:r>
          </w:p>
        </w:tc>
        <w:tc>
          <w:tcPr>
            <w:tcW w:type="dxa" w:w="1015"/>
            <w:vAlign w:val="top"/>
            <w:tcMar>
              <w:top w:w="70" w:type="dxa"/>
              <w:start w:w="90" w:type="dxa"/>
              <w:bottom w:w="70" w:type="dxa"/>
              <w:end w:w="90" w:type="dxa"/>
            </w:tcMar>
            <w:shd w:val="clear" w:color="auto" w:fill="FFE8E1"/>
          </w:tcPr>
          <w:p>
            <w:pPr>
              <w:spacing w:after="0" w:line="240" w:lineRule="auto"/>
            </w:pPr>
            <w:r>
              <w:rPr>
                <w:b/>
              </w:rPr>
            </w:r>
            <w:r>
              <w:rPr>
                <w:b/>
                <w:sz w:val="16"/>
              </w:rPr>
              <w:t>Objective</w:t>
            </w:r>
          </w:p>
        </w:tc>
        <w:tc>
          <w:tcPr>
            <w:tcW w:type="dxa" w:w="1200"/>
            <w:vAlign w:val="top"/>
            <w:tcMar>
              <w:top w:w="70" w:type="dxa"/>
              <w:start w:w="90" w:type="dxa"/>
              <w:bottom w:w="70" w:type="dxa"/>
              <w:end w:w="90" w:type="dxa"/>
            </w:tcMar>
            <w:shd w:val="clear" w:color="auto" w:fill="FFE8E1"/>
          </w:tcPr>
          <w:p>
            <w:pPr>
              <w:spacing w:after="0" w:line="240" w:lineRule="auto"/>
            </w:pPr>
            <w:r>
              <w:rPr>
                <w:b/>
              </w:rPr>
            </w:r>
            <w:r>
              <w:rPr>
                <w:b/>
                <w:sz w:val="16"/>
              </w:rPr>
              <w:t>Type/priority</w:t>
            </w:r>
          </w:p>
        </w:tc>
        <w:tc>
          <w:tcPr>
            <w:tcW w:type="dxa" w:w="2124"/>
            <w:vAlign w:val="top"/>
            <w:tcMar>
              <w:top w:w="70" w:type="dxa"/>
              <w:start w:w="90" w:type="dxa"/>
              <w:bottom w:w="70" w:type="dxa"/>
              <w:end w:w="90" w:type="dxa"/>
            </w:tcMar>
            <w:shd w:val="clear" w:color="auto" w:fill="FFE8E1"/>
          </w:tcPr>
          <w:p>
            <w:pPr>
              <w:spacing w:after="0" w:line="240" w:lineRule="auto"/>
            </w:pPr>
            <w:r>
              <w:rPr>
                <w:b/>
              </w:rPr>
            </w:r>
            <w:r>
              <w:rPr>
                <w:b/>
                <w:sz w:val="16"/>
              </w:rPr>
              <w:t>Preconditions and steps</w:t>
            </w:r>
          </w:p>
        </w:tc>
        <w:tc>
          <w:tcPr>
            <w:tcW w:type="dxa" w:w="1385"/>
            <w:vAlign w:val="top"/>
            <w:tcMar>
              <w:top w:w="70" w:type="dxa"/>
              <w:start w:w="90" w:type="dxa"/>
              <w:bottom w:w="70" w:type="dxa"/>
              <w:end w:w="90" w:type="dxa"/>
            </w:tcMar>
            <w:shd w:val="clear" w:color="auto" w:fill="FFE8E1"/>
          </w:tcPr>
          <w:p>
            <w:pPr>
              <w:spacing w:after="0" w:line="240" w:lineRule="auto"/>
            </w:pPr>
            <w:r>
              <w:rPr>
                <w:b/>
              </w:rPr>
            </w:r>
            <w:r>
              <w:rPr>
                <w:b/>
                <w:sz w:val="16"/>
              </w:rPr>
              <w:t>Expected result</w:t>
            </w:r>
          </w:p>
        </w:tc>
        <w:tc>
          <w:tcPr>
            <w:tcW w:type="dxa" w:w="1108"/>
            <w:vAlign w:val="top"/>
            <w:tcMar>
              <w:top w:w="70" w:type="dxa"/>
              <w:start w:w="90" w:type="dxa"/>
              <w:bottom w:w="70" w:type="dxa"/>
              <w:end w:w="90" w:type="dxa"/>
            </w:tcMar>
            <w:shd w:val="clear" w:color="auto" w:fill="FFE8E1"/>
          </w:tcPr>
          <w:p>
            <w:pPr>
              <w:spacing w:after="0" w:line="240" w:lineRule="auto"/>
            </w:pPr>
            <w:r>
              <w:rPr>
                <w:b/>
              </w:rPr>
            </w:r>
            <w:r>
              <w:rPr>
                <w:b/>
                <w:sz w:val="16"/>
              </w:rPr>
              <w:t>Traceability</w:t>
            </w:r>
          </w:p>
        </w:tc>
        <w:tc>
          <w:tcPr>
            <w:tcW w:type="dxa" w:w="2124"/>
            <w:vAlign w:val="top"/>
            <w:tcMar>
              <w:top w:w="70" w:type="dxa"/>
              <w:start w:w="90" w:type="dxa"/>
              <w:bottom w:w="70" w:type="dxa"/>
              <w:end w:w="90" w:type="dxa"/>
            </w:tcMar>
            <w:shd w:val="clear" w:color="auto" w:fill="FFE8E1"/>
          </w:tcPr>
          <w:p>
            <w:pPr>
              <w:spacing w:after="0" w:line="240" w:lineRule="auto"/>
            </w:pPr>
            <w:r>
              <w:rPr>
                <w:b/>
              </w:rPr>
            </w:r>
            <w:r>
              <w:rPr>
                <w:b/>
                <w:sz w:val="16"/>
              </w:rPr>
              <w:t>Planned result/evidence</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TC-CONTENT-001</w:t>
            </w:r>
          </w:p>
        </w:tc>
        <w:tc>
          <w:tcPr>
            <w:tcW w:type="dxa" w:w="1015"/>
            <w:vAlign w:val="top"/>
            <w:tcMar>
              <w:top w:w="70" w:type="dxa"/>
              <w:start w:w="90" w:type="dxa"/>
              <w:bottom w:w="70" w:type="dxa"/>
              <w:end w:w="90" w:type="dxa"/>
            </w:tcMar>
          </w:tcPr>
          <w:p>
            <w:pPr>
              <w:spacing w:after="0" w:line="240" w:lineRule="auto"/>
            </w:pPr>
            <w:r>
              <w:rPr/>
            </w:r>
            <w:r>
              <w:rPr>
                <w:sz w:val="16"/>
              </w:rPr>
              <w:t>Block incomplete required media</w:t>
            </w:r>
          </w:p>
        </w:tc>
        <w:tc>
          <w:tcPr>
            <w:tcW w:type="dxa" w:w="1200"/>
            <w:vAlign w:val="top"/>
            <w:tcMar>
              <w:top w:w="70" w:type="dxa"/>
              <w:start w:w="90" w:type="dxa"/>
              <w:bottom w:w="70" w:type="dxa"/>
              <w:end w:w="90" w:type="dxa"/>
            </w:tcMar>
          </w:tcPr>
          <w:p>
            <w:pPr>
              <w:spacing w:after="0" w:line="240" w:lineRule="auto"/>
            </w:pPr>
            <w:r>
              <w:rPr/>
            </w:r>
            <w:r>
              <w:rPr>
                <w:sz w:val="16"/>
              </w:rPr>
              <w:t>Negative, High</w:t>
            </w:r>
          </w:p>
        </w:tc>
        <w:tc>
          <w:tcPr>
            <w:tcW w:type="dxa" w:w="2124"/>
            <w:vAlign w:val="top"/>
            <w:tcMar>
              <w:top w:w="70" w:type="dxa"/>
              <w:start w:w="90" w:type="dxa"/>
              <w:bottom w:w="70" w:type="dxa"/>
              <w:end w:w="90" w:type="dxa"/>
            </w:tcMar>
          </w:tcPr>
          <w:p>
            <w:pPr>
              <w:spacing w:after="0" w:line="240" w:lineRule="auto"/>
            </w:pPr>
            <w:r>
              <w:rPr/>
            </w:r>
            <w:r>
              <w:rPr>
                <w:sz w:val="16"/>
              </w:rPr>
              <w:t>Create task draft with required audio/image missing or expired; submit/publish.</w:t>
            </w:r>
          </w:p>
        </w:tc>
        <w:tc>
          <w:tcPr>
            <w:tcW w:type="dxa" w:w="1385"/>
            <w:vAlign w:val="top"/>
            <w:tcMar>
              <w:top w:w="70" w:type="dxa"/>
              <w:start w:w="90" w:type="dxa"/>
              <w:bottom w:w="70" w:type="dxa"/>
              <w:end w:w="90" w:type="dxa"/>
            </w:tcMar>
          </w:tcPr>
          <w:p>
            <w:pPr>
              <w:spacing w:after="0" w:line="240" w:lineRule="auto"/>
            </w:pPr>
            <w:r>
              <w:rPr/>
            </w:r>
            <w:r>
              <w:rPr>
                <w:sz w:val="16"/>
              </w:rPr>
              <w:t>Validation identifies media and keeps content non-published.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OBJ-CONTENT-001</w:t>
            </w:r>
            <w:r>
              <w:rPr>
                <w:sz w:val="16"/>
              </w:rPr>
              <w:t xml:space="preserve">, </w:t>
            </w:r>
            <w:r>
              <w:rPr>
                <w:rFonts w:ascii="Consolas" w:hAnsi="Consolas"/>
                <w:b w:val="0"/>
                <w:i w:val="0"/>
                <w:sz w:val="17"/>
              </w:rPr>
              <w:t>FR-CONTENT-002</w:t>
            </w:r>
            <w:r>
              <w:rPr>
                <w:sz w:val="16"/>
              </w:rPr>
              <w:t>–</w:t>
            </w:r>
            <w:r>
              <w:rPr>
                <w:rFonts w:ascii="Consolas" w:hAnsi="Consolas"/>
                <w:b w:val="0"/>
                <w:i w:val="0"/>
                <w:sz w:val="17"/>
              </w:rPr>
              <w:t>FR-CONTENT-003</w:t>
            </w:r>
            <w:r>
              <w:rPr>
                <w:sz w:val="16"/>
              </w:rPr>
              <w:t xml:space="preserve">, </w:t>
            </w:r>
            <w:r>
              <w:rPr>
                <w:rFonts w:ascii="Consolas" w:hAnsi="Consolas"/>
                <w:b w:val="0"/>
                <w:i w:val="0"/>
                <w:sz w:val="17"/>
              </w:rPr>
              <w:t>BR-CONTENT-012</w:t>
            </w:r>
          </w:p>
        </w:tc>
        <w:tc>
          <w:tcPr>
            <w:tcW w:type="dxa" w:w="2124"/>
            <w:vAlign w:val="top"/>
            <w:tcMar>
              <w:top w:w="70" w:type="dxa"/>
              <w:start w:w="90" w:type="dxa"/>
              <w:bottom w:w="70" w:type="dxa"/>
              <w:end w:w="90" w:type="dxa"/>
            </w:tcMar>
          </w:tcPr>
          <w:p>
            <w:pPr>
              <w:spacing w:after="0" w:line="240" w:lineRule="auto"/>
            </w:pPr>
            <w:r>
              <w:rPr/>
            </w:r>
            <w:r>
              <w:rPr>
                <w:sz w:val="16"/>
              </w:rPr>
              <w:t>Planned; provider mode recorded.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TC-CONTENT-002</w:t>
            </w:r>
          </w:p>
        </w:tc>
        <w:tc>
          <w:tcPr>
            <w:tcW w:type="dxa" w:w="1015"/>
            <w:vAlign w:val="top"/>
            <w:tcMar>
              <w:top w:w="70" w:type="dxa"/>
              <w:start w:w="90" w:type="dxa"/>
              <w:bottom w:w="70" w:type="dxa"/>
              <w:end w:w="90" w:type="dxa"/>
            </w:tcMar>
          </w:tcPr>
          <w:p>
            <w:pPr>
              <w:spacing w:after="0" w:line="240" w:lineRule="auto"/>
            </w:pPr>
            <w:r>
              <w:rPr/>
            </w:r>
            <w:r>
              <w:rPr>
                <w:sz w:val="16"/>
              </w:rPr>
              <w:t>Preserve revision in a fixed exam</w:t>
            </w:r>
          </w:p>
        </w:tc>
        <w:tc>
          <w:tcPr>
            <w:tcW w:type="dxa" w:w="1200"/>
            <w:vAlign w:val="top"/>
            <w:tcMar>
              <w:top w:w="70" w:type="dxa"/>
              <w:start w:w="90" w:type="dxa"/>
              <w:bottom w:w="70" w:type="dxa"/>
              <w:end w:w="90" w:type="dxa"/>
            </w:tcMar>
          </w:tcPr>
          <w:p>
            <w:pPr>
              <w:spacing w:after="0" w:line="240" w:lineRule="auto"/>
            </w:pPr>
            <w:r>
              <w:rPr/>
            </w:r>
            <w:r>
              <w:rPr>
                <w:sz w:val="16"/>
              </w:rPr>
              <w:t>Functional/integrity, Critical</w:t>
            </w:r>
          </w:p>
        </w:tc>
        <w:tc>
          <w:tcPr>
            <w:tcW w:type="dxa" w:w="2124"/>
            <w:vAlign w:val="top"/>
            <w:tcMar>
              <w:top w:w="70" w:type="dxa"/>
              <w:start w:w="90" w:type="dxa"/>
              <w:bottom w:w="70" w:type="dxa"/>
              <w:end w:w="90" w:type="dxa"/>
            </w:tcMar>
          </w:tcPr>
          <w:p>
            <w:pPr>
              <w:spacing w:after="0" w:line="240" w:lineRule="auto"/>
            </w:pPr>
            <w:r>
              <w:rPr/>
            </w:r>
            <w:r>
              <w:rPr>
                <w:sz w:val="16"/>
              </w:rPr>
              <w:t>Generate exam using revision A; edit question to revision B; open attempt.</w:t>
            </w:r>
          </w:p>
        </w:tc>
        <w:tc>
          <w:tcPr>
            <w:tcW w:type="dxa" w:w="1385"/>
            <w:vAlign w:val="top"/>
            <w:tcMar>
              <w:top w:w="70" w:type="dxa"/>
              <w:start w:w="90" w:type="dxa"/>
              <w:bottom w:w="70" w:type="dxa"/>
              <w:end w:w="90" w:type="dxa"/>
            </w:tcMar>
          </w:tcPr>
          <w:p>
            <w:pPr>
              <w:spacing w:after="0" w:line="240" w:lineRule="auto"/>
            </w:pPr>
            <w:r>
              <w:rPr/>
            </w:r>
            <w:r>
              <w:rPr>
                <w:sz w:val="16"/>
              </w:rPr>
              <w:t>Attempt shows A; B is available only to later eligible generation.</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OBJ-EXAM-001</w:t>
            </w:r>
            <w:r>
              <w:rPr>
                <w:sz w:val="16"/>
              </w:rPr>
              <w:t xml:space="preserve">, </w:t>
            </w:r>
            <w:r>
              <w:rPr>
                <w:rFonts w:ascii="Consolas" w:hAnsi="Consolas"/>
                <w:b w:val="0"/>
                <w:i w:val="0"/>
                <w:sz w:val="17"/>
              </w:rPr>
              <w:t>FR-CONTENT-004</w:t>
            </w:r>
            <w:r>
              <w:rPr>
                <w:sz w:val="16"/>
              </w:rPr>
              <w:t xml:space="preserve">, </w:t>
            </w:r>
            <w:r>
              <w:rPr>
                <w:rFonts w:ascii="Consolas" w:hAnsi="Consolas"/>
                <w:b w:val="0"/>
                <w:i w:val="0"/>
                <w:sz w:val="17"/>
              </w:rPr>
              <w:t>FR-EXAM-009</w:t>
            </w:r>
            <w:r>
              <w:rPr>
                <w:sz w:val="16"/>
              </w:rPr>
              <w:t xml:space="preserve">, </w:t>
            </w:r>
            <w:r>
              <w:rPr>
                <w:rFonts w:ascii="Consolas" w:hAnsi="Consolas"/>
                <w:b w:val="0"/>
                <w:i w:val="0"/>
                <w:sz w:val="17"/>
              </w:rPr>
              <w:t>DB-INV-001</w:t>
            </w:r>
            <w:r>
              <w:rPr>
                <w:sz w:val="16"/>
              </w:rPr>
              <w:t>–</w:t>
            </w:r>
            <w:r>
              <w:rPr>
                <w:rFonts w:ascii="Consolas" w:hAnsi="Consolas"/>
                <w:b w:val="0"/>
                <w:i w:val="0"/>
                <w:sz w:val="17"/>
              </w:rPr>
              <w:t>DB-INV-002</w:t>
            </w:r>
          </w:p>
        </w:tc>
        <w:tc>
          <w:tcPr>
            <w:tcW w:type="dxa" w:w="2124"/>
            <w:vAlign w:val="top"/>
            <w:tcMar>
              <w:top w:w="70" w:type="dxa"/>
              <w:start w:w="90" w:type="dxa"/>
              <w:bottom w:w="70" w:type="dxa"/>
              <w:end w:w="90" w:type="dxa"/>
            </w:tcMar>
          </w:tcPr>
          <w:p>
            <w:pPr>
              <w:spacing w:after="0" w:line="240" w:lineRule="auto"/>
            </w:pPr>
            <w:r>
              <w:rPr/>
            </w:r>
            <w:r>
              <w:rPr>
                <w:sz w:val="16"/>
              </w:rPr>
              <w:t>Planned; requires snapshot evidence.</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TC-PACKAGE-001</w:t>
            </w:r>
          </w:p>
        </w:tc>
        <w:tc>
          <w:tcPr>
            <w:tcW w:type="dxa" w:w="1015"/>
            <w:vAlign w:val="top"/>
            <w:tcMar>
              <w:top w:w="70" w:type="dxa"/>
              <w:start w:w="90" w:type="dxa"/>
              <w:bottom w:w="70" w:type="dxa"/>
              <w:end w:w="90" w:type="dxa"/>
            </w:tcMar>
          </w:tcPr>
          <w:p>
            <w:pPr>
              <w:spacing w:after="0" w:line="240" w:lineRule="auto"/>
            </w:pPr>
            <w:r>
              <w:rPr/>
            </w:r>
            <w:r>
              <w:rPr>
                <w:sz w:val="16"/>
              </w:rPr>
              <w:t>Prevent invalid package/capacity/date</w:t>
            </w:r>
          </w:p>
        </w:tc>
        <w:tc>
          <w:tcPr>
            <w:tcW w:type="dxa" w:w="1200"/>
            <w:vAlign w:val="top"/>
            <w:tcMar>
              <w:top w:w="70" w:type="dxa"/>
              <w:start w:w="90" w:type="dxa"/>
              <w:bottom w:w="70" w:type="dxa"/>
              <w:end w:w="90" w:type="dxa"/>
            </w:tcMar>
          </w:tcPr>
          <w:p>
            <w:pPr>
              <w:spacing w:after="0" w:line="240" w:lineRule="auto"/>
            </w:pPr>
            <w:r>
              <w:rPr/>
            </w:r>
            <w:r>
              <w:rPr>
                <w:sz w:val="16"/>
              </w:rPr>
              <w:t>Negative, High</w:t>
            </w:r>
          </w:p>
        </w:tc>
        <w:tc>
          <w:tcPr>
            <w:tcW w:type="dxa" w:w="2124"/>
            <w:vAlign w:val="top"/>
            <w:tcMar>
              <w:top w:w="70" w:type="dxa"/>
              <w:start w:w="90" w:type="dxa"/>
              <w:bottom w:w="70" w:type="dxa"/>
              <w:end w:w="90" w:type="dxa"/>
            </w:tcMar>
          </w:tcPr>
          <w:p>
            <w:pPr>
              <w:spacing w:after="0" w:line="240" w:lineRule="auto"/>
            </w:pPr>
            <w:r>
              <w:rPr/>
            </w:r>
            <w:r>
              <w:rPr>
                <w:sz w:val="16"/>
              </w:rPr>
              <w:t>Use expired/over-limit/out-of-window package and oversized candidate list; validate draft.</w:t>
            </w:r>
          </w:p>
        </w:tc>
        <w:tc>
          <w:tcPr>
            <w:tcW w:type="dxa" w:w="1385"/>
            <w:vAlign w:val="top"/>
            <w:tcMar>
              <w:top w:w="70" w:type="dxa"/>
              <w:start w:w="90" w:type="dxa"/>
              <w:bottom w:w="70" w:type="dxa"/>
              <w:end w:w="90" w:type="dxa"/>
            </w:tcMar>
          </w:tcPr>
          <w:p>
            <w:pPr>
              <w:spacing w:after="0" w:line="240" w:lineRule="auto"/>
            </w:pPr>
            <w:r>
              <w:rPr/>
            </w:r>
            <w:r>
              <w:rPr>
                <w:sz w:val="16"/>
              </w:rPr>
              <w:t>Each blocking condition is named; exam remains unpublished.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OBJ-PACKAGE-001</w:t>
            </w:r>
            <w:r>
              <w:rPr>
                <w:sz w:val="16"/>
              </w:rPr>
              <w:t xml:space="preserve">, </w:t>
            </w:r>
            <w:r>
              <w:rPr>
                <w:rFonts w:ascii="Consolas" w:hAnsi="Consolas"/>
                <w:b w:val="0"/>
                <w:i w:val="0"/>
                <w:sz w:val="17"/>
              </w:rPr>
              <w:t>FR-PACKAGE-005</w:t>
            </w:r>
            <w:r>
              <w:rPr>
                <w:sz w:val="16"/>
              </w:rPr>
              <w:t xml:space="preserve">, </w:t>
            </w:r>
            <w:r>
              <w:rPr>
                <w:rFonts w:ascii="Consolas" w:hAnsi="Consolas"/>
                <w:b w:val="0"/>
                <w:i w:val="0"/>
                <w:sz w:val="17"/>
              </w:rPr>
              <w:t>FR-EXAM-003</w:t>
            </w:r>
            <w:r>
              <w:rPr>
                <w:sz w:val="16"/>
              </w:rPr>
              <w:t xml:space="preserve">, </w:t>
            </w:r>
            <w:r>
              <w:rPr>
                <w:rFonts w:ascii="Consolas" w:hAnsi="Consolas"/>
                <w:b w:val="0"/>
                <w:i w:val="0"/>
                <w:sz w:val="17"/>
              </w:rPr>
              <w:t>BR-PACKAGE-019</w:t>
            </w:r>
            <w:r>
              <w:rPr>
                <w:sz w:val="16"/>
              </w:rPr>
              <w:t>–</w:t>
            </w:r>
            <w:r>
              <w:rPr>
                <w:rFonts w:ascii="Consolas" w:hAnsi="Consolas"/>
                <w:b w:val="0"/>
                <w:i w:val="0"/>
                <w:sz w:val="17"/>
              </w:rPr>
              <w:t>BR-PACKAGE-020</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TC-PACKAGE-002</w:t>
            </w:r>
          </w:p>
        </w:tc>
        <w:tc>
          <w:tcPr>
            <w:tcW w:type="dxa" w:w="1015"/>
            <w:vAlign w:val="top"/>
            <w:tcMar>
              <w:top w:w="70" w:type="dxa"/>
              <w:start w:w="90" w:type="dxa"/>
              <w:bottom w:w="70" w:type="dxa"/>
              <w:end w:w="90" w:type="dxa"/>
            </w:tcMar>
          </w:tcPr>
          <w:p>
            <w:pPr>
              <w:spacing w:after="0" w:line="240" w:lineRule="auto"/>
            </w:pPr>
            <w:r>
              <w:rPr/>
            </w:r>
            <w:r>
              <w:rPr>
                <w:sz w:val="16"/>
              </w:rPr>
              <w:t>Deduplicate license callback/redeem</w:t>
            </w:r>
          </w:p>
        </w:tc>
        <w:tc>
          <w:tcPr>
            <w:tcW w:type="dxa" w:w="1200"/>
            <w:vAlign w:val="top"/>
            <w:tcMar>
              <w:top w:w="70" w:type="dxa"/>
              <w:start w:w="90" w:type="dxa"/>
              <w:bottom w:w="70" w:type="dxa"/>
              <w:end w:w="90" w:type="dxa"/>
            </w:tcMar>
          </w:tcPr>
          <w:p>
            <w:pPr>
              <w:spacing w:after="0" w:line="240" w:lineRule="auto"/>
            </w:pPr>
            <w:r>
              <w:rPr/>
            </w:r>
            <w:r>
              <w:rPr>
                <w:sz w:val="16"/>
              </w:rPr>
              <w:t>Idempotency, Critical</w:t>
            </w:r>
          </w:p>
        </w:tc>
        <w:tc>
          <w:tcPr>
            <w:tcW w:type="dxa" w:w="2124"/>
            <w:vAlign w:val="top"/>
            <w:tcMar>
              <w:top w:w="70" w:type="dxa"/>
              <w:start w:w="90" w:type="dxa"/>
              <w:bottom w:w="70" w:type="dxa"/>
              <w:end w:w="90" w:type="dxa"/>
            </w:tcMar>
          </w:tcPr>
          <w:p>
            <w:pPr>
              <w:spacing w:after="0" w:line="240" w:lineRule="auto"/>
            </w:pPr>
            <w:r>
              <w:rPr/>
            </w:r>
            <w:r>
              <w:rPr>
                <w:sz w:val="16"/>
              </w:rPr>
              <w:t>Send same verified payment callback/license redemption twice.</w:t>
            </w:r>
          </w:p>
        </w:tc>
        <w:tc>
          <w:tcPr>
            <w:tcW w:type="dxa" w:w="1385"/>
            <w:vAlign w:val="top"/>
            <w:tcMar>
              <w:top w:w="70" w:type="dxa"/>
              <w:start w:w="90" w:type="dxa"/>
              <w:bottom w:w="70" w:type="dxa"/>
              <w:end w:w="90" w:type="dxa"/>
            </w:tcMar>
          </w:tcPr>
          <w:p>
            <w:pPr>
              <w:spacing w:after="0" w:line="240" w:lineRule="auto"/>
            </w:pPr>
            <w:r>
              <w:rPr/>
            </w:r>
            <w:r>
              <w:rPr>
                <w:sz w:val="16"/>
              </w:rPr>
              <w:t>One order/subscription/activation; duplicate response identifies existing state.</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OBJ-PACKAGE-002</w:t>
            </w:r>
            <w:r>
              <w:rPr>
                <w:sz w:val="16"/>
              </w:rPr>
              <w:t xml:space="preserve">, </w:t>
            </w:r>
            <w:r>
              <w:rPr>
                <w:rFonts w:ascii="Consolas" w:hAnsi="Consolas"/>
                <w:b w:val="0"/>
                <w:i w:val="0"/>
                <w:sz w:val="17"/>
              </w:rPr>
              <w:t>FR-PACKAGE-003</w:t>
            </w:r>
            <w:r>
              <w:rPr>
                <w:sz w:val="16"/>
              </w:rPr>
              <w:t>–</w:t>
            </w:r>
            <w:r>
              <w:rPr>
                <w:rFonts w:ascii="Consolas" w:hAnsi="Consolas"/>
                <w:b w:val="0"/>
                <w:i w:val="0"/>
                <w:sz w:val="17"/>
              </w:rPr>
              <w:t>FR-PACKAGE-004</w:t>
            </w:r>
            <w:r>
              <w:rPr>
                <w:sz w:val="16"/>
              </w:rPr>
              <w:t xml:space="preserve">, </w:t>
            </w:r>
            <w:r>
              <w:rPr>
                <w:rFonts w:ascii="Consolas" w:hAnsi="Consolas"/>
                <w:b w:val="0"/>
                <w:i w:val="0"/>
                <w:sz w:val="17"/>
              </w:rPr>
              <w:t>BR-PACKAGE-021</w:t>
            </w:r>
            <w:r>
              <w:rPr>
                <w:sz w:val="16"/>
              </w:rPr>
              <w:t xml:space="preserve">, </w:t>
            </w:r>
            <w:r>
              <w:rPr>
                <w:rFonts w:ascii="Consolas" w:hAnsi="Consolas"/>
                <w:b w:val="0"/>
                <w:i w:val="0"/>
                <w:sz w:val="17"/>
              </w:rPr>
              <w:t>FR-INTEGRATION-001</w:t>
            </w:r>
          </w:p>
        </w:tc>
        <w:tc>
          <w:tcPr>
            <w:tcW w:type="dxa" w:w="2124"/>
            <w:vAlign w:val="top"/>
            <w:tcMar>
              <w:top w:w="70" w:type="dxa"/>
              <w:start w:w="90" w:type="dxa"/>
              <w:bottom w:w="70" w:type="dxa"/>
              <w:end w:w="90" w:type="dxa"/>
            </w:tcMar>
          </w:tcPr>
          <w:p>
            <w:pPr>
              <w:spacing w:after="0" w:line="240" w:lineRule="auto"/>
            </w:pPr>
            <w:r>
              <w:rPr/>
            </w:r>
            <w:r>
              <w:rPr>
                <w:sz w:val="16"/>
              </w:rPr>
              <w:t>Planned; provider callback evidence required.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TC-ROSTER-001</w:t>
            </w:r>
          </w:p>
        </w:tc>
        <w:tc>
          <w:tcPr>
            <w:tcW w:type="dxa" w:w="1015"/>
            <w:vAlign w:val="top"/>
            <w:tcMar>
              <w:top w:w="70" w:type="dxa"/>
              <w:start w:w="90" w:type="dxa"/>
              <w:bottom w:w="70" w:type="dxa"/>
              <w:end w:w="90" w:type="dxa"/>
            </w:tcMar>
          </w:tcPr>
          <w:p>
            <w:pPr>
              <w:spacing w:after="0" w:line="240" w:lineRule="auto"/>
            </w:pPr>
            <w:r>
              <w:rPr/>
            </w:r>
            <w:r>
              <w:rPr>
                <w:sz w:val="16"/>
              </w:rPr>
              <w:t>Report invalid and duplicate import rows</w:t>
            </w:r>
          </w:p>
        </w:tc>
        <w:tc>
          <w:tcPr>
            <w:tcW w:type="dxa" w:w="1200"/>
            <w:vAlign w:val="top"/>
            <w:tcMar>
              <w:top w:w="70" w:type="dxa"/>
              <w:start w:w="90" w:type="dxa"/>
              <w:bottom w:w="70" w:type="dxa"/>
              <w:end w:w="90" w:type="dxa"/>
            </w:tcMar>
          </w:tcPr>
          <w:p>
            <w:pPr>
              <w:spacing w:after="0" w:line="240" w:lineRule="auto"/>
            </w:pPr>
            <w:r>
              <w:rPr/>
            </w:r>
            <w:r>
              <w:rPr>
                <w:sz w:val="16"/>
              </w:rPr>
              <w:t>Validation, High</w:t>
            </w:r>
          </w:p>
        </w:tc>
        <w:tc>
          <w:tcPr>
            <w:tcW w:type="dxa" w:w="2124"/>
            <w:vAlign w:val="top"/>
            <w:tcMar>
              <w:top w:w="70" w:type="dxa"/>
              <w:start w:w="90" w:type="dxa"/>
              <w:bottom w:w="70" w:type="dxa"/>
              <w:end w:w="90" w:type="dxa"/>
            </w:tcMar>
          </w:tcPr>
          <w:p>
            <w:pPr>
              <w:spacing w:after="0" w:line="240" w:lineRule="auto"/>
            </w:pPr>
            <w:r>
              <w:rPr/>
            </w:r>
            <w:r>
              <w:rPr>
                <w:sz w:val="16"/>
              </w:rPr>
              <w:t>Import valid, missing, duplicate, and over-capacity Student rows.</w:t>
            </w:r>
          </w:p>
        </w:tc>
        <w:tc>
          <w:tcPr>
            <w:tcW w:type="dxa" w:w="1385"/>
            <w:vAlign w:val="top"/>
            <w:tcMar>
              <w:top w:w="70" w:type="dxa"/>
              <w:start w:w="90" w:type="dxa"/>
              <w:bottom w:w="70" w:type="dxa"/>
              <w:end w:w="90" w:type="dxa"/>
            </w:tcMar>
          </w:tcPr>
          <w:p>
            <w:pPr>
              <w:spacing w:after="0" w:line="240" w:lineRule="auto"/>
            </w:pPr>
            <w:r>
              <w:rPr/>
            </w:r>
            <w:r>
              <w:rPr>
                <w:sz w:val="16"/>
              </w:rPr>
              <w:t>Row-level reasons; no silent partial success; committed records are scoped/audited.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OBJ-ROSTER-001</w:t>
            </w:r>
            <w:r>
              <w:rPr>
                <w:sz w:val="16"/>
              </w:rPr>
              <w:t xml:space="preserve">, </w:t>
            </w:r>
            <w:r>
              <w:rPr>
                <w:rFonts w:ascii="Consolas" w:hAnsi="Consolas"/>
                <w:b w:val="0"/>
                <w:i w:val="0"/>
                <w:sz w:val="17"/>
              </w:rPr>
              <w:t>FR-ORG-002</w:t>
            </w:r>
            <w:r>
              <w:rPr>
                <w:sz w:val="16"/>
              </w:rPr>
              <w:t xml:space="preserve">, </w:t>
            </w:r>
            <w:r>
              <w:rPr>
                <w:rFonts w:ascii="Consolas" w:hAnsi="Consolas"/>
                <w:b w:val="0"/>
                <w:i w:val="0"/>
                <w:sz w:val="17"/>
              </w:rPr>
              <w:t>BR-ACCESS-010</w:t>
            </w:r>
            <w:r>
              <w:rPr>
                <w:sz w:val="16"/>
              </w:rPr>
              <w:t xml:space="preserve">, </w:t>
            </w:r>
            <w:r>
              <w:rPr>
                <w:rFonts w:ascii="Consolas" w:hAnsi="Consolas"/>
                <w:b w:val="0"/>
                <w:i w:val="0"/>
                <w:sz w:val="17"/>
              </w:rPr>
              <w:t>NFR-04</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TC-EXAM-001</w:t>
            </w:r>
          </w:p>
        </w:tc>
        <w:tc>
          <w:tcPr>
            <w:tcW w:type="dxa" w:w="1015"/>
            <w:vAlign w:val="top"/>
            <w:tcMar>
              <w:top w:w="70" w:type="dxa"/>
              <w:start w:w="90" w:type="dxa"/>
              <w:bottom w:w="70" w:type="dxa"/>
              <w:end w:w="90" w:type="dxa"/>
            </w:tcMar>
          </w:tcPr>
          <w:p>
            <w:pPr>
              <w:spacing w:after="0" w:line="240" w:lineRule="auto"/>
            </w:pPr>
            <w:r>
              <w:rPr/>
            </w:r>
            <w:r>
              <w:rPr>
                <w:sz w:val="16"/>
              </w:rPr>
              <w:t>Validate candidates and schedule conflict</w:t>
            </w:r>
          </w:p>
        </w:tc>
        <w:tc>
          <w:tcPr>
            <w:tcW w:type="dxa" w:w="1200"/>
            <w:vAlign w:val="top"/>
            <w:tcMar>
              <w:top w:w="70" w:type="dxa"/>
              <w:start w:w="90" w:type="dxa"/>
              <w:bottom w:w="70" w:type="dxa"/>
              <w:end w:w="90" w:type="dxa"/>
            </w:tcMar>
          </w:tcPr>
          <w:p>
            <w:pPr>
              <w:spacing w:after="0" w:line="240" w:lineRule="auto"/>
            </w:pPr>
            <w:r>
              <w:rPr/>
            </w:r>
            <w:r>
              <w:rPr>
                <w:sz w:val="16"/>
              </w:rPr>
              <w:t>Negative, Critical</w:t>
            </w:r>
          </w:p>
        </w:tc>
        <w:tc>
          <w:tcPr>
            <w:tcW w:type="dxa" w:w="2124"/>
            <w:vAlign w:val="top"/>
            <w:tcMar>
              <w:top w:w="70" w:type="dxa"/>
              <w:start w:w="90" w:type="dxa"/>
              <w:bottom w:w="70" w:type="dxa"/>
              <w:end w:w="90" w:type="dxa"/>
            </w:tcMar>
          </w:tcPr>
          <w:p>
            <w:pPr>
              <w:spacing w:after="0" w:line="240" w:lineRule="auto"/>
            </w:pPr>
            <w:r>
              <w:rPr/>
            </w:r>
            <w:r>
              <w:rPr>
                <w:sz w:val="16"/>
              </w:rPr>
              <w:t>Select Student/class/program with duplicates, existing assignment, and same-license overlap.</w:t>
            </w:r>
          </w:p>
        </w:tc>
        <w:tc>
          <w:tcPr>
            <w:tcW w:type="dxa" w:w="1385"/>
            <w:vAlign w:val="top"/>
            <w:tcMar>
              <w:top w:w="70" w:type="dxa"/>
              <w:start w:w="90" w:type="dxa"/>
              <w:bottom w:w="70" w:type="dxa"/>
              <w:end w:w="90" w:type="dxa"/>
            </w:tcMar>
          </w:tcPr>
          <w:p>
            <w:pPr>
              <w:spacing w:after="0" w:line="240" w:lineRule="auto"/>
            </w:pPr>
            <w:r>
              <w:rPr/>
            </w:r>
            <w:r>
              <w:rPr>
                <w:sz w:val="16"/>
              </w:rPr>
              <w:t>Preview explains included/excluded/conflicting candidates; publish blocked until resolved.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OBJ-EXAM-002</w:t>
            </w:r>
            <w:r>
              <w:rPr>
                <w:sz w:val="16"/>
              </w:rPr>
              <w:t xml:space="preserve">, </w:t>
            </w:r>
            <w:r>
              <w:rPr>
                <w:rFonts w:ascii="Consolas" w:hAnsi="Consolas"/>
                <w:b w:val="0"/>
                <w:i w:val="0"/>
                <w:sz w:val="17"/>
              </w:rPr>
              <w:t>FR-ENROLL-002</w:t>
            </w:r>
            <w:r>
              <w:rPr>
                <w:sz w:val="16"/>
              </w:rPr>
              <w:t xml:space="preserve">, </w:t>
            </w:r>
            <w:r>
              <w:rPr>
                <w:rFonts w:ascii="Consolas" w:hAnsi="Consolas"/>
                <w:b w:val="0"/>
                <w:i w:val="0"/>
                <w:sz w:val="17"/>
              </w:rPr>
              <w:t>FR-EXAM-003</w:t>
            </w:r>
            <w:r>
              <w:rPr>
                <w:sz w:val="16"/>
              </w:rPr>
              <w:t xml:space="preserve">, </w:t>
            </w:r>
            <w:r>
              <w:rPr>
                <w:rFonts w:ascii="Consolas" w:hAnsi="Consolas"/>
                <w:b w:val="0"/>
                <w:i w:val="0"/>
                <w:sz w:val="17"/>
              </w:rPr>
              <w:t>BR-EXAM-024</w:t>
            </w:r>
            <w:r>
              <w:rPr>
                <w:sz w:val="16"/>
              </w:rPr>
              <w:t>–</w:t>
            </w:r>
            <w:r>
              <w:rPr>
                <w:rFonts w:ascii="Consolas" w:hAnsi="Consolas"/>
                <w:b w:val="0"/>
                <w:i w:val="0"/>
                <w:sz w:val="17"/>
              </w:rPr>
              <w:t>BR-EXAM-026</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TC-EXAM-002</w:t>
            </w:r>
          </w:p>
        </w:tc>
        <w:tc>
          <w:tcPr>
            <w:tcW w:type="dxa" w:w="1015"/>
            <w:vAlign w:val="top"/>
            <w:tcMar>
              <w:top w:w="70" w:type="dxa"/>
              <w:start w:w="90" w:type="dxa"/>
              <w:bottom w:w="70" w:type="dxa"/>
              <w:end w:w="90" w:type="dxa"/>
            </w:tcMar>
          </w:tcPr>
          <w:p>
            <w:pPr>
              <w:spacing w:after="0" w:line="240" w:lineRule="auto"/>
            </w:pPr>
            <w:r>
              <w:rPr/>
            </w:r>
            <w:r>
              <w:rPr>
                <w:sz w:val="16"/>
              </w:rPr>
              <w:t>Generate fixed form with provenance</w:t>
            </w:r>
          </w:p>
        </w:tc>
        <w:tc>
          <w:tcPr>
            <w:tcW w:type="dxa" w:w="1200"/>
            <w:vAlign w:val="top"/>
            <w:tcMar>
              <w:top w:w="70" w:type="dxa"/>
              <w:start w:w="90" w:type="dxa"/>
              <w:bottom w:w="70" w:type="dxa"/>
              <w:end w:w="90" w:type="dxa"/>
            </w:tcMar>
          </w:tcPr>
          <w:p>
            <w:pPr>
              <w:spacing w:after="0" w:line="240" w:lineRule="auto"/>
            </w:pPr>
            <w:r>
              <w:rPr/>
            </w:r>
            <w:r>
              <w:rPr>
                <w:sz w:val="16"/>
              </w:rPr>
              <w:t>Functional, Critical</w:t>
            </w:r>
          </w:p>
        </w:tc>
        <w:tc>
          <w:tcPr>
            <w:tcW w:type="dxa" w:w="2124"/>
            <w:vAlign w:val="top"/>
            <w:tcMar>
              <w:top w:w="70" w:type="dxa"/>
              <w:start w:w="90" w:type="dxa"/>
              <w:bottom w:w="70" w:type="dxa"/>
              <w:end w:w="90" w:type="dxa"/>
            </w:tcMar>
          </w:tcPr>
          <w:p>
            <w:pPr>
              <w:spacing w:after="0" w:line="240" w:lineRule="auto"/>
            </w:pPr>
            <w:r>
              <w:rPr/>
            </w:r>
            <w:r>
              <w:rPr>
                <w:sz w:val="16"/>
              </w:rPr>
              <w:t>Use active template/content/package; generate shared and unique-form modes.</w:t>
            </w:r>
          </w:p>
        </w:tc>
        <w:tc>
          <w:tcPr>
            <w:tcW w:type="dxa" w:w="1385"/>
            <w:vAlign w:val="top"/>
            <w:tcMar>
              <w:top w:w="70" w:type="dxa"/>
              <w:start w:w="90" w:type="dxa"/>
              <w:bottom w:w="70" w:type="dxa"/>
              <w:end w:w="90" w:type="dxa"/>
            </w:tcMar>
          </w:tcPr>
          <w:p>
            <w:pPr>
              <w:spacing w:after="0" w:line="240" w:lineRule="auto"/>
            </w:pPr>
            <w:r>
              <w:rPr/>
            </w:r>
            <w:r>
              <w:rPr>
                <w:sz w:val="16"/>
              </w:rPr>
              <w:t>Generation status, fixed version, candidate snapshot, selected revisions, and form mode are persisted.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OBJ-EXAM-003</w:t>
            </w:r>
            <w:r>
              <w:rPr>
                <w:sz w:val="16"/>
              </w:rPr>
              <w:t xml:space="preserve">, </w:t>
            </w:r>
            <w:r>
              <w:rPr>
                <w:rFonts w:ascii="Consolas" w:hAnsi="Consolas"/>
                <w:b w:val="0"/>
                <w:i w:val="0"/>
                <w:sz w:val="17"/>
              </w:rPr>
              <w:t>FR-EXAM-004</w:t>
            </w:r>
            <w:r>
              <w:rPr>
                <w:sz w:val="16"/>
              </w:rPr>
              <w:t>–</w:t>
            </w:r>
            <w:r>
              <w:rPr>
                <w:rFonts w:ascii="Consolas" w:hAnsi="Consolas"/>
                <w:b w:val="0"/>
                <w:i w:val="0"/>
                <w:sz w:val="17"/>
              </w:rPr>
              <w:t>FR-EXAM-005</w:t>
            </w:r>
            <w:r>
              <w:rPr>
                <w:sz w:val="16"/>
              </w:rPr>
              <w:t xml:space="preserve">, </w:t>
            </w:r>
            <w:r>
              <w:rPr>
                <w:rFonts w:ascii="Consolas" w:hAnsi="Consolas"/>
                <w:b w:val="0"/>
                <w:i w:val="0"/>
                <w:sz w:val="17"/>
              </w:rPr>
              <w:t>FR-HARDENING-001</w:t>
            </w:r>
            <w:r>
              <w:rPr>
                <w:sz w:val="16"/>
              </w:rPr>
              <w:t xml:space="preserve">, </w:t>
            </w:r>
            <w:r>
              <w:rPr>
                <w:rFonts w:ascii="Consolas" w:hAnsi="Consolas"/>
                <w:b w:val="0"/>
                <w:i w:val="0"/>
                <w:sz w:val="17"/>
              </w:rPr>
              <w:t>SD-EXAM-STATE-001</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TC-EXAM-003</w:t>
            </w:r>
          </w:p>
        </w:tc>
        <w:tc>
          <w:tcPr>
            <w:tcW w:type="dxa" w:w="1015"/>
            <w:vAlign w:val="top"/>
            <w:tcMar>
              <w:top w:w="70" w:type="dxa"/>
              <w:start w:w="90" w:type="dxa"/>
              <w:bottom w:w="70" w:type="dxa"/>
              <w:end w:w="90" w:type="dxa"/>
            </w:tcMar>
          </w:tcPr>
          <w:p>
            <w:pPr>
              <w:spacing w:after="0" w:line="240" w:lineRule="auto"/>
            </w:pPr>
            <w:r>
              <w:rPr/>
            </w:r>
            <w:r>
              <w:rPr>
                <w:sz w:val="16"/>
              </w:rPr>
              <w:t>Recover interrupted generation</w:t>
            </w:r>
          </w:p>
        </w:tc>
        <w:tc>
          <w:tcPr>
            <w:tcW w:type="dxa" w:w="1200"/>
            <w:vAlign w:val="top"/>
            <w:tcMar>
              <w:top w:w="70" w:type="dxa"/>
              <w:start w:w="90" w:type="dxa"/>
              <w:bottom w:w="70" w:type="dxa"/>
              <w:end w:w="90" w:type="dxa"/>
            </w:tcMar>
          </w:tcPr>
          <w:p>
            <w:pPr>
              <w:spacing w:after="0" w:line="240" w:lineRule="auto"/>
            </w:pPr>
            <w:r>
              <w:rPr/>
            </w:r>
            <w:r>
              <w:rPr>
                <w:sz w:val="16"/>
              </w:rPr>
              <w:t>Recovery/idempotency, High</w:t>
            </w:r>
          </w:p>
        </w:tc>
        <w:tc>
          <w:tcPr>
            <w:tcW w:type="dxa" w:w="2124"/>
            <w:vAlign w:val="top"/>
            <w:tcMar>
              <w:top w:w="70" w:type="dxa"/>
              <w:start w:w="90" w:type="dxa"/>
              <w:bottom w:w="70" w:type="dxa"/>
              <w:end w:w="90" w:type="dxa"/>
            </w:tcMar>
          </w:tcPr>
          <w:p>
            <w:pPr>
              <w:spacing w:after="0" w:line="240" w:lineRule="auto"/>
            </w:pPr>
            <w:r>
              <w:rPr/>
            </w:r>
            <w:r>
              <w:rPr>
                <w:sz w:val="16"/>
              </w:rPr>
              <w:t>Interrupt generation after request; retry and then cancel in separate runs.</w:t>
            </w:r>
          </w:p>
        </w:tc>
        <w:tc>
          <w:tcPr>
            <w:tcW w:type="dxa" w:w="1385"/>
            <w:vAlign w:val="top"/>
            <w:tcMar>
              <w:top w:w="70" w:type="dxa"/>
              <w:start w:w="90" w:type="dxa"/>
              <w:bottom w:w="70" w:type="dxa"/>
              <w:end w:w="90" w:type="dxa"/>
            </w:tcMar>
          </w:tcPr>
          <w:p>
            <w:pPr>
              <w:spacing w:after="0" w:line="240" w:lineRule="auto"/>
            </w:pPr>
            <w:r>
              <w:rPr/>
            </w:r>
            <w:r>
              <w:rPr>
                <w:sz w:val="16"/>
              </w:rPr>
              <w:t>No partial publication; retry resumes/returns one result; cancel leaves an auditable safe state.</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OBJ-EXAM-004</w:t>
            </w:r>
            <w:r>
              <w:rPr>
                <w:sz w:val="16"/>
              </w:rPr>
              <w:t xml:space="preserve">, </w:t>
            </w:r>
            <w:r>
              <w:rPr>
                <w:rFonts w:ascii="Consolas" w:hAnsi="Consolas"/>
                <w:b w:val="0"/>
                <w:i w:val="0"/>
                <w:sz w:val="17"/>
              </w:rPr>
              <w:t>FR-EXAM-007</w:t>
            </w:r>
            <w:r>
              <w:rPr>
                <w:sz w:val="16"/>
              </w:rPr>
              <w:t xml:space="preserve">, </w:t>
            </w:r>
            <w:r>
              <w:rPr>
                <w:rFonts w:ascii="Consolas" w:hAnsi="Consolas"/>
                <w:b w:val="0"/>
                <w:i w:val="0"/>
                <w:sz w:val="17"/>
              </w:rPr>
              <w:t>TBD-GENERATION-001</w:t>
            </w:r>
            <w:r>
              <w:rPr>
                <w:sz w:val="16"/>
              </w:rPr>
              <w:t xml:space="preserve">, </w:t>
            </w:r>
            <w:r>
              <w:rPr>
                <w:rFonts w:ascii="Consolas" w:hAnsi="Consolas"/>
                <w:b w:val="0"/>
                <w:i w:val="0"/>
                <w:sz w:val="17"/>
              </w:rPr>
              <w:t>CR-IDEMPOTENCY-001</w:t>
            </w:r>
          </w:p>
        </w:tc>
        <w:tc>
          <w:tcPr>
            <w:tcW w:type="dxa" w:w="2124"/>
            <w:vAlign w:val="top"/>
            <w:tcMar>
              <w:top w:w="70" w:type="dxa"/>
              <w:start w:w="90" w:type="dxa"/>
              <w:bottom w:w="70" w:type="dxa"/>
              <w:end w:w="90" w:type="dxa"/>
            </w:tcMar>
          </w:tcPr>
          <w:p>
            <w:pPr>
              <w:spacing w:after="0" w:line="240" w:lineRule="auto"/>
            </w:pPr>
            <w:r>
              <w:rPr/>
            </w:r>
            <w:r>
              <w:rPr>
                <w:sz w:val="16"/>
              </w:rPr>
              <w:t>Planned; exact state machine is TBD.</w:t>
            </w:r>
          </w:p>
        </w:tc>
      </w:tr>
    </w:tbl>
    <w:p>
      <w:pPr>
        <w:spacing w:after="20"/>
      </w:pPr>
    </w:p>
    <w:p>
      <w:pPr>
        <w:pStyle w:val="Heading3"/>
        <w:keepNext/>
        <w:pageBreakBefore w:val="0"/>
      </w:pPr>
      <w:r>
        <w:t>4.4 Delivery, retry, and integrity cases</w:t>
      </w:r>
    </w:p>
    <w:tbl>
      <w:tblPr>
        <w:tblW w:type="auto" w:w="0"/>
        <w:jc w:val="center"/>
        <w:tblLayout w:type="fixed"/>
        <w:tblLook w:firstColumn="1" w:firstRow="1" w:lastColumn="0" w:lastRow="0" w:noHBand="0" w:noVBand="1" w:val="04A0"/>
      </w:tblPr>
      <w:tblGrid>
        <w:gridCol w:w="1293"/>
        <w:gridCol w:w="1293"/>
        <w:gridCol w:w="1293"/>
        <w:gridCol w:w="1293"/>
        <w:gridCol w:w="1293"/>
        <w:gridCol w:w="1293"/>
        <w:gridCol w:w="1293"/>
      </w:tblGrid>
      <w:tr>
        <w:trPr>
          <w:tblHeader w:val="true"/>
          <w:cantSplit/>
        </w:trPr>
        <w:tc>
          <w:tcPr>
            <w:tcW w:type="dxa" w:w="761"/>
            <w:vAlign w:val="top"/>
            <w:tcMar>
              <w:top w:w="70" w:type="dxa"/>
              <w:start w:w="90" w:type="dxa"/>
              <w:bottom w:w="70" w:type="dxa"/>
              <w:end w:w="90" w:type="dxa"/>
            </w:tcMar>
            <w:shd w:val="clear" w:color="auto" w:fill="FFE8E1"/>
          </w:tcPr>
          <w:p>
            <w:pPr>
              <w:spacing w:after="0" w:line="240" w:lineRule="auto"/>
            </w:pPr>
            <w:r>
              <w:rPr>
                <w:b/>
              </w:rPr>
            </w:r>
            <w:r>
              <w:rPr>
                <w:b/>
                <w:sz w:val="16"/>
              </w:rPr>
              <w:t>ID</w:t>
            </w:r>
          </w:p>
        </w:tc>
        <w:tc>
          <w:tcPr>
            <w:tcW w:type="dxa" w:w="1015"/>
            <w:vAlign w:val="top"/>
            <w:tcMar>
              <w:top w:w="70" w:type="dxa"/>
              <w:start w:w="90" w:type="dxa"/>
              <w:bottom w:w="70" w:type="dxa"/>
              <w:end w:w="90" w:type="dxa"/>
            </w:tcMar>
            <w:shd w:val="clear" w:color="auto" w:fill="FFE8E1"/>
          </w:tcPr>
          <w:p>
            <w:pPr>
              <w:spacing w:after="0" w:line="240" w:lineRule="auto"/>
            </w:pPr>
            <w:r>
              <w:rPr>
                <w:b/>
              </w:rPr>
            </w:r>
            <w:r>
              <w:rPr>
                <w:b/>
                <w:sz w:val="16"/>
              </w:rPr>
              <w:t>Objective</w:t>
            </w:r>
          </w:p>
        </w:tc>
        <w:tc>
          <w:tcPr>
            <w:tcW w:type="dxa" w:w="1200"/>
            <w:vAlign w:val="top"/>
            <w:tcMar>
              <w:top w:w="70" w:type="dxa"/>
              <w:start w:w="90" w:type="dxa"/>
              <w:bottom w:w="70" w:type="dxa"/>
              <w:end w:w="90" w:type="dxa"/>
            </w:tcMar>
            <w:shd w:val="clear" w:color="auto" w:fill="FFE8E1"/>
          </w:tcPr>
          <w:p>
            <w:pPr>
              <w:spacing w:after="0" w:line="240" w:lineRule="auto"/>
            </w:pPr>
            <w:r>
              <w:rPr>
                <w:b/>
              </w:rPr>
            </w:r>
            <w:r>
              <w:rPr>
                <w:b/>
                <w:sz w:val="16"/>
              </w:rPr>
              <w:t>Type/priority</w:t>
            </w:r>
          </w:p>
        </w:tc>
        <w:tc>
          <w:tcPr>
            <w:tcW w:type="dxa" w:w="2124"/>
            <w:vAlign w:val="top"/>
            <w:tcMar>
              <w:top w:w="70" w:type="dxa"/>
              <w:start w:w="90" w:type="dxa"/>
              <w:bottom w:w="70" w:type="dxa"/>
              <w:end w:w="90" w:type="dxa"/>
            </w:tcMar>
            <w:shd w:val="clear" w:color="auto" w:fill="FFE8E1"/>
          </w:tcPr>
          <w:p>
            <w:pPr>
              <w:spacing w:after="0" w:line="240" w:lineRule="auto"/>
            </w:pPr>
            <w:r>
              <w:rPr>
                <w:b/>
              </w:rPr>
            </w:r>
            <w:r>
              <w:rPr>
                <w:b/>
                <w:sz w:val="16"/>
              </w:rPr>
              <w:t>Preconditions and steps</w:t>
            </w:r>
          </w:p>
        </w:tc>
        <w:tc>
          <w:tcPr>
            <w:tcW w:type="dxa" w:w="1385"/>
            <w:vAlign w:val="top"/>
            <w:tcMar>
              <w:top w:w="70" w:type="dxa"/>
              <w:start w:w="90" w:type="dxa"/>
              <w:bottom w:w="70" w:type="dxa"/>
              <w:end w:w="90" w:type="dxa"/>
            </w:tcMar>
            <w:shd w:val="clear" w:color="auto" w:fill="FFE8E1"/>
          </w:tcPr>
          <w:p>
            <w:pPr>
              <w:spacing w:after="0" w:line="240" w:lineRule="auto"/>
            </w:pPr>
            <w:r>
              <w:rPr>
                <w:b/>
              </w:rPr>
            </w:r>
            <w:r>
              <w:rPr>
                <w:b/>
                <w:sz w:val="16"/>
              </w:rPr>
              <w:t>Expected result</w:t>
            </w:r>
          </w:p>
        </w:tc>
        <w:tc>
          <w:tcPr>
            <w:tcW w:type="dxa" w:w="1108"/>
            <w:vAlign w:val="top"/>
            <w:tcMar>
              <w:top w:w="70" w:type="dxa"/>
              <w:start w:w="90" w:type="dxa"/>
              <w:bottom w:w="70" w:type="dxa"/>
              <w:end w:w="90" w:type="dxa"/>
            </w:tcMar>
            <w:shd w:val="clear" w:color="auto" w:fill="FFE8E1"/>
          </w:tcPr>
          <w:p>
            <w:pPr>
              <w:spacing w:after="0" w:line="240" w:lineRule="auto"/>
            </w:pPr>
            <w:r>
              <w:rPr>
                <w:b/>
              </w:rPr>
            </w:r>
            <w:r>
              <w:rPr>
                <w:b/>
                <w:sz w:val="16"/>
              </w:rPr>
              <w:t>Traceability</w:t>
            </w:r>
          </w:p>
        </w:tc>
        <w:tc>
          <w:tcPr>
            <w:tcW w:type="dxa" w:w="2124"/>
            <w:vAlign w:val="top"/>
            <w:tcMar>
              <w:top w:w="70" w:type="dxa"/>
              <w:start w:w="90" w:type="dxa"/>
              <w:bottom w:w="70" w:type="dxa"/>
              <w:end w:w="90" w:type="dxa"/>
            </w:tcMar>
            <w:shd w:val="clear" w:color="auto" w:fill="FFE8E1"/>
          </w:tcPr>
          <w:p>
            <w:pPr>
              <w:spacing w:after="0" w:line="240" w:lineRule="auto"/>
            </w:pPr>
            <w:r>
              <w:rPr>
                <w:b/>
              </w:rPr>
            </w:r>
            <w:r>
              <w:rPr>
                <w:b/>
                <w:sz w:val="16"/>
              </w:rPr>
              <w:t>Planned result/evidence</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TC-DELIVERY-001</w:t>
            </w:r>
          </w:p>
        </w:tc>
        <w:tc>
          <w:tcPr>
            <w:tcW w:type="dxa" w:w="1015"/>
            <w:vAlign w:val="top"/>
            <w:tcMar>
              <w:top w:w="70" w:type="dxa"/>
              <w:start w:w="90" w:type="dxa"/>
              <w:bottom w:w="70" w:type="dxa"/>
              <w:end w:w="90" w:type="dxa"/>
            </w:tcMar>
          </w:tcPr>
          <w:p>
            <w:pPr>
              <w:spacing w:after="0" w:line="240" w:lineRule="auto"/>
            </w:pPr>
            <w:r>
              <w:rPr/>
            </w:r>
            <w:r>
              <w:rPr>
                <w:sz w:val="16"/>
              </w:rPr>
              <w:t>Block ineligible Student entry</w:t>
            </w:r>
          </w:p>
        </w:tc>
        <w:tc>
          <w:tcPr>
            <w:tcW w:type="dxa" w:w="1200"/>
            <w:vAlign w:val="top"/>
            <w:tcMar>
              <w:top w:w="70" w:type="dxa"/>
              <w:start w:w="90" w:type="dxa"/>
              <w:bottom w:w="70" w:type="dxa"/>
              <w:end w:w="90" w:type="dxa"/>
            </w:tcMar>
          </w:tcPr>
          <w:p>
            <w:pPr>
              <w:spacing w:after="0" w:line="240" w:lineRule="auto"/>
            </w:pPr>
            <w:r>
              <w:rPr/>
            </w:r>
            <w:r>
              <w:rPr>
                <w:sz w:val="16"/>
              </w:rPr>
              <w:t>Authorization, Critical</w:t>
            </w:r>
          </w:p>
        </w:tc>
        <w:tc>
          <w:tcPr>
            <w:tcW w:type="dxa" w:w="2124"/>
            <w:vAlign w:val="top"/>
            <w:tcMar>
              <w:top w:w="70" w:type="dxa"/>
              <w:start w:w="90" w:type="dxa"/>
              <w:bottom w:w="70" w:type="dxa"/>
              <w:end w:w="90" w:type="dxa"/>
            </w:tcMar>
          </w:tcPr>
          <w:p>
            <w:pPr>
              <w:spacing w:after="0" w:line="240" w:lineRule="auto"/>
            </w:pPr>
            <w:r>
              <w:rPr/>
            </w:r>
            <w:r>
              <w:rPr>
                <w:sz w:val="16"/>
              </w:rPr>
              <w:t>Try unassigned Student, closed exam, and wrong organization.</w:t>
            </w:r>
          </w:p>
        </w:tc>
        <w:tc>
          <w:tcPr>
            <w:tcW w:type="dxa" w:w="1385"/>
            <w:vAlign w:val="top"/>
            <w:tcMar>
              <w:top w:w="70" w:type="dxa"/>
              <w:start w:w="90" w:type="dxa"/>
              <w:bottom w:w="70" w:type="dxa"/>
              <w:end w:w="90" w:type="dxa"/>
            </w:tcMar>
          </w:tcPr>
          <w:p>
            <w:pPr>
              <w:spacing w:after="0" w:line="240" w:lineRule="auto"/>
            </w:pPr>
            <w:r>
              <w:rPr/>
            </w:r>
            <w:r>
              <w:rPr>
                <w:sz w:val="16"/>
              </w:rPr>
              <w:t>Entry is denied with safe reason; no attempt is created.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OBJ-DELIVERY-001</w:t>
            </w:r>
            <w:r>
              <w:rPr>
                <w:sz w:val="16"/>
              </w:rPr>
              <w:t xml:space="preserve">, </w:t>
            </w:r>
            <w:r>
              <w:rPr>
                <w:rFonts w:ascii="Consolas" w:hAnsi="Consolas"/>
                <w:b w:val="0"/>
                <w:i w:val="0"/>
                <w:sz w:val="17"/>
              </w:rPr>
              <w:t>FR-DELIVERY-001</w:t>
            </w:r>
            <w:r>
              <w:rPr>
                <w:sz w:val="16"/>
              </w:rPr>
              <w:t xml:space="preserve">, </w:t>
            </w:r>
            <w:r>
              <w:rPr>
                <w:rFonts w:ascii="Consolas" w:hAnsi="Consolas"/>
                <w:b w:val="0"/>
                <w:i w:val="0"/>
                <w:sz w:val="17"/>
              </w:rPr>
              <w:t>BR-ACCESS-006</w:t>
            </w:r>
            <w:r>
              <w:rPr>
                <w:sz w:val="16"/>
              </w:rPr>
              <w:t xml:space="preserve">, </w:t>
            </w:r>
            <w:r>
              <w:rPr>
                <w:rFonts w:ascii="Consolas" w:hAnsi="Consolas"/>
                <w:b w:val="0"/>
                <w:i w:val="0"/>
                <w:sz w:val="17"/>
              </w:rPr>
              <w:t>NFR-09</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TC-DELIVERY-002</w:t>
            </w:r>
          </w:p>
        </w:tc>
        <w:tc>
          <w:tcPr>
            <w:tcW w:type="dxa" w:w="1015"/>
            <w:vAlign w:val="top"/>
            <w:tcMar>
              <w:top w:w="70" w:type="dxa"/>
              <w:start w:w="90" w:type="dxa"/>
              <w:bottom w:w="70" w:type="dxa"/>
              <w:end w:w="90" w:type="dxa"/>
            </w:tcMar>
          </w:tcPr>
          <w:p>
            <w:pPr>
              <w:spacing w:after="0" w:line="240" w:lineRule="auto"/>
            </w:pPr>
            <w:r>
              <w:rPr/>
            </w:r>
            <w:r>
              <w:rPr>
                <w:sz w:val="16"/>
              </w:rPr>
              <w:t>Verify device/audio check gate</w:t>
            </w:r>
          </w:p>
        </w:tc>
        <w:tc>
          <w:tcPr>
            <w:tcW w:type="dxa" w:w="1200"/>
            <w:vAlign w:val="top"/>
            <w:tcMar>
              <w:top w:w="70" w:type="dxa"/>
              <w:start w:w="90" w:type="dxa"/>
              <w:bottom w:w="70" w:type="dxa"/>
              <w:end w:w="90" w:type="dxa"/>
            </w:tcMar>
          </w:tcPr>
          <w:p>
            <w:pPr>
              <w:spacing w:after="0" w:line="240" w:lineRule="auto"/>
            </w:pPr>
            <w:r>
              <w:rPr/>
            </w:r>
            <w:r>
              <w:rPr>
                <w:sz w:val="16"/>
              </w:rPr>
              <w:t>Compatibility, High</w:t>
            </w:r>
          </w:p>
        </w:tc>
        <w:tc>
          <w:tcPr>
            <w:tcW w:type="dxa" w:w="2124"/>
            <w:vAlign w:val="top"/>
            <w:tcMar>
              <w:top w:w="70" w:type="dxa"/>
              <w:start w:w="90" w:type="dxa"/>
              <w:bottom w:w="70" w:type="dxa"/>
              <w:end w:w="90" w:type="dxa"/>
            </w:tcMar>
          </w:tcPr>
          <w:p>
            <w:pPr>
              <w:spacing w:after="0" w:line="240" w:lineRule="auto"/>
            </w:pPr>
            <w:r>
              <w:rPr/>
            </w:r>
            <w:r>
              <w:rPr>
                <w:sz w:val="16"/>
              </w:rPr>
              <w:t>Fail microphone/audio/network/device condition before timed work.</w:t>
            </w:r>
          </w:p>
        </w:tc>
        <w:tc>
          <w:tcPr>
            <w:tcW w:type="dxa" w:w="1385"/>
            <w:vAlign w:val="top"/>
            <w:tcMar>
              <w:top w:w="70" w:type="dxa"/>
              <w:start w:w="90" w:type="dxa"/>
              <w:bottom w:w="70" w:type="dxa"/>
              <w:end w:w="90" w:type="dxa"/>
            </w:tcMar>
          </w:tcPr>
          <w:p>
            <w:pPr>
              <w:spacing w:after="0" w:line="240" w:lineRule="auto"/>
            </w:pPr>
            <w:r>
              <w:rPr/>
            </w:r>
            <w:r>
              <w:rPr>
                <w:sz w:val="16"/>
              </w:rPr>
              <w:t>Named failure is shown; timed task does not start or follows explicit policy.</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OBJ-DELIVERY-002</w:t>
            </w:r>
            <w:r>
              <w:rPr>
                <w:sz w:val="16"/>
              </w:rPr>
              <w:t xml:space="preserve">, </w:t>
            </w:r>
            <w:r>
              <w:rPr>
                <w:rFonts w:ascii="Consolas" w:hAnsi="Consolas"/>
                <w:b w:val="0"/>
                <w:i w:val="0"/>
                <w:sz w:val="17"/>
              </w:rPr>
              <w:t>FR-DELIVERY-002</w:t>
            </w:r>
            <w:r>
              <w:rPr>
                <w:sz w:val="16"/>
              </w:rPr>
              <w:t xml:space="preserve">, </w:t>
            </w:r>
            <w:r>
              <w:rPr>
                <w:rFonts w:ascii="Consolas" w:hAnsi="Consolas"/>
                <w:b w:val="0"/>
                <w:i w:val="0"/>
                <w:sz w:val="17"/>
              </w:rPr>
              <w:t>TBD-CLIENT-001</w:t>
            </w:r>
            <w:r>
              <w:rPr>
                <w:sz w:val="16"/>
              </w:rPr>
              <w:t xml:space="preserve">, </w:t>
            </w:r>
            <w:r>
              <w:rPr>
                <w:rFonts w:ascii="Consolas" w:hAnsi="Consolas"/>
                <w:b w:val="0"/>
                <w:i w:val="0"/>
                <w:sz w:val="17"/>
              </w:rPr>
              <w:t>NFR-18</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TC-DELIVERY-003</w:t>
            </w:r>
          </w:p>
        </w:tc>
        <w:tc>
          <w:tcPr>
            <w:tcW w:type="dxa" w:w="1015"/>
            <w:vAlign w:val="top"/>
            <w:tcMar>
              <w:top w:w="70" w:type="dxa"/>
              <w:start w:w="90" w:type="dxa"/>
              <w:bottom w:w="70" w:type="dxa"/>
              <w:end w:w="90" w:type="dxa"/>
            </w:tcMar>
          </w:tcPr>
          <w:p>
            <w:pPr>
              <w:spacing w:after="0" w:line="240" w:lineRule="auto"/>
            </w:pPr>
            <w:r>
              <w:rPr/>
            </w:r>
            <w:r>
              <w:rPr>
                <w:sz w:val="16"/>
              </w:rPr>
              <w:t>Verify local save during network loss</w:t>
            </w:r>
          </w:p>
        </w:tc>
        <w:tc>
          <w:tcPr>
            <w:tcW w:type="dxa" w:w="1200"/>
            <w:vAlign w:val="top"/>
            <w:tcMar>
              <w:top w:w="70" w:type="dxa"/>
              <w:start w:w="90" w:type="dxa"/>
              <w:bottom w:w="70" w:type="dxa"/>
              <w:end w:w="90" w:type="dxa"/>
            </w:tcMar>
          </w:tcPr>
          <w:p>
            <w:pPr>
              <w:spacing w:after="0" w:line="240" w:lineRule="auto"/>
            </w:pPr>
            <w:r>
              <w:rPr/>
            </w:r>
            <w:r>
              <w:rPr>
                <w:sz w:val="16"/>
              </w:rPr>
              <w:t>Recovery, Critical</w:t>
            </w:r>
          </w:p>
        </w:tc>
        <w:tc>
          <w:tcPr>
            <w:tcW w:type="dxa" w:w="2124"/>
            <w:vAlign w:val="top"/>
            <w:tcMar>
              <w:top w:w="70" w:type="dxa"/>
              <w:start w:w="90" w:type="dxa"/>
              <w:bottom w:w="70" w:type="dxa"/>
              <w:end w:w="90" w:type="dxa"/>
            </w:tcMar>
          </w:tcPr>
          <w:p>
            <w:pPr>
              <w:spacing w:after="0" w:line="240" w:lineRule="auto"/>
            </w:pPr>
            <w:r>
              <w:rPr/>
            </w:r>
            <w:r>
              <w:rPr>
                <w:sz w:val="16"/>
              </w:rPr>
              <w:t>Start assigned attempt; save text/selection/audio; interrupt network before sync.</w:t>
            </w:r>
          </w:p>
        </w:tc>
        <w:tc>
          <w:tcPr>
            <w:tcW w:type="dxa" w:w="1385"/>
            <w:vAlign w:val="top"/>
            <w:tcMar>
              <w:top w:w="70" w:type="dxa"/>
              <w:start w:w="90" w:type="dxa"/>
              <w:bottom w:w="70" w:type="dxa"/>
              <w:end w:w="90" w:type="dxa"/>
            </w:tcMar>
          </w:tcPr>
          <w:p>
            <w:pPr>
              <w:spacing w:after="0" w:line="240" w:lineRule="auto"/>
            </w:pPr>
            <w:r>
              <w:rPr/>
            </w:r>
            <w:r>
              <w:rPr>
                <w:sz w:val="16"/>
              </w:rPr>
              <w:t>Local state remains saved/queued and visible; no “accepted” claim is shown prematurely.</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OBJ-DELIVERY-003</w:t>
            </w:r>
            <w:r>
              <w:rPr>
                <w:sz w:val="16"/>
              </w:rPr>
              <w:t xml:space="preserve">, </w:t>
            </w:r>
            <w:r>
              <w:rPr>
                <w:rFonts w:ascii="Consolas" w:hAnsi="Consolas"/>
                <w:b w:val="0"/>
                <w:i w:val="0"/>
                <w:sz w:val="17"/>
              </w:rPr>
              <w:t>FR-DELIVERY-005</w:t>
            </w:r>
            <w:r>
              <w:rPr>
                <w:sz w:val="16"/>
              </w:rPr>
              <w:t>–</w:t>
            </w:r>
            <w:r>
              <w:rPr>
                <w:rFonts w:ascii="Consolas" w:hAnsi="Consolas"/>
                <w:b w:val="0"/>
                <w:i w:val="0"/>
                <w:sz w:val="17"/>
              </w:rPr>
              <w:t>FR-DELIVERY-006</w:t>
            </w:r>
            <w:r>
              <w:rPr>
                <w:sz w:val="16"/>
              </w:rPr>
              <w:t xml:space="preserve">, </w:t>
            </w:r>
            <w:r>
              <w:rPr>
                <w:rFonts w:ascii="Consolas" w:hAnsi="Consolas"/>
                <w:b w:val="0"/>
                <w:i w:val="0"/>
                <w:sz w:val="17"/>
              </w:rPr>
              <w:t>SEQ-ANSWER-SYNC</w:t>
            </w:r>
            <w:r>
              <w:rPr>
                <w:sz w:val="16"/>
              </w:rPr>
              <w:t xml:space="preserve">, </w:t>
            </w:r>
            <w:r>
              <w:rPr>
                <w:rFonts w:ascii="Consolas" w:hAnsi="Consolas"/>
                <w:b w:val="0"/>
                <w:i w:val="0"/>
                <w:sz w:val="17"/>
              </w:rPr>
              <w:t>BR-DELIVERY-030</w:t>
            </w:r>
            <w:r>
              <w:rPr>
                <w:sz w:val="16"/>
              </w:rPr>
              <w:t>–</w:t>
            </w:r>
            <w:r>
              <w:rPr>
                <w:rFonts w:ascii="Consolas" w:hAnsi="Consolas"/>
                <w:b w:val="0"/>
                <w:i w:val="0"/>
                <w:sz w:val="17"/>
              </w:rPr>
              <w:t>BR-DELIVERY-031</w:t>
            </w:r>
          </w:p>
        </w:tc>
        <w:tc>
          <w:tcPr>
            <w:tcW w:type="dxa" w:w="2124"/>
            <w:vAlign w:val="top"/>
            <w:tcMar>
              <w:top w:w="70" w:type="dxa"/>
              <w:start w:w="90" w:type="dxa"/>
              <w:bottom w:w="70" w:type="dxa"/>
              <w:end w:w="90" w:type="dxa"/>
            </w:tcMar>
          </w:tcPr>
          <w:p>
            <w:pPr>
              <w:spacing w:after="0" w:line="240" w:lineRule="auto"/>
            </w:pPr>
            <w:r>
              <w:rPr/>
            </w:r>
            <w:r>
              <w:rPr>
                <w:sz w:val="16"/>
              </w:rPr>
              <w:t>Planned; Windows evidence required.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TC-DELIVERY-004</w:t>
            </w:r>
          </w:p>
        </w:tc>
        <w:tc>
          <w:tcPr>
            <w:tcW w:type="dxa" w:w="1015"/>
            <w:vAlign w:val="top"/>
            <w:tcMar>
              <w:top w:w="70" w:type="dxa"/>
              <w:start w:w="90" w:type="dxa"/>
              <w:bottom w:w="70" w:type="dxa"/>
              <w:end w:w="90" w:type="dxa"/>
            </w:tcMar>
          </w:tcPr>
          <w:p>
            <w:pPr>
              <w:spacing w:after="0" w:line="240" w:lineRule="auto"/>
            </w:pPr>
            <w:r>
              <w:rPr/>
            </w:r>
            <w:r>
              <w:rPr>
                <w:sz w:val="16"/>
              </w:rPr>
              <w:t>Verify duplicate answer retry</w:t>
            </w:r>
          </w:p>
        </w:tc>
        <w:tc>
          <w:tcPr>
            <w:tcW w:type="dxa" w:w="1200"/>
            <w:vAlign w:val="top"/>
            <w:tcMar>
              <w:top w:w="70" w:type="dxa"/>
              <w:start w:w="90" w:type="dxa"/>
              <w:bottom w:w="70" w:type="dxa"/>
              <w:end w:w="90" w:type="dxa"/>
            </w:tcMar>
          </w:tcPr>
          <w:p>
            <w:pPr>
              <w:spacing w:after="0" w:line="240" w:lineRule="auto"/>
            </w:pPr>
            <w:r>
              <w:rPr/>
            </w:r>
            <w:r>
              <w:rPr>
                <w:sz w:val="16"/>
              </w:rPr>
              <w:t>Idempotency, Critical</w:t>
            </w:r>
          </w:p>
        </w:tc>
        <w:tc>
          <w:tcPr>
            <w:tcW w:type="dxa" w:w="2124"/>
            <w:vAlign w:val="top"/>
            <w:tcMar>
              <w:top w:w="70" w:type="dxa"/>
              <w:start w:w="90" w:type="dxa"/>
              <w:bottom w:w="70" w:type="dxa"/>
              <w:end w:w="90" w:type="dxa"/>
            </w:tcMar>
          </w:tcPr>
          <w:p>
            <w:pPr>
              <w:spacing w:after="0" w:line="240" w:lineRule="auto"/>
            </w:pPr>
            <w:r>
              <w:rPr/>
            </w:r>
            <w:r>
              <w:rPr>
                <w:sz w:val="16"/>
              </w:rPr>
              <w:t>Submit same task/correlation twice after a timeout.</w:t>
            </w:r>
          </w:p>
        </w:tc>
        <w:tc>
          <w:tcPr>
            <w:tcW w:type="dxa" w:w="1385"/>
            <w:vAlign w:val="top"/>
            <w:tcMar>
              <w:top w:w="70" w:type="dxa"/>
              <w:start w:w="90" w:type="dxa"/>
              <w:bottom w:w="70" w:type="dxa"/>
              <w:end w:w="90" w:type="dxa"/>
            </w:tcMar>
          </w:tcPr>
          <w:p>
            <w:pPr>
              <w:spacing w:after="0" w:line="240" w:lineRule="auto"/>
            </w:pPr>
            <w:r>
              <w:rPr/>
            </w:r>
            <w:r>
              <w:rPr>
                <w:sz w:val="16"/>
              </w:rPr>
              <w:t>One accepted answer; repeat returns accepted existing state or safe duplicate result.</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OBJ-DELIVERY-004</w:t>
            </w:r>
            <w:r>
              <w:rPr>
                <w:sz w:val="16"/>
              </w:rPr>
              <w:t xml:space="preserve">, </w:t>
            </w:r>
            <w:r>
              <w:rPr>
                <w:rFonts w:ascii="Consolas" w:hAnsi="Consolas"/>
                <w:b w:val="0"/>
                <w:i w:val="0"/>
                <w:sz w:val="17"/>
              </w:rPr>
              <w:t>FR-DELIVERY-006</w:t>
            </w:r>
            <w:r>
              <w:rPr>
                <w:sz w:val="16"/>
              </w:rPr>
              <w:t>–</w:t>
            </w:r>
            <w:r>
              <w:rPr>
                <w:rFonts w:ascii="Consolas" w:hAnsi="Consolas"/>
                <w:b w:val="0"/>
                <w:i w:val="0"/>
                <w:sz w:val="17"/>
              </w:rPr>
              <w:t>FR-DELIVERY-007</w:t>
            </w:r>
            <w:r>
              <w:rPr>
                <w:sz w:val="16"/>
              </w:rPr>
              <w:t xml:space="preserve">, </w:t>
            </w:r>
            <w:r>
              <w:rPr>
                <w:rFonts w:ascii="Consolas" w:hAnsi="Consolas"/>
                <w:b w:val="0"/>
                <w:i w:val="0"/>
                <w:sz w:val="17"/>
              </w:rPr>
              <w:t>DB-INV-006</w:t>
            </w:r>
            <w:r>
              <w:rPr>
                <w:sz w:val="16"/>
              </w:rPr>
              <w:t xml:space="preserve">, </w:t>
            </w:r>
            <w:r>
              <w:rPr>
                <w:rFonts w:ascii="Consolas" w:hAnsi="Consolas"/>
                <w:b w:val="0"/>
                <w:i w:val="0"/>
                <w:sz w:val="17"/>
              </w:rPr>
              <w:t>NFR-03</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TC-DELIVERY-005</w:t>
            </w:r>
          </w:p>
        </w:tc>
        <w:tc>
          <w:tcPr>
            <w:tcW w:type="dxa" w:w="1015"/>
            <w:vAlign w:val="top"/>
            <w:tcMar>
              <w:top w:w="70" w:type="dxa"/>
              <w:start w:w="90" w:type="dxa"/>
              <w:bottom w:w="70" w:type="dxa"/>
              <w:end w:w="90" w:type="dxa"/>
            </w:tcMar>
          </w:tcPr>
          <w:p>
            <w:pPr>
              <w:spacing w:after="0" w:line="240" w:lineRule="auto"/>
            </w:pPr>
            <w:r>
              <w:rPr/>
            </w:r>
            <w:r>
              <w:rPr>
                <w:sz w:val="16"/>
              </w:rPr>
              <w:t>Verify final submission and retake block</w:t>
            </w:r>
          </w:p>
        </w:tc>
        <w:tc>
          <w:tcPr>
            <w:tcW w:type="dxa" w:w="1200"/>
            <w:vAlign w:val="top"/>
            <w:tcMar>
              <w:top w:w="70" w:type="dxa"/>
              <w:start w:w="90" w:type="dxa"/>
              <w:bottom w:w="70" w:type="dxa"/>
              <w:end w:w="90" w:type="dxa"/>
            </w:tcMar>
          </w:tcPr>
          <w:p>
            <w:pPr>
              <w:spacing w:after="0" w:line="240" w:lineRule="auto"/>
            </w:pPr>
            <w:r>
              <w:rPr/>
            </w:r>
            <w:r>
              <w:rPr>
                <w:sz w:val="16"/>
              </w:rPr>
              <w:t>State/negative, High</w:t>
            </w:r>
          </w:p>
        </w:tc>
        <w:tc>
          <w:tcPr>
            <w:tcW w:type="dxa" w:w="2124"/>
            <w:vAlign w:val="top"/>
            <w:tcMar>
              <w:top w:w="70" w:type="dxa"/>
              <w:start w:w="90" w:type="dxa"/>
              <w:bottom w:w="70" w:type="dxa"/>
              <w:end w:w="90" w:type="dxa"/>
            </w:tcMar>
          </w:tcPr>
          <w:p>
            <w:pPr>
              <w:spacing w:after="0" w:line="240" w:lineRule="auto"/>
            </w:pPr>
            <w:r>
              <w:rPr/>
            </w:r>
            <w:r>
              <w:rPr>
                <w:sz w:val="16"/>
              </w:rPr>
              <w:t>Submit attempt; request second attempt without retake policy.</w:t>
            </w:r>
          </w:p>
        </w:tc>
        <w:tc>
          <w:tcPr>
            <w:tcW w:type="dxa" w:w="1385"/>
            <w:vAlign w:val="top"/>
            <w:tcMar>
              <w:top w:w="70" w:type="dxa"/>
              <w:start w:w="90" w:type="dxa"/>
              <w:bottom w:w="70" w:type="dxa"/>
              <w:end w:w="90" w:type="dxa"/>
            </w:tcMar>
          </w:tcPr>
          <w:p>
            <w:pPr>
              <w:spacing w:after="0" w:line="240" w:lineRule="auto"/>
            </w:pPr>
            <w:r>
              <w:rPr/>
            </w:r>
            <w:r>
              <w:rPr>
                <w:sz w:val="16"/>
              </w:rPr>
              <w:t>First final state remains; second attempt is blocked with policy reason.</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OBJ-DELIVERY-005</w:t>
            </w:r>
            <w:r>
              <w:rPr>
                <w:sz w:val="16"/>
              </w:rPr>
              <w:t xml:space="preserve">, </w:t>
            </w:r>
            <w:r>
              <w:rPr>
                <w:rFonts w:ascii="Consolas" w:hAnsi="Consolas"/>
                <w:b w:val="0"/>
                <w:i w:val="0"/>
                <w:sz w:val="17"/>
              </w:rPr>
              <w:t>FR-DELIVERY-008</w:t>
            </w:r>
            <w:r>
              <w:rPr>
                <w:sz w:val="16"/>
              </w:rPr>
              <w:t xml:space="preserve">, </w:t>
            </w:r>
            <w:r>
              <w:rPr>
                <w:rFonts w:ascii="Consolas" w:hAnsi="Consolas"/>
                <w:b w:val="0"/>
                <w:i w:val="0"/>
                <w:sz w:val="17"/>
              </w:rPr>
              <w:t>BR-DELIVERY-034</w:t>
            </w:r>
            <w:r>
              <w:rPr>
                <w:sz w:val="16"/>
              </w:rPr>
              <w:t xml:space="preserve">, </w:t>
            </w:r>
            <w:r>
              <w:rPr>
                <w:rFonts w:ascii="Consolas" w:hAnsi="Consolas"/>
                <w:b w:val="0"/>
                <w:i w:val="0"/>
                <w:sz w:val="17"/>
              </w:rPr>
              <w:t>DB-INV-005</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TC-PROCTOR-001</w:t>
            </w:r>
          </w:p>
        </w:tc>
        <w:tc>
          <w:tcPr>
            <w:tcW w:type="dxa" w:w="1015"/>
            <w:vAlign w:val="top"/>
            <w:tcMar>
              <w:top w:w="70" w:type="dxa"/>
              <w:start w:w="90" w:type="dxa"/>
              <w:bottom w:w="70" w:type="dxa"/>
              <w:end w:w="90" w:type="dxa"/>
            </w:tcMar>
          </w:tcPr>
          <w:p>
            <w:pPr>
              <w:spacing w:after="0" w:line="240" w:lineRule="auto"/>
            </w:pPr>
            <w:r>
              <w:rPr/>
            </w:r>
            <w:r>
              <w:rPr>
                <w:sz w:val="16"/>
              </w:rPr>
              <w:t>Verify assigned monitoring and violation audit</w:t>
            </w:r>
          </w:p>
        </w:tc>
        <w:tc>
          <w:tcPr>
            <w:tcW w:type="dxa" w:w="1200"/>
            <w:vAlign w:val="top"/>
            <w:tcMar>
              <w:top w:w="70" w:type="dxa"/>
              <w:start w:w="90" w:type="dxa"/>
              <w:bottom w:w="70" w:type="dxa"/>
              <w:end w:w="90" w:type="dxa"/>
            </w:tcMar>
          </w:tcPr>
          <w:p>
            <w:pPr>
              <w:spacing w:after="0" w:line="240" w:lineRule="auto"/>
            </w:pPr>
            <w:r>
              <w:rPr/>
            </w:r>
            <w:r>
              <w:rPr>
                <w:sz w:val="16"/>
              </w:rPr>
              <w:t>Authorization/audit, High</w:t>
            </w:r>
          </w:p>
        </w:tc>
        <w:tc>
          <w:tcPr>
            <w:tcW w:type="dxa" w:w="2124"/>
            <w:vAlign w:val="top"/>
            <w:tcMar>
              <w:top w:w="70" w:type="dxa"/>
              <w:start w:w="90" w:type="dxa"/>
              <w:bottom w:w="70" w:type="dxa"/>
              <w:end w:w="90" w:type="dxa"/>
            </w:tcMar>
          </w:tcPr>
          <w:p>
            <w:pPr>
              <w:spacing w:after="0" w:line="240" w:lineRule="auto"/>
            </w:pPr>
            <w:r>
              <w:rPr/>
            </w:r>
            <w:r>
              <w:rPr>
                <w:sz w:val="16"/>
              </w:rPr>
              <w:t>Open assigned/unassigned sessions; record warning/violation under Practice policy.</w:t>
            </w:r>
          </w:p>
        </w:tc>
        <w:tc>
          <w:tcPr>
            <w:tcW w:type="dxa" w:w="1385"/>
            <w:vAlign w:val="top"/>
            <w:tcMar>
              <w:top w:w="70" w:type="dxa"/>
              <w:start w:w="90" w:type="dxa"/>
              <w:bottom w:w="70" w:type="dxa"/>
              <w:end w:w="90" w:type="dxa"/>
            </w:tcMar>
          </w:tcPr>
          <w:p>
            <w:pPr>
              <w:spacing w:after="0" w:line="240" w:lineRule="auto"/>
            </w:pPr>
            <w:r>
              <w:rPr/>
            </w:r>
            <w:r>
              <w:rPr>
                <w:sz w:val="16"/>
              </w:rPr>
              <w:t>Only assignment succeeds; event has actor/time/attempt/policy/detail; Practice is not silently invalidated.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OBJ-INTEGRITY-001</w:t>
            </w:r>
            <w:r>
              <w:rPr>
                <w:sz w:val="16"/>
              </w:rPr>
              <w:t xml:space="preserve">, </w:t>
            </w:r>
            <w:r>
              <w:rPr>
                <w:rFonts w:ascii="Consolas" w:hAnsi="Consolas"/>
                <w:b w:val="0"/>
                <w:i w:val="0"/>
                <w:sz w:val="17"/>
              </w:rPr>
              <w:t>FR-INTEGRITY-001</w:t>
            </w:r>
            <w:r>
              <w:rPr>
                <w:sz w:val="16"/>
              </w:rPr>
              <w:t>–</w:t>
            </w:r>
            <w:r>
              <w:rPr>
                <w:rFonts w:ascii="Consolas" w:hAnsi="Consolas"/>
                <w:b w:val="0"/>
                <w:i w:val="0"/>
                <w:sz w:val="17"/>
              </w:rPr>
              <w:t>FR-INTEGRITY-004</w:t>
            </w:r>
            <w:r>
              <w:rPr>
                <w:sz w:val="16"/>
              </w:rPr>
              <w:t xml:space="preserve">, </w:t>
            </w:r>
            <w:r>
              <w:rPr>
                <w:rFonts w:ascii="Consolas" w:hAnsi="Consolas"/>
                <w:b w:val="0"/>
                <w:i w:val="0"/>
                <w:sz w:val="17"/>
              </w:rPr>
              <w:t>SEQ-PROCTOR-AUDIT</w:t>
            </w:r>
            <w:r>
              <w:rPr>
                <w:sz w:val="16"/>
              </w:rPr>
              <w:t xml:space="preserve">, </w:t>
            </w:r>
            <w:r>
              <w:rPr>
                <w:rFonts w:ascii="Consolas" w:hAnsi="Consolas"/>
                <w:b w:val="0"/>
                <w:i w:val="0"/>
                <w:sz w:val="17"/>
              </w:rPr>
              <w:t>BR-INTEGRITY-035</w:t>
            </w:r>
            <w:r>
              <w:rPr>
                <w:sz w:val="16"/>
              </w:rPr>
              <w:t xml:space="preserve">, </w:t>
            </w:r>
            <w:r>
              <w:rPr>
                <w:rFonts w:ascii="Consolas" w:hAnsi="Consolas"/>
                <w:b w:val="0"/>
                <w:i w:val="0"/>
                <w:sz w:val="17"/>
              </w:rPr>
              <w:t>BR-INTEGRITY-039</w:t>
            </w:r>
            <w:r>
              <w:rPr>
                <w:sz w:val="16"/>
              </w:rPr>
              <w:t xml:space="preserve">, </w:t>
            </w:r>
            <w:r>
              <w:rPr>
                <w:rFonts w:ascii="Consolas" w:hAnsi="Consolas"/>
                <w:b w:val="0"/>
                <w:i w:val="0"/>
                <w:sz w:val="17"/>
              </w:rPr>
              <w:t>NFR-10</w:t>
            </w:r>
          </w:p>
        </w:tc>
        <w:tc>
          <w:tcPr>
            <w:tcW w:type="dxa" w:w="2124"/>
            <w:vAlign w:val="top"/>
            <w:tcMar>
              <w:top w:w="70" w:type="dxa"/>
              <w:start w:w="90" w:type="dxa"/>
              <w:bottom w:w="70" w:type="dxa"/>
              <w:end w:w="90" w:type="dxa"/>
            </w:tcMar>
          </w:tcPr>
          <w:p>
            <w:pPr>
              <w:spacing w:after="0" w:line="240" w:lineRule="auto"/>
            </w:pPr>
            <w:r>
              <w:rPr/>
            </w:r>
            <w:r>
              <w:rPr>
                <w:sz w:val="16"/>
              </w:rPr>
              <w:t>Planned; sync timing remains TBD.</w:t>
            </w:r>
          </w:p>
        </w:tc>
      </w:tr>
    </w:tbl>
    <w:p>
      <w:pPr>
        <w:spacing w:after="20"/>
      </w:pPr>
    </w:p>
    <w:p>
      <w:pPr>
        <w:pStyle w:val="Heading3"/>
        <w:keepNext/>
        <w:pageBreakBefore w:val="0"/>
      </w:pPr>
      <w:r>
        <w:t>4.5 Scoring, publication, and integration cases</w:t>
      </w:r>
    </w:p>
    <w:tbl>
      <w:tblPr>
        <w:tblW w:type="auto" w:w="0"/>
        <w:jc w:val="center"/>
        <w:tblLayout w:type="fixed"/>
        <w:tblLook w:firstColumn="1" w:firstRow="1" w:lastColumn="0" w:lastRow="0" w:noHBand="0" w:noVBand="1" w:val="04A0"/>
      </w:tblPr>
      <w:tblGrid>
        <w:gridCol w:w="1293"/>
        <w:gridCol w:w="1293"/>
        <w:gridCol w:w="1293"/>
        <w:gridCol w:w="1293"/>
        <w:gridCol w:w="1293"/>
        <w:gridCol w:w="1293"/>
        <w:gridCol w:w="1293"/>
      </w:tblGrid>
      <w:tr>
        <w:trPr>
          <w:tblHeader w:val="true"/>
          <w:cantSplit/>
        </w:trPr>
        <w:tc>
          <w:tcPr>
            <w:tcW w:type="dxa" w:w="761"/>
            <w:vAlign w:val="top"/>
            <w:tcMar>
              <w:top w:w="70" w:type="dxa"/>
              <w:start w:w="90" w:type="dxa"/>
              <w:bottom w:w="70" w:type="dxa"/>
              <w:end w:w="90" w:type="dxa"/>
            </w:tcMar>
            <w:shd w:val="clear" w:color="auto" w:fill="FFE8E1"/>
          </w:tcPr>
          <w:p>
            <w:pPr>
              <w:spacing w:after="0" w:line="240" w:lineRule="auto"/>
            </w:pPr>
            <w:r>
              <w:rPr>
                <w:b/>
              </w:rPr>
            </w:r>
            <w:r>
              <w:rPr>
                <w:b/>
                <w:sz w:val="16"/>
              </w:rPr>
              <w:t>ID</w:t>
            </w:r>
          </w:p>
        </w:tc>
        <w:tc>
          <w:tcPr>
            <w:tcW w:type="dxa" w:w="1015"/>
            <w:vAlign w:val="top"/>
            <w:tcMar>
              <w:top w:w="70" w:type="dxa"/>
              <w:start w:w="90" w:type="dxa"/>
              <w:bottom w:w="70" w:type="dxa"/>
              <w:end w:w="90" w:type="dxa"/>
            </w:tcMar>
            <w:shd w:val="clear" w:color="auto" w:fill="FFE8E1"/>
          </w:tcPr>
          <w:p>
            <w:pPr>
              <w:spacing w:after="0" w:line="240" w:lineRule="auto"/>
            </w:pPr>
            <w:r>
              <w:rPr>
                <w:b/>
              </w:rPr>
            </w:r>
            <w:r>
              <w:rPr>
                <w:b/>
                <w:sz w:val="16"/>
              </w:rPr>
              <w:t>Objective</w:t>
            </w:r>
          </w:p>
        </w:tc>
        <w:tc>
          <w:tcPr>
            <w:tcW w:type="dxa" w:w="1200"/>
            <w:vAlign w:val="top"/>
            <w:tcMar>
              <w:top w:w="70" w:type="dxa"/>
              <w:start w:w="90" w:type="dxa"/>
              <w:bottom w:w="70" w:type="dxa"/>
              <w:end w:w="90" w:type="dxa"/>
            </w:tcMar>
            <w:shd w:val="clear" w:color="auto" w:fill="FFE8E1"/>
          </w:tcPr>
          <w:p>
            <w:pPr>
              <w:spacing w:after="0" w:line="240" w:lineRule="auto"/>
            </w:pPr>
            <w:r>
              <w:rPr>
                <w:b/>
              </w:rPr>
            </w:r>
            <w:r>
              <w:rPr>
                <w:b/>
                <w:sz w:val="16"/>
              </w:rPr>
              <w:t>Type/priority</w:t>
            </w:r>
          </w:p>
        </w:tc>
        <w:tc>
          <w:tcPr>
            <w:tcW w:type="dxa" w:w="2124"/>
            <w:vAlign w:val="top"/>
            <w:tcMar>
              <w:top w:w="70" w:type="dxa"/>
              <w:start w:w="90" w:type="dxa"/>
              <w:bottom w:w="70" w:type="dxa"/>
              <w:end w:w="90" w:type="dxa"/>
            </w:tcMar>
            <w:shd w:val="clear" w:color="auto" w:fill="FFE8E1"/>
          </w:tcPr>
          <w:p>
            <w:pPr>
              <w:spacing w:after="0" w:line="240" w:lineRule="auto"/>
            </w:pPr>
            <w:r>
              <w:rPr>
                <w:b/>
              </w:rPr>
            </w:r>
            <w:r>
              <w:rPr>
                <w:b/>
                <w:sz w:val="16"/>
              </w:rPr>
              <w:t>Preconditions and steps</w:t>
            </w:r>
          </w:p>
        </w:tc>
        <w:tc>
          <w:tcPr>
            <w:tcW w:type="dxa" w:w="1385"/>
            <w:vAlign w:val="top"/>
            <w:tcMar>
              <w:top w:w="70" w:type="dxa"/>
              <w:start w:w="90" w:type="dxa"/>
              <w:bottom w:w="70" w:type="dxa"/>
              <w:end w:w="90" w:type="dxa"/>
            </w:tcMar>
            <w:shd w:val="clear" w:color="auto" w:fill="FFE8E1"/>
          </w:tcPr>
          <w:p>
            <w:pPr>
              <w:spacing w:after="0" w:line="240" w:lineRule="auto"/>
            </w:pPr>
            <w:r>
              <w:rPr>
                <w:b/>
              </w:rPr>
            </w:r>
            <w:r>
              <w:rPr>
                <w:b/>
                <w:sz w:val="16"/>
              </w:rPr>
              <w:t>Expected result</w:t>
            </w:r>
          </w:p>
        </w:tc>
        <w:tc>
          <w:tcPr>
            <w:tcW w:type="dxa" w:w="1108"/>
            <w:vAlign w:val="top"/>
            <w:tcMar>
              <w:top w:w="70" w:type="dxa"/>
              <w:start w:w="90" w:type="dxa"/>
              <w:bottom w:w="70" w:type="dxa"/>
              <w:end w:w="90" w:type="dxa"/>
            </w:tcMar>
            <w:shd w:val="clear" w:color="auto" w:fill="FFE8E1"/>
          </w:tcPr>
          <w:p>
            <w:pPr>
              <w:spacing w:after="0" w:line="240" w:lineRule="auto"/>
            </w:pPr>
            <w:r>
              <w:rPr>
                <w:b/>
              </w:rPr>
            </w:r>
            <w:r>
              <w:rPr>
                <w:b/>
                <w:sz w:val="16"/>
              </w:rPr>
              <w:t>Traceability</w:t>
            </w:r>
          </w:p>
        </w:tc>
        <w:tc>
          <w:tcPr>
            <w:tcW w:type="dxa" w:w="2124"/>
            <w:vAlign w:val="top"/>
            <w:tcMar>
              <w:top w:w="70" w:type="dxa"/>
              <w:start w:w="90" w:type="dxa"/>
              <w:bottom w:w="70" w:type="dxa"/>
              <w:end w:w="90" w:type="dxa"/>
            </w:tcMar>
            <w:shd w:val="clear" w:color="auto" w:fill="FFE8E1"/>
          </w:tcPr>
          <w:p>
            <w:pPr>
              <w:spacing w:after="0" w:line="240" w:lineRule="auto"/>
            </w:pPr>
            <w:r>
              <w:rPr>
                <w:b/>
              </w:rPr>
            </w:r>
            <w:r>
              <w:rPr>
                <w:b/>
                <w:sz w:val="16"/>
              </w:rPr>
              <w:t>Planned result/evidence</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TC-SCORE-001</w:t>
            </w:r>
          </w:p>
        </w:tc>
        <w:tc>
          <w:tcPr>
            <w:tcW w:type="dxa" w:w="1015"/>
            <w:vAlign w:val="top"/>
            <w:tcMar>
              <w:top w:w="70" w:type="dxa"/>
              <w:start w:w="90" w:type="dxa"/>
              <w:bottom w:w="70" w:type="dxa"/>
              <w:end w:w="90" w:type="dxa"/>
            </w:tcMar>
          </w:tcPr>
          <w:p>
            <w:pPr>
              <w:spacing w:after="0" w:line="240" w:lineRule="auto"/>
            </w:pPr>
            <w:r>
              <w:rPr/>
            </w:r>
            <w:r>
              <w:rPr>
                <w:sz w:val="16"/>
              </w:rPr>
              <w:t>Prevent conflicting Examiner assignment</w:t>
            </w:r>
          </w:p>
        </w:tc>
        <w:tc>
          <w:tcPr>
            <w:tcW w:type="dxa" w:w="1200"/>
            <w:vAlign w:val="top"/>
            <w:tcMar>
              <w:top w:w="70" w:type="dxa"/>
              <w:start w:w="90" w:type="dxa"/>
              <w:bottom w:w="70" w:type="dxa"/>
              <w:end w:w="90" w:type="dxa"/>
            </w:tcMar>
          </w:tcPr>
          <w:p>
            <w:pPr>
              <w:spacing w:after="0" w:line="240" w:lineRule="auto"/>
            </w:pPr>
            <w:r>
              <w:rPr/>
            </w:r>
            <w:r>
              <w:rPr>
                <w:sz w:val="16"/>
              </w:rPr>
              <w:t>Concurrency, High</w:t>
            </w:r>
          </w:p>
        </w:tc>
        <w:tc>
          <w:tcPr>
            <w:tcW w:type="dxa" w:w="2124"/>
            <w:vAlign w:val="top"/>
            <w:tcMar>
              <w:top w:w="70" w:type="dxa"/>
              <w:start w:w="90" w:type="dxa"/>
              <w:bottom w:w="70" w:type="dxa"/>
              <w:end w:w="90" w:type="dxa"/>
            </w:tcMar>
          </w:tcPr>
          <w:p>
            <w:pPr>
              <w:spacing w:after="0" w:line="240" w:lineRule="auto"/>
            </w:pPr>
            <w:r>
              <w:rPr/>
            </w:r>
            <w:r>
              <w:rPr>
                <w:sz w:val="16"/>
              </w:rPr>
              <w:t>Assign same answer to two Examiners without review policy.</w:t>
            </w:r>
          </w:p>
        </w:tc>
        <w:tc>
          <w:tcPr>
            <w:tcW w:type="dxa" w:w="1385"/>
            <w:vAlign w:val="top"/>
            <w:tcMar>
              <w:top w:w="70" w:type="dxa"/>
              <w:start w:w="90" w:type="dxa"/>
              <w:bottom w:w="70" w:type="dxa"/>
              <w:end w:w="90" w:type="dxa"/>
            </w:tcMar>
          </w:tcPr>
          <w:p>
            <w:pPr>
              <w:spacing w:after="0" w:line="240" w:lineRule="auto"/>
            </w:pPr>
            <w:r>
              <w:rPr/>
            </w:r>
            <w:r>
              <w:rPr>
                <w:sz w:val="16"/>
              </w:rPr>
              <w:t>One active assignment or an explicit review state; no silent overwrite.</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OBJ-SCORE-001</w:t>
            </w:r>
            <w:r>
              <w:rPr>
                <w:sz w:val="16"/>
              </w:rPr>
              <w:t xml:space="preserve">, </w:t>
            </w:r>
            <w:r>
              <w:rPr>
                <w:rFonts w:ascii="Consolas" w:hAnsi="Consolas"/>
                <w:b w:val="0"/>
                <w:i w:val="0"/>
                <w:sz w:val="17"/>
              </w:rPr>
              <w:t>FR-SCORE-001</w:t>
            </w:r>
            <w:r>
              <w:rPr>
                <w:sz w:val="16"/>
              </w:rPr>
              <w:t xml:space="preserve">, </w:t>
            </w:r>
            <w:r>
              <w:rPr>
                <w:rFonts w:ascii="Consolas" w:hAnsi="Consolas"/>
                <w:b w:val="0"/>
                <w:i w:val="0"/>
                <w:sz w:val="17"/>
              </w:rPr>
              <w:t>DB-INV-007</w:t>
            </w:r>
            <w:r>
              <w:rPr>
                <w:sz w:val="16"/>
              </w:rPr>
              <w:t xml:space="preserve">, </w:t>
            </w:r>
            <w:r>
              <w:rPr>
                <w:rFonts w:ascii="Consolas" w:hAnsi="Consolas"/>
                <w:b w:val="0"/>
                <w:i w:val="0"/>
                <w:sz w:val="17"/>
              </w:rPr>
              <w:t>NFR-09</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TC-SCORE-002</w:t>
            </w:r>
          </w:p>
        </w:tc>
        <w:tc>
          <w:tcPr>
            <w:tcW w:type="dxa" w:w="1015"/>
            <w:vAlign w:val="top"/>
            <w:tcMar>
              <w:top w:w="70" w:type="dxa"/>
              <w:start w:w="90" w:type="dxa"/>
              <w:bottom w:w="70" w:type="dxa"/>
              <w:end w:w="90" w:type="dxa"/>
            </w:tcMar>
          </w:tcPr>
          <w:p>
            <w:pPr>
              <w:spacing w:after="0" w:line="240" w:lineRule="auto"/>
            </w:pPr>
            <w:r>
              <w:rPr/>
            </w:r>
            <w:r>
              <w:rPr>
                <w:sz w:val="16"/>
              </w:rPr>
              <w:t>Keep source states separate</w:t>
            </w:r>
          </w:p>
        </w:tc>
        <w:tc>
          <w:tcPr>
            <w:tcW w:type="dxa" w:w="1200"/>
            <w:vAlign w:val="top"/>
            <w:tcMar>
              <w:top w:w="70" w:type="dxa"/>
              <w:start w:w="90" w:type="dxa"/>
              <w:bottom w:w="70" w:type="dxa"/>
              <w:end w:w="90" w:type="dxa"/>
            </w:tcMar>
          </w:tcPr>
          <w:p>
            <w:pPr>
              <w:spacing w:after="0" w:line="240" w:lineRule="auto"/>
            </w:pPr>
            <w:r>
              <w:rPr/>
            </w:r>
            <w:r>
              <w:rPr>
                <w:sz w:val="16"/>
              </w:rPr>
              <w:t>Functional, Critical</w:t>
            </w:r>
          </w:p>
        </w:tc>
        <w:tc>
          <w:tcPr>
            <w:tcW w:type="dxa" w:w="2124"/>
            <w:vAlign w:val="top"/>
            <w:tcMar>
              <w:top w:w="70" w:type="dxa"/>
              <w:start w:w="90" w:type="dxa"/>
              <w:bottom w:w="70" w:type="dxa"/>
              <w:end w:w="90" w:type="dxa"/>
            </w:tcMar>
          </w:tcPr>
          <w:p>
            <w:pPr>
              <w:spacing w:after="0" w:line="240" w:lineRule="auto"/>
            </w:pPr>
            <w:r>
              <w:rPr/>
            </w:r>
            <w:r>
              <w:rPr>
                <w:sz w:val="16"/>
              </w:rPr>
              <w:t>Produce objective, AI pending/failure, and Examiner score for one attempt.</w:t>
            </w:r>
          </w:p>
        </w:tc>
        <w:tc>
          <w:tcPr>
            <w:tcW w:type="dxa" w:w="1385"/>
            <w:vAlign w:val="top"/>
            <w:tcMar>
              <w:top w:w="70" w:type="dxa"/>
              <w:start w:w="90" w:type="dxa"/>
              <w:bottom w:w="70" w:type="dxa"/>
              <w:end w:w="90" w:type="dxa"/>
            </w:tcMar>
          </w:tcPr>
          <w:p>
            <w:pPr>
              <w:spacing w:after="0" w:line="240" w:lineRule="auto"/>
            </w:pPr>
            <w:r>
              <w:rPr/>
            </w:r>
            <w:r>
              <w:rPr>
                <w:sz w:val="16"/>
              </w:rPr>
              <w:t>Sources remain distinct; pending/failed source is not a valid final score by default.</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OBJ-SCORE-002</w:t>
            </w:r>
            <w:r>
              <w:rPr>
                <w:sz w:val="16"/>
              </w:rPr>
              <w:t xml:space="preserve">, </w:t>
            </w:r>
            <w:r>
              <w:rPr>
                <w:rFonts w:ascii="Consolas" w:hAnsi="Consolas"/>
                <w:b w:val="0"/>
                <w:i w:val="0"/>
                <w:sz w:val="17"/>
              </w:rPr>
              <w:t>FR-SCORE-003</w:t>
            </w:r>
            <w:r>
              <w:rPr>
                <w:sz w:val="16"/>
              </w:rPr>
              <w:t>–</w:t>
            </w:r>
            <w:r>
              <w:rPr>
                <w:rFonts w:ascii="Consolas" w:hAnsi="Consolas"/>
                <w:b w:val="0"/>
                <w:i w:val="0"/>
                <w:sz w:val="17"/>
              </w:rPr>
              <w:t>FR-SCORE-005</w:t>
            </w:r>
            <w:r>
              <w:rPr>
                <w:sz w:val="16"/>
              </w:rPr>
              <w:t xml:space="preserve">, </w:t>
            </w:r>
            <w:r>
              <w:rPr>
                <w:rFonts w:ascii="Consolas" w:hAnsi="Consolas"/>
                <w:b w:val="0"/>
                <w:i w:val="0"/>
                <w:sz w:val="17"/>
              </w:rPr>
              <w:t>TBD-AI-001</w:t>
            </w:r>
            <w:r>
              <w:rPr>
                <w:sz w:val="16"/>
              </w:rPr>
              <w:t xml:space="preserve">, </w:t>
            </w:r>
            <w:r>
              <w:rPr>
                <w:rFonts w:ascii="Consolas" w:hAnsi="Consolas"/>
                <w:b w:val="0"/>
                <w:i w:val="0"/>
                <w:sz w:val="17"/>
              </w:rPr>
              <w:t>SEQ-SCORE-PUBLISH-001</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TC-SCORE-003</w:t>
            </w:r>
          </w:p>
        </w:tc>
        <w:tc>
          <w:tcPr>
            <w:tcW w:type="dxa" w:w="1015"/>
            <w:vAlign w:val="top"/>
            <w:tcMar>
              <w:top w:w="70" w:type="dxa"/>
              <w:start w:w="90" w:type="dxa"/>
              <w:bottom w:w="70" w:type="dxa"/>
              <w:end w:w="90" w:type="dxa"/>
            </w:tcMar>
          </w:tcPr>
          <w:p>
            <w:pPr>
              <w:spacing w:after="0" w:line="240" w:lineRule="auto"/>
            </w:pPr>
            <w:r>
              <w:rPr/>
            </w:r>
            <w:r>
              <w:rPr>
                <w:sz w:val="16"/>
              </w:rPr>
              <w:t>Block publication until ready</w:t>
            </w:r>
          </w:p>
        </w:tc>
        <w:tc>
          <w:tcPr>
            <w:tcW w:type="dxa" w:w="1200"/>
            <w:vAlign w:val="top"/>
            <w:tcMar>
              <w:top w:w="70" w:type="dxa"/>
              <w:start w:w="90" w:type="dxa"/>
              <w:bottom w:w="70" w:type="dxa"/>
              <w:end w:w="90" w:type="dxa"/>
            </w:tcMar>
          </w:tcPr>
          <w:p>
            <w:pPr>
              <w:spacing w:after="0" w:line="240" w:lineRule="auto"/>
            </w:pPr>
            <w:r>
              <w:rPr/>
            </w:r>
            <w:r>
              <w:rPr>
                <w:sz w:val="16"/>
              </w:rPr>
              <w:t>Negative, Critical</w:t>
            </w:r>
          </w:p>
        </w:tc>
        <w:tc>
          <w:tcPr>
            <w:tcW w:type="dxa" w:w="2124"/>
            <w:vAlign w:val="top"/>
            <w:tcMar>
              <w:top w:w="70" w:type="dxa"/>
              <w:start w:w="90" w:type="dxa"/>
              <w:bottom w:w="70" w:type="dxa"/>
              <w:end w:w="90" w:type="dxa"/>
            </w:tcMar>
          </w:tcPr>
          <w:p>
            <w:pPr>
              <w:spacing w:after="0" w:line="240" w:lineRule="auto"/>
            </w:pPr>
            <w:r>
              <w:rPr/>
            </w:r>
            <w:r>
              <w:rPr>
                <w:sz w:val="16"/>
              </w:rPr>
              <w:t>Leave required score missing/pending/unreviewed; request publication.</w:t>
            </w:r>
          </w:p>
        </w:tc>
        <w:tc>
          <w:tcPr>
            <w:tcW w:type="dxa" w:w="1385"/>
            <w:vAlign w:val="top"/>
            <w:tcMar>
              <w:top w:w="70" w:type="dxa"/>
              <w:start w:w="90" w:type="dxa"/>
              <w:bottom w:w="70" w:type="dxa"/>
              <w:end w:w="90" w:type="dxa"/>
            </w:tcMar>
          </w:tcPr>
          <w:p>
            <w:pPr>
              <w:spacing w:after="0" w:line="240" w:lineRule="auto"/>
            </w:pPr>
            <w:r>
              <w:rPr/>
            </w:r>
            <w:r>
              <w:rPr>
                <w:sz w:val="16"/>
              </w:rPr>
              <w:t>Readiness lists blockers; report remains Student-invisible.</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OBJ-SCORE-003</w:t>
            </w:r>
            <w:r>
              <w:rPr>
                <w:sz w:val="16"/>
              </w:rPr>
              <w:t xml:space="preserve">, </w:t>
            </w:r>
            <w:r>
              <w:rPr>
                <w:rFonts w:ascii="Consolas" w:hAnsi="Consolas"/>
                <w:b w:val="0"/>
                <w:i w:val="0"/>
                <w:sz w:val="17"/>
              </w:rPr>
              <w:t>FR-SCORE-006</w:t>
            </w:r>
            <w:r>
              <w:rPr>
                <w:sz w:val="16"/>
              </w:rPr>
              <w:t xml:space="preserve">, </w:t>
            </w:r>
            <w:r>
              <w:rPr>
                <w:rFonts w:ascii="Consolas" w:hAnsi="Consolas"/>
                <w:b w:val="0"/>
                <w:i w:val="0"/>
                <w:sz w:val="17"/>
              </w:rPr>
              <w:t>FR-REPORT-002</w:t>
            </w:r>
            <w:r>
              <w:rPr>
                <w:sz w:val="16"/>
              </w:rPr>
              <w:t>–</w:t>
            </w:r>
            <w:r>
              <w:rPr>
                <w:rFonts w:ascii="Consolas" w:hAnsi="Consolas"/>
                <w:b w:val="0"/>
                <w:i w:val="0"/>
                <w:sz w:val="17"/>
              </w:rPr>
              <w:t>FR-REPORT-004</w:t>
            </w:r>
            <w:r>
              <w:rPr>
                <w:sz w:val="16"/>
              </w:rPr>
              <w:t xml:space="preserve">, </w:t>
            </w:r>
            <w:r>
              <w:rPr>
                <w:rFonts w:ascii="Consolas" w:hAnsi="Consolas"/>
                <w:b w:val="0"/>
                <w:i w:val="0"/>
                <w:sz w:val="17"/>
              </w:rPr>
              <w:t>BR-SCORE-038</w:t>
            </w:r>
            <w:r>
              <w:rPr>
                <w:sz w:val="16"/>
              </w:rPr>
              <w:t xml:space="preserve">, </w:t>
            </w:r>
            <w:r>
              <w:rPr>
                <w:rFonts w:ascii="Consolas" w:hAnsi="Consolas"/>
                <w:b w:val="0"/>
                <w:i w:val="0"/>
                <w:sz w:val="17"/>
              </w:rPr>
              <w:t>DB-INV-008</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TC-REPORT-001</w:t>
            </w:r>
          </w:p>
        </w:tc>
        <w:tc>
          <w:tcPr>
            <w:tcW w:type="dxa" w:w="1015"/>
            <w:vAlign w:val="top"/>
            <w:tcMar>
              <w:top w:w="70" w:type="dxa"/>
              <w:start w:w="90" w:type="dxa"/>
              <w:bottom w:w="70" w:type="dxa"/>
              <w:end w:w="90" w:type="dxa"/>
            </w:tcMar>
          </w:tcPr>
          <w:p>
            <w:pPr>
              <w:spacing w:after="0" w:line="240" w:lineRule="auto"/>
            </w:pPr>
            <w:r>
              <w:rPr/>
            </w:r>
            <w:r>
              <w:rPr>
                <w:sz w:val="16"/>
              </w:rPr>
              <w:t>Publish and restrict own report</w:t>
            </w:r>
          </w:p>
        </w:tc>
        <w:tc>
          <w:tcPr>
            <w:tcW w:type="dxa" w:w="1200"/>
            <w:vAlign w:val="top"/>
            <w:tcMar>
              <w:top w:w="70" w:type="dxa"/>
              <w:start w:w="90" w:type="dxa"/>
              <w:bottom w:w="70" w:type="dxa"/>
              <w:end w:w="90" w:type="dxa"/>
            </w:tcMar>
          </w:tcPr>
          <w:p>
            <w:pPr>
              <w:spacing w:after="0" w:line="240" w:lineRule="auto"/>
            </w:pPr>
            <w:r>
              <w:rPr/>
            </w:r>
            <w:r>
              <w:rPr>
                <w:sz w:val="16"/>
              </w:rPr>
              <w:t>Authorization, Critical</w:t>
            </w:r>
          </w:p>
        </w:tc>
        <w:tc>
          <w:tcPr>
            <w:tcW w:type="dxa" w:w="2124"/>
            <w:vAlign w:val="top"/>
            <w:tcMar>
              <w:top w:w="70" w:type="dxa"/>
              <w:start w:w="90" w:type="dxa"/>
              <w:bottom w:w="70" w:type="dxa"/>
              <w:end w:w="90" w:type="dxa"/>
            </w:tcMar>
          </w:tcPr>
          <w:p>
            <w:pPr>
              <w:spacing w:after="0" w:line="240" w:lineRule="auto"/>
            </w:pPr>
            <w:r>
              <w:rPr/>
            </w:r>
            <w:r>
              <w:rPr>
                <w:sz w:val="16"/>
              </w:rPr>
              <w:t>Complete scores; Host publishes; Student A/B request reports.</w:t>
            </w:r>
          </w:p>
        </w:tc>
        <w:tc>
          <w:tcPr>
            <w:tcW w:type="dxa" w:w="1385"/>
            <w:vAlign w:val="top"/>
            <w:tcMar>
              <w:top w:w="70" w:type="dxa"/>
              <w:start w:w="90" w:type="dxa"/>
              <w:bottom w:w="70" w:type="dxa"/>
              <w:end w:w="90" w:type="dxa"/>
            </w:tcMar>
          </w:tcPr>
          <w:p>
            <w:pPr>
              <w:spacing w:after="0" w:line="240" w:lineRule="auto"/>
            </w:pPr>
            <w:r>
              <w:rPr/>
            </w:r>
            <w:r>
              <w:rPr>
                <w:sz w:val="16"/>
              </w:rPr>
              <w:t>Host publication is audited; A sees only A’s report after publication; B is denied.</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OBJ-REPORT-001</w:t>
            </w:r>
            <w:r>
              <w:rPr>
                <w:sz w:val="16"/>
              </w:rPr>
              <w:t xml:space="preserve">, </w:t>
            </w:r>
            <w:r>
              <w:rPr>
                <w:rFonts w:ascii="Consolas" w:hAnsi="Consolas"/>
                <w:b w:val="0"/>
                <w:i w:val="0"/>
                <w:sz w:val="17"/>
              </w:rPr>
              <w:t>FR-REPORT-003</w:t>
            </w:r>
            <w:r>
              <w:rPr>
                <w:sz w:val="16"/>
              </w:rPr>
              <w:t>–</w:t>
            </w:r>
            <w:r>
              <w:rPr>
                <w:rFonts w:ascii="Consolas" w:hAnsi="Consolas"/>
                <w:b w:val="0"/>
                <w:i w:val="0"/>
                <w:sz w:val="17"/>
              </w:rPr>
              <w:t>FR-REPORT-005</w:t>
            </w:r>
            <w:r>
              <w:rPr>
                <w:sz w:val="16"/>
              </w:rPr>
              <w:t xml:space="preserve">, </w:t>
            </w:r>
            <w:r>
              <w:rPr>
                <w:rFonts w:ascii="Consolas" w:hAnsi="Consolas"/>
                <w:b w:val="0"/>
                <w:i w:val="0"/>
                <w:sz w:val="17"/>
              </w:rPr>
              <w:t>BR-REPORT-040</w:t>
            </w:r>
            <w:r>
              <w:rPr>
                <w:sz w:val="16"/>
              </w:rPr>
              <w:t>–</w:t>
            </w:r>
            <w:r>
              <w:rPr>
                <w:rFonts w:ascii="Consolas" w:hAnsi="Consolas"/>
                <w:b w:val="0"/>
                <w:i w:val="0"/>
                <w:sz w:val="17"/>
              </w:rPr>
              <w:t>BR-REPORT-042</w:t>
            </w:r>
            <w:r>
              <w:rPr>
                <w:sz w:val="16"/>
              </w:rPr>
              <w:t xml:space="preserve">, </w:t>
            </w:r>
            <w:r>
              <w:rPr>
                <w:rFonts w:ascii="Consolas" w:hAnsi="Consolas"/>
                <w:b w:val="0"/>
                <w:i w:val="0"/>
                <w:sz w:val="17"/>
              </w:rPr>
              <w:t>NFR-09</w:t>
            </w:r>
            <w:r>
              <w:rPr>
                <w:sz w:val="16"/>
              </w:rPr>
              <w:t>–</w:t>
            </w:r>
            <w:r>
              <w:rPr>
                <w:rFonts w:ascii="Consolas" w:hAnsi="Consolas"/>
                <w:b w:val="0"/>
                <w:i w:val="0"/>
                <w:sz w:val="17"/>
              </w:rPr>
              <w:t>NFR-10</w:t>
            </w:r>
          </w:p>
        </w:tc>
        <w:tc>
          <w:tcPr>
            <w:tcW w:type="dxa" w:w="2124"/>
            <w:vAlign w:val="top"/>
            <w:tcMar>
              <w:top w:w="70" w:type="dxa"/>
              <w:start w:w="90" w:type="dxa"/>
              <w:bottom w:w="70" w:type="dxa"/>
              <w:end w:w="90" w:type="dxa"/>
            </w:tcMar>
          </w:tcPr>
          <w:p>
            <w:pPr>
              <w:spacing w:after="0" w:line="240" w:lineRule="auto"/>
            </w:pPr>
            <w:r>
              <w:rPr/>
            </w:r>
            <w:r>
              <w:rPr>
                <w:sz w:val="16"/>
              </w:rPr>
              <w:t>Planned.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TC-INTEGRATION-001</w:t>
            </w:r>
          </w:p>
        </w:tc>
        <w:tc>
          <w:tcPr>
            <w:tcW w:type="dxa" w:w="1015"/>
            <w:vAlign w:val="top"/>
            <w:tcMar>
              <w:top w:w="70" w:type="dxa"/>
              <w:start w:w="90" w:type="dxa"/>
              <w:bottom w:w="70" w:type="dxa"/>
              <w:end w:w="90" w:type="dxa"/>
            </w:tcMar>
          </w:tcPr>
          <w:p>
            <w:pPr>
              <w:spacing w:after="0" w:line="240" w:lineRule="auto"/>
            </w:pPr>
            <w:r>
              <w:rPr/>
            </w:r>
            <w:r>
              <w:rPr>
                <w:sz w:val="16"/>
              </w:rPr>
              <w:t>Handle AI/media/notification failure</w:t>
            </w:r>
          </w:p>
        </w:tc>
        <w:tc>
          <w:tcPr>
            <w:tcW w:type="dxa" w:w="1200"/>
            <w:vAlign w:val="top"/>
            <w:tcMar>
              <w:top w:w="70" w:type="dxa"/>
              <w:start w:w="90" w:type="dxa"/>
              <w:bottom w:w="70" w:type="dxa"/>
              <w:end w:w="90" w:type="dxa"/>
            </w:tcMar>
          </w:tcPr>
          <w:p>
            <w:pPr>
              <w:spacing w:after="0" w:line="240" w:lineRule="auto"/>
            </w:pPr>
            <w:r>
              <w:rPr/>
            </w:r>
            <w:r>
              <w:rPr>
                <w:sz w:val="16"/>
              </w:rPr>
              <w:t>Resilience, High</w:t>
            </w:r>
          </w:p>
        </w:tc>
        <w:tc>
          <w:tcPr>
            <w:tcW w:type="dxa" w:w="2124"/>
            <w:vAlign w:val="top"/>
            <w:tcMar>
              <w:top w:w="70" w:type="dxa"/>
              <w:start w:w="90" w:type="dxa"/>
              <w:bottom w:w="70" w:type="dxa"/>
              <w:end w:w="90" w:type="dxa"/>
            </w:tcMar>
          </w:tcPr>
          <w:p>
            <w:pPr>
              <w:spacing w:after="0" w:line="240" w:lineRule="auto"/>
            </w:pPr>
            <w:r>
              <w:rPr/>
            </w:r>
            <w:r>
              <w:rPr>
                <w:sz w:val="16"/>
              </w:rPr>
              <w:t>Simulate timeout, expired media link, AI failure, and notification failure.</w:t>
            </w:r>
          </w:p>
        </w:tc>
        <w:tc>
          <w:tcPr>
            <w:tcW w:type="dxa" w:w="1385"/>
            <w:vAlign w:val="top"/>
            <w:tcMar>
              <w:top w:w="70" w:type="dxa"/>
              <w:start w:w="90" w:type="dxa"/>
              <w:bottom w:w="70" w:type="dxa"/>
              <w:end w:w="90" w:type="dxa"/>
            </w:tcMar>
          </w:tcPr>
          <w:p>
            <w:pPr>
              <w:spacing w:after="0" w:line="240" w:lineRule="auto"/>
            </w:pPr>
            <w:r>
              <w:rPr/>
            </w:r>
            <w:r>
              <w:rPr>
                <w:sz w:val="16"/>
              </w:rPr>
              <w:t>Pending/retry/error state is visible; no duplicate score/publication; notification failure does not roll back business result.</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OBJ-INTEGRATION-001</w:t>
            </w:r>
            <w:r>
              <w:rPr>
                <w:sz w:val="16"/>
              </w:rPr>
              <w:t xml:space="preserve">, </w:t>
            </w:r>
            <w:r>
              <w:rPr>
                <w:rFonts w:ascii="Consolas" w:hAnsi="Consolas"/>
                <w:b w:val="0"/>
                <w:i w:val="0"/>
                <w:sz w:val="17"/>
              </w:rPr>
              <w:t>FR-INTEGRATION-002</w:t>
            </w:r>
            <w:r>
              <w:rPr>
                <w:sz w:val="16"/>
              </w:rPr>
              <w:t>–</w:t>
            </w:r>
            <w:r>
              <w:rPr>
                <w:rFonts w:ascii="Consolas" w:hAnsi="Consolas"/>
                <w:b w:val="0"/>
                <w:i w:val="0"/>
                <w:sz w:val="17"/>
              </w:rPr>
              <w:t>FR-INTEGRATION-006</w:t>
            </w:r>
            <w:r>
              <w:rPr>
                <w:sz w:val="16"/>
              </w:rPr>
              <w:t xml:space="preserve">, </w:t>
            </w:r>
            <w:r>
              <w:rPr>
                <w:rFonts w:ascii="Consolas" w:hAnsi="Consolas"/>
                <w:b w:val="0"/>
                <w:i w:val="0"/>
                <w:sz w:val="17"/>
              </w:rPr>
              <w:t>BR-INTEGRATION-045</w:t>
            </w:r>
            <w:r>
              <w:rPr>
                <w:sz w:val="16"/>
              </w:rPr>
              <w:t>–</w:t>
            </w:r>
            <w:r>
              <w:rPr>
                <w:rFonts w:ascii="Consolas" w:hAnsi="Consolas"/>
                <w:b w:val="0"/>
                <w:i w:val="0"/>
                <w:sz w:val="17"/>
              </w:rPr>
              <w:t>BR-INTEGRATION-048</w:t>
            </w:r>
            <w:r>
              <w:rPr>
                <w:sz w:val="16"/>
              </w:rPr>
              <w:t xml:space="preserve">, </w:t>
            </w:r>
            <w:r>
              <w:rPr>
                <w:rFonts w:ascii="Consolas" w:hAnsi="Consolas"/>
                <w:b w:val="0"/>
                <w:i w:val="0"/>
                <w:sz w:val="17"/>
              </w:rPr>
              <w:t>NFR-19</w:t>
            </w:r>
          </w:p>
        </w:tc>
        <w:tc>
          <w:tcPr>
            <w:tcW w:type="dxa" w:w="2124"/>
            <w:vAlign w:val="top"/>
            <w:tcMar>
              <w:top w:w="70" w:type="dxa"/>
              <w:start w:w="90" w:type="dxa"/>
              <w:bottom w:w="70" w:type="dxa"/>
              <w:end w:w="90" w:type="dxa"/>
            </w:tcMar>
          </w:tcPr>
          <w:p>
            <w:pPr>
              <w:spacing w:after="0" w:line="240" w:lineRule="auto"/>
            </w:pPr>
            <w:r>
              <w:rPr/>
            </w:r>
            <w:r>
              <w:rPr>
                <w:sz w:val="16"/>
              </w:rPr>
              <w:t>Planned; simulation must be identified.</w:t>
            </w:r>
          </w:p>
        </w:tc>
      </w:tr>
      <w:tr>
        <w:trPr>
          <w:cantSplit/>
        </w:trPr>
        <w:tc>
          <w:tcPr>
            <w:tcW w:type="dxa" w:w="761"/>
            <w:vAlign w:val="top"/>
            <w:tcMar>
              <w:top w:w="70" w:type="dxa"/>
              <w:start w:w="90" w:type="dxa"/>
              <w:bottom w:w="70" w:type="dxa"/>
              <w:end w:w="90" w:type="dxa"/>
            </w:tcMar>
          </w:tcPr>
          <w:p>
            <w:pPr>
              <w:spacing w:after="0" w:line="240" w:lineRule="auto"/>
            </w:pPr>
            <w:r>
              <w:rPr/>
            </w:r>
            <w:r>
              <w:rPr>
                <w:sz w:val="16"/>
              </w:rPr>
              <w:t>TC-OPS-001</w:t>
            </w:r>
          </w:p>
        </w:tc>
        <w:tc>
          <w:tcPr>
            <w:tcW w:type="dxa" w:w="1015"/>
            <w:vAlign w:val="top"/>
            <w:tcMar>
              <w:top w:w="70" w:type="dxa"/>
              <w:start w:w="90" w:type="dxa"/>
              <w:bottom w:w="70" w:type="dxa"/>
              <w:end w:w="90" w:type="dxa"/>
            </w:tcMar>
          </w:tcPr>
          <w:p>
            <w:pPr>
              <w:spacing w:after="0" w:line="240" w:lineRule="auto"/>
            </w:pPr>
            <w:r>
              <w:rPr/>
            </w:r>
            <w:r>
              <w:rPr>
                <w:sz w:val="16"/>
              </w:rPr>
              <w:t>Measure performance and recovery targets</w:t>
            </w:r>
          </w:p>
        </w:tc>
        <w:tc>
          <w:tcPr>
            <w:tcW w:type="dxa" w:w="1200"/>
            <w:vAlign w:val="top"/>
            <w:tcMar>
              <w:top w:w="70" w:type="dxa"/>
              <w:start w:w="90" w:type="dxa"/>
              <w:bottom w:w="70" w:type="dxa"/>
              <w:end w:w="90" w:type="dxa"/>
            </w:tcMar>
          </w:tcPr>
          <w:p>
            <w:pPr>
              <w:spacing w:after="0" w:line="240" w:lineRule="auto"/>
            </w:pPr>
            <w:r>
              <w:rPr/>
            </w:r>
            <w:r>
              <w:rPr>
                <w:sz w:val="16"/>
              </w:rPr>
              <w:t>Performance/recovery, High</w:t>
            </w:r>
          </w:p>
        </w:tc>
        <w:tc>
          <w:tcPr>
            <w:tcW w:type="dxa" w:w="2124"/>
            <w:vAlign w:val="top"/>
            <w:tcMar>
              <w:top w:w="70" w:type="dxa"/>
              <w:start w:w="90" w:type="dxa"/>
              <w:bottom w:w="70" w:type="dxa"/>
              <w:end w:w="90" w:type="dxa"/>
            </w:tcMar>
          </w:tcPr>
          <w:p>
            <w:pPr>
              <w:spacing w:after="0" w:line="240" w:lineRule="auto"/>
            </w:pPr>
            <w:r>
              <w:rPr/>
            </w:r>
            <w:r>
              <w:rPr>
                <w:sz w:val="16"/>
              </w:rPr>
              <w:t>Run agreed workload for request/active-attempt/answer/validation targets; execute approved recovery drill.</w:t>
            </w:r>
          </w:p>
        </w:tc>
        <w:tc>
          <w:tcPr>
            <w:tcW w:type="dxa" w:w="1385"/>
            <w:vAlign w:val="top"/>
            <w:tcMar>
              <w:top w:w="70" w:type="dxa"/>
              <w:start w:w="90" w:type="dxa"/>
              <w:bottom w:w="70" w:type="dxa"/>
              <w:end w:w="90" w:type="dxa"/>
            </w:tcMar>
          </w:tcPr>
          <w:p>
            <w:pPr>
              <w:spacing w:after="0" w:line="240" w:lineRule="auto"/>
            </w:pPr>
            <w:r>
              <w:rPr/>
            </w:r>
            <w:r>
              <w:rPr>
                <w:sz w:val="16"/>
              </w:rPr>
              <w:t>Report measured latency/capacity/RPO/RTO with environment/build/evidence; no inference from one local request.</w:t>
            </w:r>
          </w:p>
        </w:tc>
        <w:tc>
          <w:tcPr>
            <w:tcW w:type="dxa" w:w="1108"/>
            <w:vAlign w:val="top"/>
            <w:tcMar>
              <w:top w:w="70" w:type="dxa"/>
              <w:start w:w="90" w:type="dxa"/>
              <w:bottom w:w="70" w:type="dxa"/>
              <w:end w:w="90" w:type="dxa"/>
            </w:tcMar>
          </w:tcPr>
          <w:p>
            <w:pPr>
              <w:spacing w:after="0" w:line="240" w:lineRule="auto"/>
            </w:pPr>
            <w:r>
              <w:rPr/>
            </w:r>
            <w:r>
              <w:rPr>
                <w:rFonts w:ascii="Consolas" w:hAnsi="Consolas"/>
                <w:b w:val="0"/>
                <w:i w:val="0"/>
                <w:sz w:val="17"/>
              </w:rPr>
              <w:t>OBJ-PERF-001</w:t>
            </w:r>
            <w:r>
              <w:rPr>
                <w:sz w:val="16"/>
              </w:rPr>
              <w:t>–</w:t>
            </w:r>
            <w:r>
              <w:rPr>
                <w:rFonts w:ascii="Consolas" w:hAnsi="Consolas"/>
                <w:b w:val="0"/>
                <w:i w:val="0"/>
                <w:sz w:val="17"/>
              </w:rPr>
              <w:t>OBJ-PERF-005</w:t>
            </w:r>
            <w:r>
              <w:rPr>
                <w:sz w:val="16"/>
              </w:rPr>
              <w:t xml:space="preserve">, </w:t>
            </w:r>
            <w:r>
              <w:rPr>
                <w:rFonts w:ascii="Consolas" w:hAnsi="Consolas"/>
                <w:b w:val="0"/>
                <w:i w:val="0"/>
                <w:sz w:val="17"/>
              </w:rPr>
              <w:t>OBJ-RECOVERY-001</w:t>
            </w:r>
            <w:r>
              <w:rPr>
                <w:sz w:val="16"/>
              </w:rPr>
              <w:t>–</w:t>
            </w:r>
            <w:r>
              <w:rPr>
                <w:rFonts w:ascii="Consolas" w:hAnsi="Consolas"/>
                <w:b w:val="0"/>
                <w:i w:val="0"/>
                <w:sz w:val="17"/>
              </w:rPr>
              <w:t>OBJ-RECOVERY-002</w:t>
            </w:r>
            <w:r>
              <w:rPr>
                <w:sz w:val="16"/>
              </w:rPr>
              <w:t xml:space="preserve">, </w:t>
            </w:r>
            <w:r>
              <w:rPr>
                <w:rFonts w:ascii="Consolas" w:hAnsi="Consolas"/>
                <w:b w:val="0"/>
                <w:i w:val="0"/>
                <w:sz w:val="17"/>
              </w:rPr>
              <w:t>NFR-01</w:t>
            </w:r>
            <w:r>
              <w:rPr>
                <w:sz w:val="16"/>
              </w:rPr>
              <w:t>–</w:t>
            </w:r>
            <w:r>
              <w:rPr>
                <w:rFonts w:ascii="Consolas" w:hAnsi="Consolas"/>
                <w:b w:val="0"/>
                <w:i w:val="0"/>
                <w:sz w:val="17"/>
              </w:rPr>
              <w:t>NFR-08</w:t>
            </w:r>
          </w:p>
        </w:tc>
        <w:tc>
          <w:tcPr>
            <w:tcW w:type="dxa" w:w="2124"/>
            <w:vAlign w:val="top"/>
            <w:tcMar>
              <w:top w:w="70" w:type="dxa"/>
              <w:start w:w="90" w:type="dxa"/>
              <w:bottom w:w="70" w:type="dxa"/>
              <w:end w:w="90" w:type="dxa"/>
            </w:tcMar>
          </w:tcPr>
          <w:p>
            <w:pPr>
              <w:spacing w:after="0" w:line="240" w:lineRule="auto"/>
            </w:pPr>
            <w:r>
              <w:rPr/>
            </w:r>
            <w:r>
              <w:rPr>
                <w:sz w:val="16"/>
              </w:rPr>
              <w:t>Planned; no result claimed in this baseline.</w:t>
            </w:r>
          </w:p>
        </w:tc>
      </w:tr>
    </w:tbl>
    <w:p>
      <w:pPr>
        <w:spacing w:after="20"/>
      </w:pPr>
    </w:p>
    <w:p>
      <w:pPr>
        <w:pStyle w:val="Heading3"/>
        <w:keepNext/>
        <w:pageBreakBefore w:val="0"/>
      </w:pPr>
      <w:r>
        <w:t>4.6 Case completion rule</w:t>
      </w:r>
    </w:p>
    <w:p>
      <w:pPr>
        <w:spacing w:after="80" w:line="240" w:lineRule="auto"/>
      </w:pPr>
      <w:r>
        <w:rPr>
          <w:sz w:val="19"/>
        </w:rPr>
        <w:t>A test case becomes an execution result only when the tester fills actual result, status, environment/build, date, evidence, and defect/TBD link. A planned row is not a pass, and a structural documentation GREEN result is not product runtime evidence.</w:t>
      </w:r>
    </w:p>
    <w:p>
      <w:pPr>
        <w:pStyle w:val="Heading3"/>
        <w:keepNext/>
        <w:pageBreakBefore w:val="0"/>
      </w:pPr>
      <w:r>
        <w:t>4.7 Scope revision test cases</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1444"/>
            <w:vAlign w:val="top"/>
            <w:tcMar>
              <w:top w:w="70" w:type="dxa"/>
              <w:start w:w="90" w:type="dxa"/>
              <w:bottom w:w="70" w:type="dxa"/>
              <w:end w:w="90" w:type="dxa"/>
            </w:tcMar>
            <w:shd w:val="clear" w:color="auto" w:fill="FFE8E1"/>
          </w:tcPr>
          <w:p>
            <w:pPr>
              <w:spacing w:after="0" w:line="240" w:lineRule="auto"/>
            </w:pPr>
            <w:r>
              <w:rPr>
                <w:b/>
              </w:rPr>
            </w:r>
            <w:r>
              <w:rPr>
                <w:b/>
                <w:sz w:val="17"/>
              </w:rPr>
              <w:t>ID</w:t>
            </w:r>
          </w:p>
        </w:tc>
        <w:tc>
          <w:tcPr>
            <w:tcW w:type="dxa" w:w="1926"/>
            <w:vAlign w:val="top"/>
            <w:tcMar>
              <w:top w:w="70" w:type="dxa"/>
              <w:start w:w="90" w:type="dxa"/>
              <w:bottom w:w="70" w:type="dxa"/>
              <w:end w:w="90" w:type="dxa"/>
            </w:tcMar>
            <w:shd w:val="clear" w:color="auto" w:fill="FFE8E1"/>
          </w:tcPr>
          <w:p>
            <w:pPr>
              <w:spacing w:after="0" w:line="240" w:lineRule="auto"/>
            </w:pPr>
            <w:r>
              <w:rPr>
                <w:b/>
              </w:rPr>
            </w:r>
            <w:r>
              <w:rPr>
                <w:b/>
                <w:sz w:val="17"/>
              </w:rPr>
              <w:t>Requirement</w:t>
            </w:r>
          </w:p>
        </w:tc>
        <w:tc>
          <w:tcPr>
            <w:tcW w:type="dxa" w:w="4903"/>
            <w:vAlign w:val="top"/>
            <w:tcMar>
              <w:top w:w="70" w:type="dxa"/>
              <w:start w:w="90" w:type="dxa"/>
              <w:bottom w:w="70" w:type="dxa"/>
              <w:end w:w="90" w:type="dxa"/>
            </w:tcMar>
            <w:shd w:val="clear" w:color="auto" w:fill="FFE8E1"/>
          </w:tcPr>
          <w:p>
            <w:pPr>
              <w:spacing w:after="0" w:line="240" w:lineRule="auto"/>
            </w:pPr>
            <w:r>
              <w:rPr>
                <w:b/>
              </w:rPr>
            </w:r>
            <w:r>
              <w:rPr>
                <w:b/>
                <w:sz w:val="17"/>
              </w:rPr>
              <w:t>Scenario and expected result</w:t>
            </w:r>
          </w:p>
        </w:tc>
        <w:tc>
          <w:tcPr>
            <w:tcW w:type="dxa" w:w="1444"/>
            <w:vAlign w:val="top"/>
            <w:tcMar>
              <w:top w:w="70" w:type="dxa"/>
              <w:start w:w="90" w:type="dxa"/>
              <w:bottom w:w="70" w:type="dxa"/>
              <w:end w:w="90" w:type="dxa"/>
            </w:tcMar>
            <w:shd w:val="clear" w:color="auto" w:fill="FFE8E1"/>
          </w:tcPr>
          <w:p>
            <w:pPr>
              <w:spacing w:after="0" w:line="240" w:lineRule="auto"/>
            </w:pPr>
            <w:r>
              <w:rPr>
                <w:b/>
              </w:rPr>
            </w:r>
            <w:r>
              <w:rPr>
                <w:b/>
                <w:sz w:val="17"/>
              </w:rPr>
              <w:t>Status</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TC-ROLE-001</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FR-PLATFORM-001</w:t>
            </w:r>
          </w:p>
        </w:tc>
        <w:tc>
          <w:tcPr>
            <w:tcW w:type="dxa" w:w="4903"/>
            <w:vAlign w:val="top"/>
            <w:tcMar>
              <w:top w:w="70" w:type="dxa"/>
              <w:start w:w="90" w:type="dxa"/>
              <w:bottom w:w="70" w:type="dxa"/>
              <w:end w:w="90" w:type="dxa"/>
            </w:tcMar>
          </w:tcPr>
          <w:p>
            <w:pPr>
              <w:spacing w:after="0" w:line="240" w:lineRule="auto"/>
            </w:pPr>
            <w:r>
              <w:rPr/>
            </w:r>
            <w:r>
              <w:rPr>
                <w:sz w:val="17"/>
              </w:rPr>
              <w:t>Platform Manager can review an operational organization case; academic approval action is denied and audited</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TC-ROLE-002</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FR-ACADEMIC-001</w:t>
            </w:r>
          </w:p>
        </w:tc>
        <w:tc>
          <w:tcPr>
            <w:tcW w:type="dxa" w:w="4903"/>
            <w:vAlign w:val="top"/>
            <w:tcMar>
              <w:top w:w="70" w:type="dxa"/>
              <w:start w:w="90" w:type="dxa"/>
              <w:bottom w:w="70" w:type="dxa"/>
              <w:end w:w="90" w:type="dxa"/>
            </w:tcMar>
          </w:tcPr>
          <w:p>
            <w:pPr>
              <w:spacing w:after="0" w:line="240" w:lineRule="auto"/>
            </w:pPr>
            <w:r>
              <w:rPr/>
            </w:r>
            <w:r>
              <w:rPr>
                <w:sz w:val="17"/>
              </w:rPr>
              <w:t>Academic Staff submits a complete draft; owner, revision, flags and review status are stored</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TC-ROLE-003</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FR-ACADEMIC-002</w:t>
            </w:r>
          </w:p>
        </w:tc>
        <w:tc>
          <w:tcPr>
            <w:tcW w:type="dxa" w:w="4903"/>
            <w:vAlign w:val="top"/>
            <w:tcMar>
              <w:top w:w="70" w:type="dxa"/>
              <w:start w:w="90" w:type="dxa"/>
              <w:bottom w:w="70" w:type="dxa"/>
              <w:end w:w="90" w:type="dxa"/>
            </w:tcMar>
          </w:tcPr>
          <w:p>
            <w:pPr>
              <w:spacing w:after="0" w:line="240" w:lineRule="auto"/>
            </w:pPr>
            <w:r>
              <w:rPr/>
            </w:r>
            <w:r>
              <w:rPr>
                <w:sz w:val="17"/>
              </w:rPr>
              <w:t>Academic Manager rejects an incomplete draft with a reason; the draft is not selectable by either channel</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TC-ROLE-004</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FR-ACADEMIC-002</w:t>
            </w:r>
          </w:p>
        </w:tc>
        <w:tc>
          <w:tcPr>
            <w:tcW w:type="dxa" w:w="4903"/>
            <w:vAlign w:val="top"/>
            <w:tcMar>
              <w:top w:w="70" w:type="dxa"/>
              <w:start w:w="90" w:type="dxa"/>
              <w:bottom w:w="70" w:type="dxa"/>
              <w:end w:w="90" w:type="dxa"/>
            </w:tcMar>
          </w:tcPr>
          <w:p>
            <w:pPr>
              <w:spacing w:after="0" w:line="240" w:lineRule="auto"/>
            </w:pPr>
            <w:r>
              <w:rPr/>
            </w:r>
            <w:r>
              <w:rPr>
                <w:sz w:val="17"/>
              </w:rPr>
              <w:t>Academic Manager approves ready content; publication/activation history contains actor and time</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TC-PRACTICE-001</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FR-PRACTICE-001</w:t>
            </w:r>
          </w:p>
        </w:tc>
        <w:tc>
          <w:tcPr>
            <w:tcW w:type="dxa" w:w="4903"/>
            <w:vAlign w:val="top"/>
            <w:tcMar>
              <w:top w:w="70" w:type="dxa"/>
              <w:start w:w="90" w:type="dxa"/>
              <w:bottom w:w="70" w:type="dxa"/>
              <w:end w:w="90" w:type="dxa"/>
            </w:tcMar>
          </w:tcPr>
          <w:p>
            <w:pPr>
              <w:spacing w:after="0" w:line="240" w:lineRule="auto"/>
            </w:pPr>
            <w:r>
              <w:rPr/>
            </w:r>
            <w:r>
              <w:rPr>
                <w:sz w:val="17"/>
              </w:rPr>
              <w:t>Expired, reused and throttled email codes do not create a practice session and expose no membership data</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TC-PRACTICE-002</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FR-PRACTICE-002</w:t>
            </w:r>
          </w:p>
        </w:tc>
        <w:tc>
          <w:tcPr>
            <w:tcW w:type="dxa" w:w="4903"/>
            <w:vAlign w:val="top"/>
            <w:tcMar>
              <w:top w:w="70" w:type="dxa"/>
              <w:start w:w="90" w:type="dxa"/>
              <w:bottom w:w="70" w:type="dxa"/>
              <w:end w:w="90" w:type="dxa"/>
            </w:tcMar>
          </w:tcPr>
          <w:p>
            <w:pPr>
              <w:spacing w:after="0" w:line="240" w:lineRule="auto"/>
            </w:pPr>
            <w:r>
              <w:rPr/>
            </w:r>
            <w:r>
              <w:rPr>
                <w:sz w:val="17"/>
              </w:rPr>
              <w:t>A Student with no active membership or entitlement receives a safe locked state; another organization is not listed</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TC-PRACTICE-003</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FR-PRACTICE-002</w:t>
            </w:r>
          </w:p>
        </w:tc>
        <w:tc>
          <w:tcPr>
            <w:tcW w:type="dxa" w:w="4903"/>
            <w:vAlign w:val="top"/>
            <w:tcMar>
              <w:top w:w="70" w:type="dxa"/>
              <w:start w:w="90" w:type="dxa"/>
              <w:bottom w:w="70" w:type="dxa"/>
              <w:end w:w="90" w:type="dxa"/>
            </w:tcMar>
          </w:tcPr>
          <w:p>
            <w:pPr>
              <w:spacing w:after="0" w:line="240" w:lineRule="auto"/>
            </w:pPr>
            <w:r>
              <w:rPr/>
            </w:r>
            <w:r>
              <w:rPr>
                <w:sz w:val="17"/>
              </w:rPr>
              <w:t>Multiple authorized contexts require the approved choice/default policy; the session records the selected context</w:t>
            </w:r>
          </w:p>
        </w:tc>
        <w:tc>
          <w:tcPr>
            <w:tcW w:type="dxa" w:w="1444"/>
            <w:vAlign w:val="top"/>
            <w:tcMar>
              <w:top w:w="70" w:type="dxa"/>
              <w:start w:w="90" w:type="dxa"/>
              <w:bottom w:w="70" w:type="dxa"/>
              <w:end w:w="90" w:type="dxa"/>
            </w:tcMar>
          </w:tcPr>
          <w:p>
            <w:pPr>
              <w:spacing w:after="0" w:line="240" w:lineRule="auto"/>
            </w:pPr>
            <w:r>
              <w:rPr/>
            </w:r>
            <w:r>
              <w:rPr>
                <w:sz w:val="17"/>
              </w:rPr>
              <w:t xml:space="preserve">Blocked by </w:t>
            </w:r>
            <w:r>
              <w:rPr>
                <w:rFonts w:ascii="Consolas" w:hAnsi="Consolas"/>
                <w:b w:val="0"/>
                <w:i w:val="0"/>
                <w:sz w:val="17"/>
              </w:rPr>
              <w:t>TBD-D02-IDENTITY-CONTEXT</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TC-PRACTICE-004</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FR-PRACTICE-003</w:t>
            </w:r>
          </w:p>
        </w:tc>
        <w:tc>
          <w:tcPr>
            <w:tcW w:type="dxa" w:w="4903"/>
            <w:vAlign w:val="top"/>
            <w:tcMar>
              <w:top w:w="70" w:type="dxa"/>
              <w:start w:w="90" w:type="dxa"/>
              <w:bottom w:w="70" w:type="dxa"/>
              <w:end w:w="90" w:type="dxa"/>
            </w:tcMar>
          </w:tcPr>
          <w:p>
            <w:pPr>
              <w:spacing w:after="0" w:line="240" w:lineRule="auto"/>
            </w:pPr>
            <w:r>
              <w:rPr/>
            </w:r>
            <w:r>
              <w:rPr>
                <w:sz w:val="17"/>
              </w:rPr>
              <w:t>Practice catalog excludes unpublished, unready and exam-only questions; insufficient content is explained</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TC-PRACTICE-005</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FR-PRACTICE-004</w:t>
            </w:r>
          </w:p>
        </w:tc>
        <w:tc>
          <w:tcPr>
            <w:tcW w:type="dxa" w:w="4903"/>
            <w:vAlign w:val="top"/>
            <w:tcMar>
              <w:top w:w="70" w:type="dxa"/>
              <w:start w:w="90" w:type="dxa"/>
              <w:bottom w:w="70" w:type="dxa"/>
              <w:end w:w="90" w:type="dxa"/>
            </w:tcMar>
          </w:tcPr>
          <w:p>
            <w:pPr>
              <w:spacing w:after="0" w:line="240" w:lineRule="auto"/>
            </w:pPr>
            <w:r>
              <w:rPr/>
            </w:r>
            <w:r>
              <w:rPr>
                <w:sz w:val="17"/>
              </w:rPr>
              <w:t>Repeated begin commands return one owned session or one deterministic conflict, never two active sessions</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TC-PRACTICE-006</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FR-PRACTICE-005</w:t>
            </w:r>
          </w:p>
        </w:tc>
        <w:tc>
          <w:tcPr>
            <w:tcW w:type="dxa" w:w="4903"/>
            <w:vAlign w:val="top"/>
            <w:tcMar>
              <w:top w:w="70" w:type="dxa"/>
              <w:start w:w="90" w:type="dxa"/>
              <w:bottom w:w="70" w:type="dxa"/>
              <w:end w:w="90" w:type="dxa"/>
            </w:tcMar>
          </w:tcPr>
          <w:p>
            <w:pPr>
              <w:spacing w:after="0" w:line="240" w:lineRule="auto"/>
            </w:pPr>
            <w:r>
              <w:rPr/>
            </w:r>
            <w:r>
              <w:rPr>
                <w:sz w:val="17"/>
              </w:rPr>
              <w:t>Save, network interruption, retry, leave and resume preserve one response and its fixed content</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TC-PRACTICE-007</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FR-PRACTICE-005</w:t>
            </w:r>
          </w:p>
        </w:tc>
        <w:tc>
          <w:tcPr>
            <w:tcW w:type="dxa" w:w="4903"/>
            <w:vAlign w:val="top"/>
            <w:tcMar>
              <w:top w:w="70" w:type="dxa"/>
              <w:start w:w="90" w:type="dxa"/>
              <w:bottom w:w="70" w:type="dxa"/>
              <w:end w:w="90" w:type="dxa"/>
            </w:tcMar>
          </w:tcPr>
          <w:p>
            <w:pPr>
              <w:spacing w:after="0" w:line="240" w:lineRule="auto"/>
            </w:pPr>
            <w:r>
              <w:rPr/>
            </w:r>
            <w:r>
              <w:rPr>
                <w:sz w:val="17"/>
              </w:rPr>
              <w:t>Repeated submit/discard commands are idempotent and cannot reopen a final session without policy</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TC-PRACTICE-008</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FR-PRACTICE-008</w:t>
            </w:r>
          </w:p>
        </w:tc>
        <w:tc>
          <w:tcPr>
            <w:tcW w:type="dxa" w:w="4903"/>
            <w:vAlign w:val="top"/>
            <w:tcMar>
              <w:top w:w="70" w:type="dxa"/>
              <w:start w:w="90" w:type="dxa"/>
              <w:bottom w:w="70" w:type="dxa"/>
              <w:end w:w="90" w:type="dxa"/>
            </w:tcMar>
          </w:tcPr>
          <w:p>
            <w:pPr>
              <w:spacing w:after="0" w:line="240" w:lineRule="auto"/>
            </w:pPr>
            <w:r>
              <w:rPr/>
            </w:r>
            <w:r>
              <w:rPr>
                <w:sz w:val="17"/>
              </w:rPr>
              <w:t>Pending feedback appears as activity/pending, not as a completed score; history points to the session item</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TC-PRACTICE-009</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FR-PRACTICE-006</w:t>
            </w:r>
          </w:p>
        </w:tc>
        <w:tc>
          <w:tcPr>
            <w:tcW w:type="dxa" w:w="4903"/>
            <w:vAlign w:val="top"/>
            <w:tcMar>
              <w:top w:w="70" w:type="dxa"/>
              <w:start w:w="90" w:type="dxa"/>
              <w:bottom w:w="70" w:type="dxa"/>
              <w:end w:w="90" w:type="dxa"/>
            </w:tcMar>
          </w:tcPr>
          <w:p>
            <w:pPr>
              <w:spacing w:after="0" w:line="240" w:lineRule="auto"/>
            </w:pPr>
            <w:r>
              <w:rPr/>
            </w:r>
            <w:r>
              <w:rPr>
                <w:sz w:val="17"/>
              </w:rPr>
              <w:t>Media upload for another Student/session/item is rejected; a retryable failed upload preserves the answer</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TC-PRACTICE-010</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FR-PRACTICE-007</w:t>
            </w:r>
          </w:p>
        </w:tc>
        <w:tc>
          <w:tcPr>
            <w:tcW w:type="dxa" w:w="4903"/>
            <w:vAlign w:val="top"/>
            <w:tcMar>
              <w:top w:w="70" w:type="dxa"/>
              <w:start w:w="90" w:type="dxa"/>
              <w:bottom w:w="70" w:type="dxa"/>
              <w:end w:w="90" w:type="dxa"/>
            </w:tcMar>
          </w:tcPr>
          <w:p>
            <w:pPr>
              <w:spacing w:after="0" w:line="240" w:lineRule="auto"/>
            </w:pPr>
            <w:r>
              <w:rPr/>
            </w:r>
            <w:r>
              <w:rPr>
                <w:sz w:val="17"/>
              </w:rPr>
              <w:t>AI provider pending/success/failure/unavailable states preserve the answer and expose the correct next action</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TC-PRACTICE-011</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FR-PRACTICE-007</w:t>
            </w:r>
          </w:p>
        </w:tc>
        <w:tc>
          <w:tcPr>
            <w:tcW w:type="dxa" w:w="4903"/>
            <w:vAlign w:val="top"/>
            <w:tcMar>
              <w:top w:w="70" w:type="dxa"/>
              <w:start w:w="90" w:type="dxa"/>
              <w:bottom w:w="70" w:type="dxa"/>
              <w:end w:w="90" w:type="dxa"/>
            </w:tcMar>
          </w:tcPr>
          <w:p>
            <w:pPr>
              <w:spacing w:after="0" w:line="240" w:lineRule="auto"/>
            </w:pPr>
            <w:r>
              <w:rPr/>
            </w:r>
            <w:r>
              <w:rPr>
                <w:sz w:val="17"/>
              </w:rPr>
              <w:t>AI result shows question/rubric/provider/model provenance and cannot be read by another Student</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TC-PRACTICE-012</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FR-PRACTICE-008</w:t>
            </w:r>
          </w:p>
        </w:tc>
        <w:tc>
          <w:tcPr>
            <w:tcW w:type="dxa" w:w="4903"/>
            <w:vAlign w:val="top"/>
            <w:tcMar>
              <w:top w:w="70" w:type="dxa"/>
              <w:start w:w="90" w:type="dxa"/>
              <w:bottom w:w="70" w:type="dxa"/>
              <w:end w:w="90" w:type="dxa"/>
            </w:tcMar>
          </w:tcPr>
          <w:p>
            <w:pPr>
              <w:spacing w:after="0" w:line="240" w:lineRule="auto"/>
            </w:pPr>
            <w:r>
              <w:rPr/>
            </w:r>
            <w:r>
              <w:rPr>
                <w:sz w:val="17"/>
              </w:rPr>
              <w:t>Confidence and activity history are not included as a score when scoring is pending</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TC-CONTENT-003</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FR-CONTENT-006</w:t>
            </w:r>
          </w:p>
        </w:tc>
        <w:tc>
          <w:tcPr>
            <w:tcW w:type="dxa" w:w="4903"/>
            <w:vAlign w:val="top"/>
            <w:tcMar>
              <w:top w:w="70" w:type="dxa"/>
              <w:start w:w="90" w:type="dxa"/>
              <w:bottom w:w="70" w:type="dxa"/>
              <w:end w:w="90" w:type="dxa"/>
            </w:tcMar>
          </w:tcPr>
          <w:p>
            <w:pPr>
              <w:spacing w:after="0" w:line="240" w:lineRule="auto"/>
            </w:pPr>
            <w:r>
              <w:rPr/>
            </w:r>
            <w:r>
              <w:rPr>
                <w:sz w:val="17"/>
              </w:rPr>
              <w:t>Practice-only question is excluded from exam generation even when other readiness checks pass</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TC-CONTENT-004</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FR-CONTENT-006</w:t>
            </w:r>
          </w:p>
        </w:tc>
        <w:tc>
          <w:tcPr>
            <w:tcW w:type="dxa" w:w="4903"/>
            <w:vAlign w:val="top"/>
            <w:tcMar>
              <w:top w:w="70" w:type="dxa"/>
              <w:start w:w="90" w:type="dxa"/>
              <w:bottom w:w="70" w:type="dxa"/>
              <w:end w:w="90" w:type="dxa"/>
            </w:tcMar>
          </w:tcPr>
          <w:p>
            <w:pPr>
              <w:spacing w:after="0" w:line="240" w:lineRule="auto"/>
            </w:pPr>
            <w:r>
              <w:rPr/>
            </w:r>
            <w:r>
              <w:rPr>
                <w:sz w:val="17"/>
              </w:rPr>
              <w:t>Exam-only question is excluded from practice catalog selection</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TC-CONTENT-005</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FR-CONTENT-006</w:t>
            </w:r>
          </w:p>
        </w:tc>
        <w:tc>
          <w:tcPr>
            <w:tcW w:type="dxa" w:w="4903"/>
            <w:vAlign w:val="top"/>
            <w:tcMar>
              <w:top w:w="70" w:type="dxa"/>
              <w:start w:w="90" w:type="dxa"/>
              <w:bottom w:w="70" w:type="dxa"/>
              <w:end w:w="90" w:type="dxa"/>
            </w:tcMar>
          </w:tcPr>
          <w:p>
            <w:pPr>
              <w:spacing w:after="0" w:line="240" w:lineRule="auto"/>
            </w:pPr>
            <w:r>
              <w:rPr/>
            </w:r>
            <w:r>
              <w:rPr>
                <w:sz w:val="17"/>
              </w:rPr>
              <w:t>Neither-enabled or unready question is excluded from both channels</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TC-CONTENT-006</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FR-CONTENT-006</w:t>
            </w:r>
          </w:p>
        </w:tc>
        <w:tc>
          <w:tcPr>
            <w:tcW w:type="dxa" w:w="4903"/>
            <w:vAlign w:val="top"/>
            <w:tcMar>
              <w:top w:w="70" w:type="dxa"/>
              <w:start w:w="90" w:type="dxa"/>
              <w:bottom w:w="70" w:type="dxa"/>
              <w:end w:w="90" w:type="dxa"/>
            </w:tcMar>
          </w:tcPr>
          <w:p>
            <w:pPr>
              <w:spacing w:after="0" w:line="240" w:lineRule="auto"/>
            </w:pPr>
            <w:r>
              <w:rPr/>
            </w:r>
            <w:r>
              <w:rPr>
                <w:sz w:val="17"/>
              </w:rPr>
              <w:t>Changing a flag after selection does not rewrite a frozen practice item or exam form</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TC-PRACTICE-013</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FR-PRACTICE-009</w:t>
            </w:r>
            <w:r>
              <w:rPr>
                <w:sz w:val="17"/>
              </w:rPr>
              <w:t xml:space="preserve"> / </w:t>
            </w:r>
            <w:r>
              <w:rPr>
                <w:rFonts w:ascii="Consolas" w:hAnsi="Consolas"/>
                <w:b w:val="0"/>
                <w:i w:val="0"/>
                <w:sz w:val="17"/>
              </w:rPr>
              <w:t>TBD-FEEDBACK-001</w:t>
            </w:r>
          </w:p>
        </w:tc>
        <w:tc>
          <w:tcPr>
            <w:tcW w:type="dxa" w:w="4903"/>
            <w:vAlign w:val="top"/>
            <w:tcMar>
              <w:top w:w="70" w:type="dxa"/>
              <w:start w:w="90" w:type="dxa"/>
              <w:bottom w:w="70" w:type="dxa"/>
              <w:end w:w="90" w:type="dxa"/>
            </w:tcMar>
          </w:tcPr>
          <w:p>
            <w:pPr>
              <w:spacing w:after="0" w:line="240" w:lineRule="auto"/>
            </w:pPr>
            <w:r>
              <w:rPr/>
            </w:r>
            <w:r>
              <w:rPr>
                <w:sz w:val="17"/>
              </w:rPr>
              <w:t>If content feedback is enabled, the report identifies the permitted reporter, target, handler and visibility; while unresolved, the UI provides only the approved escalation path</w:t>
            </w:r>
          </w:p>
        </w:tc>
        <w:tc>
          <w:tcPr>
            <w:tcW w:type="dxa" w:w="1444"/>
            <w:vAlign w:val="top"/>
            <w:tcMar>
              <w:top w:w="70" w:type="dxa"/>
              <w:start w:w="90" w:type="dxa"/>
              <w:bottom w:w="70" w:type="dxa"/>
              <w:end w:w="90" w:type="dxa"/>
            </w:tcMar>
          </w:tcPr>
          <w:p>
            <w:pPr>
              <w:spacing w:after="0" w:line="240" w:lineRule="auto"/>
            </w:pPr>
            <w:r>
              <w:rPr/>
            </w:r>
            <w:r>
              <w:rPr>
                <w:sz w:val="17"/>
              </w:rPr>
              <w:t>Blocked by decision</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TC-ROLE-005</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FR-PLATFORM-001</w:t>
            </w:r>
          </w:p>
        </w:tc>
        <w:tc>
          <w:tcPr>
            <w:tcW w:type="dxa" w:w="4903"/>
            <w:vAlign w:val="top"/>
            <w:tcMar>
              <w:top w:w="70" w:type="dxa"/>
              <w:start w:w="90" w:type="dxa"/>
              <w:bottom w:w="70" w:type="dxa"/>
              <w:end w:w="90" w:type="dxa"/>
            </w:tcMar>
          </w:tcPr>
          <w:p>
            <w:pPr>
              <w:spacing w:after="0" w:line="240" w:lineRule="auto"/>
            </w:pPr>
            <w:r>
              <w:rPr/>
            </w:r>
            <w:r>
              <w:rPr>
                <w:sz w:val="17"/>
              </w:rPr>
              <w:t>Platform Manager operational support cannot approve academic content or bypass organization scope</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r>
        <w:trPr>
          <w:cantSplit/>
        </w:trPr>
        <w:tc>
          <w:tcPr>
            <w:tcW w:type="dxa" w:w="1444"/>
            <w:vAlign w:val="top"/>
            <w:tcMar>
              <w:top w:w="70" w:type="dxa"/>
              <w:start w:w="90" w:type="dxa"/>
              <w:bottom w:w="70" w:type="dxa"/>
              <w:end w:w="90" w:type="dxa"/>
            </w:tcMar>
          </w:tcPr>
          <w:p>
            <w:pPr>
              <w:spacing w:after="0" w:line="240" w:lineRule="auto"/>
            </w:pPr>
            <w:r>
              <w:rPr/>
            </w:r>
            <w:r>
              <w:rPr>
                <w:rFonts w:ascii="Consolas" w:hAnsi="Consolas"/>
                <w:b w:val="0"/>
                <w:i w:val="0"/>
                <w:sz w:val="17"/>
              </w:rPr>
              <w:t>TC-ROLE-006</w:t>
            </w:r>
          </w:p>
        </w:tc>
        <w:tc>
          <w:tcPr>
            <w:tcW w:type="dxa" w:w="1926"/>
            <w:vAlign w:val="top"/>
            <w:tcMar>
              <w:top w:w="70" w:type="dxa"/>
              <w:start w:w="90" w:type="dxa"/>
              <w:bottom w:w="70" w:type="dxa"/>
              <w:end w:w="90" w:type="dxa"/>
            </w:tcMar>
          </w:tcPr>
          <w:p>
            <w:pPr>
              <w:spacing w:after="0" w:line="240" w:lineRule="auto"/>
            </w:pPr>
            <w:r>
              <w:rPr/>
            </w:r>
            <w:r>
              <w:rPr>
                <w:rFonts w:ascii="Consolas" w:hAnsi="Consolas"/>
                <w:b w:val="0"/>
                <w:i w:val="0"/>
                <w:sz w:val="17"/>
              </w:rPr>
              <w:t>FR-ACADEMIC-001</w:t>
            </w:r>
            <w:r>
              <w:rPr>
                <w:sz w:val="17"/>
              </w:rPr>
              <w:t xml:space="preserve"> / </w:t>
            </w:r>
            <w:r>
              <w:rPr>
                <w:rFonts w:ascii="Consolas" w:hAnsi="Consolas"/>
                <w:b w:val="0"/>
                <w:i w:val="0"/>
                <w:sz w:val="17"/>
              </w:rPr>
              <w:t>FR-ACADEMIC-002</w:t>
            </w:r>
          </w:p>
        </w:tc>
        <w:tc>
          <w:tcPr>
            <w:tcW w:type="dxa" w:w="4903"/>
            <w:vAlign w:val="top"/>
            <w:tcMar>
              <w:top w:w="70" w:type="dxa"/>
              <w:start w:w="90" w:type="dxa"/>
              <w:bottom w:w="70" w:type="dxa"/>
              <w:end w:w="90" w:type="dxa"/>
            </w:tcMar>
          </w:tcPr>
          <w:p>
            <w:pPr>
              <w:spacing w:after="0" w:line="240" w:lineRule="auto"/>
            </w:pPr>
            <w:r>
              <w:rPr/>
            </w:r>
            <w:r>
              <w:rPr>
                <w:sz w:val="17"/>
              </w:rPr>
              <w:t>Academic Staff cannot activate its own submission; Academic Manager approval records reason and revision</w:t>
            </w:r>
          </w:p>
        </w:tc>
        <w:tc>
          <w:tcPr>
            <w:tcW w:type="dxa" w:w="1444"/>
            <w:vAlign w:val="top"/>
            <w:tcMar>
              <w:top w:w="70" w:type="dxa"/>
              <w:start w:w="90" w:type="dxa"/>
              <w:bottom w:w="70" w:type="dxa"/>
              <w:end w:w="90" w:type="dxa"/>
            </w:tcMar>
          </w:tcPr>
          <w:p>
            <w:pPr>
              <w:spacing w:after="0" w:line="240" w:lineRule="auto"/>
            </w:pPr>
            <w:r>
              <w:rPr/>
            </w:r>
            <w:r>
              <w:rPr>
                <w:sz w:val="17"/>
              </w:rPr>
              <w:t>Not executed</w:t>
            </w:r>
          </w:p>
        </w:tc>
      </w:tr>
    </w:tbl>
    <w:p>
      <w:pPr>
        <w:spacing w:after="20"/>
      </w:pPr>
    </w:p>
    <w:p>
      <w:pPr>
        <w:pStyle w:val="Heading2"/>
        <w:keepNext/>
        <w:pageBreakBefore w:val="0"/>
      </w:pPr>
      <w:r>
        <w:t>5. Test Reports</w:t>
      </w:r>
    </w:p>
    <w:p>
      <w:pPr>
        <w:spacing w:after="80" w:line="240" w:lineRule="auto"/>
      </w:pPr>
      <w:r>
        <w:rPr>
          <w:sz w:val="19"/>
        </w:rPr>
        <w:t xml:space="preserve">This section maps the original DOCX heading </w:t>
      </w:r>
      <w:r>
        <w:rPr>
          <w:b/>
          <w:i w:val="0"/>
          <w:sz w:val="19"/>
        </w:rPr>
        <w:t>5. Test Reports</w:t>
      </w:r>
      <w:r>
        <w:rPr>
          <w:sz w:val="19"/>
        </w:rPr>
        <w:t>. It defines the execution-summary format, coverage view, defect record, evidence manifest, and sign-off boundary. The baseline contains no fabricated runtime outcome.</w:t>
      </w:r>
    </w:p>
    <w:p>
      <w:pPr>
        <w:pStyle w:val="Heading3"/>
        <w:keepNext/>
        <w:pageBreakBefore w:val="0"/>
      </w:pPr>
      <w:r>
        <w:t>5.1 Execution summary template</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3240"/>
            <w:vAlign w:val="top"/>
            <w:tcMar>
              <w:top w:w="70" w:type="dxa"/>
              <w:start w:w="90" w:type="dxa"/>
              <w:bottom w:w="70" w:type="dxa"/>
              <w:end w:w="90" w:type="dxa"/>
            </w:tcMar>
            <w:shd w:val="clear" w:color="auto" w:fill="FFE8E1"/>
          </w:tcPr>
          <w:p>
            <w:pPr>
              <w:spacing w:after="0" w:line="240" w:lineRule="auto"/>
            </w:pPr>
            <w:r>
              <w:rPr>
                <w:b/>
              </w:rPr>
            </w:r>
            <w:r>
              <w:rPr>
                <w:b/>
                <w:sz w:val="17"/>
              </w:rPr>
              <w:t>Field</w:t>
            </w:r>
          </w:p>
        </w:tc>
        <w:tc>
          <w:tcPr>
            <w:tcW w:type="dxa" w:w="6480"/>
            <w:vAlign w:val="top"/>
            <w:tcMar>
              <w:top w:w="70" w:type="dxa"/>
              <w:start w:w="90" w:type="dxa"/>
              <w:bottom w:w="70" w:type="dxa"/>
              <w:end w:w="90" w:type="dxa"/>
            </w:tcMar>
            <w:shd w:val="clear" w:color="auto" w:fill="FFE8E1"/>
          </w:tcPr>
          <w:p>
            <w:pPr>
              <w:spacing w:after="0" w:line="240" w:lineRule="auto"/>
            </w:pPr>
            <w:r>
              <w:rPr>
                <w:b/>
              </w:rPr>
            </w:r>
            <w:r>
              <w:rPr>
                <w:b/>
                <w:sz w:val="17"/>
              </w:rPr>
              <w:t>Value for a future run</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Test run ID</w:t>
            </w:r>
          </w:p>
        </w:tc>
        <w:tc>
          <w:tcPr>
            <w:tcW w:type="dxa" w:w="6480"/>
            <w:vAlign w:val="top"/>
            <w:tcMar>
              <w:top w:w="70" w:type="dxa"/>
              <w:start w:w="90" w:type="dxa"/>
              <w:bottom w:w="70" w:type="dxa"/>
              <w:end w:w="90" w:type="dxa"/>
            </w:tcMar>
          </w:tcPr>
          <w:p>
            <w:pPr>
              <w:spacing w:after="0" w:line="240" w:lineRule="auto"/>
            </w:pPr>
            <w:r>
              <w:rPr/>
            </w:r>
            <w:r>
              <w:rPr>
                <w:rFonts w:ascii="Consolas" w:hAnsi="Consolas"/>
                <w:b w:val="0"/>
                <w:i w:val="0"/>
                <w:sz w:val="17"/>
              </w:rPr>
              <w:t>RUN-YYYYMMDD-##</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Scope/build</w:t>
            </w:r>
          </w:p>
        </w:tc>
        <w:tc>
          <w:tcPr>
            <w:tcW w:type="dxa" w:w="6480"/>
            <w:vAlign w:val="top"/>
            <w:tcMar>
              <w:top w:w="70" w:type="dxa"/>
              <w:start w:w="90" w:type="dxa"/>
              <w:bottom w:w="70" w:type="dxa"/>
              <w:end w:w="90" w:type="dxa"/>
            </w:tcMar>
          </w:tcPr>
          <w:p>
            <w:pPr>
              <w:spacing w:after="0" w:line="240" w:lineRule="auto"/>
            </w:pPr>
            <w:r>
              <w:rPr/>
            </w:r>
            <w:r>
              <w:rPr>
                <w:sz w:val="17"/>
              </w:rPr>
              <w:t>Record repository/build identifier and included services/clients.</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Environment</w:t>
            </w:r>
          </w:p>
        </w:tc>
        <w:tc>
          <w:tcPr>
            <w:tcW w:type="dxa" w:w="6480"/>
            <w:vAlign w:val="top"/>
            <w:tcMar>
              <w:top w:w="70" w:type="dxa"/>
              <w:start w:w="90" w:type="dxa"/>
              <w:bottom w:w="70" w:type="dxa"/>
              <w:end w:w="90" w:type="dxa"/>
            </w:tcMar>
          </w:tcPr>
          <w:p>
            <w:pPr>
              <w:spacing w:after="0" w:line="240" w:lineRule="auto"/>
            </w:pPr>
            <w:r>
              <w:rPr/>
            </w:r>
            <w:r>
              <w:rPr>
                <w:rFonts w:ascii="Consolas" w:hAnsi="Consolas"/>
                <w:b w:val="0"/>
                <w:i w:val="0"/>
                <w:sz w:val="17"/>
              </w:rPr>
              <w:t>ENV-LOCAL</w:t>
            </w:r>
            <w:r>
              <w:rPr>
                <w:sz w:val="17"/>
              </w:rPr>
              <w:t xml:space="preserve">, </w:t>
            </w:r>
            <w:r>
              <w:rPr>
                <w:rFonts w:ascii="Consolas" w:hAnsi="Consolas"/>
                <w:b w:val="0"/>
                <w:i w:val="0"/>
                <w:sz w:val="17"/>
              </w:rPr>
              <w:t>ENV-STAGE</w:t>
            </w:r>
            <w:r>
              <w:rPr>
                <w:sz w:val="17"/>
              </w:rPr>
              <w:t xml:space="preserve">, </w:t>
            </w:r>
            <w:r>
              <w:rPr>
                <w:rFonts w:ascii="Consolas" w:hAnsi="Consolas"/>
                <w:b w:val="0"/>
                <w:i w:val="0"/>
                <w:sz w:val="17"/>
              </w:rPr>
              <w:t>ENV-PERF</w:t>
            </w:r>
            <w:r>
              <w:rPr>
                <w:sz w:val="17"/>
              </w:rPr>
              <w:t>, or approved operations environment.</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Execution window</w:t>
            </w:r>
          </w:p>
        </w:tc>
        <w:tc>
          <w:tcPr>
            <w:tcW w:type="dxa" w:w="6480"/>
            <w:vAlign w:val="top"/>
            <w:tcMar>
              <w:top w:w="70" w:type="dxa"/>
              <w:start w:w="90" w:type="dxa"/>
              <w:bottom w:w="70" w:type="dxa"/>
              <w:end w:w="90" w:type="dxa"/>
            </w:tcMar>
          </w:tcPr>
          <w:p>
            <w:pPr>
              <w:spacing w:after="0" w:line="240" w:lineRule="auto"/>
            </w:pPr>
            <w:r>
              <w:rPr/>
            </w:r>
            <w:r>
              <w:rPr>
                <w:sz w:val="17"/>
              </w:rPr>
              <w:t>Start/end time with time zone.</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Test responsibility</w:t>
            </w:r>
          </w:p>
        </w:tc>
        <w:tc>
          <w:tcPr>
            <w:tcW w:type="dxa" w:w="6480"/>
            <w:vAlign w:val="top"/>
            <w:tcMar>
              <w:top w:w="70" w:type="dxa"/>
              <w:start w:w="90" w:type="dxa"/>
              <w:bottom w:w="70" w:type="dxa"/>
              <w:end w:w="90" w:type="dxa"/>
            </w:tcMar>
          </w:tcPr>
          <w:p>
            <w:pPr>
              <w:spacing w:after="0" w:line="240" w:lineRule="auto"/>
            </w:pPr>
            <w:r>
              <w:rPr/>
            </w:r>
            <w:r>
              <w:rPr>
                <w:sz w:val="17"/>
              </w:rPr>
              <w:t>Named Test Lead/QA Analyst/Automation Engineer; product role listed separately if participating.</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Cases planned/executed</w:t>
            </w:r>
          </w:p>
        </w:tc>
        <w:tc>
          <w:tcPr>
            <w:tcW w:type="dxa" w:w="6480"/>
            <w:vAlign w:val="top"/>
            <w:tcMar>
              <w:top w:w="70" w:type="dxa"/>
              <w:start w:w="90" w:type="dxa"/>
              <w:bottom w:w="70" w:type="dxa"/>
              <w:end w:w="90" w:type="dxa"/>
            </w:tcMar>
          </w:tcPr>
          <w:p>
            <w:pPr>
              <w:spacing w:after="0" w:line="240" w:lineRule="auto"/>
            </w:pPr>
            <w:r>
              <w:rPr/>
            </w:r>
            <w:r>
              <w:rPr>
                <w:sz w:val="17"/>
              </w:rPr>
              <w:t>Counts by priority and status.</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Defects/TBDs</w:t>
            </w:r>
          </w:p>
        </w:tc>
        <w:tc>
          <w:tcPr>
            <w:tcW w:type="dxa" w:w="6480"/>
            <w:vAlign w:val="top"/>
            <w:tcMar>
              <w:top w:w="70" w:type="dxa"/>
              <w:start w:w="90" w:type="dxa"/>
              <w:bottom w:w="70" w:type="dxa"/>
              <w:end w:w="90" w:type="dxa"/>
            </w:tcMar>
          </w:tcPr>
          <w:p>
            <w:pPr>
              <w:spacing w:after="0" w:line="240" w:lineRule="auto"/>
            </w:pPr>
            <w:r>
              <w:rPr/>
            </w:r>
            <w:r>
              <w:rPr>
                <w:sz w:val="17"/>
              </w:rPr>
              <w:t xml:space="preserve">Links to </w:t>
            </w:r>
            <w:r>
              <w:rPr>
                <w:rFonts w:ascii="Consolas" w:hAnsi="Consolas"/>
                <w:b w:val="0"/>
                <w:i w:val="0"/>
                <w:sz w:val="17"/>
              </w:rPr>
              <w:t>BUG-*</w:t>
            </w:r>
            <w:r>
              <w:rPr>
                <w:sz w:val="17"/>
              </w:rPr>
              <w:t>/</w:t>
            </w:r>
            <w:r>
              <w:rPr>
                <w:rFonts w:ascii="Consolas" w:hAnsi="Consolas"/>
                <w:b w:val="0"/>
                <w:i w:val="0"/>
                <w:sz w:val="17"/>
              </w:rPr>
              <w:t>TBD-*</w:t>
            </w:r>
            <w:r>
              <w:rPr>
                <w:sz w:val="17"/>
              </w:rPr>
              <w:t xml:space="preserve"> with owner and severity.</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Evidence manifest</w:t>
            </w:r>
          </w:p>
        </w:tc>
        <w:tc>
          <w:tcPr>
            <w:tcW w:type="dxa" w:w="6480"/>
            <w:vAlign w:val="top"/>
            <w:tcMar>
              <w:top w:w="70" w:type="dxa"/>
              <w:start w:w="90" w:type="dxa"/>
              <w:bottom w:w="70" w:type="dxa"/>
              <w:end w:w="90" w:type="dxa"/>
            </w:tcMar>
          </w:tcPr>
          <w:p>
            <w:pPr>
              <w:spacing w:after="0" w:line="240" w:lineRule="auto"/>
            </w:pPr>
            <w:r>
              <w:rPr/>
            </w:r>
            <w:r>
              <w:rPr>
                <w:sz w:val="17"/>
              </w:rPr>
              <w:t>Masked logs/screenshots/traces/query outputs with safe paths.</w:t>
            </w:r>
          </w:p>
        </w:tc>
      </w:tr>
      <w:tr>
        <w:trPr>
          <w:cantSplit/>
        </w:trPr>
        <w:tc>
          <w:tcPr>
            <w:tcW w:type="dxa" w:w="3240"/>
            <w:vAlign w:val="top"/>
            <w:tcMar>
              <w:top w:w="70" w:type="dxa"/>
              <w:start w:w="90" w:type="dxa"/>
              <w:bottom w:w="70" w:type="dxa"/>
              <w:end w:w="90" w:type="dxa"/>
            </w:tcMar>
          </w:tcPr>
          <w:p>
            <w:pPr>
              <w:spacing w:after="0" w:line="240" w:lineRule="auto"/>
            </w:pPr>
            <w:r>
              <w:rPr/>
            </w:r>
            <w:r>
              <w:rPr>
                <w:sz w:val="17"/>
              </w:rPr>
              <w:t>Conclusion</w:t>
            </w:r>
          </w:p>
        </w:tc>
        <w:tc>
          <w:tcPr>
            <w:tcW w:type="dxa" w:w="6480"/>
            <w:vAlign w:val="top"/>
            <w:tcMar>
              <w:top w:w="70" w:type="dxa"/>
              <w:start w:w="90" w:type="dxa"/>
              <w:bottom w:w="70" w:type="dxa"/>
              <w:end w:w="90" w:type="dxa"/>
            </w:tcMar>
          </w:tcPr>
          <w:p>
            <w:pPr>
              <w:spacing w:after="0" w:line="240" w:lineRule="auto"/>
            </w:pPr>
            <w:r>
              <w:rPr/>
            </w:r>
            <w:r>
              <w:rPr>
                <w:sz w:val="17"/>
              </w:rPr>
              <w:t>Explain readiness, dependencies, and unresolved risk; do not use a pass label without the evidence below.</w:t>
            </w:r>
          </w:p>
        </w:tc>
      </w:tr>
    </w:tbl>
    <w:p>
      <w:pPr>
        <w:spacing w:after="20"/>
      </w:pPr>
    </w:p>
    <w:p>
      <w:pPr>
        <w:spacing w:after="80" w:line="240" w:lineRule="auto"/>
      </w:pPr>
      <w:r>
        <w:rPr>
          <w:b/>
          <w:i w:val="0"/>
          <w:sz w:val="19"/>
        </w:rPr>
        <w:t>Current baseline:</w:t>
      </w:r>
      <w:r>
        <w:rPr>
          <w:sz w:val="19"/>
        </w:rPr>
        <w:t xml:space="preserve"> No product runtime execution is claimed for this document. The TDD checks recorded for Reports 3–6 validate Markdown structure/content only.</w:t>
      </w:r>
    </w:p>
    <w:p>
      <w:pPr>
        <w:pStyle w:val="Heading3"/>
        <w:keepNext/>
        <w:pageBreakBefore w:val="0"/>
      </w:pPr>
      <w:r>
        <w:t>5.2 Result status rules</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165"/>
            <w:vAlign w:val="top"/>
            <w:tcMar>
              <w:top w:w="70" w:type="dxa"/>
              <w:start w:w="90" w:type="dxa"/>
              <w:bottom w:w="70" w:type="dxa"/>
              <w:end w:w="90" w:type="dxa"/>
            </w:tcMar>
            <w:shd w:val="clear" w:color="auto" w:fill="FFE8E1"/>
          </w:tcPr>
          <w:p>
            <w:pPr>
              <w:spacing w:after="0" w:line="240" w:lineRule="auto"/>
            </w:pPr>
            <w:r>
              <w:rPr>
                <w:b/>
              </w:rPr>
            </w:r>
            <w:r>
              <w:rPr>
                <w:b/>
                <w:sz w:val="17"/>
              </w:rPr>
              <w:t>Status</w:t>
            </w:r>
          </w:p>
        </w:tc>
        <w:tc>
          <w:tcPr>
            <w:tcW w:type="dxa" w:w="5554"/>
            <w:vAlign w:val="top"/>
            <w:tcMar>
              <w:top w:w="70" w:type="dxa"/>
              <w:start w:w="90" w:type="dxa"/>
              <w:bottom w:w="70" w:type="dxa"/>
              <w:end w:w="90" w:type="dxa"/>
            </w:tcMar>
            <w:shd w:val="clear" w:color="auto" w:fill="FFE8E1"/>
          </w:tcPr>
          <w:p>
            <w:pPr>
              <w:spacing w:after="0" w:line="240" w:lineRule="auto"/>
            </w:pPr>
            <w:r>
              <w:rPr>
                <w:b/>
              </w:rPr>
            </w:r>
            <w:r>
              <w:rPr>
                <w:b/>
                <w:sz w:val="17"/>
              </w:rPr>
              <w:t>Allowed use</w:t>
            </w:r>
          </w:p>
        </w:tc>
      </w:tr>
      <w:tr>
        <w:trPr>
          <w:cantSplit/>
        </w:trPr>
        <w:tc>
          <w:tcPr>
            <w:tcW w:type="dxa" w:w="4165"/>
            <w:vAlign w:val="top"/>
            <w:tcMar>
              <w:top w:w="70" w:type="dxa"/>
              <w:start w:w="90" w:type="dxa"/>
              <w:bottom w:w="70" w:type="dxa"/>
              <w:end w:w="90" w:type="dxa"/>
            </w:tcMar>
          </w:tcPr>
          <w:p>
            <w:pPr>
              <w:spacing w:after="0" w:line="240" w:lineRule="auto"/>
            </w:pPr>
            <w:r>
              <w:rPr/>
            </w:r>
            <w:r>
              <w:rPr>
                <w:rFonts w:ascii="Consolas" w:hAnsi="Consolas"/>
                <w:b w:val="0"/>
                <w:i w:val="0"/>
                <w:sz w:val="17"/>
              </w:rPr>
              <w:t>Planned</w:t>
            </w:r>
          </w:p>
        </w:tc>
        <w:tc>
          <w:tcPr>
            <w:tcW w:type="dxa" w:w="5554"/>
            <w:vAlign w:val="top"/>
            <w:tcMar>
              <w:top w:w="70" w:type="dxa"/>
              <w:start w:w="90" w:type="dxa"/>
              <w:bottom w:w="70" w:type="dxa"/>
              <w:end w:w="90" w:type="dxa"/>
            </w:tcMar>
          </w:tcPr>
          <w:p>
            <w:pPr>
              <w:spacing w:after="0" w:line="240" w:lineRule="auto"/>
            </w:pPr>
            <w:r>
              <w:rPr/>
            </w:r>
            <w:r>
              <w:rPr>
                <w:sz w:val="17"/>
              </w:rPr>
              <w:t>Case is specified but has not been executed.</w:t>
            </w:r>
          </w:p>
        </w:tc>
      </w:tr>
      <w:tr>
        <w:trPr>
          <w:cantSplit/>
        </w:trPr>
        <w:tc>
          <w:tcPr>
            <w:tcW w:type="dxa" w:w="4165"/>
            <w:vAlign w:val="top"/>
            <w:tcMar>
              <w:top w:w="70" w:type="dxa"/>
              <w:start w:w="90" w:type="dxa"/>
              <w:bottom w:w="70" w:type="dxa"/>
              <w:end w:w="90" w:type="dxa"/>
            </w:tcMar>
          </w:tcPr>
          <w:p>
            <w:pPr>
              <w:spacing w:after="0" w:line="240" w:lineRule="auto"/>
            </w:pPr>
            <w:r>
              <w:rPr/>
            </w:r>
            <w:r>
              <w:rPr>
                <w:rFonts w:ascii="Consolas" w:hAnsi="Consolas"/>
                <w:b w:val="0"/>
                <w:i w:val="0"/>
                <w:sz w:val="17"/>
              </w:rPr>
              <w:t>Not run</w:t>
            </w:r>
          </w:p>
        </w:tc>
        <w:tc>
          <w:tcPr>
            <w:tcW w:type="dxa" w:w="5554"/>
            <w:vAlign w:val="top"/>
            <w:tcMar>
              <w:top w:w="70" w:type="dxa"/>
              <w:start w:w="90" w:type="dxa"/>
              <w:bottom w:w="70" w:type="dxa"/>
              <w:end w:w="90" w:type="dxa"/>
            </w:tcMar>
          </w:tcPr>
          <w:p>
            <w:pPr>
              <w:spacing w:after="0" w:line="240" w:lineRule="auto"/>
            </w:pPr>
            <w:r>
              <w:rPr/>
            </w:r>
            <w:r>
              <w:rPr>
                <w:sz w:val="17"/>
              </w:rPr>
              <w:t>The run was planned but did not execute; record reason.</w:t>
            </w:r>
          </w:p>
        </w:tc>
      </w:tr>
      <w:tr>
        <w:trPr>
          <w:cantSplit/>
        </w:trPr>
        <w:tc>
          <w:tcPr>
            <w:tcW w:type="dxa" w:w="4165"/>
            <w:vAlign w:val="top"/>
            <w:tcMar>
              <w:top w:w="70" w:type="dxa"/>
              <w:start w:w="90" w:type="dxa"/>
              <w:bottom w:w="70" w:type="dxa"/>
              <w:end w:w="90" w:type="dxa"/>
            </w:tcMar>
          </w:tcPr>
          <w:p>
            <w:pPr>
              <w:spacing w:after="0" w:line="240" w:lineRule="auto"/>
            </w:pPr>
            <w:r>
              <w:rPr/>
            </w:r>
            <w:r>
              <w:rPr>
                <w:rFonts w:ascii="Consolas" w:hAnsi="Consolas"/>
                <w:b w:val="0"/>
                <w:i w:val="0"/>
                <w:sz w:val="17"/>
              </w:rPr>
              <w:t>Blocked</w:t>
            </w:r>
          </w:p>
        </w:tc>
        <w:tc>
          <w:tcPr>
            <w:tcW w:type="dxa" w:w="5554"/>
            <w:vAlign w:val="top"/>
            <w:tcMar>
              <w:top w:w="70" w:type="dxa"/>
              <w:start w:w="90" w:type="dxa"/>
              <w:bottom w:w="70" w:type="dxa"/>
              <w:end w:w="90" w:type="dxa"/>
            </w:tcMar>
          </w:tcPr>
          <w:p>
            <w:pPr>
              <w:spacing w:after="0" w:line="240" w:lineRule="auto"/>
            </w:pPr>
            <w:r>
              <w:rPr/>
            </w:r>
            <w:r>
              <w:rPr>
                <w:sz w:val="17"/>
              </w:rPr>
              <w:t>Execution cannot continue because a dependency/environment/decision is missing.</w:t>
            </w:r>
          </w:p>
        </w:tc>
      </w:tr>
      <w:tr>
        <w:trPr>
          <w:cantSplit/>
        </w:trPr>
        <w:tc>
          <w:tcPr>
            <w:tcW w:type="dxa" w:w="4165"/>
            <w:vAlign w:val="top"/>
            <w:tcMar>
              <w:top w:w="70" w:type="dxa"/>
              <w:start w:w="90" w:type="dxa"/>
              <w:bottom w:w="70" w:type="dxa"/>
              <w:end w:w="90" w:type="dxa"/>
            </w:tcMar>
          </w:tcPr>
          <w:p>
            <w:pPr>
              <w:spacing w:after="0" w:line="240" w:lineRule="auto"/>
            </w:pPr>
            <w:r>
              <w:rPr/>
            </w:r>
            <w:r>
              <w:rPr>
                <w:rFonts w:ascii="Consolas" w:hAnsi="Consolas"/>
                <w:b w:val="0"/>
                <w:i w:val="0"/>
                <w:sz w:val="17"/>
              </w:rPr>
              <w:t>Pass</w:t>
            </w:r>
          </w:p>
        </w:tc>
        <w:tc>
          <w:tcPr>
            <w:tcW w:type="dxa" w:w="5554"/>
            <w:vAlign w:val="top"/>
            <w:tcMar>
              <w:top w:w="70" w:type="dxa"/>
              <w:start w:w="90" w:type="dxa"/>
              <w:bottom w:w="70" w:type="dxa"/>
              <w:end w:w="90" w:type="dxa"/>
            </w:tcMar>
          </w:tcPr>
          <w:p>
            <w:pPr>
              <w:spacing w:after="0" w:line="240" w:lineRule="auto"/>
            </w:pPr>
            <w:r>
              <w:rPr/>
            </w:r>
            <w:r>
              <w:rPr>
                <w:sz w:val="17"/>
              </w:rPr>
              <w:t>Actual result meets expected result and evidence is attached.</w:t>
            </w:r>
          </w:p>
        </w:tc>
      </w:tr>
      <w:tr>
        <w:trPr>
          <w:cantSplit/>
        </w:trPr>
        <w:tc>
          <w:tcPr>
            <w:tcW w:type="dxa" w:w="4165"/>
            <w:vAlign w:val="top"/>
            <w:tcMar>
              <w:top w:w="70" w:type="dxa"/>
              <w:start w:w="90" w:type="dxa"/>
              <w:bottom w:w="70" w:type="dxa"/>
              <w:end w:w="90" w:type="dxa"/>
            </w:tcMar>
          </w:tcPr>
          <w:p>
            <w:pPr>
              <w:spacing w:after="0" w:line="240" w:lineRule="auto"/>
            </w:pPr>
            <w:r>
              <w:rPr/>
            </w:r>
            <w:r>
              <w:rPr>
                <w:rFonts w:ascii="Consolas" w:hAnsi="Consolas"/>
                <w:b w:val="0"/>
                <w:i w:val="0"/>
                <w:sz w:val="17"/>
              </w:rPr>
              <w:t>Fail</w:t>
            </w:r>
          </w:p>
        </w:tc>
        <w:tc>
          <w:tcPr>
            <w:tcW w:type="dxa" w:w="5554"/>
            <w:vAlign w:val="top"/>
            <w:tcMar>
              <w:top w:w="70" w:type="dxa"/>
              <w:start w:w="90" w:type="dxa"/>
              <w:bottom w:w="70" w:type="dxa"/>
              <w:end w:w="90" w:type="dxa"/>
            </w:tcMar>
          </w:tcPr>
          <w:p>
            <w:pPr>
              <w:spacing w:after="0" w:line="240" w:lineRule="auto"/>
            </w:pPr>
            <w:r>
              <w:rPr/>
            </w:r>
            <w:r>
              <w:rPr>
                <w:sz w:val="17"/>
              </w:rPr>
              <w:t>Actual result does not meet expected result; defect/evidence is attached.</w:t>
            </w:r>
          </w:p>
        </w:tc>
      </w:tr>
      <w:tr>
        <w:trPr>
          <w:cantSplit/>
        </w:trPr>
        <w:tc>
          <w:tcPr>
            <w:tcW w:type="dxa" w:w="4165"/>
            <w:vAlign w:val="top"/>
            <w:tcMar>
              <w:top w:w="70" w:type="dxa"/>
              <w:start w:w="90" w:type="dxa"/>
              <w:bottom w:w="70" w:type="dxa"/>
              <w:end w:w="90" w:type="dxa"/>
            </w:tcMar>
          </w:tcPr>
          <w:p>
            <w:pPr>
              <w:spacing w:after="0" w:line="240" w:lineRule="auto"/>
            </w:pPr>
            <w:r>
              <w:rPr/>
            </w:r>
            <w:r>
              <w:rPr>
                <w:rFonts w:ascii="Consolas" w:hAnsi="Consolas"/>
                <w:b w:val="0"/>
                <w:i w:val="0"/>
                <w:sz w:val="17"/>
              </w:rPr>
              <w:t>Inconclusive</w:t>
            </w:r>
          </w:p>
        </w:tc>
        <w:tc>
          <w:tcPr>
            <w:tcW w:type="dxa" w:w="5554"/>
            <w:vAlign w:val="top"/>
            <w:tcMar>
              <w:top w:w="70" w:type="dxa"/>
              <w:start w:w="90" w:type="dxa"/>
              <w:bottom w:w="70" w:type="dxa"/>
              <w:end w:w="90" w:type="dxa"/>
            </w:tcMar>
          </w:tcPr>
          <w:p>
            <w:pPr>
              <w:spacing w:after="0" w:line="240" w:lineRule="auto"/>
            </w:pPr>
            <w:r>
              <w:rPr/>
            </w:r>
            <w:r>
              <w:rPr>
                <w:sz w:val="17"/>
              </w:rPr>
              <w:t>Evidence is insufficient or provider/device behavior could not be isolated.</w:t>
            </w:r>
          </w:p>
        </w:tc>
      </w:tr>
    </w:tbl>
    <w:p>
      <w:pPr>
        <w:spacing w:after="20"/>
      </w:pPr>
    </w:p>
    <w:p>
      <w:pPr>
        <w:spacing w:after="80" w:line="240" w:lineRule="auto"/>
      </w:pPr>
      <w:r>
        <w:rPr>
          <w:sz w:val="19"/>
        </w:rPr>
        <w:t>The words “Pass” and “Fail” describe a case result only after an execution record exists. They do not describe the existence of a test plan or a mock response.</w:t>
      </w:r>
    </w:p>
    <w:p>
      <w:pPr>
        <w:pStyle w:val="Heading3"/>
        <w:keepNext/>
        <w:pageBreakBefore w:val="0"/>
      </w:pPr>
      <w:r>
        <w:t>5.3 Coverage summary template</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3888"/>
            <w:vAlign w:val="top"/>
            <w:tcMar>
              <w:top w:w="70" w:type="dxa"/>
              <w:start w:w="90" w:type="dxa"/>
              <w:bottom w:w="70" w:type="dxa"/>
              <w:end w:w="90" w:type="dxa"/>
            </w:tcMar>
            <w:shd w:val="clear" w:color="auto" w:fill="FFE8E1"/>
          </w:tcPr>
          <w:p>
            <w:pPr>
              <w:spacing w:after="0" w:line="240" w:lineRule="auto"/>
            </w:pPr>
            <w:r>
              <w:rPr>
                <w:b/>
              </w:rPr>
            </w:r>
            <w:r>
              <w:rPr>
                <w:b/>
                <w:sz w:val="17"/>
              </w:rPr>
              <w:t>Coverage dimension</w:t>
            </w:r>
          </w:p>
        </w:tc>
        <w:tc>
          <w:tcPr>
            <w:tcW w:type="dxa" w:w="2808"/>
            <w:vAlign w:val="top"/>
            <w:tcMar>
              <w:top w:w="70" w:type="dxa"/>
              <w:start w:w="90" w:type="dxa"/>
              <w:bottom w:w="70" w:type="dxa"/>
              <w:end w:w="90" w:type="dxa"/>
            </w:tcMar>
            <w:shd w:val="clear" w:color="auto" w:fill="FFE8E1"/>
          </w:tcPr>
          <w:p>
            <w:pPr>
              <w:spacing w:after="0" w:line="240" w:lineRule="auto"/>
            </w:pPr>
            <w:r>
              <w:rPr>
                <w:b/>
              </w:rPr>
            </w:r>
            <w:r>
              <w:rPr>
                <w:b/>
                <w:sz w:val="17"/>
              </w:rPr>
              <w:t>Required view</w:t>
            </w:r>
          </w:p>
        </w:tc>
        <w:tc>
          <w:tcPr>
            <w:tcW w:type="dxa" w:w="3024"/>
            <w:vAlign w:val="top"/>
            <w:tcMar>
              <w:top w:w="70" w:type="dxa"/>
              <w:start w:w="90" w:type="dxa"/>
              <w:bottom w:w="70" w:type="dxa"/>
              <w:end w:w="90" w:type="dxa"/>
            </w:tcMar>
            <w:shd w:val="clear" w:color="auto" w:fill="FFE8E1"/>
          </w:tcPr>
          <w:p>
            <w:pPr>
              <w:spacing w:after="0" w:line="240" w:lineRule="auto"/>
            </w:pPr>
            <w:r>
              <w:rPr>
                <w:b/>
              </w:rPr>
            </w:r>
            <w:r>
              <w:rPr>
                <w:b/>
                <w:sz w:val="17"/>
              </w:rPr>
              <w:t>Baseline state</w:t>
            </w:r>
          </w:p>
        </w:tc>
      </w:tr>
      <w:tr>
        <w:trPr>
          <w:cantSplit/>
        </w:trPr>
        <w:tc>
          <w:tcPr>
            <w:tcW w:type="dxa" w:w="3888"/>
            <w:vAlign w:val="top"/>
            <w:tcMar>
              <w:top w:w="70" w:type="dxa"/>
              <w:start w:w="90" w:type="dxa"/>
              <w:bottom w:w="70" w:type="dxa"/>
              <w:end w:w="90" w:type="dxa"/>
            </w:tcMar>
          </w:tcPr>
          <w:p>
            <w:pPr>
              <w:spacing w:after="0" w:line="240" w:lineRule="auto"/>
            </w:pPr>
            <w:r>
              <w:rPr/>
            </w:r>
            <w:r>
              <w:rPr>
                <w:sz w:val="17"/>
              </w:rPr>
              <w:t>Report 3 functional requirements</w:t>
            </w:r>
          </w:p>
        </w:tc>
        <w:tc>
          <w:tcPr>
            <w:tcW w:type="dxa" w:w="2808"/>
            <w:vAlign w:val="top"/>
            <w:tcMar>
              <w:top w:w="70" w:type="dxa"/>
              <w:start w:w="90" w:type="dxa"/>
              <w:bottom w:w="70" w:type="dxa"/>
              <w:end w:w="90" w:type="dxa"/>
            </w:tcMar>
          </w:tcPr>
          <w:p>
            <w:pPr>
              <w:spacing w:after="0" w:line="240" w:lineRule="auto"/>
            </w:pPr>
            <w:r>
              <w:rPr/>
            </w:r>
            <w:r>
              <w:rPr>
                <w:sz w:val="17"/>
              </w:rPr>
              <w:t xml:space="preserve">Each </w:t>
            </w:r>
            <w:r>
              <w:rPr>
                <w:rFonts w:ascii="Consolas" w:hAnsi="Consolas"/>
                <w:b w:val="0"/>
                <w:i w:val="0"/>
                <w:sz w:val="17"/>
              </w:rPr>
              <w:t>FR-*</w:t>
            </w:r>
            <w:r>
              <w:rPr>
                <w:sz w:val="17"/>
              </w:rPr>
              <w:t xml:space="preserve"> maps to one or more </w:t>
            </w:r>
            <w:r>
              <w:rPr>
                <w:rFonts w:ascii="Consolas" w:hAnsi="Consolas"/>
                <w:b w:val="0"/>
                <w:i w:val="0"/>
                <w:sz w:val="17"/>
              </w:rPr>
              <w:t>TC-*</w:t>
            </w:r>
            <w:r>
              <w:rPr>
                <w:sz w:val="17"/>
              </w:rPr>
              <w:t>, or a documented dependency/TBD.</w:t>
            </w:r>
          </w:p>
        </w:tc>
        <w:tc>
          <w:tcPr>
            <w:tcW w:type="dxa" w:w="3024"/>
            <w:vAlign w:val="top"/>
            <w:tcMar>
              <w:top w:w="70" w:type="dxa"/>
              <w:start w:w="90" w:type="dxa"/>
              <w:bottom w:w="70" w:type="dxa"/>
              <w:end w:w="90" w:type="dxa"/>
            </w:tcMar>
          </w:tcPr>
          <w:p>
            <w:pPr>
              <w:spacing w:after="0" w:line="240" w:lineRule="auto"/>
            </w:pPr>
            <w:r>
              <w:rPr/>
            </w:r>
            <w:r>
              <w:rPr>
                <w:sz w:val="17"/>
              </w:rPr>
              <w:t xml:space="preserve">Planned; initial links are in </w:t>
            </w:r>
            <w:r>
              <w:rPr>
                <w:rFonts w:ascii="Consolas" w:hAnsi="Consolas"/>
                <w:b w:val="0"/>
                <w:i w:val="0"/>
                <w:sz w:val="17"/>
              </w:rPr>
              <w:t>04-test-cases.md</w:t>
            </w:r>
            <w:r>
              <w:rPr>
                <w:sz w:val="17"/>
              </w:rPr>
              <w:t>.</w:t>
            </w:r>
          </w:p>
        </w:tc>
      </w:tr>
      <w:tr>
        <w:trPr>
          <w:cantSplit/>
        </w:trPr>
        <w:tc>
          <w:tcPr>
            <w:tcW w:type="dxa" w:w="3888"/>
            <w:vAlign w:val="top"/>
            <w:tcMar>
              <w:top w:w="70" w:type="dxa"/>
              <w:start w:w="90" w:type="dxa"/>
              <w:bottom w:w="70" w:type="dxa"/>
              <w:end w:w="90" w:type="dxa"/>
            </w:tcMar>
          </w:tcPr>
          <w:p>
            <w:pPr>
              <w:spacing w:after="0" w:line="240" w:lineRule="auto"/>
            </w:pPr>
            <w:r>
              <w:rPr/>
            </w:r>
            <w:r>
              <w:rPr>
                <w:sz w:val="17"/>
              </w:rPr>
              <w:t>Report 3 NFRs</w:t>
            </w:r>
          </w:p>
        </w:tc>
        <w:tc>
          <w:tcPr>
            <w:tcW w:type="dxa" w:w="2808"/>
            <w:vAlign w:val="top"/>
            <w:tcMar>
              <w:top w:w="70" w:type="dxa"/>
              <w:start w:w="90" w:type="dxa"/>
              <w:bottom w:w="70" w:type="dxa"/>
              <w:end w:w="90" w:type="dxa"/>
            </w:tcMar>
          </w:tcPr>
          <w:p>
            <w:pPr>
              <w:spacing w:after="0" w:line="240" w:lineRule="auto"/>
            </w:pPr>
            <w:r>
              <w:rPr/>
            </w:r>
            <w:r>
              <w:rPr>
                <w:sz w:val="17"/>
              </w:rPr>
              <w:t xml:space="preserve">Each </w:t>
            </w:r>
            <w:r>
              <w:rPr>
                <w:rFonts w:ascii="Consolas" w:hAnsi="Consolas"/>
                <w:b w:val="0"/>
                <w:i w:val="0"/>
                <w:sz w:val="17"/>
              </w:rPr>
              <w:t>NFR-*</w:t>
            </w:r>
            <w:r>
              <w:rPr>
                <w:sz w:val="17"/>
              </w:rPr>
              <w:t xml:space="preserve"> maps to objective/procedure/evidence, especially numeric targets.</w:t>
            </w:r>
          </w:p>
        </w:tc>
        <w:tc>
          <w:tcPr>
            <w:tcW w:type="dxa" w:w="3024"/>
            <w:vAlign w:val="top"/>
            <w:tcMar>
              <w:top w:w="70" w:type="dxa"/>
              <w:start w:w="90" w:type="dxa"/>
              <w:bottom w:w="70" w:type="dxa"/>
              <w:end w:w="90" w:type="dxa"/>
            </w:tcMar>
          </w:tcPr>
          <w:p>
            <w:pPr>
              <w:spacing w:after="0" w:line="240" w:lineRule="auto"/>
            </w:pPr>
            <w:r>
              <w:rPr/>
            </w:r>
            <w:r>
              <w:rPr>
                <w:sz w:val="17"/>
              </w:rPr>
              <w:t>Planned; no measured result claimed.</w:t>
            </w:r>
          </w:p>
        </w:tc>
      </w:tr>
      <w:tr>
        <w:trPr>
          <w:cantSplit/>
        </w:trPr>
        <w:tc>
          <w:tcPr>
            <w:tcW w:type="dxa" w:w="3888"/>
            <w:vAlign w:val="top"/>
            <w:tcMar>
              <w:top w:w="70" w:type="dxa"/>
              <w:start w:w="90" w:type="dxa"/>
              <w:bottom w:w="70" w:type="dxa"/>
              <w:end w:w="90" w:type="dxa"/>
            </w:tcMar>
          </w:tcPr>
          <w:p>
            <w:pPr>
              <w:spacing w:after="0" w:line="240" w:lineRule="auto"/>
            </w:pPr>
            <w:r>
              <w:rPr/>
            </w:r>
            <w:r>
              <w:rPr>
                <w:sz w:val="17"/>
              </w:rPr>
              <w:t>Report 3 business rules</w:t>
            </w:r>
          </w:p>
        </w:tc>
        <w:tc>
          <w:tcPr>
            <w:tcW w:type="dxa" w:w="2808"/>
            <w:vAlign w:val="top"/>
            <w:tcMar>
              <w:top w:w="70" w:type="dxa"/>
              <w:start w:w="90" w:type="dxa"/>
              <w:bottom w:w="70" w:type="dxa"/>
              <w:end w:w="90" w:type="dxa"/>
            </w:tcMar>
          </w:tcPr>
          <w:p>
            <w:pPr>
              <w:spacing w:after="0" w:line="240" w:lineRule="auto"/>
            </w:pPr>
            <w:r>
              <w:rPr/>
            </w:r>
            <w:r>
              <w:rPr>
                <w:sz w:val="17"/>
              </w:rPr>
              <w:t>Access, package, fixed-version, answer, Proctor, scoring, publication, integration rules have positive/negative cases.</w:t>
            </w:r>
          </w:p>
        </w:tc>
        <w:tc>
          <w:tcPr>
            <w:tcW w:type="dxa" w:w="3024"/>
            <w:vAlign w:val="top"/>
            <w:tcMar>
              <w:top w:w="70" w:type="dxa"/>
              <w:start w:w="90" w:type="dxa"/>
              <w:bottom w:w="70" w:type="dxa"/>
              <w:end w:w="90" w:type="dxa"/>
            </w:tcMar>
          </w:tcPr>
          <w:p>
            <w:pPr>
              <w:spacing w:after="0" w:line="240" w:lineRule="auto"/>
            </w:pPr>
            <w:r>
              <w:rPr/>
            </w:r>
            <w:r>
              <w:rPr>
                <w:sz w:val="17"/>
              </w:rPr>
              <w:t>Planned.</w:t>
            </w:r>
          </w:p>
        </w:tc>
      </w:tr>
      <w:tr>
        <w:trPr>
          <w:cantSplit/>
        </w:trPr>
        <w:tc>
          <w:tcPr>
            <w:tcW w:type="dxa" w:w="3888"/>
            <w:vAlign w:val="top"/>
            <w:tcMar>
              <w:top w:w="70" w:type="dxa"/>
              <w:start w:w="90" w:type="dxa"/>
              <w:bottom w:w="70" w:type="dxa"/>
              <w:end w:w="90" w:type="dxa"/>
            </w:tcMar>
          </w:tcPr>
          <w:p>
            <w:pPr>
              <w:spacing w:after="0" w:line="240" w:lineRule="auto"/>
            </w:pPr>
            <w:r>
              <w:rPr/>
            </w:r>
            <w:r>
              <w:rPr>
                <w:sz w:val="17"/>
              </w:rPr>
              <w:t>Report 4 design</w:t>
            </w:r>
          </w:p>
        </w:tc>
        <w:tc>
          <w:tcPr>
            <w:tcW w:type="dxa" w:w="2808"/>
            <w:vAlign w:val="top"/>
            <w:tcMar>
              <w:top w:w="70" w:type="dxa"/>
              <w:start w:w="90" w:type="dxa"/>
              <w:bottom w:w="70" w:type="dxa"/>
              <w:end w:w="90" w:type="dxa"/>
            </w:tcMar>
          </w:tcPr>
          <w:p>
            <w:pPr>
              <w:spacing w:after="0" w:line="240" w:lineRule="auto"/>
            </w:pPr>
            <w:r>
              <w:rPr/>
            </w:r>
            <w:r>
              <w:rPr>
                <w:rFonts w:ascii="Consolas" w:hAnsi="Consolas"/>
                <w:b w:val="0"/>
                <w:i w:val="0"/>
                <w:sz w:val="17"/>
              </w:rPr>
              <w:t>SD-*</w:t>
            </w:r>
            <w:r>
              <w:rPr>
                <w:sz w:val="17"/>
              </w:rPr>
              <w:t xml:space="preserve">, </w:t>
            </w:r>
            <w:r>
              <w:rPr>
                <w:rFonts w:ascii="Consolas" w:hAnsi="Consolas"/>
                <w:b w:val="0"/>
                <w:i w:val="0"/>
                <w:sz w:val="17"/>
              </w:rPr>
              <w:t>DB-*</w:t>
            </w:r>
            <w:r>
              <w:rPr>
                <w:sz w:val="17"/>
              </w:rPr>
              <w:t xml:space="preserve">, and </w:t>
            </w:r>
            <w:r>
              <w:rPr>
                <w:rFonts w:ascii="Consolas" w:hAnsi="Consolas"/>
                <w:b w:val="0"/>
                <w:i w:val="0"/>
                <w:sz w:val="17"/>
              </w:rPr>
              <w:t>SEQ-*</w:t>
            </w:r>
            <w:r>
              <w:rPr>
                <w:sz w:val="17"/>
              </w:rPr>
              <w:t xml:space="preserve"> invariants are exercised or marked blocked/TBD.</w:t>
            </w:r>
          </w:p>
        </w:tc>
        <w:tc>
          <w:tcPr>
            <w:tcW w:type="dxa" w:w="3024"/>
            <w:vAlign w:val="top"/>
            <w:tcMar>
              <w:top w:w="70" w:type="dxa"/>
              <w:start w:w="90" w:type="dxa"/>
              <w:bottom w:w="70" w:type="dxa"/>
              <w:end w:w="90" w:type="dxa"/>
            </w:tcMar>
          </w:tcPr>
          <w:p>
            <w:pPr>
              <w:spacing w:after="0" w:line="240" w:lineRule="auto"/>
            </w:pPr>
            <w:r>
              <w:rPr/>
            </w:r>
            <w:r>
              <w:rPr>
                <w:sz w:val="17"/>
              </w:rPr>
              <w:t>Planned.</w:t>
            </w:r>
          </w:p>
        </w:tc>
      </w:tr>
      <w:tr>
        <w:trPr>
          <w:cantSplit/>
        </w:trPr>
        <w:tc>
          <w:tcPr>
            <w:tcW w:type="dxa" w:w="3888"/>
            <w:vAlign w:val="top"/>
            <w:tcMar>
              <w:top w:w="70" w:type="dxa"/>
              <w:start w:w="90" w:type="dxa"/>
              <w:bottom w:w="70" w:type="dxa"/>
              <w:end w:w="90" w:type="dxa"/>
            </w:tcMar>
          </w:tcPr>
          <w:p>
            <w:pPr>
              <w:spacing w:after="0" w:line="240" w:lineRule="auto"/>
            </w:pPr>
            <w:r>
              <w:rPr/>
            </w:r>
            <w:r>
              <w:rPr>
                <w:sz w:val="17"/>
              </w:rPr>
              <w:t>Roles/scopes</w:t>
            </w:r>
          </w:p>
        </w:tc>
        <w:tc>
          <w:tcPr>
            <w:tcW w:type="dxa" w:w="2808"/>
            <w:vAlign w:val="top"/>
            <w:tcMar>
              <w:top w:w="70" w:type="dxa"/>
              <w:start w:w="90" w:type="dxa"/>
              <w:bottom w:w="70" w:type="dxa"/>
              <w:end w:w="90" w:type="dxa"/>
            </w:tcMar>
          </w:tcPr>
          <w:p>
            <w:pPr>
              <w:spacing w:after="0" w:line="240" w:lineRule="auto"/>
            </w:pPr>
            <w:r>
              <w:rPr/>
            </w:r>
            <w:r>
              <w:rPr>
                <w:sz w:val="17"/>
              </w:rPr>
              <w:t>Six product roles plus integration boundaries have permitted/denied checks.</w:t>
            </w:r>
          </w:p>
        </w:tc>
        <w:tc>
          <w:tcPr>
            <w:tcW w:type="dxa" w:w="3024"/>
            <w:vAlign w:val="top"/>
            <w:tcMar>
              <w:top w:w="70" w:type="dxa"/>
              <w:start w:w="90" w:type="dxa"/>
              <w:bottom w:w="70" w:type="dxa"/>
              <w:end w:w="90" w:type="dxa"/>
            </w:tcMar>
          </w:tcPr>
          <w:p>
            <w:pPr>
              <w:spacing w:after="0" w:line="240" w:lineRule="auto"/>
            </w:pPr>
            <w:r>
              <w:rPr/>
            </w:r>
            <w:r>
              <w:rPr>
                <w:sz w:val="17"/>
              </w:rPr>
              <w:t>Planned.</w:t>
            </w:r>
          </w:p>
        </w:tc>
      </w:tr>
      <w:tr>
        <w:trPr>
          <w:cantSplit/>
        </w:trPr>
        <w:tc>
          <w:tcPr>
            <w:tcW w:type="dxa" w:w="3888"/>
            <w:vAlign w:val="top"/>
            <w:tcMar>
              <w:top w:w="70" w:type="dxa"/>
              <w:start w:w="90" w:type="dxa"/>
              <w:bottom w:w="70" w:type="dxa"/>
              <w:end w:w="90" w:type="dxa"/>
            </w:tcMar>
          </w:tcPr>
          <w:p>
            <w:pPr>
              <w:spacing w:after="0" w:line="240" w:lineRule="auto"/>
            </w:pPr>
            <w:r>
              <w:rPr/>
            </w:r>
            <w:r>
              <w:rPr>
                <w:sz w:val="17"/>
              </w:rPr>
              <w:t>Vertical flows</w:t>
            </w:r>
          </w:p>
        </w:tc>
        <w:tc>
          <w:tcPr>
            <w:tcW w:type="dxa" w:w="2808"/>
            <w:vAlign w:val="top"/>
            <w:tcMar>
              <w:top w:w="70" w:type="dxa"/>
              <w:start w:w="90" w:type="dxa"/>
              <w:bottom w:w="70" w:type="dxa"/>
              <w:end w:w="90" w:type="dxa"/>
            </w:tcMar>
          </w:tcPr>
          <w:p>
            <w:pPr>
              <w:spacing w:after="0" w:line="240" w:lineRule="auto"/>
            </w:pPr>
            <w:r>
              <w:rPr/>
            </w:r>
            <w:r>
              <w:rPr>
                <w:sz w:val="17"/>
              </w:rPr>
              <w:t>Onboarding, exam preparation, delivery/proctoring, scoring/publication run end to end.</w:t>
            </w:r>
          </w:p>
        </w:tc>
        <w:tc>
          <w:tcPr>
            <w:tcW w:type="dxa" w:w="3024"/>
            <w:vAlign w:val="top"/>
            <w:tcMar>
              <w:top w:w="70" w:type="dxa"/>
              <w:start w:w="90" w:type="dxa"/>
              <w:bottom w:w="70" w:type="dxa"/>
              <w:end w:w="90" w:type="dxa"/>
            </w:tcMar>
          </w:tcPr>
          <w:p>
            <w:pPr>
              <w:spacing w:after="0" w:line="240" w:lineRule="auto"/>
            </w:pPr>
            <w:r>
              <w:rPr/>
            </w:r>
            <w:r>
              <w:rPr>
                <w:sz w:val="17"/>
              </w:rPr>
              <w:t>Planned/Future.</w:t>
            </w:r>
          </w:p>
        </w:tc>
      </w:tr>
    </w:tbl>
    <w:p>
      <w:pPr>
        <w:spacing w:after="20"/>
      </w:pPr>
    </w:p>
    <w:p>
      <w:pPr>
        <w:spacing w:after="80" w:line="240" w:lineRule="auto"/>
      </w:pPr>
      <w:r>
        <w:rPr>
          <w:sz w:val="19"/>
        </w:rPr>
        <w:t xml:space="preserve">The violation-recording path </w:t>
      </w:r>
      <w:r>
        <w:rPr>
          <w:rFonts w:ascii="Consolas" w:hAnsi="Consolas"/>
          <w:b w:val="0"/>
          <w:i w:val="0"/>
          <w:sz w:val="17"/>
        </w:rPr>
        <w:t>FR-INTEGRITY-003</w:t>
      </w:r>
      <w:r>
        <w:rPr>
          <w:sz w:val="19"/>
        </w:rPr>
        <w:t xml:space="preserve"> is covered by </w:t>
      </w:r>
      <w:r>
        <w:rPr>
          <w:rFonts w:ascii="Consolas" w:hAnsi="Consolas"/>
          <w:b w:val="0"/>
          <w:i w:val="0"/>
          <w:sz w:val="17"/>
        </w:rPr>
        <w:t>TC-PROCTOR-001</w:t>
      </w:r>
      <w:r>
        <w:rPr>
          <w:sz w:val="19"/>
        </w:rPr>
        <w:t>; its result must include the audit event, actor, attempt, policy, and synchronization limitation.</w:t>
      </w:r>
    </w:p>
    <w:p>
      <w:pPr>
        <w:pStyle w:val="Heading3"/>
        <w:keepNext/>
        <w:pageBreakBefore w:val="0"/>
      </w:pPr>
      <w:r>
        <w:t>5.4 Evidence manifest template</w:t>
      </w:r>
    </w:p>
    <w:p>
      <w:pPr>
        <w:spacing w:after="80" w:line="240" w:lineRule="auto"/>
      </w:pPr>
      <w:r>
        <w:rPr>
          <w:sz w:val="19"/>
        </w:rPr>
        <w:t>Each evidence item must be safe to share and reproducible:</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3960"/>
            <w:vAlign w:val="top"/>
            <w:tcMar>
              <w:top w:w="70" w:type="dxa"/>
              <w:start w:w="90" w:type="dxa"/>
              <w:bottom w:w="70" w:type="dxa"/>
              <w:end w:w="90" w:type="dxa"/>
            </w:tcMar>
            <w:shd w:val="clear" w:color="auto" w:fill="FFE8E1"/>
          </w:tcPr>
          <w:p>
            <w:pPr>
              <w:spacing w:after="0" w:line="240" w:lineRule="auto"/>
            </w:pPr>
            <w:r>
              <w:rPr>
                <w:b/>
              </w:rPr>
            </w:r>
            <w:r>
              <w:rPr>
                <w:b/>
                <w:sz w:val="17"/>
              </w:rPr>
              <w:t>Field</w:t>
            </w:r>
          </w:p>
        </w:tc>
        <w:tc>
          <w:tcPr>
            <w:tcW w:type="dxa" w:w="5760"/>
            <w:vAlign w:val="top"/>
            <w:tcMar>
              <w:top w:w="70" w:type="dxa"/>
              <w:start w:w="90" w:type="dxa"/>
              <w:bottom w:w="70" w:type="dxa"/>
              <w:end w:w="90" w:type="dxa"/>
            </w:tcMar>
            <w:shd w:val="clear" w:color="auto" w:fill="FFE8E1"/>
          </w:tcPr>
          <w:p>
            <w:pPr>
              <w:spacing w:after="0" w:line="240" w:lineRule="auto"/>
            </w:pPr>
            <w:r>
              <w:rPr>
                <w:b/>
              </w:rPr>
            </w:r>
            <w:r>
              <w:rPr>
                <w:b/>
                <w:sz w:val="17"/>
              </w:rPr>
              <w:t>Required content</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Evidence ID</w:t>
            </w:r>
          </w:p>
        </w:tc>
        <w:tc>
          <w:tcPr>
            <w:tcW w:type="dxa" w:w="5760"/>
            <w:vAlign w:val="top"/>
            <w:tcMar>
              <w:top w:w="70" w:type="dxa"/>
              <w:start w:w="90" w:type="dxa"/>
              <w:bottom w:w="70" w:type="dxa"/>
              <w:end w:w="90" w:type="dxa"/>
            </w:tcMar>
          </w:tcPr>
          <w:p>
            <w:pPr>
              <w:spacing w:after="0" w:line="240" w:lineRule="auto"/>
            </w:pPr>
            <w:r>
              <w:rPr/>
            </w:r>
            <w:r>
              <w:rPr>
                <w:rFonts w:ascii="Consolas" w:hAnsi="Consolas"/>
                <w:b w:val="0"/>
                <w:i w:val="0"/>
                <w:sz w:val="17"/>
              </w:rPr>
              <w:t>EVD-TEST-*</w:t>
            </w:r>
            <w:r>
              <w:rPr>
                <w:sz w:val="17"/>
              </w:rPr>
              <w:t xml:space="preserve"> or case-specific reference.</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Case/objective</w:t>
            </w:r>
          </w:p>
        </w:tc>
        <w:tc>
          <w:tcPr>
            <w:tcW w:type="dxa" w:w="5760"/>
            <w:vAlign w:val="top"/>
            <w:tcMar>
              <w:top w:w="70" w:type="dxa"/>
              <w:start w:w="90" w:type="dxa"/>
              <w:bottom w:w="70" w:type="dxa"/>
              <w:end w:w="90" w:type="dxa"/>
            </w:tcMar>
          </w:tcPr>
          <w:p>
            <w:pPr>
              <w:spacing w:after="0" w:line="240" w:lineRule="auto"/>
            </w:pPr>
            <w:r>
              <w:rPr/>
            </w:r>
            <w:r>
              <w:rPr>
                <w:rFonts w:ascii="Consolas" w:hAnsi="Consolas"/>
                <w:b w:val="0"/>
                <w:i w:val="0"/>
                <w:sz w:val="17"/>
              </w:rPr>
              <w:t>TC-*</w:t>
            </w:r>
            <w:r>
              <w:rPr>
                <w:sz w:val="17"/>
              </w:rPr>
              <w:t xml:space="preserve"> and </w:t>
            </w:r>
            <w:r>
              <w:rPr>
                <w:rFonts w:ascii="Consolas" w:hAnsi="Consolas"/>
                <w:b w:val="0"/>
                <w:i w:val="0"/>
                <w:sz w:val="17"/>
              </w:rPr>
              <w:t>OBJ-*</w:t>
            </w:r>
            <w:r>
              <w:rPr>
                <w:sz w:val="17"/>
              </w:rPr>
              <w:t>.</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Source type</w:t>
            </w:r>
          </w:p>
        </w:tc>
        <w:tc>
          <w:tcPr>
            <w:tcW w:type="dxa" w:w="5760"/>
            <w:vAlign w:val="top"/>
            <w:tcMar>
              <w:top w:w="70" w:type="dxa"/>
              <w:start w:w="90" w:type="dxa"/>
              <w:bottom w:w="70" w:type="dxa"/>
              <w:end w:w="90" w:type="dxa"/>
            </w:tcMar>
          </w:tcPr>
          <w:p>
            <w:pPr>
              <w:spacing w:after="0" w:line="240" w:lineRule="auto"/>
            </w:pPr>
            <w:r>
              <w:rPr/>
            </w:r>
            <w:r>
              <w:rPr>
                <w:sz w:val="17"/>
              </w:rPr>
              <w:t>API log, UI capture, client log, database assertion, queue/provider trace, performance report, recovery timeline.</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Environment/build</w:t>
            </w:r>
          </w:p>
        </w:tc>
        <w:tc>
          <w:tcPr>
            <w:tcW w:type="dxa" w:w="5760"/>
            <w:vAlign w:val="top"/>
            <w:tcMar>
              <w:top w:w="70" w:type="dxa"/>
              <w:start w:w="90" w:type="dxa"/>
              <w:bottom w:w="70" w:type="dxa"/>
              <w:end w:w="90" w:type="dxa"/>
            </w:tcMar>
          </w:tcPr>
          <w:p>
            <w:pPr>
              <w:spacing w:after="0" w:line="240" w:lineRule="auto"/>
            </w:pPr>
            <w:r>
              <w:rPr/>
            </w:r>
            <w:r>
              <w:rPr>
                <w:sz w:val="17"/>
              </w:rPr>
              <w:t>Environment ID, version/build, relevant configuration profile without secret values.</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Date/time</w:t>
            </w:r>
          </w:p>
        </w:tc>
        <w:tc>
          <w:tcPr>
            <w:tcW w:type="dxa" w:w="5760"/>
            <w:vAlign w:val="top"/>
            <w:tcMar>
              <w:top w:w="70" w:type="dxa"/>
              <w:start w:w="90" w:type="dxa"/>
              <w:bottom w:w="70" w:type="dxa"/>
              <w:end w:w="90" w:type="dxa"/>
            </w:tcMar>
          </w:tcPr>
          <w:p>
            <w:pPr>
              <w:spacing w:after="0" w:line="240" w:lineRule="auto"/>
            </w:pPr>
            <w:r>
              <w:rPr/>
            </w:r>
            <w:r>
              <w:rPr>
                <w:sz w:val="17"/>
              </w:rPr>
              <w:t>Execution time and time zone.</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Data scope</w:t>
            </w:r>
          </w:p>
        </w:tc>
        <w:tc>
          <w:tcPr>
            <w:tcW w:type="dxa" w:w="5760"/>
            <w:vAlign w:val="top"/>
            <w:tcMar>
              <w:top w:w="70" w:type="dxa"/>
              <w:start w:w="90" w:type="dxa"/>
              <w:bottom w:w="70" w:type="dxa"/>
              <w:end w:w="90" w:type="dxa"/>
            </w:tcMar>
          </w:tcPr>
          <w:p>
            <w:pPr>
              <w:spacing w:after="0" w:line="240" w:lineRule="auto"/>
            </w:pPr>
            <w:r>
              <w:rPr/>
            </w:r>
            <w:r>
              <w:rPr>
                <w:sz w:val="17"/>
              </w:rPr>
              <w:t>Synthetic organization/Student identifiers or masked values.</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Observation</w:t>
            </w:r>
          </w:p>
        </w:tc>
        <w:tc>
          <w:tcPr>
            <w:tcW w:type="dxa" w:w="5760"/>
            <w:vAlign w:val="top"/>
            <w:tcMar>
              <w:top w:w="70" w:type="dxa"/>
              <w:start w:w="90" w:type="dxa"/>
              <w:bottom w:w="70" w:type="dxa"/>
              <w:end w:w="90" w:type="dxa"/>
            </w:tcMar>
          </w:tcPr>
          <w:p>
            <w:pPr>
              <w:spacing w:after="0" w:line="240" w:lineRule="auto"/>
            </w:pPr>
            <w:r>
              <w:rPr/>
            </w:r>
            <w:r>
              <w:rPr>
                <w:sz w:val="17"/>
              </w:rPr>
              <w:t>Actual behavior, including latency/status/error where relevant.</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File/path</w:t>
            </w:r>
          </w:p>
        </w:tc>
        <w:tc>
          <w:tcPr>
            <w:tcW w:type="dxa" w:w="5760"/>
            <w:vAlign w:val="top"/>
            <w:tcMar>
              <w:top w:w="70" w:type="dxa"/>
              <w:start w:w="90" w:type="dxa"/>
              <w:bottom w:w="70" w:type="dxa"/>
              <w:end w:w="90" w:type="dxa"/>
            </w:tcMar>
          </w:tcPr>
          <w:p>
            <w:pPr>
              <w:spacing w:after="0" w:line="240" w:lineRule="auto"/>
            </w:pPr>
            <w:r>
              <w:rPr/>
            </w:r>
            <w:r>
              <w:rPr>
                <w:sz w:val="17"/>
              </w:rPr>
              <w:t>Relative safe path; no credential-bearing attachment.</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Reviewer</w:t>
            </w:r>
          </w:p>
        </w:tc>
        <w:tc>
          <w:tcPr>
            <w:tcW w:type="dxa" w:w="5760"/>
            <w:vAlign w:val="top"/>
            <w:tcMar>
              <w:top w:w="70" w:type="dxa"/>
              <w:start w:w="90" w:type="dxa"/>
              <w:bottom w:w="70" w:type="dxa"/>
              <w:end w:w="90" w:type="dxa"/>
            </w:tcMar>
          </w:tcPr>
          <w:p>
            <w:pPr>
              <w:spacing w:after="0" w:line="240" w:lineRule="auto"/>
            </w:pPr>
            <w:r>
              <w:rPr/>
            </w:r>
            <w:r>
              <w:rPr>
                <w:sz w:val="17"/>
              </w:rPr>
              <w:t>Test responsibility and business/security reviewer where needed.</w:t>
            </w:r>
          </w:p>
        </w:tc>
      </w:tr>
      <w:tr>
        <w:trPr>
          <w:cantSplit/>
        </w:trPr>
        <w:tc>
          <w:tcPr>
            <w:tcW w:type="dxa" w:w="3960"/>
            <w:vAlign w:val="top"/>
            <w:tcMar>
              <w:top w:w="70" w:type="dxa"/>
              <w:start w:w="90" w:type="dxa"/>
              <w:bottom w:w="70" w:type="dxa"/>
              <w:end w:w="90" w:type="dxa"/>
            </w:tcMar>
          </w:tcPr>
          <w:p>
            <w:pPr>
              <w:spacing w:after="0" w:line="240" w:lineRule="auto"/>
            </w:pPr>
            <w:r>
              <w:rPr/>
            </w:r>
            <w:r>
              <w:rPr>
                <w:sz w:val="17"/>
              </w:rPr>
              <w:t>Limitation</w:t>
            </w:r>
          </w:p>
        </w:tc>
        <w:tc>
          <w:tcPr>
            <w:tcW w:type="dxa" w:w="5760"/>
            <w:vAlign w:val="top"/>
            <w:tcMar>
              <w:top w:w="70" w:type="dxa"/>
              <w:start w:w="90" w:type="dxa"/>
              <w:bottom w:w="70" w:type="dxa"/>
              <w:end w:w="90" w:type="dxa"/>
            </w:tcMar>
          </w:tcPr>
          <w:p>
            <w:pPr>
              <w:spacing w:after="0" w:line="240" w:lineRule="auto"/>
            </w:pPr>
            <w:r>
              <w:rPr/>
            </w:r>
            <w:r>
              <w:rPr>
                <w:sz w:val="17"/>
              </w:rPr>
              <w:t>Mock/provider/device limitation or missing evidence.</w:t>
            </w:r>
          </w:p>
        </w:tc>
      </w:tr>
    </w:tbl>
    <w:p>
      <w:pPr>
        <w:spacing w:after="20"/>
      </w:pPr>
    </w:p>
    <w:p>
      <w:pPr>
        <w:pStyle w:val="Heading3"/>
        <w:keepNext/>
        <w:pageBreakBefore w:val="0"/>
      </w:pPr>
      <w:r>
        <w:t>5.5 Defect report template</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276"/>
            <w:vAlign w:val="top"/>
            <w:tcMar>
              <w:top w:w="70" w:type="dxa"/>
              <w:start w:w="90" w:type="dxa"/>
              <w:bottom w:w="70" w:type="dxa"/>
              <w:end w:w="90" w:type="dxa"/>
            </w:tcMar>
            <w:shd w:val="clear" w:color="auto" w:fill="FFE8E1"/>
          </w:tcPr>
          <w:p>
            <w:pPr>
              <w:spacing w:after="0" w:line="240" w:lineRule="auto"/>
            </w:pPr>
            <w:r>
              <w:rPr>
                <w:b/>
              </w:rPr>
            </w:r>
            <w:r>
              <w:rPr>
                <w:b/>
                <w:sz w:val="17"/>
              </w:rPr>
              <w:t>Field</w:t>
            </w:r>
          </w:p>
        </w:tc>
        <w:tc>
          <w:tcPr>
            <w:tcW w:type="dxa" w:w="5443"/>
            <w:vAlign w:val="top"/>
            <w:tcMar>
              <w:top w:w="70" w:type="dxa"/>
              <w:start w:w="90" w:type="dxa"/>
              <w:bottom w:w="70" w:type="dxa"/>
              <w:end w:w="90" w:type="dxa"/>
            </w:tcMar>
            <w:shd w:val="clear" w:color="auto" w:fill="FFE8E1"/>
          </w:tcPr>
          <w:p>
            <w:pPr>
              <w:spacing w:after="0" w:line="240" w:lineRule="auto"/>
            </w:pPr>
            <w:r>
              <w:rPr>
                <w:b/>
              </w:rPr>
            </w:r>
            <w:r>
              <w:rPr>
                <w:b/>
                <w:sz w:val="17"/>
              </w:rPr>
              <w:t>Example format</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Defect ID</w:t>
            </w:r>
          </w:p>
        </w:tc>
        <w:tc>
          <w:tcPr>
            <w:tcW w:type="dxa" w:w="5443"/>
            <w:vAlign w:val="top"/>
            <w:tcMar>
              <w:top w:w="70" w:type="dxa"/>
              <w:start w:w="90" w:type="dxa"/>
              <w:bottom w:w="70" w:type="dxa"/>
              <w:end w:w="90" w:type="dxa"/>
            </w:tcMar>
          </w:tcPr>
          <w:p>
            <w:pPr>
              <w:spacing w:after="0" w:line="240" w:lineRule="auto"/>
            </w:pPr>
            <w:r>
              <w:rPr/>
            </w:r>
            <w:r>
              <w:rPr>
                <w:rFonts w:ascii="Consolas" w:hAnsi="Consolas"/>
                <w:b w:val="0"/>
                <w:i w:val="0"/>
                <w:sz w:val="17"/>
              </w:rPr>
              <w:t>BUG-DELIVERY-001</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Severity</w:t>
            </w:r>
          </w:p>
        </w:tc>
        <w:tc>
          <w:tcPr>
            <w:tcW w:type="dxa" w:w="5443"/>
            <w:vAlign w:val="top"/>
            <w:tcMar>
              <w:top w:w="70" w:type="dxa"/>
              <w:start w:w="90" w:type="dxa"/>
              <w:bottom w:w="70" w:type="dxa"/>
              <w:end w:w="90" w:type="dxa"/>
            </w:tcMar>
          </w:tcPr>
          <w:p>
            <w:pPr>
              <w:spacing w:after="0" w:line="240" w:lineRule="auto"/>
            </w:pPr>
            <w:r>
              <w:rPr/>
            </w:r>
            <w:r>
              <w:rPr>
                <w:sz w:val="17"/>
              </w:rPr>
              <w:t>Blocker/High/Medium/Low/Noted</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Requirement/design link</w:t>
            </w:r>
          </w:p>
        </w:tc>
        <w:tc>
          <w:tcPr>
            <w:tcW w:type="dxa" w:w="5443"/>
            <w:vAlign w:val="top"/>
            <w:tcMar>
              <w:top w:w="70" w:type="dxa"/>
              <w:start w:w="90" w:type="dxa"/>
              <w:bottom w:w="70" w:type="dxa"/>
              <w:end w:w="90" w:type="dxa"/>
            </w:tcMar>
          </w:tcPr>
          <w:p>
            <w:pPr>
              <w:spacing w:after="0" w:line="240" w:lineRule="auto"/>
            </w:pPr>
            <w:r>
              <w:rPr/>
            </w:r>
            <w:r>
              <w:rPr>
                <w:rFonts w:ascii="Consolas" w:hAnsi="Consolas"/>
                <w:b w:val="0"/>
                <w:i w:val="0"/>
                <w:sz w:val="17"/>
              </w:rPr>
              <w:t>FR-DELIVERY-006</w:t>
            </w:r>
            <w:r>
              <w:rPr>
                <w:sz w:val="17"/>
              </w:rPr>
              <w:t xml:space="preserve">, </w:t>
            </w:r>
            <w:r>
              <w:rPr>
                <w:rFonts w:ascii="Consolas" w:hAnsi="Consolas"/>
                <w:b w:val="0"/>
                <w:i w:val="0"/>
                <w:sz w:val="17"/>
              </w:rPr>
              <w:t>SEQ-ANSWER-SYNC</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Environment/build</w:t>
            </w:r>
          </w:p>
        </w:tc>
        <w:tc>
          <w:tcPr>
            <w:tcW w:type="dxa" w:w="5443"/>
            <w:vAlign w:val="top"/>
            <w:tcMar>
              <w:top w:w="70" w:type="dxa"/>
              <w:start w:w="90" w:type="dxa"/>
              <w:bottom w:w="70" w:type="dxa"/>
              <w:end w:w="90" w:type="dxa"/>
            </w:tcMar>
          </w:tcPr>
          <w:p>
            <w:pPr>
              <w:spacing w:after="0" w:line="240" w:lineRule="auto"/>
            </w:pPr>
            <w:r>
              <w:rPr/>
            </w:r>
            <w:r>
              <w:rPr>
                <w:rFonts w:ascii="Consolas" w:hAnsi="Consolas"/>
                <w:b w:val="0"/>
                <w:i w:val="0"/>
                <w:sz w:val="17"/>
              </w:rPr>
              <w:t>ENV-STAGE</w:t>
            </w:r>
            <w:r>
              <w:rPr>
                <w:sz w:val="17"/>
              </w:rPr>
              <w:t>, build identifier</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Reproduction</w:t>
            </w:r>
          </w:p>
        </w:tc>
        <w:tc>
          <w:tcPr>
            <w:tcW w:type="dxa" w:w="5443"/>
            <w:vAlign w:val="top"/>
            <w:tcMar>
              <w:top w:w="70" w:type="dxa"/>
              <w:start w:w="90" w:type="dxa"/>
              <w:bottom w:w="70" w:type="dxa"/>
              <w:end w:w="90" w:type="dxa"/>
            </w:tcMar>
          </w:tcPr>
          <w:p>
            <w:pPr>
              <w:spacing w:after="0" w:line="240" w:lineRule="auto"/>
            </w:pPr>
            <w:r>
              <w:rPr/>
            </w:r>
            <w:r>
              <w:rPr>
                <w:sz w:val="17"/>
              </w:rPr>
              <w:t>Safe steps and synthetic data</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Expected/actual</w:t>
            </w:r>
          </w:p>
        </w:tc>
        <w:tc>
          <w:tcPr>
            <w:tcW w:type="dxa" w:w="5443"/>
            <w:vAlign w:val="top"/>
            <w:tcMar>
              <w:top w:w="70" w:type="dxa"/>
              <w:start w:w="90" w:type="dxa"/>
              <w:bottom w:w="70" w:type="dxa"/>
              <w:end w:w="90" w:type="dxa"/>
            </w:tcMar>
          </w:tcPr>
          <w:p>
            <w:pPr>
              <w:spacing w:after="0" w:line="240" w:lineRule="auto"/>
            </w:pPr>
            <w:r>
              <w:rPr/>
            </w:r>
            <w:r>
              <w:rPr>
                <w:sz w:val="17"/>
              </w:rPr>
              <w:t>Business-readable difference</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Evidence</w:t>
            </w:r>
          </w:p>
        </w:tc>
        <w:tc>
          <w:tcPr>
            <w:tcW w:type="dxa" w:w="5443"/>
            <w:vAlign w:val="top"/>
            <w:tcMar>
              <w:top w:w="70" w:type="dxa"/>
              <w:start w:w="90" w:type="dxa"/>
              <w:bottom w:w="70" w:type="dxa"/>
              <w:end w:w="90" w:type="dxa"/>
            </w:tcMar>
          </w:tcPr>
          <w:p>
            <w:pPr>
              <w:spacing w:after="0" w:line="240" w:lineRule="auto"/>
            </w:pPr>
            <w:r>
              <w:rPr/>
            </w:r>
            <w:r>
              <w:rPr>
                <w:sz w:val="17"/>
              </w:rPr>
              <w:t>Masked log/screenshot/request trace</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Owner/status</w:t>
            </w:r>
          </w:p>
        </w:tc>
        <w:tc>
          <w:tcPr>
            <w:tcW w:type="dxa" w:w="5443"/>
            <w:vAlign w:val="top"/>
            <w:tcMar>
              <w:top w:w="70" w:type="dxa"/>
              <w:start w:w="90" w:type="dxa"/>
              <w:bottom w:w="70" w:type="dxa"/>
              <w:end w:w="90" w:type="dxa"/>
            </w:tcMar>
          </w:tcPr>
          <w:p>
            <w:pPr>
              <w:spacing w:after="0" w:line="240" w:lineRule="auto"/>
            </w:pPr>
            <w:r>
              <w:rPr/>
            </w:r>
            <w:r>
              <w:rPr>
                <w:sz w:val="17"/>
              </w:rPr>
              <w:t>Assigned, fixed, retest pending, accepted/TBD</w:t>
            </w:r>
          </w:p>
        </w:tc>
      </w:tr>
      <w:tr>
        <w:trPr>
          <w:cantSplit/>
        </w:trPr>
        <w:tc>
          <w:tcPr>
            <w:tcW w:type="dxa" w:w="4276"/>
            <w:vAlign w:val="top"/>
            <w:tcMar>
              <w:top w:w="70" w:type="dxa"/>
              <w:start w:w="90" w:type="dxa"/>
              <w:bottom w:w="70" w:type="dxa"/>
              <w:end w:w="90" w:type="dxa"/>
            </w:tcMar>
          </w:tcPr>
          <w:p>
            <w:pPr>
              <w:spacing w:after="0" w:line="240" w:lineRule="auto"/>
            </w:pPr>
            <w:r>
              <w:rPr/>
            </w:r>
            <w:r>
              <w:rPr>
                <w:sz w:val="17"/>
              </w:rPr>
              <w:t>Risk decision</w:t>
            </w:r>
          </w:p>
        </w:tc>
        <w:tc>
          <w:tcPr>
            <w:tcW w:type="dxa" w:w="5443"/>
            <w:vAlign w:val="top"/>
            <w:tcMar>
              <w:top w:w="70" w:type="dxa"/>
              <w:start w:w="90" w:type="dxa"/>
              <w:bottom w:w="70" w:type="dxa"/>
              <w:end w:w="90" w:type="dxa"/>
            </w:tcMar>
          </w:tcPr>
          <w:p>
            <w:pPr>
              <w:spacing w:after="0" w:line="240" w:lineRule="auto"/>
            </w:pPr>
            <w:r>
              <w:rPr/>
            </w:r>
            <w:r>
              <w:rPr>
                <w:sz w:val="17"/>
              </w:rPr>
              <w:t>Impact on publication/release and approver</w:t>
            </w:r>
          </w:p>
        </w:tc>
      </w:tr>
    </w:tbl>
    <w:p>
      <w:pPr>
        <w:spacing w:after="20"/>
      </w:pPr>
    </w:p>
    <w:p>
      <w:pPr>
        <w:pStyle w:val="Heading3"/>
        <w:keepNext/>
        <w:pageBreakBefore w:val="0"/>
      </w:pPr>
      <w:r>
        <w:t>5.6 Current documentation-run evidence</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1980"/>
            <w:vAlign w:val="top"/>
            <w:tcMar>
              <w:top w:w="70" w:type="dxa"/>
              <w:start w:w="90" w:type="dxa"/>
              <w:bottom w:w="70" w:type="dxa"/>
              <w:end w:w="90" w:type="dxa"/>
            </w:tcMar>
            <w:shd w:val="clear" w:color="auto" w:fill="FFE8E1"/>
          </w:tcPr>
          <w:p>
            <w:pPr>
              <w:spacing w:after="0" w:line="240" w:lineRule="auto"/>
            </w:pPr>
            <w:r>
              <w:rPr>
                <w:b/>
              </w:rPr>
            </w:r>
            <w:r>
              <w:rPr>
                <w:b/>
                <w:sz w:val="17"/>
              </w:rPr>
              <w:t>Evidence ID</w:t>
            </w:r>
          </w:p>
        </w:tc>
        <w:tc>
          <w:tcPr>
            <w:tcW w:type="dxa" w:w="3780"/>
            <w:vAlign w:val="top"/>
            <w:tcMar>
              <w:top w:w="70" w:type="dxa"/>
              <w:start w:w="90" w:type="dxa"/>
              <w:bottom w:w="70" w:type="dxa"/>
              <w:end w:w="90" w:type="dxa"/>
            </w:tcMar>
            <w:shd w:val="clear" w:color="auto" w:fill="FFE8E1"/>
          </w:tcPr>
          <w:p>
            <w:pPr>
              <w:spacing w:after="0" w:line="240" w:lineRule="auto"/>
            </w:pPr>
            <w:r>
              <w:rPr>
                <w:b/>
              </w:rPr>
            </w:r>
            <w:r>
              <w:rPr>
                <w:b/>
                <w:sz w:val="17"/>
              </w:rPr>
              <w:t>What was actually run</w:t>
            </w:r>
          </w:p>
        </w:tc>
        <w:tc>
          <w:tcPr>
            <w:tcW w:type="dxa" w:w="1980"/>
            <w:vAlign w:val="top"/>
            <w:tcMar>
              <w:top w:w="70" w:type="dxa"/>
              <w:start w:w="90" w:type="dxa"/>
              <w:bottom w:w="70" w:type="dxa"/>
              <w:end w:w="90" w:type="dxa"/>
            </w:tcMar>
            <w:shd w:val="clear" w:color="auto" w:fill="FFE8E1"/>
          </w:tcPr>
          <w:p>
            <w:pPr>
              <w:spacing w:after="0" w:line="240" w:lineRule="auto"/>
            </w:pPr>
            <w:r>
              <w:rPr>
                <w:b/>
              </w:rPr>
            </w:r>
            <w:r>
              <w:rPr>
                <w:b/>
                <w:sz w:val="17"/>
              </w:rPr>
              <w:t>Result</w:t>
            </w:r>
          </w:p>
        </w:tc>
        <w:tc>
          <w:tcPr>
            <w:tcW w:type="dxa" w:w="1980"/>
            <w:vAlign w:val="top"/>
            <w:tcMar>
              <w:top w:w="70" w:type="dxa"/>
              <w:start w:w="90" w:type="dxa"/>
              <w:bottom w:w="70" w:type="dxa"/>
              <w:end w:w="90" w:type="dxa"/>
            </w:tcMar>
            <w:shd w:val="clear" w:color="auto" w:fill="FFE8E1"/>
          </w:tcPr>
          <w:p>
            <w:pPr>
              <w:spacing w:after="0" w:line="240" w:lineRule="auto"/>
            </w:pPr>
            <w:r>
              <w:rPr>
                <w:b/>
              </w:rPr>
            </w:r>
            <w:r>
              <w:rPr>
                <w:b/>
                <w:sz w:val="17"/>
              </w:rPr>
              <w:t>Limitation</w:t>
            </w:r>
          </w:p>
        </w:tc>
      </w:tr>
      <w:tr>
        <w:trPr>
          <w:cantSplit/>
        </w:trPr>
        <w:tc>
          <w:tcPr>
            <w:tcW w:type="dxa" w:w="1980"/>
            <w:vAlign w:val="top"/>
            <w:tcMar>
              <w:top w:w="70" w:type="dxa"/>
              <w:start w:w="90" w:type="dxa"/>
              <w:bottom w:w="70" w:type="dxa"/>
              <w:end w:w="90" w:type="dxa"/>
            </w:tcMar>
          </w:tcPr>
          <w:p>
            <w:pPr>
              <w:spacing w:after="0" w:line="240" w:lineRule="auto"/>
            </w:pPr>
            <w:r>
              <w:rPr/>
            </w:r>
            <w:r>
              <w:rPr>
                <w:rFonts w:ascii="Consolas" w:hAnsi="Consolas"/>
                <w:b w:val="0"/>
                <w:i w:val="0"/>
                <w:sz w:val="17"/>
              </w:rPr>
              <w:t>EVD-TEST-DOC-001</w:t>
            </w:r>
          </w:p>
        </w:tc>
        <w:tc>
          <w:tcPr>
            <w:tcW w:type="dxa" w:w="3780"/>
            <w:vAlign w:val="top"/>
            <w:tcMar>
              <w:top w:w="70" w:type="dxa"/>
              <w:start w:w="90" w:type="dxa"/>
              <w:bottom w:w="70" w:type="dxa"/>
              <w:end w:w="90" w:type="dxa"/>
            </w:tcMar>
          </w:tcPr>
          <w:p>
            <w:pPr>
              <w:spacing w:after="0" w:line="240" w:lineRule="auto"/>
            </w:pPr>
            <w:r>
              <w:rPr/>
            </w:r>
            <w:r>
              <w:rPr>
                <w:rFonts w:ascii="Consolas" w:hAnsi="Consolas"/>
                <w:b w:val="0"/>
                <w:i w:val="0"/>
                <w:sz w:val="17"/>
              </w:rPr>
              <w:t>test_phase01_foundation.py</w:t>
            </w:r>
            <w:r>
              <w:rPr>
                <w:sz w:val="17"/>
              </w:rPr>
              <w:t xml:space="preserve"> after foundation implementation</w:t>
            </w:r>
          </w:p>
        </w:tc>
        <w:tc>
          <w:tcPr>
            <w:tcW w:type="dxa" w:w="1980"/>
            <w:vAlign w:val="top"/>
            <w:tcMar>
              <w:top w:w="70" w:type="dxa"/>
              <w:start w:w="90" w:type="dxa"/>
              <w:bottom w:w="70" w:type="dxa"/>
              <w:end w:w="90" w:type="dxa"/>
            </w:tcMar>
          </w:tcPr>
          <w:p>
            <w:pPr>
              <w:spacing w:after="0" w:line="240" w:lineRule="auto"/>
            </w:pPr>
            <w:r>
              <w:rPr/>
            </w:r>
            <w:r>
              <w:rPr>
                <w:sz w:val="17"/>
              </w:rPr>
              <w:t>GREEN structural result</w:t>
            </w:r>
          </w:p>
        </w:tc>
        <w:tc>
          <w:tcPr>
            <w:tcW w:type="dxa" w:w="1980"/>
            <w:vAlign w:val="top"/>
            <w:tcMar>
              <w:top w:w="70" w:type="dxa"/>
              <w:start w:w="90" w:type="dxa"/>
              <w:bottom w:w="70" w:type="dxa"/>
              <w:end w:w="90" w:type="dxa"/>
            </w:tcMar>
          </w:tcPr>
          <w:p>
            <w:pPr>
              <w:spacing w:after="0" w:line="240" w:lineRule="auto"/>
            </w:pPr>
            <w:r>
              <w:rPr/>
            </w:r>
            <w:r>
              <w:rPr>
                <w:sz w:val="17"/>
              </w:rPr>
              <w:t>Does not prove product runtime behavior.</w:t>
            </w:r>
          </w:p>
        </w:tc>
      </w:tr>
      <w:tr>
        <w:trPr>
          <w:cantSplit/>
        </w:trPr>
        <w:tc>
          <w:tcPr>
            <w:tcW w:type="dxa" w:w="1980"/>
            <w:vAlign w:val="top"/>
            <w:tcMar>
              <w:top w:w="70" w:type="dxa"/>
              <w:start w:w="90" w:type="dxa"/>
              <w:bottom w:w="70" w:type="dxa"/>
              <w:end w:w="90" w:type="dxa"/>
            </w:tcMar>
          </w:tcPr>
          <w:p>
            <w:pPr>
              <w:spacing w:after="0" w:line="240" w:lineRule="auto"/>
            </w:pPr>
            <w:r>
              <w:rPr/>
            </w:r>
            <w:r>
              <w:rPr>
                <w:rFonts w:ascii="Consolas" w:hAnsi="Consolas"/>
                <w:b w:val="0"/>
                <w:i w:val="0"/>
                <w:sz w:val="17"/>
              </w:rPr>
              <w:t>EVD-TEST-DOC-002</w:t>
            </w:r>
          </w:p>
        </w:tc>
        <w:tc>
          <w:tcPr>
            <w:tcW w:type="dxa" w:w="3780"/>
            <w:vAlign w:val="top"/>
            <w:tcMar>
              <w:top w:w="70" w:type="dxa"/>
              <w:start w:w="90" w:type="dxa"/>
              <w:bottom w:w="70" w:type="dxa"/>
              <w:end w:w="90" w:type="dxa"/>
            </w:tcMar>
          </w:tcPr>
          <w:p>
            <w:pPr>
              <w:spacing w:after="0" w:line="240" w:lineRule="auto"/>
            </w:pPr>
            <w:r>
              <w:rPr/>
            </w:r>
            <w:r>
              <w:rPr>
                <w:rFonts w:ascii="Consolas" w:hAnsi="Consolas"/>
                <w:b w:val="0"/>
                <w:i w:val="0"/>
                <w:sz w:val="17"/>
              </w:rPr>
              <w:t>test_phase02_report03.py</w:t>
            </w:r>
            <w:r>
              <w:rPr>
                <w:sz w:val="17"/>
              </w:rPr>
              <w:t xml:space="preserve"> after Report 3 implementation</w:t>
            </w:r>
          </w:p>
        </w:tc>
        <w:tc>
          <w:tcPr>
            <w:tcW w:type="dxa" w:w="1980"/>
            <w:vAlign w:val="top"/>
            <w:tcMar>
              <w:top w:w="70" w:type="dxa"/>
              <w:start w:w="90" w:type="dxa"/>
              <w:bottom w:w="70" w:type="dxa"/>
              <w:end w:w="90" w:type="dxa"/>
            </w:tcMar>
          </w:tcPr>
          <w:p>
            <w:pPr>
              <w:spacing w:after="0" w:line="240" w:lineRule="auto"/>
            </w:pPr>
            <w:r>
              <w:rPr/>
            </w:r>
            <w:r>
              <w:rPr>
                <w:sz w:val="17"/>
              </w:rPr>
              <w:t>GREEN structural result</w:t>
            </w:r>
          </w:p>
        </w:tc>
        <w:tc>
          <w:tcPr>
            <w:tcW w:type="dxa" w:w="1980"/>
            <w:vAlign w:val="top"/>
            <w:tcMar>
              <w:top w:w="70" w:type="dxa"/>
              <w:start w:w="90" w:type="dxa"/>
              <w:bottom w:w="70" w:type="dxa"/>
              <w:end w:w="90" w:type="dxa"/>
            </w:tcMar>
          </w:tcPr>
          <w:p>
            <w:pPr>
              <w:spacing w:after="0" w:line="240" w:lineRule="auto"/>
            </w:pPr>
            <w:r>
              <w:rPr/>
            </w:r>
            <w:r>
              <w:rPr>
                <w:sz w:val="17"/>
              </w:rPr>
              <w:t>Does not prove SRS implementation coverage.</w:t>
            </w:r>
          </w:p>
        </w:tc>
      </w:tr>
      <w:tr>
        <w:trPr>
          <w:cantSplit/>
        </w:trPr>
        <w:tc>
          <w:tcPr>
            <w:tcW w:type="dxa" w:w="1980"/>
            <w:vAlign w:val="top"/>
            <w:tcMar>
              <w:top w:w="70" w:type="dxa"/>
              <w:start w:w="90" w:type="dxa"/>
              <w:bottom w:w="70" w:type="dxa"/>
              <w:end w:w="90" w:type="dxa"/>
            </w:tcMar>
          </w:tcPr>
          <w:p>
            <w:pPr>
              <w:spacing w:after="0" w:line="240" w:lineRule="auto"/>
            </w:pPr>
            <w:r>
              <w:rPr/>
            </w:r>
            <w:r>
              <w:rPr>
                <w:rFonts w:ascii="Consolas" w:hAnsi="Consolas"/>
                <w:b w:val="0"/>
                <w:i w:val="0"/>
                <w:sz w:val="17"/>
              </w:rPr>
              <w:t>EVD-TEST-DOC-003</w:t>
            </w:r>
          </w:p>
        </w:tc>
        <w:tc>
          <w:tcPr>
            <w:tcW w:type="dxa" w:w="3780"/>
            <w:vAlign w:val="top"/>
            <w:tcMar>
              <w:top w:w="70" w:type="dxa"/>
              <w:start w:w="90" w:type="dxa"/>
              <w:bottom w:w="70" w:type="dxa"/>
              <w:end w:w="90" w:type="dxa"/>
            </w:tcMar>
          </w:tcPr>
          <w:p>
            <w:pPr>
              <w:spacing w:after="0" w:line="240" w:lineRule="auto"/>
            </w:pPr>
            <w:r>
              <w:rPr/>
            </w:r>
            <w:r>
              <w:rPr>
                <w:rFonts w:ascii="Consolas" w:hAnsi="Consolas"/>
                <w:b w:val="0"/>
                <w:i w:val="0"/>
                <w:sz w:val="17"/>
              </w:rPr>
              <w:t>test_phase03_report04.py</w:t>
            </w:r>
            <w:r>
              <w:rPr>
                <w:sz w:val="17"/>
              </w:rPr>
              <w:t xml:space="preserve"> after Report 4 implementation</w:t>
            </w:r>
          </w:p>
        </w:tc>
        <w:tc>
          <w:tcPr>
            <w:tcW w:type="dxa" w:w="1980"/>
            <w:vAlign w:val="top"/>
            <w:tcMar>
              <w:top w:w="70" w:type="dxa"/>
              <w:start w:w="90" w:type="dxa"/>
              <w:bottom w:w="70" w:type="dxa"/>
              <w:end w:w="90" w:type="dxa"/>
            </w:tcMar>
          </w:tcPr>
          <w:p>
            <w:pPr>
              <w:spacing w:after="0" w:line="240" w:lineRule="auto"/>
            </w:pPr>
            <w:r>
              <w:rPr/>
            </w:r>
            <w:r>
              <w:rPr>
                <w:sz w:val="17"/>
              </w:rPr>
              <w:t>GREEN structural result</w:t>
            </w:r>
          </w:p>
        </w:tc>
        <w:tc>
          <w:tcPr>
            <w:tcW w:type="dxa" w:w="1980"/>
            <w:vAlign w:val="top"/>
            <w:tcMar>
              <w:top w:w="70" w:type="dxa"/>
              <w:start w:w="90" w:type="dxa"/>
              <w:bottom w:w="70" w:type="dxa"/>
              <w:end w:w="90" w:type="dxa"/>
            </w:tcMar>
          </w:tcPr>
          <w:p>
            <w:pPr>
              <w:spacing w:after="0" w:line="240" w:lineRule="auto"/>
            </w:pPr>
            <w:r>
              <w:rPr/>
            </w:r>
            <w:r>
              <w:rPr>
                <w:sz w:val="17"/>
              </w:rPr>
              <w:t>Does not prove architecture/runtime behavior.</w:t>
            </w:r>
          </w:p>
        </w:tc>
      </w:tr>
      <w:tr>
        <w:trPr>
          <w:cantSplit/>
        </w:trPr>
        <w:tc>
          <w:tcPr>
            <w:tcW w:type="dxa" w:w="1980"/>
            <w:vAlign w:val="top"/>
            <w:tcMar>
              <w:top w:w="70" w:type="dxa"/>
              <w:start w:w="90" w:type="dxa"/>
              <w:bottom w:w="70" w:type="dxa"/>
              <w:end w:w="90" w:type="dxa"/>
            </w:tcMar>
          </w:tcPr>
          <w:p>
            <w:pPr>
              <w:spacing w:after="0" w:line="240" w:lineRule="auto"/>
            </w:pPr>
            <w:r>
              <w:rPr/>
            </w:r>
            <w:r>
              <w:rPr>
                <w:rFonts w:ascii="Consolas" w:hAnsi="Consolas"/>
                <w:b w:val="0"/>
                <w:i w:val="0"/>
                <w:sz w:val="17"/>
              </w:rPr>
              <w:t>EVD-TEST-DOC-004</w:t>
            </w:r>
          </w:p>
        </w:tc>
        <w:tc>
          <w:tcPr>
            <w:tcW w:type="dxa" w:w="3780"/>
            <w:vAlign w:val="top"/>
            <w:tcMar>
              <w:top w:w="70" w:type="dxa"/>
              <w:start w:w="90" w:type="dxa"/>
              <w:bottom w:w="70" w:type="dxa"/>
              <w:end w:w="90" w:type="dxa"/>
            </w:tcMar>
          </w:tcPr>
          <w:p>
            <w:pPr>
              <w:spacing w:after="0" w:line="240" w:lineRule="auto"/>
            </w:pPr>
            <w:r>
              <w:rPr/>
            </w:r>
            <w:r>
              <w:rPr>
                <w:sz w:val="17"/>
              </w:rPr>
              <w:t>Report 5 structural test will be recorded after this phase</w:t>
            </w:r>
          </w:p>
        </w:tc>
        <w:tc>
          <w:tcPr>
            <w:tcW w:type="dxa" w:w="1980"/>
            <w:vAlign w:val="top"/>
            <w:tcMar>
              <w:top w:w="70" w:type="dxa"/>
              <w:start w:w="90" w:type="dxa"/>
              <w:bottom w:w="70" w:type="dxa"/>
              <w:end w:w="90" w:type="dxa"/>
            </w:tcMar>
          </w:tcPr>
          <w:p>
            <w:pPr>
              <w:spacing w:after="0" w:line="240" w:lineRule="auto"/>
            </w:pPr>
            <w:r>
              <w:rPr/>
            </w:r>
            <w:r>
              <w:rPr>
                <w:sz w:val="17"/>
              </w:rPr>
              <w:t>Planned in current phase</w:t>
            </w:r>
          </w:p>
        </w:tc>
        <w:tc>
          <w:tcPr>
            <w:tcW w:type="dxa" w:w="1980"/>
            <w:vAlign w:val="top"/>
            <w:tcMar>
              <w:top w:w="70" w:type="dxa"/>
              <w:start w:w="90" w:type="dxa"/>
              <w:bottom w:w="70" w:type="dxa"/>
              <w:end w:w="90" w:type="dxa"/>
            </w:tcMar>
          </w:tcPr>
          <w:p>
            <w:pPr>
              <w:spacing w:after="0" w:line="240" w:lineRule="auto"/>
            </w:pPr>
            <w:r>
              <w:rPr/>
            </w:r>
            <w:r>
              <w:rPr>
                <w:sz w:val="17"/>
              </w:rPr>
              <w:t>No Report 5 runtime execution is claimed.</w:t>
            </w:r>
          </w:p>
        </w:tc>
      </w:tr>
    </w:tbl>
    <w:p>
      <w:pPr>
        <w:spacing w:after="20"/>
      </w:pPr>
    </w:p>
    <w:p>
      <w:pPr>
        <w:pStyle w:val="Heading3"/>
        <w:keepNext/>
        <w:pageBreakBefore w:val="0"/>
      </w:pPr>
      <w:r>
        <w:t>5.7 Release conclusion template</w:t>
      </w:r>
    </w:p>
    <w:p>
      <w:pPr>
        <w:spacing w:after="80" w:line="240" w:lineRule="auto"/>
      </w:pPr>
      <w:r>
        <w:rPr>
          <w:sz w:val="19"/>
        </w:rPr>
        <w:t>The Test Lead should conclude only after reviewing executed evidence:</w:t>
      </w:r>
    </w:p>
    <w:p>
      <w:pPr>
        <w:pStyle w:val="ListParagraph"/>
        <w:numPr>
          <w:ilvl w:val="0"/>
          <w:numId w:val="18"/>
        </w:numPr>
        <w:spacing w:after="40"/>
      </w:pPr>
      <w:r>
        <w:rPr>
          <w:sz w:val="18"/>
        </w:rPr>
        <w:t>core-flow readiness and blocked dependencies;</w:t>
      </w:r>
    </w:p>
    <w:p>
      <w:pPr>
        <w:pStyle w:val="ListParagraph"/>
        <w:numPr>
          <w:ilvl w:val="0"/>
          <w:numId w:val="18"/>
        </w:numPr>
        <w:spacing w:after="40"/>
      </w:pPr>
      <w:r>
        <w:rPr>
          <w:sz w:val="18"/>
        </w:rPr>
        <w:t>security/tenant/assignment isolation;</w:t>
      </w:r>
    </w:p>
    <w:p>
      <w:pPr>
        <w:pStyle w:val="ListParagraph"/>
        <w:numPr>
          <w:ilvl w:val="0"/>
          <w:numId w:val="18"/>
        </w:numPr>
        <w:spacing w:after="40"/>
      </w:pPr>
      <w:r>
        <w:rPr>
          <w:sz w:val="18"/>
        </w:rPr>
        <w:t>answer recovery and publication safety;</w:t>
      </w:r>
    </w:p>
    <w:p>
      <w:pPr>
        <w:pStyle w:val="ListParagraph"/>
        <w:numPr>
          <w:ilvl w:val="0"/>
          <w:numId w:val="18"/>
        </w:numPr>
        <w:spacing w:after="40"/>
      </w:pPr>
      <w:r>
        <w:rPr>
          <w:sz w:val="18"/>
        </w:rPr>
        <w:t>score-source/provider limitations;</w:t>
      </w:r>
    </w:p>
    <w:p>
      <w:pPr>
        <w:pStyle w:val="ListParagraph"/>
        <w:numPr>
          <w:ilvl w:val="0"/>
          <w:numId w:val="18"/>
        </w:numPr>
        <w:spacing w:after="40"/>
      </w:pPr>
      <w:r>
        <w:rPr>
          <w:sz w:val="18"/>
        </w:rPr>
        <w:t>NFR measurements and operational recovery;</w:t>
      </w:r>
    </w:p>
    <w:p>
      <w:pPr>
        <w:pStyle w:val="ListParagraph"/>
        <w:numPr>
          <w:ilvl w:val="0"/>
          <w:numId w:val="18"/>
        </w:numPr>
        <w:spacing w:after="40"/>
      </w:pPr>
      <w:r>
        <w:rPr>
          <w:sz w:val="18"/>
        </w:rPr>
        <w:t>open defects/TBD decisions and owners;</w:t>
      </w:r>
    </w:p>
    <w:p>
      <w:pPr>
        <w:pStyle w:val="ListParagraph"/>
        <w:numPr>
          <w:ilvl w:val="0"/>
          <w:numId w:val="18"/>
        </w:numPr>
        <w:spacing w:after="40"/>
      </w:pPr>
      <w:r>
        <w:rPr>
          <w:sz w:val="18"/>
        </w:rPr>
        <w:t>release recommendation and expiry of evidence.</w:t>
      </w:r>
    </w:p>
    <w:p>
      <w:pPr>
        <w:spacing w:after="80" w:line="240" w:lineRule="auto"/>
      </w:pPr>
      <w:r>
        <w:rPr>
          <w:sz w:val="19"/>
        </w:rPr>
        <w:t xml:space="preserve">This Report 5 baseline is </w:t>
      </w:r>
      <w:r>
        <w:rPr>
          <w:b/>
          <w:i w:val="0"/>
          <w:sz w:val="19"/>
        </w:rPr>
        <w:t>not a runtime sign-off</w:t>
      </w:r>
      <w:r>
        <w:rPr>
          <w:sz w:val="19"/>
        </w:rPr>
        <w:t>. It is an executable test specification and an honest result-record format for later runs.</w:t>
      </w:r>
    </w:p>
    <w:p>
      <w:pPr>
        <w:pStyle w:val="Heading3"/>
        <w:keepNext/>
        <w:pageBreakBefore w:val="0"/>
      </w:pPr>
      <w:r>
        <w:t>5.8 Scope revision evidence state</w:t>
      </w:r>
    </w:p>
    <w:p>
      <w:pPr>
        <w:spacing w:after="80" w:line="240" w:lineRule="auto"/>
      </w:pPr>
      <w:r>
        <w:rPr>
          <w:sz w:val="19"/>
        </w:rPr>
        <w:t xml:space="preserve">No new product execution was performed while revising the reports. The cases in Section 4.7 are therefore </w:t>
      </w:r>
      <w:r>
        <w:rPr>
          <w:rFonts w:ascii="Consolas" w:hAnsi="Consolas"/>
          <w:b w:val="0"/>
          <w:i w:val="0"/>
          <w:sz w:val="17"/>
        </w:rPr>
        <w:t>Not executed</w:t>
      </w:r>
      <w:r>
        <w:rPr>
          <w:sz w:val="19"/>
        </w:rPr>
        <w:t xml:space="preserve"> unless a later dated run supplies the build, environment, observation and evidence link. Source inspection can support a maturity label such as Partial or Planned/Future, but it cannot change a test case to Passed.</w:t>
      </w:r>
    </w:p>
    <w:p>
      <w:pPr>
        <w:spacing w:after="80" w:line="240" w:lineRule="auto"/>
      </w:pPr>
      <w:r>
        <w:rPr>
          <w:sz w:val="19"/>
        </w:rPr>
        <w:t>The documentation validation run may report Markdown encoding, identifier, link, section and diagram-manifest checks separately from product behavior. A clean documentation check does not prove email delivery, entitlement enforcement, AI quality, exam generation, Windows audio, or production availability.</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PTEPrep — Report 5 — Software Test Documentation</dc:title>
  <dc:subject>FA26SE182 Capstone Project — PTEPrep</dc:subject>
  <dc:creator>Ngô Đăng Quang — Project Leader</dc:creator>
  <cp:keywords/>
  <dc:description>Generated from the current PTEPrep Markdown report bundle using the supplied DOCX template.</dc:description>
  <cp:lastModifiedBy>Ngô Đăng Quang — Project Leader</cp:lastModifiedBy>
  <cp:revision>1</cp:revision>
  <dcterms:created xsi:type="dcterms:W3CDTF">2026-10-22T00:00:00Z</dcterms:created>
  <dcterms:modified xsi:type="dcterms:W3CDTF">2026-10-22T00:00:00Z</dcterms:modified>
</cp:coreProperties>
</file>