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2C66C" w14:textId="77777777" w:rsidR="00C87F08" w:rsidRDefault="00C87F08" w:rsidP="00C87F08"/>
    <w:p w14:paraId="1952C4F3" w14:textId="77777777" w:rsidR="00C87F08" w:rsidRDefault="00C87F08" w:rsidP="00C87F08">
      <w:pPr>
        <w:jc w:val="center"/>
      </w:pPr>
      <w:r>
        <w:rPr>
          <w:noProof/>
          <w:lang w:val="en-US"/>
        </w:rPr>
        <w:drawing>
          <wp:inline distT="0" distB="0" distL="0" distR="0" wp14:anchorId="00B62F00" wp14:editId="6835CC65">
            <wp:extent cx="2702618" cy="830580"/>
            <wp:effectExtent l="0" t="0" r="254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7537" cy="8320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5A5C19" w14:textId="77777777" w:rsidR="00C87F08" w:rsidRDefault="00C87F08"/>
    <w:p w14:paraId="008BD8F1" w14:textId="77777777" w:rsidR="00C87F08" w:rsidRDefault="00C87F08"/>
    <w:p w14:paraId="100E4F53" w14:textId="77777777" w:rsidR="00C87F08" w:rsidRDefault="00C87F08"/>
    <w:p w14:paraId="1005D85B" w14:textId="77777777" w:rsidR="00C87F08" w:rsidRDefault="00C87F08"/>
    <w:p w14:paraId="4B49D8B0" w14:textId="77777777" w:rsidR="00C87F08" w:rsidRDefault="00C87F08"/>
    <w:p w14:paraId="6B0AADEA" w14:textId="77777777" w:rsidR="00C87F08" w:rsidRDefault="00C87F08"/>
    <w:p w14:paraId="13BEE797" w14:textId="77777777" w:rsidR="00C87F08" w:rsidRDefault="00C87F08"/>
    <w:p w14:paraId="1DC74FD1" w14:textId="77777777" w:rsidR="00C87F08" w:rsidRPr="002E0C5F" w:rsidRDefault="00C87F08" w:rsidP="00C87F08">
      <w:pPr>
        <w:jc w:val="center"/>
        <w:rPr>
          <w:b/>
          <w:caps/>
          <w:color w:val="C00000"/>
          <w:sz w:val="56"/>
        </w:rPr>
      </w:pPr>
      <w:r>
        <w:rPr>
          <w:rFonts w:ascii="Arial" w:hAnsi="Arial"/>
          <w:b/>
          <w:i w:val="0"/>
          <w:color w:val="C00000"/>
          <w:sz w:val="51"/>
        </w:rPr>
        <w:t>Capstone Project Report</w:t>
      </w:r>
    </w:p>
    <w:p w14:paraId="024DD51A" w14:textId="77777777" w:rsidR="00C87F08" w:rsidRPr="002E0C5F" w:rsidRDefault="00C87F08" w:rsidP="00C87F08">
      <w:pPr>
        <w:jc w:val="center"/>
        <w:rPr>
          <w:b/>
          <w:color w:val="C00000"/>
          <w:sz w:val="44"/>
        </w:rPr>
      </w:pPr>
      <w:r>
        <w:rPr>
          <w:rFonts w:ascii="Arial" w:hAnsi="Arial"/>
          <w:b/>
          <w:i w:val="0"/>
          <w:color w:val="C00000"/>
          <w:sz w:val="40"/>
        </w:rPr>
        <w:t>Report 6 — Software User Guides</w:t>
      </w:r>
    </w:p>
    <w:p w14:paraId="7EF5078E" w14:textId="77777777" w:rsidR="00C87F08" w:rsidRDefault="00C87F08" w:rsidP="00C87F08">
      <w:pPr>
        <w:jc w:val="center"/>
        <w:rPr>
          <w:b/>
          <w:sz w:val="44"/>
        </w:rPr>
      </w:pPr>
      <w:r>
        <w:rPr>
          <w:rFonts w:ascii="Arial" w:hAnsi="Arial"/>
          <w:b/>
          <w:i w:val="0"/>
          <w:color w:val="1F4D78"/>
          <w:sz w:val="30"/>
        </w:rPr>
        <w:t>PTE Prep</w:t>
      </w:r>
    </w:p>
    <w:p w14:paraId="192FCCE0" w14:textId="77777777" w:rsidR="00C87F08" w:rsidRDefault="00C87F08" w:rsidP="00C87F08">
      <w:pPr>
        <w:jc w:val="center"/>
        <w:rPr>
          <w:b/>
          <w:sz w:val="44"/>
        </w:rPr>
      </w:pPr>
      <w:r>
        <w:rPr>
          <w:rFonts w:ascii="Arial" w:hAnsi="Arial"/>
          <w:b w:val="0"/>
          <w:i w:val="0"/>
          <w:color w:val="666666"/>
          <w:sz w:val="22"/>
        </w:rPr>
        <w:t>FA26SE182</w:t>
      </w:r>
    </w:p>
    <w:p w14:paraId="59D36259" w14:textId="77777777" w:rsidR="00C87F08" w:rsidRDefault="00C87F08" w:rsidP="00C87F08">
      <w:pPr>
        <w:jc w:val="center"/>
        <w:rPr>
          <w:b/>
          <w:sz w:val="44"/>
        </w:rPr>
      </w:pPr>
      <w:r>
        <w:rPr>
          <w:rFonts w:ascii="Arial" w:hAnsi="Arial"/>
          <w:b w:val="0"/>
          <w:i w:val="0"/>
          <w:color w:val="666666"/>
          <w:sz w:val="20"/>
        </w:rPr>
        <w:t>Version 1.0 · 06 October 2026</w:t>
      </w:r>
    </w:p>
    <w:p w14:paraId="1D70DA48" w14:textId="77777777" w:rsidR="00C87F08" w:rsidRDefault="00C87F08" w:rsidP="00C87F08">
      <w:pPr>
        <w:jc w:val="center"/>
        <w:rPr>
          <w:b/>
          <w:sz w:val="44"/>
        </w:rPr>
      </w:pPr>
    </w:p>
    <w:p w14:paraId="0D72CFDB" w14:textId="77777777" w:rsidR="00C87F08" w:rsidRDefault="00C87F08" w:rsidP="00C87F08">
      <w:pPr>
        <w:jc w:val="center"/>
        <w:rPr>
          <w:b/>
          <w:sz w:val="44"/>
        </w:rPr>
      </w:pPr>
    </w:p>
    <w:p w14:paraId="089CB3EB" w14:textId="77777777" w:rsidR="00C87F08" w:rsidRDefault="00C87F08" w:rsidP="00C87F08">
      <w:pPr>
        <w:jc w:val="center"/>
        <w:rPr>
          <w:b/>
          <w:sz w:val="44"/>
        </w:rPr>
      </w:pPr>
    </w:p>
    <w:p w14:paraId="7EAEEA0D" w14:textId="77777777" w:rsidR="00C87F08" w:rsidRDefault="00C87F08" w:rsidP="00C87F08">
      <w:pPr>
        <w:jc w:val="center"/>
        <w:rPr>
          <w:b/>
          <w:sz w:val="44"/>
        </w:rPr>
      </w:pPr>
    </w:p>
    <w:p w14:paraId="1755F0F5" w14:textId="77777777" w:rsidR="00C87F08" w:rsidRDefault="00C87F08" w:rsidP="00C87F08">
      <w:pPr>
        <w:jc w:val="center"/>
        <w:rPr>
          <w:b/>
          <w:sz w:val="44"/>
        </w:rPr>
      </w:pPr>
    </w:p>
    <w:p w14:paraId="5709A0C6" w14:textId="77777777" w:rsidR="00C87F08" w:rsidRDefault="00C87F08" w:rsidP="00C87F08">
      <w:pPr>
        <w:jc w:val="center"/>
        <w:rPr>
          <w:b/>
          <w:sz w:val="44"/>
        </w:rPr>
      </w:pPr>
    </w:p>
    <w:p w14:paraId="2769A77E" w14:textId="77777777" w:rsidR="00C87F08" w:rsidRPr="002E0C5F" w:rsidRDefault="00C87F08" w:rsidP="00C87F08">
      <w:pPr>
        <w:spacing w:before="89"/>
        <w:ind w:left="2526" w:right="2171"/>
        <w:jc w:val="center"/>
        <w:rPr>
          <w:rFonts w:cstheme="minorHAnsi"/>
          <w:sz w:val="28"/>
          <w:szCs w:val="28"/>
        </w:rPr>
      </w:pPr>
      <w:r>
        <w:rPr>
          <w:rFonts w:ascii="Arial" w:hAnsi="Arial"/>
          <w:b w:val="0"/>
          <w:i w:val="0"/>
          <w:sz w:val="24"/>
        </w:rPr>
        <w:t>— Ho Chi Minh City, October 2026 —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GB"/>
        </w:rPr>
        <w:id w:val="1440138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>
          <w:pPr>
            <w:pStyle w:val="TOCHeading"/>
          </w:pPr>
          <w:r>
            <w:rPr>
              <w:b/>
            </w:rPr>
            <w:t>Table of Contents</w:t>
          </w:r>
        </w:p>
        <w:p>
          <w:pPr>
            <w:pStyle w:val="TOC1"/>
          </w:pPr>
          <w:r>
            <w:rPr/>
            <w:t>I. Record of Changes</w:t>
          </w:r>
        </w:p>
        <w:p>
          <w:pPr>
            <w:pStyle w:val="TOC1"/>
          </w:pPr>
          <w:r>
            <w:rPr/>
            <w:t>II. Release Package &amp; User Guides</w:t>
          </w:r>
        </w:p>
        <w:p>
          <w:pPr>
            <w:pStyle w:val="TOC2"/>
          </w:pPr>
          <w:r>
            <w:rPr/>
            <w:t>1. Deliverable Package</w:t>
          </w:r>
        </w:p>
        <w:p>
          <w:pPr>
            <w:pStyle w:val="TOC3"/>
          </w:pPr>
          <w:r>
            <w:rPr/>
            <w:t>1.1 Product boundary</w:t>
          </w:r>
        </w:p>
        <w:p>
          <w:pPr>
            <w:pStyle w:val="TOC3"/>
          </w:pPr>
          <w:r>
            <w:rPr/>
            <w:t>1.2 Package contents</w:t>
          </w:r>
        </w:p>
        <w:p>
          <w:pPr>
            <w:pStyle w:val="TOC3"/>
          </w:pPr>
          <w:r>
            <w:rPr/>
            <w:t>1.3 Release identification</w:t>
          </w:r>
        </w:p>
        <w:p>
          <w:pPr>
            <w:pStyle w:val="TOC3"/>
          </w:pPr>
          <w:r>
            <w:rPr/>
            <w:t>1.4 Supported release scope</w:t>
          </w:r>
        </w:p>
        <w:p>
          <w:pPr>
            <w:pStyle w:val="TOC3"/>
          </w:pPr>
          <w:r>
            <w:rPr/>
            <w:t>1.5 Handoff evidence checklist</w:t>
          </w:r>
        </w:p>
        <w:p>
          <w:pPr>
            <w:pStyle w:val="TOC3"/>
          </w:pPr>
          <w:r>
            <w:rPr/>
            <w:t>1.6 Known partial and TBD items</w:t>
          </w:r>
        </w:p>
        <w:p>
          <w:pPr>
            <w:pStyle w:val="TOC2"/>
          </w:pPr>
          <w:r>
            <w:rPr/>
            <w:t>2. Installation Guides</w:t>
          </w:r>
        </w:p>
        <w:p>
          <w:pPr>
            <w:pStyle w:val="TOC3"/>
          </w:pPr>
          <w:r>
            <w:rPr/>
            <w:t>2.1 Installation and access responsibilities</w:t>
          </w:r>
        </w:p>
        <w:p>
          <w:pPr>
            <w:pStyle w:val="TOC3"/>
          </w:pPr>
          <w:r>
            <w:rPr/>
            <w:t>2.2 Server/deployment prerequisites</w:t>
          </w:r>
        </w:p>
        <w:p>
          <w:pPr>
            <w:pStyle w:val="TOC3"/>
          </w:pPr>
          <w:r>
            <w:rPr/>
            <w:t>2.3 Web-user prerequisites</w:t>
          </w:r>
        </w:p>
        <w:p>
          <w:pPr>
            <w:pStyle w:val="TOC3"/>
          </w:pPr>
          <w:r>
            <w:rPr/>
            <w:t>2.4 Windows exam-client prerequisites</w:t>
          </w:r>
        </w:p>
        <w:p>
          <w:pPr>
            <w:pStyle w:val="TOC3"/>
          </w:pPr>
          <w:r>
            <w:rPr/>
            <w:t>2.5 `STEP-INSTALL-001` — Prepare a hosted environment</w:t>
          </w:r>
        </w:p>
        <w:p>
          <w:pPr>
            <w:pStyle w:val="TOC3"/>
          </w:pPr>
          <w:r>
            <w:rPr/>
            <w:t>2.6 `STEP-INSTALL-002` — Configure an organization safely</w:t>
          </w:r>
        </w:p>
        <w:p>
          <w:pPr>
            <w:pStyle w:val="TOC3"/>
          </w:pPr>
          <w:r>
            <w:rPr/>
            <w:t>2.7 `STEP-INSTALL-003` — Verify an exam client before an exam</w:t>
          </w:r>
        </w:p>
        <w:p>
          <w:pPr>
            <w:pStyle w:val="TOC3"/>
          </w:pPr>
          <w:r>
            <w:rPr/>
            <w:t>2.8 Configuration and secret-handling checklist</w:t>
          </w:r>
        </w:p>
        <w:p>
          <w:pPr>
            <w:pStyle w:val="TOC3"/>
          </w:pPr>
          <w:r>
            <w:rPr/>
            <w:t>2.9 Health and verification checklist</w:t>
          </w:r>
        </w:p>
        <w:p>
          <w:pPr>
            <w:pStyle w:val="TOC3"/>
          </w:pPr>
          <w:r>
            <w:rPr/>
            <w:t>2.10 Migration, rollback, and recovery</w:t>
          </w:r>
        </w:p>
        <w:p>
          <w:pPr>
            <w:pStyle w:val="TOC3"/>
          </w:pPr>
          <w:r>
            <w:rPr/>
            <w:t>2.11 Support escalation</w:t>
          </w:r>
        </w:p>
        <w:p>
          <w:pPr>
            <w:pStyle w:val="TOC2"/>
          </w:pPr>
          <w:r>
            <w:rPr/>
            <w:t>3. User Manual</w:t>
          </w:r>
        </w:p>
        <w:p>
          <w:pPr>
            <w:pStyle w:val="TOC3"/>
          </w:pPr>
          <w:r>
            <w:rPr/>
            <w:t>3.1 Common language and status</w:t>
          </w:r>
        </w:p>
        <w:p>
          <w:pPr>
            <w:pStyle w:val="TOC3"/>
          </w:pPr>
          <w:r>
            <w:rPr/>
            <w:t>3.2 Platform Admin workflows</w:t>
          </w:r>
        </w:p>
        <w:p>
          <w:pPr>
            <w:pStyle w:val="TOC3"/>
          </w:pPr>
          <w:r>
            <w:rPr/>
            <w:t>3.3 Platform Author workflows</w:t>
          </w:r>
        </w:p>
        <w:p>
          <w:pPr>
            <w:pStyle w:val="TOC3"/>
          </w:pPr>
          <w:r>
            <w:rPr/>
            <w:t>3.4 Host workflows</w:t>
          </w:r>
        </w:p>
        <w:p>
          <w:pPr>
            <w:pStyle w:val="TOC3"/>
          </w:pPr>
          <w:r>
            <w:rPr/>
            <w:t>3.5 Proctor workflows</w:t>
          </w:r>
        </w:p>
        <w:p>
          <w:pPr>
            <w:pStyle w:val="TOC3"/>
          </w:pPr>
          <w:r>
            <w:rPr/>
            <w:t>3.6 Examiner workflows</w:t>
          </w:r>
        </w:p>
        <w:p>
          <w:pPr>
            <w:pStyle w:val="TOC3"/>
          </w:pPr>
          <w:r>
            <w:rPr/>
            <w:t>3.7 Student workflows</w:t>
          </w:r>
        </w:p>
        <w:p>
          <w:pPr>
            <w:pStyle w:val="TOC3"/>
          </w:pPr>
          <w:r>
            <w:rPr/>
            <w:t>3.8 External Integration Services boundary</w:t>
          </w:r>
        </w:p>
        <w:p>
          <w:pPr>
            <w:pStyle w:val="TOC3"/>
          </w:pPr>
          <w:r>
            <w:rPr/>
            <w:t>3.9 Troubleshooting and FAQ</w:t>
          </w:r>
        </w:p>
        <w:p>
          <w:pPr>
            <w:pStyle w:val="TOC3"/>
          </w:pPr>
          <w:r>
            <w:rPr/>
            <w:t>3.10 Screenshot and guide asset inventory</w:t>
          </w:r>
        </w:p>
        <w:p>
          <w:pPr>
            <w:pStyle w:val="TOC3"/>
          </w:pPr>
          <w:r>
            <w:rPr/>
            <w:t>3.11 Guide review checklist</w:t>
          </w:r>
        </w:p>
        <w:p>
          <w:pPr>
            <w:pStyle w:val="TOC3"/>
          </w:pPr>
          <w:r>
            <w:rPr>
              <w:color w:val="666666"/>
            </w:rPr>
            <w:t>Page numbers are intentionally omitted from this generated outline so the cached page references cannot become stale.</w:t>
          </w:r>
        </w:p>
      </w:sdtContent>
    </w:sdt>
    <w:p>
      <w:r>
        <w:br w:type="page"/>
      </w:r>
    </w:p>
    <w:p>
      <w:pPr>
        <w:pStyle w:val="Heading1"/>
        <w:keepNext/>
        <w:pageBreakBefore w:val="0"/>
      </w:pPr>
      <w:r>
        <w:t>I. Record of Changes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8"/>
        <w:gridCol w:w="1508"/>
        <w:gridCol w:w="1508"/>
        <w:gridCol w:w="1508"/>
        <w:gridCol w:w="1508"/>
        <w:gridCol w:w="1508"/>
      </w:tblGrid>
      <w:tr>
        <w:trPr>
          <w:tblHeader w:val="true"/>
          <w:cantSplit/>
        </w:trPr>
        <w:tc>
          <w:tcPr>
            <w:tcW w:type="dxa" w:w="138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FE8E1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b/>
                <w:sz w:val="16"/>
              </w:rPr>
              <w:t>Version</w:t>
            </w:r>
          </w:p>
        </w:tc>
        <w:tc>
          <w:tcPr>
            <w:tcW w:type="dxa" w:w="138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FE8E1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89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FE8E1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b/>
                <w:sz w:val="16"/>
              </w:rPr>
              <w:t>A</w:t>
            </w:r>
            <w:r>
              <w:rPr>
                <w:b/>
                <w:i/>
                <w:sz w:val="16"/>
              </w:rPr>
              <w:t xml:space="preserve"> / M</w:t>
            </w:r>
            <w:r>
              <w:rPr>
                <w:b/>
                <w:i/>
                <w:sz w:val="16"/>
              </w:rPr>
              <w:t xml:space="preserve"> / D</w:t>
            </w:r>
            <w:r>
              <w:rPr>
                <w:b/>
                <w:sz w:val="16"/>
              </w:rPr>
              <w:t>**</w:t>
            </w:r>
          </w:p>
        </w:tc>
        <w:tc>
          <w:tcPr>
            <w:tcW w:type="dxa" w:w="138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FE8E1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b/>
                <w:sz w:val="16"/>
              </w:rPr>
              <w:t>In charge</w:t>
            </w:r>
          </w:p>
        </w:tc>
        <w:tc>
          <w:tcPr>
            <w:tcW w:type="dxa" w:w="227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FE8E1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b/>
                <w:sz w:val="16"/>
              </w:rPr>
              <w:t>Change description</w:t>
            </w:r>
          </w:p>
        </w:tc>
        <w:tc>
          <w:tcPr>
            <w:tcW w:type="dxa" w:w="138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FE8E1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b/>
                <w:sz w:val="16"/>
              </w:rPr>
              <w:t>Reference</w:t>
            </w:r>
          </w:p>
        </w:tc>
      </w:tr>
      <w:tr>
        <w:trPr>
          <w:cantSplit/>
        </w:trPr>
        <w:tc>
          <w:tcPr>
            <w:tcW w:type="dxa" w:w="138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6"/>
              </w:rPr>
              <w:t>1.0</w:t>
            </w:r>
          </w:p>
        </w:tc>
        <w:tc>
          <w:tcPr>
            <w:tcW w:type="dxa" w:w="138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6"/>
              </w:rPr>
              <w:t>2026-10-06</w:t>
            </w:r>
          </w:p>
        </w:tc>
        <w:tc>
          <w:tcPr>
            <w:tcW w:type="dxa" w:w="189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6"/>
              </w:rPr>
              <w:t>A, M</w:t>
            </w:r>
          </w:p>
        </w:tc>
        <w:tc>
          <w:tcPr>
            <w:tcW w:type="dxa" w:w="138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6"/>
              </w:rPr>
              <w:t>Ngô Đăng Quang — Project Leader</w:t>
            </w:r>
          </w:p>
        </w:tc>
        <w:tc>
          <w:tcPr>
            <w:tcW w:type="dxa" w:w="227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6"/>
              </w:rPr>
              <w:t>Replaced generic release and guide prompts with project-specific PTE Prep package, installation, verification, troubleshooting, and six-role workflow coverage; preserved the source DOCX section order.</w:t>
            </w:r>
          </w:p>
        </w:tc>
        <w:tc>
          <w:tcPr>
            <w:tcW w:type="dxa" w:w="138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6"/>
              </w:rPr>
              <w:t>Report 3 SRS, Report 4 design, Report 5 test documentation</w:t>
            </w:r>
          </w:p>
        </w:tc>
      </w:tr>
    </w:tbl>
    <w:p>
      <w:pPr>
        <w:spacing w:after="20"/>
      </w:pPr>
    </w:p>
    <w:p>
      <w:pPr>
        <w:spacing w:after="160" w:line="240" w:lineRule="auto"/>
      </w:pPr>
      <w:r>
        <w:rPr>
          <w:i/>
          <w:color w:val="666666"/>
          <w:sz w:val="17"/>
        </w:rPr>
        <w:t>* A — Added; M — Modified; D — Deleted.</w:t>
      </w:r>
    </w:p>
    <w:p>
      <w:pPr>
        <w:pStyle w:val="Heading1"/>
        <w:keepNext/>
        <w:pageBreakBefore w:val="0"/>
      </w:pPr>
      <w:r>
        <w:t>II. Release Package &amp; User Guides</w:t>
      </w:r>
    </w:p>
    <w:p>
      <w:pPr>
        <w:spacing w:after="80" w:line="240" w:lineRule="auto"/>
      </w:pPr>
      <w:r>
        <w:rPr>
          <w:i/>
          <w:color w:val="666666"/>
          <w:sz w:val="17"/>
        </w:rPr>
        <w:t>Product: PTE Prep · Independent organization-based PTE-style practice and mock-exam simulation platform.</w:t>
      </w:r>
    </w:p>
    <w:p>
      <w:pPr>
        <w:spacing w:after="80" w:line="240" w:lineRule="auto"/>
      </w:pPr>
      <w:r>
        <w:rPr>
          <w:i/>
          <w:color w:val="666666"/>
          <w:sz w:val="17"/>
        </w:rPr>
        <w:t>Document baseline: Version 1.0 · Owner: Ngô Đăng Quang — Project Leader · Group: FA26SE182.</w:t>
      </w:r>
    </w:p>
    <w:p>
      <w:pPr>
        <w:pStyle w:val="Heading2"/>
        <w:keepNext/>
        <w:pageBreakBefore w:val="0"/>
      </w:pPr>
      <w:r>
        <w:t>1. Deliverable Package</w:t>
      </w:r>
    </w:p>
    <w:p>
      <w:pPr>
        <w:spacing w:after="80" w:line="240" w:lineRule="auto"/>
      </w:pPr>
      <w:r>
        <w:rPr>
          <w:sz w:val="19"/>
        </w:rPr>
        <w:t xml:space="preserve">This section maps the original DOCX heading </w:t>
      </w:r>
      <w:r>
        <w:rPr>
          <w:b/>
          <w:i w:val="0"/>
          <w:sz w:val="19"/>
        </w:rPr>
        <w:t>1. Deliverable Package</w:t>
      </w:r>
      <w:r>
        <w:rPr>
          <w:sz w:val="19"/>
        </w:rPr>
        <w:t>. It defines what the PTE Prep release package contains, how each item is identified, what is supported, and what evidence is still required before a release handoff.</w:t>
      </w:r>
    </w:p>
    <w:p>
      <w:pPr>
        <w:pStyle w:val="Heading3"/>
        <w:keepNext/>
        <w:pageBreakBefore w:val="0"/>
      </w:pPr>
      <w:r>
        <w:t>1.1 Product boundary</w:t>
      </w:r>
    </w:p>
    <w:p>
      <w:pPr>
        <w:spacing w:after="80" w:line="240" w:lineRule="auto"/>
      </w:pPr>
      <w:r>
        <w:rPr>
          <w:sz w:val="19"/>
        </w:rPr>
        <w:t>PTE Prep is an independent organization-based PTE-style practice and mock-exam simulation platform. It is not connected to, representative of, endorsed by, or a certification service for PTE Academic. A report produced by PTE Prep is an organization practice/mock result, not an official PTE Academic result.</w:t>
      </w:r>
    </w:p>
    <w:p>
      <w:pPr>
        <w:pStyle w:val="Heading3"/>
        <w:keepNext/>
        <w:pageBreakBefore w:val="0"/>
      </w:pPr>
      <w:r>
        <w:t>1.2 Package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2"/>
        <w:gridCol w:w="2262"/>
        <w:gridCol w:w="2262"/>
        <w:gridCol w:w="2262"/>
      </w:tblGrid>
      <w:tr>
        <w:trPr>
          <w:tblHeader w:val="true"/>
          <w:cantSplit/>
        </w:trPr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FE8E1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b/>
                <w:sz w:val="17"/>
              </w:rPr>
              <w:t>Package ID</w:t>
            </w:r>
          </w:p>
        </w:tc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FE8E1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b/>
                <w:sz w:val="17"/>
              </w:rPr>
              <w:t>Deliverable</w:t>
            </w:r>
          </w:p>
        </w:tc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FE8E1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b/>
                <w:sz w:val="17"/>
              </w:rPr>
              <w:t>Purpose</w:t>
            </w:r>
          </w:p>
        </w:tc>
        <w:tc>
          <w:tcPr>
            <w:tcW w:type="dxa" w:w="303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FE8E1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b/>
                <w:sz w:val="17"/>
              </w:rPr>
              <w:t>Status/evidence</w:t>
            </w:r>
          </w:p>
        </w:tc>
      </w:tr>
      <w:tr>
        <w:trPr>
          <w:cantSplit/>
        </w:trPr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REL-WEB-TENANT</w:t>
            </w:r>
          </w:p>
        </w:tc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Organization web portal</w:t>
            </w:r>
          </w:p>
        </w:tc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Host, Proctor, Examiner operations: roster, packages, exams, monitoring, scoring, reports, audit.</w:t>
            </w:r>
          </w:p>
        </w:tc>
        <w:tc>
          <w:tcPr>
            <w:tcW w:type="dxa" w:w="303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Current channel boundary; individual workflows are Current/Partial only when route/UI evidence is verified (</w:t>
            </w:r>
            <w:r>
              <w:rPr>
                <w:rFonts w:ascii="Consolas" w:hAnsi="Consolas"/>
                <w:b w:val="0"/>
                <w:i w:val="0"/>
                <w:sz w:val="17"/>
              </w:rPr>
              <w:t>EVD-FOUNDATION-004</w:t>
            </w:r>
            <w:r>
              <w:rPr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REL-WEB-PLATFORM</w:t>
            </w:r>
          </w:p>
        </w:tc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Platform administration portal</w:t>
            </w:r>
          </w:p>
        </w:tc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Platform Admin and Platform Author onboarding/content/template/package governance.</w:t>
            </w:r>
          </w:p>
        </w:tc>
        <w:tc>
          <w:tcPr>
            <w:tcW w:type="dxa" w:w="303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Current channel boundary; end-to-end slices are evidence-dependent.</w:t>
            </w:r>
          </w:p>
        </w:tc>
      </w:tr>
      <w:tr>
        <w:trPr>
          <w:cantSplit/>
        </w:trPr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REL-CLIENT-WINDOWS</w:t>
            </w:r>
          </w:p>
        </w:tc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Windows-first exam client</w:t>
            </w:r>
          </w:p>
        </w:tc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Student sign-in, device check, timed tasks, local answer save, synchronization, submission, result view.</w:t>
            </w:r>
          </w:p>
        </w:tc>
        <w:tc>
          <w:tcPr>
            <w:tcW w:type="dxa" w:w="303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 xml:space="preserve">Windows-first requirement; complete device/offline matrix is </w:t>
            </w:r>
            <w:r>
              <w:rPr>
                <w:rFonts w:ascii="Consolas" w:hAnsi="Consolas"/>
                <w:b w:val="0"/>
                <w:i w:val="0"/>
                <w:sz w:val="17"/>
              </w:rPr>
              <w:t>TBD-CLIENT-001</w:t>
            </w:r>
            <w:r>
              <w:rPr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REL-APP</w:t>
            </w:r>
          </w:p>
        </w:tc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PTE Prep backend application</w:t>
            </w:r>
          </w:p>
        </w:tc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Identity, tenancy, content, template, billing, exam, attempt, proctoring, scoring, reporting, notification, support, and audit package boundaries.</w:t>
            </w:r>
          </w:p>
        </w:tc>
        <w:tc>
          <w:tcPr>
            <w:tcW w:type="dxa" w:w="303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Current modular-monolith topology (</w:t>
            </w:r>
            <w:r>
              <w:rPr>
                <w:rFonts w:ascii="Consolas" w:hAnsi="Consolas"/>
                <w:b w:val="0"/>
                <w:i w:val="0"/>
                <w:sz w:val="17"/>
              </w:rPr>
              <w:t>EVD-FOUNDATION-003</w:t>
            </w:r>
            <w:r>
              <w:rPr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REL-DATABASE</w:t>
            </w:r>
          </w:p>
        </w:tc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PostgreSQL data store</w:t>
            </w:r>
          </w:p>
        </w:tc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Relational organization, exam, attempt, scoring, report, and audit data.</w:t>
            </w:r>
          </w:p>
        </w:tc>
        <w:tc>
          <w:tcPr>
            <w:tcW w:type="dxa" w:w="303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Current infrastructure boundary; retention is contract-based TBD.</w:t>
            </w:r>
          </w:p>
        </w:tc>
      </w:tr>
      <w:tr>
        <w:trPr>
          <w:cantSplit/>
        </w:trPr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REL-SUPPORT-INFRA</w:t>
            </w:r>
          </w:p>
        </w:tc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Redis and RabbitMQ support services</w:t>
            </w:r>
          </w:p>
        </w:tc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Cache/rate-limit/coordination and asynchronous work where configured.</w:t>
            </w:r>
          </w:p>
        </w:tc>
        <w:tc>
          <w:tcPr>
            <w:tcW w:type="dxa" w:w="303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Current infrastructure boundary; feature use is evidence-dependent.</w:t>
            </w:r>
          </w:p>
        </w:tc>
      </w:tr>
      <w:tr>
        <w:trPr>
          <w:cantSplit/>
        </w:trPr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REL-EDGE</w:t>
            </w:r>
          </w:p>
        </w:tc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Public edge/proxy and TLS boundary</w:t>
            </w:r>
          </w:p>
        </w:tc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Routes users to supported web/API entry points.</w:t>
            </w:r>
          </w:p>
        </w:tc>
        <w:tc>
          <w:tcPr>
            <w:tcW w:type="dxa" w:w="303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Current deployment topology (</w:t>
            </w:r>
            <w:r>
              <w:rPr>
                <w:rFonts w:ascii="Consolas" w:hAnsi="Consolas"/>
                <w:b w:val="0"/>
                <w:i w:val="0"/>
                <w:sz w:val="17"/>
              </w:rPr>
              <w:t>EVD-FOUNDATION-006</w:t>
            </w:r>
            <w:r>
              <w:rPr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REL-MEDIA</w:t>
            </w:r>
          </w:p>
        </w:tc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Cloudinary or approved media integration</w:t>
            </w:r>
          </w:p>
        </w:tc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Signed image/audio upload/access for question revisions.</w:t>
            </w:r>
          </w:p>
        </w:tc>
        <w:tc>
          <w:tcPr>
            <w:tcW w:type="dxa" w:w="303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External boundary; provider status and credentials are not included.</w:t>
            </w:r>
          </w:p>
        </w:tc>
      </w:tr>
      <w:tr>
        <w:trPr>
          <w:cantSplit/>
        </w:trPr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REL-PAYMENT</w:t>
            </w:r>
          </w:p>
        </w:tc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PayOS or approved payment integration</w:t>
            </w:r>
          </w:p>
        </w:tc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Organization package order/callback/license activation where enabled.</w:t>
            </w:r>
          </w:p>
        </w:tc>
        <w:tc>
          <w:tcPr>
            <w:tcW w:type="dxa" w:w="303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External boundary; registration remains separate from payment.</w:t>
            </w:r>
          </w:p>
        </w:tc>
      </w:tr>
      <w:tr>
        <w:trPr>
          <w:cantSplit/>
        </w:trPr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REL-AI</w:t>
            </w:r>
          </w:p>
        </w:tc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Approved AI scoring boundary</w:t>
            </w:r>
          </w:p>
        </w:tc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Optional asynchronous scoring for eligible task types.</w:t>
            </w:r>
          </w:p>
        </w:tc>
        <w:tc>
          <w:tcPr>
            <w:tcW w:type="dxa" w:w="303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Partial/Planned/TBD provider/threshold (</w:t>
            </w:r>
            <w:r>
              <w:rPr>
                <w:rFonts w:ascii="Consolas" w:hAnsi="Consolas"/>
                <w:b w:val="0"/>
                <w:i w:val="0"/>
                <w:sz w:val="17"/>
              </w:rPr>
              <w:t>TBD-AI-001</w:t>
            </w:r>
            <w:r>
              <w:rPr>
                <w:sz w:val="17"/>
              </w:rPr>
              <w:t>).</w:t>
            </w:r>
          </w:p>
        </w:tc>
      </w:tr>
      <w:tr>
        <w:trPr>
          <w:cantSplit/>
        </w:trPr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REL-NOTIFICATION</w:t>
            </w:r>
          </w:p>
        </w:tc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Email/notification boundary</w:t>
            </w:r>
          </w:p>
        </w:tc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Supported status notifications and retry state.</w:t>
            </w:r>
          </w:p>
        </w:tc>
        <w:tc>
          <w:tcPr>
            <w:tcW w:type="dxa" w:w="303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External boundary; failure does not roll back business state.</w:t>
            </w:r>
          </w:p>
        </w:tc>
      </w:tr>
      <w:tr>
        <w:trPr>
          <w:cantSplit/>
        </w:trPr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REL-DOCS</w:t>
            </w:r>
          </w:p>
        </w:tc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Reports 3–6 Markdown set</w:t>
            </w:r>
          </w:p>
        </w:tc>
        <w:tc>
          <w:tcPr>
            <w:tcW w:type="dxa" w:w="222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Requirements, design, testing documentation, release package, and user guides.</w:t>
            </w:r>
          </w:p>
        </w:tc>
        <w:tc>
          <w:tcPr>
            <w:tcW w:type="dxa" w:w="303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This documentation work package; Report 7/Vietnamese copies deferred.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 w:val="0"/>
      </w:pPr>
      <w:r>
        <w:t>1.3 Release identification</w:t>
      </w:r>
    </w:p>
    <w:p>
      <w:pPr>
        <w:spacing w:after="80" w:line="240" w:lineRule="auto"/>
      </w:pPr>
      <w:r>
        <w:rPr>
          <w:sz w:val="19"/>
        </w:rPr>
        <w:t>Every handoff should include: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release identifier and date;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backend/web/client build identifiers;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database migration/configuration version;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supported browser and Windows/device matrix;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enabled external providers and simulation mode, without credentials;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test run/report IDs and open defects/TBD decisions;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rollback/recovery owner and contact path;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document version and record-of-changes entry.</w:t>
      </w:r>
    </w:p>
    <w:p>
      <w:pPr>
        <w:spacing w:after="80" w:line="240" w:lineRule="auto"/>
      </w:pPr>
      <w:r>
        <w:rPr>
          <w:sz w:val="19"/>
        </w:rPr>
        <w:t xml:space="preserve">The package must not contain </w:t>
      </w:r>
      <w:r>
        <w:rPr>
          <w:rFonts w:ascii="Consolas" w:hAnsi="Consolas"/>
          <w:b w:val="0"/>
          <w:i w:val="0"/>
          <w:sz w:val="17"/>
        </w:rPr>
        <w:t>.env</w:t>
      </w:r>
      <w:r>
        <w:rPr>
          <w:sz w:val="19"/>
        </w:rPr>
        <w:t xml:space="preserve"> files, tokens, private keys, passwords, raw provider secrets, or unmasked Student/audio/answer/report data.</w:t>
      </w:r>
    </w:p>
    <w:p>
      <w:pPr>
        <w:pStyle w:val="Heading3"/>
        <w:keepNext/>
        <w:pageBreakBefore w:val="0"/>
      </w:pPr>
      <w:r>
        <w:t>1.4 Supported release scope</w:t>
      </w:r>
    </w:p>
    <w:p>
      <w:pPr>
        <w:spacing w:after="80" w:line="240" w:lineRule="auto"/>
      </w:pPr>
      <w:r>
        <w:rPr>
          <w:sz w:val="19"/>
        </w:rPr>
        <w:t>The release scope is organization-first practice/mock-exam operation: approved onboarding, shared content/template governance, roster and package preparation, fixed exam setup, Windows-first Student delivery, assignment-scoped Proctor/Examiner work, Host score-source review, report publication, and audit. Current/Partial/Planned/Future labels must follow the foundation evidence matrix.</w:t>
      </w:r>
    </w:p>
    <w:p>
      <w:pPr>
        <w:spacing w:after="80" w:line="240" w:lineRule="auto"/>
      </w:pPr>
      <w:r>
        <w:rPr>
          <w:sz w:val="19"/>
        </w:rPr>
        <w:t>The release does not promise official certification, Student self-payment, mobile delivery, adaptive/IRT testing, universal no-repeat content, advanced anti-cheat, or a universal retention period.</w:t>
      </w:r>
    </w:p>
    <w:p>
      <w:pPr>
        <w:pStyle w:val="Heading3"/>
        <w:keepNext/>
        <w:pageBreakBefore w:val="0"/>
      </w:pPr>
      <w:r>
        <w:t>1.5 Handoff evidence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17"/>
        <w:gridCol w:w="3017"/>
        <w:gridCol w:w="3017"/>
      </w:tblGrid>
      <w:tr>
        <w:trPr>
          <w:tblHeader w:val="true"/>
          <w:cantSplit/>
        </w:trPr>
        <w:tc>
          <w:tcPr>
            <w:tcW w:type="dxa" w:w="274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FE8E1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b/>
                <w:sz w:val="17"/>
              </w:rPr>
              <w:t>Area</w:t>
            </w:r>
          </w:p>
        </w:tc>
        <w:tc>
          <w:tcPr>
            <w:tcW w:type="dxa" w:w="423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FE8E1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b/>
                <w:sz w:val="17"/>
              </w:rPr>
              <w:t>Required evidence</w:t>
            </w:r>
          </w:p>
        </w:tc>
        <w:tc>
          <w:tcPr>
            <w:tcW w:type="dxa" w:w="274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FE8E1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b/>
                <w:sz w:val="17"/>
              </w:rPr>
              <w:t>Related IDs</w:t>
            </w:r>
          </w:p>
        </w:tc>
      </w:tr>
      <w:tr>
        <w:trPr>
          <w:cantSplit/>
        </w:trPr>
        <w:tc>
          <w:tcPr>
            <w:tcW w:type="dxa" w:w="274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Onboarding</w:t>
            </w:r>
          </w:p>
        </w:tc>
        <w:tc>
          <w:tcPr>
            <w:tcW w:type="dxa" w:w="423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Registration/approval/Host access result and audit reference</w:t>
            </w:r>
          </w:p>
        </w:tc>
        <w:tc>
          <w:tcPr>
            <w:tcW w:type="dxa" w:w="274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FR-ONBOARD-002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7"/>
              </w:rPr>
              <w:t>TC-ACCESS-002</w:t>
            </w:r>
          </w:p>
        </w:tc>
      </w:tr>
      <w:tr>
        <w:trPr>
          <w:cantSplit/>
        </w:trPr>
        <w:tc>
          <w:tcPr>
            <w:tcW w:type="dxa" w:w="274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Content/template</w:t>
            </w:r>
          </w:p>
        </w:tc>
        <w:tc>
          <w:tcPr>
            <w:tcW w:type="dxa" w:w="423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Approved revision, complete media, active template/version</w:t>
            </w:r>
          </w:p>
        </w:tc>
        <w:tc>
          <w:tcPr>
            <w:tcW w:type="dxa" w:w="274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FR-CONTENT-003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7"/>
              </w:rPr>
              <w:t>FR-TEMPLATE-002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7"/>
              </w:rPr>
              <w:t>TC-CONTENT-001</w:t>
            </w:r>
          </w:p>
        </w:tc>
      </w:tr>
      <w:tr>
        <w:trPr>
          <w:cantSplit/>
        </w:trPr>
        <w:tc>
          <w:tcPr>
            <w:tcW w:type="dxa" w:w="274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Package/roster</w:t>
            </w:r>
          </w:p>
        </w:tc>
        <w:tc>
          <w:tcPr>
            <w:tcW w:type="dxa" w:w="423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Package status, limit/capacity result, deduplicated candidate preview</w:t>
            </w:r>
          </w:p>
        </w:tc>
        <w:tc>
          <w:tcPr>
            <w:tcW w:type="dxa" w:w="274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FR-PACKAGE-005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7"/>
              </w:rPr>
              <w:t>FR-ENROLL-002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7"/>
              </w:rPr>
              <w:t>TC-PACKAGE-001</w:t>
            </w:r>
          </w:p>
        </w:tc>
      </w:tr>
      <w:tr>
        <w:trPr>
          <w:cantSplit/>
        </w:trPr>
        <w:tc>
          <w:tcPr>
            <w:tcW w:type="dxa" w:w="274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Exam generation</w:t>
            </w:r>
          </w:p>
        </w:tc>
        <w:tc>
          <w:tcPr>
            <w:tcW w:type="dxa" w:w="423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Fixed version, form mode, provenance, generation state</w:t>
            </w:r>
          </w:p>
        </w:tc>
        <w:tc>
          <w:tcPr>
            <w:tcW w:type="dxa" w:w="274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FR-EXAM-004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7"/>
              </w:rPr>
              <w:t>FR-HARDENING-001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7"/>
              </w:rPr>
              <w:t>TC-EXAM-002</w:t>
            </w:r>
          </w:p>
        </w:tc>
      </w:tr>
      <w:tr>
        <w:trPr>
          <w:cantSplit/>
        </w:trPr>
        <w:tc>
          <w:tcPr>
            <w:tcW w:type="dxa" w:w="274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Delivery</w:t>
            </w:r>
          </w:p>
        </w:tc>
        <w:tc>
          <w:tcPr>
            <w:tcW w:type="dxa" w:w="423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Device check, local save/sync state, submission acknowledgement</w:t>
            </w:r>
          </w:p>
        </w:tc>
        <w:tc>
          <w:tcPr>
            <w:tcW w:type="dxa" w:w="274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FR-DELIVERY-002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7"/>
              </w:rPr>
              <w:t>FR-DELIVERY-006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7"/>
              </w:rPr>
              <w:t>TC-DELIVERY-003</w:t>
            </w:r>
          </w:p>
        </w:tc>
      </w:tr>
      <w:tr>
        <w:trPr>
          <w:cantSplit/>
        </w:trPr>
        <w:tc>
          <w:tcPr>
            <w:tcW w:type="dxa" w:w="274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Integrity</w:t>
            </w:r>
          </w:p>
        </w:tc>
        <w:tc>
          <w:tcPr>
            <w:tcW w:type="dxa" w:w="423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Assignment, violation/assistance event, policy effect</w:t>
            </w:r>
          </w:p>
        </w:tc>
        <w:tc>
          <w:tcPr>
            <w:tcW w:type="dxa" w:w="274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FR-INTEGRITY-003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7"/>
              </w:rPr>
              <w:t>TC-PROCTOR-001</w:t>
            </w:r>
          </w:p>
        </w:tc>
      </w:tr>
      <w:tr>
        <w:trPr>
          <w:cantSplit/>
        </w:trPr>
        <w:tc>
          <w:tcPr>
            <w:tcW w:type="dxa" w:w="274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Scoring/publication</w:t>
            </w:r>
          </w:p>
        </w:tc>
        <w:tc>
          <w:tcPr>
            <w:tcW w:type="dxa" w:w="423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Examiner/provider source, Host selection, readiness, publication, Student visibility</w:t>
            </w:r>
          </w:p>
        </w:tc>
        <w:tc>
          <w:tcPr>
            <w:tcW w:type="dxa" w:w="274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FR-SCORE-005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7"/>
              </w:rPr>
              <w:t>FR-REPORT-003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7"/>
              </w:rPr>
              <w:t>TC-SCORE-003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7"/>
              </w:rPr>
              <w:t>TC-REPORT-001</w:t>
            </w:r>
          </w:p>
        </w:tc>
      </w:tr>
      <w:tr>
        <w:trPr>
          <w:cantSplit/>
        </w:trPr>
        <w:tc>
          <w:tcPr>
            <w:tcW w:type="dxa" w:w="274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Operations</w:t>
            </w:r>
          </w:p>
        </w:tc>
        <w:tc>
          <w:tcPr>
            <w:tcW w:type="dxa" w:w="423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Health, backup/recovery, performance and integration evidence</w:t>
            </w:r>
          </w:p>
        </w:tc>
        <w:tc>
          <w:tcPr>
            <w:tcW w:type="dxa" w:w="274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NFR-01</w:t>
            </w:r>
            <w:r>
              <w:rPr>
                <w:sz w:val="17"/>
              </w:rPr>
              <w:t>–</w:t>
            </w:r>
            <w:r>
              <w:rPr>
                <w:rFonts w:ascii="Consolas" w:hAnsi="Consolas"/>
                <w:b w:val="0"/>
                <w:i w:val="0"/>
                <w:sz w:val="17"/>
              </w:rPr>
              <w:t>NFR-08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7"/>
              </w:rPr>
              <w:t>NFR-19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7"/>
              </w:rPr>
              <w:t>TC-OPS-001</w:t>
            </w:r>
          </w:p>
        </w:tc>
      </w:tr>
    </w:tbl>
    <w:p>
      <w:pPr>
        <w:spacing w:after="20"/>
      </w:pPr>
    </w:p>
    <w:p>
      <w:pPr>
        <w:pStyle w:val="Heading3"/>
        <w:keepNext/>
        <w:pageBreakBefore w:val="0"/>
      </w:pPr>
      <w:r>
        <w:t>1.6 Known partial and TBD items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 xml:space="preserve">Complete Windows device/audio matrix and offline recovery proof: </w:t>
      </w:r>
      <w:r>
        <w:rPr>
          <w:rFonts w:ascii="Consolas" w:hAnsi="Consolas"/>
          <w:b w:val="0"/>
          <w:i w:val="0"/>
          <w:sz w:val="17"/>
        </w:rPr>
        <w:t>TBD-CLIENT-001</w:t>
      </w:r>
      <w:r>
        <w:rPr>
          <w:sz w:val="18"/>
        </w:rPr>
        <w:t>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 xml:space="preserve">Exact generation retry/cancel/idempotency state machine: </w:t>
      </w:r>
      <w:r>
        <w:rPr>
          <w:rFonts w:ascii="Consolas" w:hAnsi="Consolas"/>
          <w:b w:val="0"/>
          <w:i w:val="0"/>
          <w:sz w:val="17"/>
        </w:rPr>
        <w:t>TBD-GENERATION-001</w:t>
      </w:r>
      <w:r>
        <w:rPr>
          <w:sz w:val="18"/>
        </w:rPr>
        <w:t>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 xml:space="preserve">Per-mode audience/form policy approval: </w:t>
      </w:r>
      <w:r>
        <w:rPr>
          <w:rFonts w:ascii="Consolas" w:hAnsi="Consolas"/>
          <w:b w:val="0"/>
          <w:i w:val="0"/>
          <w:sz w:val="17"/>
        </w:rPr>
        <w:t>TBD-VERSION-001</w:t>
      </w:r>
      <w:r>
        <w:rPr>
          <w:sz w:val="18"/>
        </w:rPr>
        <w:t>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 xml:space="preserve">Proctor violation synchronization timing and recovery: </w:t>
      </w:r>
      <w:r>
        <w:rPr>
          <w:rFonts w:ascii="Consolas" w:hAnsi="Consolas"/>
          <w:b w:val="0"/>
          <w:i w:val="0"/>
          <w:sz w:val="17"/>
        </w:rPr>
        <w:t>TBD-PROCTOR-001</w:t>
      </w:r>
      <w:r>
        <w:rPr>
          <w:sz w:val="18"/>
        </w:rPr>
        <w:t>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 xml:space="preserve">AI provider, thresholds, and Examiner review policy: </w:t>
      </w:r>
      <w:r>
        <w:rPr>
          <w:rFonts w:ascii="Consolas" w:hAnsi="Consolas"/>
          <w:b w:val="0"/>
          <w:i w:val="0"/>
          <w:sz w:val="17"/>
        </w:rPr>
        <w:t>TBD-AI-001</w:t>
      </w:r>
      <w:r>
        <w:rPr>
          <w:sz w:val="18"/>
        </w:rPr>
        <w:t xml:space="preserve">, </w:t>
      </w:r>
      <w:r>
        <w:rPr>
          <w:rFonts w:ascii="Consolas" w:hAnsi="Consolas"/>
          <w:b w:val="0"/>
          <w:i w:val="0"/>
          <w:sz w:val="17"/>
        </w:rPr>
        <w:t>TBD-AI-002</w:t>
      </w:r>
      <w:r>
        <w:rPr>
          <w:sz w:val="18"/>
        </w:rPr>
        <w:t>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 xml:space="preserve">Retention, export/delete/legal hold and jurisdiction: </w:t>
      </w:r>
      <w:r>
        <w:rPr>
          <w:rFonts w:ascii="Consolas" w:hAnsi="Consolas"/>
          <w:b w:val="0"/>
          <w:i w:val="0"/>
          <w:sz w:val="17"/>
        </w:rPr>
        <w:t>TBD-RETENTION-001</w:t>
      </w:r>
      <w:r>
        <w:rPr>
          <w:sz w:val="18"/>
        </w:rPr>
        <w:t xml:space="preserve">, </w:t>
      </w:r>
      <w:r>
        <w:rPr>
          <w:rFonts w:ascii="Consolas" w:hAnsi="Consolas"/>
          <w:b w:val="0"/>
          <w:i w:val="0"/>
          <w:sz w:val="17"/>
        </w:rPr>
        <w:t>TBD-DATA-001</w:t>
      </w:r>
      <w:r>
        <w:rPr>
          <w:sz w:val="18"/>
        </w:rPr>
        <w:t>.</w:t>
      </w:r>
    </w:p>
    <w:p>
      <w:pPr>
        <w:pStyle w:val="Heading2"/>
        <w:keepNext/>
        <w:pageBreakBefore w:val="0"/>
      </w:pPr>
      <w:r>
        <w:t>2. Installation Guides</w:t>
      </w:r>
    </w:p>
    <w:p>
      <w:pPr>
        <w:spacing w:after="80" w:line="240" w:lineRule="auto"/>
      </w:pPr>
      <w:r>
        <w:rPr>
          <w:sz w:val="19"/>
        </w:rPr>
        <w:t xml:space="preserve">This section maps the original DOCX heading </w:t>
      </w:r>
      <w:r>
        <w:rPr>
          <w:b/>
          <w:i w:val="0"/>
          <w:sz w:val="19"/>
        </w:rPr>
        <w:t>2. Installation Guides</w:t>
      </w:r>
      <w:r>
        <w:rPr>
          <w:sz w:val="19"/>
        </w:rPr>
        <w:t>. It is written for operators and business users. It gives safe prerequisites, access/setup, verification, recovery, and escalation steps without exposing secrets or instructing users to use internal service ports directly.</w:t>
      </w:r>
    </w:p>
    <w:p>
      <w:pPr>
        <w:pStyle w:val="Heading3"/>
        <w:keepNext/>
        <w:pageBreakBefore w:val="0"/>
      </w:pPr>
      <w:r>
        <w:t>2.1 Installation and access responsibilities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17"/>
        <w:gridCol w:w="3017"/>
        <w:gridCol w:w="3017"/>
      </w:tblGrid>
      <w:tr>
        <w:trPr>
          <w:tblHeader w:val="true"/>
          <w:cantSplit/>
        </w:trPr>
        <w:tc>
          <w:tcPr>
            <w:tcW w:type="dxa" w:w="22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FE8E1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b/>
                <w:sz w:val="17"/>
              </w:rPr>
              <w:t>Area</w:t>
            </w:r>
          </w:p>
        </w:tc>
        <w:tc>
          <w:tcPr>
            <w:tcW w:type="dxa" w:w="475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FE8E1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b/>
                <w:sz w:val="17"/>
              </w:rPr>
              <w:t>Responsible person/team</w:t>
            </w:r>
          </w:p>
        </w:tc>
        <w:tc>
          <w:tcPr>
            <w:tcW w:type="dxa" w:w="268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FE8E1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b/>
                <w:sz w:val="17"/>
              </w:rPr>
              <w:t>Safe boundary</w:t>
            </w:r>
          </w:p>
        </w:tc>
      </w:tr>
      <w:tr>
        <w:trPr>
          <w:cantSplit/>
        </w:trPr>
        <w:tc>
          <w:tcPr>
            <w:tcW w:type="dxa" w:w="22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Hosted application/deployment</w:t>
            </w:r>
          </w:p>
        </w:tc>
        <w:tc>
          <w:tcPr>
            <w:tcW w:type="dxa" w:w="475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Operations owner</w:t>
            </w:r>
          </w:p>
        </w:tc>
        <w:tc>
          <w:tcPr>
            <w:tcW w:type="dxa" w:w="268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Use the approved repository/workflow/secret process; do not paste secrets into documentation or commands.</w:t>
            </w:r>
          </w:p>
        </w:tc>
      </w:tr>
      <w:tr>
        <w:trPr>
          <w:cantSplit/>
        </w:trPr>
        <w:tc>
          <w:tcPr>
            <w:tcW w:type="dxa" w:w="22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Platform portal access</w:t>
            </w:r>
          </w:p>
        </w:tc>
        <w:tc>
          <w:tcPr>
            <w:tcW w:type="dxa" w:w="475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Platform Admin</w:t>
            </w:r>
          </w:p>
        </w:tc>
        <w:tc>
          <w:tcPr>
            <w:tcW w:type="dxa" w:w="268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Create/approve Platform Admin/Author access under the identity policy.</w:t>
            </w:r>
          </w:p>
        </w:tc>
      </w:tr>
      <w:tr>
        <w:trPr>
          <w:cantSplit/>
        </w:trPr>
        <w:tc>
          <w:tcPr>
            <w:tcW w:type="dxa" w:w="22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Organization onboarding</w:t>
            </w:r>
          </w:p>
        </w:tc>
        <w:tc>
          <w:tcPr>
            <w:tcW w:type="dxa" w:w="475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Platform Admin + Host</w:t>
            </w:r>
          </w:p>
        </w:tc>
        <w:tc>
          <w:tcPr>
            <w:tcW w:type="dxa" w:w="268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Registration approval precedes Host workspace/package activation.</w:t>
            </w:r>
          </w:p>
        </w:tc>
      </w:tr>
      <w:tr>
        <w:trPr>
          <w:cantSplit/>
        </w:trPr>
        <w:tc>
          <w:tcPr>
            <w:tcW w:type="dxa" w:w="22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Windows exam client</w:t>
            </w:r>
          </w:p>
        </w:tc>
        <w:tc>
          <w:tcPr>
            <w:tcW w:type="dxa" w:w="475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Host/Student support</w:t>
            </w:r>
          </w:p>
        </w:tc>
        <w:tc>
          <w:tcPr>
            <w:tcW w:type="dxa" w:w="268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Install the approved client build and run device check before a timed attempt.</w:t>
            </w:r>
          </w:p>
        </w:tc>
      </w:tr>
      <w:tr>
        <w:trPr>
          <w:cantSplit/>
        </w:trPr>
        <w:tc>
          <w:tcPr>
            <w:tcW w:type="dxa" w:w="22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External providers</w:t>
            </w:r>
          </w:p>
        </w:tc>
        <w:tc>
          <w:tcPr>
            <w:tcW w:type="dxa" w:w="475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Integration/operations owner</w:t>
            </w:r>
          </w:p>
        </w:tc>
        <w:tc>
          <w:tcPr>
            <w:tcW w:type="dxa" w:w="268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Configure provider credentials through the secret manager/environment process.</w:t>
            </w:r>
          </w:p>
        </w:tc>
      </w:tr>
      <w:tr>
        <w:trPr>
          <w:cantSplit/>
        </w:trPr>
        <w:tc>
          <w:tcPr>
            <w:tcW w:type="dxa" w:w="22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Data/backup/retention</w:t>
            </w:r>
          </w:p>
        </w:tc>
        <w:tc>
          <w:tcPr>
            <w:tcW w:type="dxa" w:w="475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Platform Admin + operations/legal owner</w:t>
            </w:r>
          </w:p>
        </w:tc>
        <w:tc>
          <w:tcPr>
            <w:tcW w:type="dxa" w:w="268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Follow organization contract and approved retention decision; current period is TBD.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 w:val="0"/>
      </w:pPr>
      <w:r>
        <w:t>2.2 Server/deployment prerequisites</w:t>
      </w:r>
    </w:p>
    <w:p>
      <w:pPr>
        <w:spacing w:after="80" w:line="240" w:lineRule="auto"/>
      </w:pPr>
      <w:r>
        <w:rPr>
          <w:sz w:val="19"/>
        </w:rPr>
        <w:t>The deployment baseline uses one Dockerized stack behind a public edge: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public edge/proxy with supported TLS/domain configuration;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rFonts w:ascii="Consolas" w:hAnsi="Consolas"/>
          <w:b w:val="0"/>
          <w:i w:val="0"/>
          <w:sz w:val="17"/>
        </w:rPr>
        <w:t>web-tenant</w:t>
      </w:r>
      <w:r>
        <w:rPr>
          <w:sz w:val="18"/>
        </w:rPr>
        <w:t xml:space="preserve"> and </w:t>
      </w:r>
      <w:r>
        <w:rPr>
          <w:rFonts w:ascii="Consolas" w:hAnsi="Consolas"/>
          <w:b w:val="0"/>
          <w:i w:val="0"/>
          <w:sz w:val="17"/>
        </w:rPr>
        <w:t>web-vendor</w:t>
      </w:r>
      <w:r>
        <w:rPr>
          <w:sz w:val="18"/>
        </w:rPr>
        <w:t xml:space="preserve"> web applications;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rFonts w:ascii="Consolas" w:hAnsi="Consolas"/>
          <w:b w:val="0"/>
          <w:i w:val="0"/>
          <w:sz w:val="17"/>
        </w:rPr>
        <w:t>app</w:t>
      </w:r>
      <w:r>
        <w:rPr>
          <w:sz w:val="18"/>
        </w:rPr>
        <w:t xml:space="preserve"> Spring/Java modular-monolith application;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PostgreSQL database with the expected migrations;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Redis and RabbitMQ services when the enabled feature requires them;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health/observability access for the operations owner;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approved configuration/secret source with least-privilege values;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backup/restore and rollback procedure approved for the environment.</w:t>
      </w:r>
    </w:p>
    <w:p>
      <w:pPr>
        <w:spacing w:after="80" w:line="240" w:lineRule="auto"/>
      </w:pPr>
      <w:r>
        <w:rPr>
          <w:sz w:val="19"/>
        </w:rPr>
        <w:t xml:space="preserve">The exact host size, browser matrix, provider contract, and Windows hardware matrix are environment decisions. Use </w:t>
      </w:r>
      <w:r>
        <w:rPr>
          <w:rFonts w:ascii="Consolas" w:hAnsi="Consolas"/>
          <w:b w:val="0"/>
          <w:i w:val="0"/>
          <w:sz w:val="17"/>
        </w:rPr>
        <w:t>TBD-CLIENT-001</w:t>
      </w:r>
      <w:r>
        <w:rPr>
          <w:sz w:val="19"/>
        </w:rPr>
        <w:t xml:space="preserve"> and the approved operations checklist rather than guessing a number in a user guide.</w:t>
      </w:r>
    </w:p>
    <w:p>
      <w:pPr>
        <w:pStyle w:val="Heading3"/>
        <w:keepNext/>
        <w:pageBreakBefore w:val="0"/>
      </w:pPr>
      <w:r>
        <w:t>2.3 Web-user prerequisites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Use a supported modern browser with JavaScript/cookies permitted by the organization policy.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Use the public edge URL supplied by the Platform Admin; do not browse to an internal backend port.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Confirm the account is active and has the intended role/scope.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Use synthetic or authorized organization data only in a test/stage environment.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Confirm the organization is approved before expecting a Host workspace.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Confirm package/license readiness before creating an exam.</w:t>
      </w:r>
    </w:p>
    <w:p>
      <w:pPr>
        <w:pStyle w:val="Heading3"/>
        <w:keepNext/>
        <w:pageBreakBefore w:val="0"/>
      </w:pPr>
      <w:r>
        <w:t>2.4 Windows exam-client prerequisites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Install the approved Windows-first client build from the organization’s release channel.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Sign in with the assigned Student account; do not share credentials.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Confirm microphone/audio input and required device permissions.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Confirm the exam mode’s network and integrity policy.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Close unsupported applications or follow the Proctor’s instructions where a controlled policy requires it.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Run the device check before the timer begins.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Confirm that local storage is available for the answer queue; the client must show save/sync status.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If the device check fails, do not start timed work; capture the safe error reference and escalate.</w:t>
      </w:r>
    </w:p>
    <w:p>
      <w:pPr>
        <w:spacing w:after="80" w:line="240" w:lineRule="auto"/>
      </w:pPr>
      <w:r>
        <w:rPr>
          <w:b/>
          <w:i w:val="0"/>
          <w:sz w:val="19"/>
        </w:rPr>
        <w:t>Requirement links:</w:t>
      </w:r>
      <w:r>
        <w:rPr>
          <w:sz w:val="19"/>
        </w:rPr>
        <w:t xml:space="preserve"> </w:t>
      </w:r>
      <w:r>
        <w:rPr>
          <w:rFonts w:ascii="Consolas" w:hAnsi="Consolas"/>
          <w:b w:val="0"/>
          <w:i w:val="0"/>
          <w:sz w:val="17"/>
        </w:rPr>
        <w:t>FR-DELIVERY-001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FR-DELIVERY-006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NFR-18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TBD-CLIENT-001</w:t>
      </w:r>
      <w:r>
        <w:rPr>
          <w:sz w:val="19"/>
        </w:rPr>
        <w:t>.</w:t>
      </w:r>
    </w:p>
    <w:p>
      <w:pPr>
        <w:pStyle w:val="Heading3"/>
        <w:keepNext/>
        <w:pageBreakBefore w:val="0"/>
      </w:pPr>
      <w:r>
        <w:t>2.5 `STEP-INSTALL-001` — Prepare a hosted environment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Confirm the release identifier, target environment, and approved change/rollback owner.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Confirm the repository/build artifacts correspond to the release record.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Load configuration from the approved secret/environment process. Never put values in this document, shell history, screenshots, or logs.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Validate Compose configuration and required service names without printing environment values.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Start or update only the approved stack for the environment.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Confirm the edge, web applications, application, PostgreSQL, Redis, and RabbitMQ report the expected process/health state.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Run a safe application health check through the approved operations path.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Confirm database migrations completed and no destructive data action was requested.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 xml:space="preserve">Record environment/build/health evidence as </w:t>
      </w:r>
      <w:r>
        <w:rPr>
          <w:rFonts w:ascii="Consolas" w:hAnsi="Consolas"/>
          <w:b w:val="0"/>
          <w:i w:val="0"/>
          <w:sz w:val="17"/>
        </w:rPr>
        <w:t>EVD-OPS-*</w:t>
      </w:r>
      <w:r>
        <w:rPr>
          <w:sz w:val="18"/>
        </w:rPr>
        <w:t xml:space="preserve"> with masked output.</w:t>
      </w:r>
    </w:p>
    <w:p>
      <w:pPr>
        <w:spacing w:after="80" w:line="240" w:lineRule="auto"/>
      </w:pPr>
      <w:r>
        <w:rPr>
          <w:b/>
          <w:i w:val="0"/>
          <w:sz w:val="19"/>
        </w:rPr>
        <w:t>Expected result:</w:t>
      </w:r>
      <w:r>
        <w:rPr>
          <w:sz w:val="19"/>
        </w:rPr>
        <w:t xml:space="preserve"> The public edge routes to the intended web/API applications; internal services remain internal. </w:t>
      </w:r>
      <w:r>
        <w:rPr>
          <w:b/>
          <w:i w:val="0"/>
          <w:sz w:val="19"/>
        </w:rPr>
        <w:t>Error/recovery:</w:t>
      </w:r>
      <w:r>
        <w:rPr>
          <w:sz w:val="19"/>
        </w:rPr>
        <w:t xml:space="preserve"> If a service fails health, stop release handoff, inspect the failed service logs/status, and follow the rollback owner’s procedure. Do not delete database volumes as a first response. </w:t>
      </w:r>
      <w:r>
        <w:rPr>
          <w:b/>
          <w:i w:val="0"/>
          <w:sz w:val="19"/>
        </w:rPr>
        <w:t>Traceability:</w:t>
      </w:r>
      <w:r>
        <w:rPr>
          <w:sz w:val="19"/>
        </w:rPr>
        <w:t xml:space="preserve"> </w:t>
      </w:r>
      <w:r>
        <w:rPr>
          <w:rFonts w:ascii="Consolas" w:hAnsi="Consolas"/>
          <w:b w:val="0"/>
          <w:i w:val="0"/>
          <w:sz w:val="17"/>
        </w:rPr>
        <w:t>SD-ARCH-DEPLOY-001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NFR-05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NFR-08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NFR-19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TC-OPS-001</w:t>
      </w:r>
      <w:r>
        <w:rPr>
          <w:sz w:val="19"/>
        </w:rPr>
        <w:t>.</w:t>
      </w:r>
    </w:p>
    <w:p>
      <w:pPr>
        <w:pStyle w:val="Heading3"/>
        <w:keepNext/>
        <w:pageBreakBefore w:val="0"/>
      </w:pPr>
      <w:r>
        <w:t>2.6 `STEP-INSTALL-002` — Configure an organization safely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Platform Admin confirms the organization registration is approved.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Create/confirm the first Host access and organization scope.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Host signs in through the public organization portal.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Host checks organization identity, Student capacity, package/license state, and staff assignment policy.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Host activates/redeems an eligible package separately from registration.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Confirm the package dates/limits are visible before creating an exam.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Record any payment/provider pending state with its correlation reference; do not treat a browser return as payment proof.</w:t>
      </w:r>
    </w:p>
    <w:p>
      <w:pPr>
        <w:spacing w:after="80" w:line="240" w:lineRule="auto"/>
      </w:pPr>
      <w:r>
        <w:rPr>
          <w:b/>
          <w:i w:val="0"/>
          <w:sz w:val="19"/>
        </w:rPr>
        <w:t>Expected result:</w:t>
      </w:r>
      <w:r>
        <w:rPr>
          <w:sz w:val="19"/>
        </w:rPr>
        <w:t xml:space="preserve"> Organization workspace and package state are understandable and separate. </w:t>
      </w:r>
      <w:r>
        <w:rPr>
          <w:b/>
          <w:i w:val="0"/>
          <w:sz w:val="19"/>
        </w:rPr>
        <w:t>Error/recovery:</w:t>
      </w:r>
      <w:r>
        <w:rPr>
          <w:sz w:val="19"/>
        </w:rPr>
        <w:t xml:space="preserve"> Rejected registration, inactive package, duplicate callback, or expired license remains visible with an owner/action. </w:t>
      </w:r>
      <w:r>
        <w:rPr>
          <w:b/>
          <w:i w:val="0"/>
          <w:sz w:val="19"/>
        </w:rPr>
        <w:t>Traceability:</w:t>
      </w:r>
      <w:r>
        <w:rPr>
          <w:sz w:val="19"/>
        </w:rPr>
        <w:t xml:space="preserve"> </w:t>
      </w:r>
      <w:r>
        <w:rPr>
          <w:rFonts w:ascii="Consolas" w:hAnsi="Consolas"/>
          <w:b w:val="0"/>
          <w:i w:val="0"/>
          <w:sz w:val="17"/>
        </w:rPr>
        <w:t>FR-ONBOARD-002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FR-PACKAGE-003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FR-PACKAGE-005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TC-ACCESS-002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TC-PACKAGE-002</w:t>
      </w:r>
      <w:r>
        <w:rPr>
          <w:sz w:val="19"/>
        </w:rPr>
        <w:t>.</w:t>
      </w:r>
    </w:p>
    <w:p>
      <w:pPr>
        <w:pStyle w:val="Heading3"/>
        <w:keepNext/>
        <w:pageBreakBefore w:val="0"/>
      </w:pPr>
      <w:r>
        <w:t>2.7 `STEP-INSTALL-003` — Verify an exam client before an exam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Student opens the assigned exam from the Windows client.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Confirm the exam is published/open and the Student is in the frozen audience.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Run device, microphone, audio, connectivity, and policy checks.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Confirm the first task loads from the fixed exam version.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Save a safe test response only where the organization test procedure permits it.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Confirm local save/sync state and remove the test attempt according to the approved data procedure.</w:t>
      </w:r>
    </w:p>
    <w:p>
      <w:pPr>
        <w:spacing w:after="80" w:line="240" w:lineRule="auto"/>
      </w:pPr>
      <w:r>
        <w:rPr>
          <w:b/>
          <w:i w:val="0"/>
          <w:sz w:val="19"/>
        </w:rPr>
        <w:t>Expected result:</w:t>
      </w:r>
      <w:r>
        <w:rPr>
          <w:sz w:val="19"/>
        </w:rPr>
        <w:t xml:space="preserve"> Student can identify readiness before timed work; a failure does not start a misleading timer. </w:t>
      </w:r>
      <w:r>
        <w:rPr>
          <w:b/>
          <w:i w:val="0"/>
          <w:sz w:val="19"/>
        </w:rPr>
        <w:t>Error/recovery:</w:t>
      </w:r>
      <w:r>
        <w:rPr>
          <w:sz w:val="19"/>
        </w:rPr>
        <w:t xml:space="preserve"> Capture the client status/reference, correct the device or contact Host/Proctor support, and do not repeat a timed attempt without policy approval. </w:t>
      </w:r>
      <w:r>
        <w:rPr>
          <w:b/>
          <w:i w:val="0"/>
          <w:sz w:val="19"/>
        </w:rPr>
        <w:t>Traceability:</w:t>
      </w:r>
      <w:r>
        <w:rPr>
          <w:sz w:val="19"/>
        </w:rPr>
        <w:t xml:space="preserve"> </w:t>
      </w:r>
      <w:r>
        <w:rPr>
          <w:rFonts w:ascii="Consolas" w:hAnsi="Consolas"/>
          <w:b w:val="0"/>
          <w:i w:val="0"/>
          <w:sz w:val="17"/>
        </w:rPr>
        <w:t>FR-DELIVERY-001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FR-DELIVERY-004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TC-DELIVERY-002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TC-DELIVERY-003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NFR-18</w:t>
      </w:r>
      <w:r>
        <w:rPr>
          <w:sz w:val="19"/>
        </w:rPr>
        <w:t>.</w:t>
      </w:r>
    </w:p>
    <w:p>
      <w:pPr>
        <w:pStyle w:val="Heading3"/>
        <w:keepNext/>
        <w:pageBreakBefore w:val="0"/>
      </w:pPr>
      <w:r>
        <w:t>2.8 Configuration and secret-handling checklist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Configuration names and required/optional status may be documented; secret values may not.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Provider credentials are stored in the approved environment/secret manager with least privilege.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Public URLs may be documented when safe; internal database/queue credentials and private endpoints are not.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 xml:space="preserve">Example commands use placeholders such as </w:t>
      </w:r>
      <w:r>
        <w:rPr>
          <w:rFonts w:ascii="Consolas" w:hAnsi="Consolas"/>
          <w:b w:val="0"/>
          <w:i w:val="0"/>
          <w:sz w:val="17"/>
        </w:rPr>
        <w:t>&lt;approved-secret-reference&gt;</w:t>
      </w:r>
      <w:r>
        <w:rPr>
          <w:sz w:val="18"/>
        </w:rPr>
        <w:t>, never real values.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Logs and screenshots mask emails, Student IDs, answer/media content, tokens, and provider payloads.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A provider sandbox/simulation is labelled clearly in test evidence.</w:t>
      </w:r>
    </w:p>
    <w:p>
      <w:pPr>
        <w:pStyle w:val="Heading3"/>
        <w:keepNext/>
        <w:pageBreakBefore w:val="0"/>
      </w:pPr>
      <w:r>
        <w:t>2.9 Health and verification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17"/>
        <w:gridCol w:w="3017"/>
        <w:gridCol w:w="3017"/>
      </w:tblGrid>
      <w:tr>
        <w:trPr>
          <w:tblHeader w:val="true"/>
          <w:cantSplit/>
        </w:trPr>
        <w:tc>
          <w:tcPr>
            <w:tcW w:type="dxa" w:w="21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FE8E1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b/>
                <w:sz w:val="17"/>
              </w:rPr>
              <w:t>Check</w:t>
            </w:r>
          </w:p>
        </w:tc>
        <w:tc>
          <w:tcPr>
            <w:tcW w:type="dxa" w:w="396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FE8E1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b/>
                <w:sz w:val="17"/>
              </w:rPr>
              <w:t>Expected observation</w:t>
            </w:r>
          </w:p>
        </w:tc>
        <w:tc>
          <w:tcPr>
            <w:tcW w:type="dxa" w:w="357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FE8E1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b/>
                <w:sz w:val="17"/>
              </w:rPr>
              <w:t>Evidence ID/status</w:t>
            </w:r>
          </w:p>
        </w:tc>
      </w:tr>
      <w:tr>
        <w:trPr>
          <w:cantSplit/>
        </w:trPr>
        <w:tc>
          <w:tcPr>
            <w:tcW w:type="dxa" w:w="21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Public edge</w:t>
            </w:r>
          </w:p>
        </w:tc>
        <w:tc>
          <w:tcPr>
            <w:tcW w:type="dxa" w:w="396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Supported domain responds and routes to the intended web app/API.</w:t>
            </w:r>
          </w:p>
        </w:tc>
        <w:tc>
          <w:tcPr>
            <w:tcW w:type="dxa" w:w="357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EVD-OPS-EDGE-*</w:t>
            </w:r>
            <w:r>
              <w:rPr>
                <w:sz w:val="17"/>
              </w:rPr>
              <w:t>; execute per environment.</w:t>
            </w:r>
          </w:p>
        </w:tc>
      </w:tr>
      <w:tr>
        <w:trPr>
          <w:cantSplit/>
        </w:trPr>
        <w:tc>
          <w:tcPr>
            <w:tcW w:type="dxa" w:w="21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Web tenant/vendor</w:t>
            </w:r>
          </w:p>
        </w:tc>
        <w:tc>
          <w:tcPr>
            <w:tcW w:type="dxa" w:w="396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Portal loads without exposing internal addresses.</w:t>
            </w:r>
          </w:p>
        </w:tc>
        <w:tc>
          <w:tcPr>
            <w:tcW w:type="dxa" w:w="357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EVD-OPS-WEB-*</w:t>
            </w:r>
            <w:r>
              <w:rPr>
                <w:sz w:val="17"/>
              </w:rPr>
              <w:t>; environment-specific.</w:t>
            </w:r>
          </w:p>
        </w:tc>
      </w:tr>
      <w:tr>
        <w:trPr>
          <w:cantSplit/>
        </w:trPr>
        <w:tc>
          <w:tcPr>
            <w:tcW w:type="dxa" w:w="21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Application health</w:t>
            </w:r>
          </w:p>
        </w:tc>
        <w:tc>
          <w:tcPr>
            <w:tcW w:type="dxa" w:w="396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Approved health endpoint/process reports usable state.</w:t>
            </w:r>
          </w:p>
        </w:tc>
        <w:tc>
          <w:tcPr>
            <w:tcW w:type="dxa" w:w="357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EVD-OPS-APP-*</w:t>
            </w:r>
            <w:r>
              <w:rPr>
                <w:sz w:val="17"/>
              </w:rPr>
              <w:t>; not a full business E2E proof.</w:t>
            </w:r>
          </w:p>
        </w:tc>
      </w:tr>
      <w:tr>
        <w:trPr>
          <w:cantSplit/>
        </w:trPr>
        <w:tc>
          <w:tcPr>
            <w:tcW w:type="dxa" w:w="21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PostgreSQL</w:t>
            </w:r>
          </w:p>
        </w:tc>
        <w:tc>
          <w:tcPr>
            <w:tcW w:type="dxa" w:w="396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Database health/migrations are valid.</w:t>
            </w:r>
          </w:p>
        </w:tc>
        <w:tc>
          <w:tcPr>
            <w:tcW w:type="dxa" w:w="357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EVD-OPS-DB-*</w:t>
            </w:r>
            <w:r>
              <w:rPr>
                <w:sz w:val="17"/>
              </w:rPr>
              <w:t>; no sensitive rows exported.</w:t>
            </w:r>
          </w:p>
        </w:tc>
      </w:tr>
      <w:tr>
        <w:trPr>
          <w:cantSplit/>
        </w:trPr>
        <w:tc>
          <w:tcPr>
            <w:tcW w:type="dxa" w:w="21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Redis/RabbitMQ</w:t>
            </w:r>
          </w:p>
        </w:tc>
        <w:tc>
          <w:tcPr>
            <w:tcW w:type="dxa" w:w="396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Supporting service health is visible when enabled.</w:t>
            </w:r>
          </w:p>
        </w:tc>
        <w:tc>
          <w:tcPr>
            <w:tcW w:type="dxa" w:w="357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EVD-OPS-INFRA-*</w:t>
            </w:r>
            <w:r>
              <w:rPr>
                <w:sz w:val="17"/>
              </w:rPr>
              <w:t>.</w:t>
            </w:r>
          </w:p>
        </w:tc>
      </w:tr>
      <w:tr>
        <w:trPr>
          <w:cantSplit/>
        </w:trPr>
        <w:tc>
          <w:tcPr>
            <w:tcW w:type="dxa" w:w="21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Student client</w:t>
            </w:r>
          </w:p>
        </w:tc>
        <w:tc>
          <w:tcPr>
            <w:tcW w:type="dxa" w:w="396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Device check, first task, local save, and sync status work in a safe test.</w:t>
            </w:r>
          </w:p>
        </w:tc>
        <w:tc>
          <w:tcPr>
            <w:tcW w:type="dxa" w:w="357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EVD-CLIENT-*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b w:val="0"/>
                <w:i w:val="0"/>
                <w:sz w:val="17"/>
              </w:rPr>
              <w:t>TBD-CLIENT-001</w:t>
            </w:r>
            <w:r>
              <w:rPr>
                <w:sz w:val="17"/>
              </w:rPr>
              <w:t xml:space="preserve"> if incomplete.</w:t>
            </w:r>
          </w:p>
        </w:tc>
      </w:tr>
      <w:tr>
        <w:trPr>
          <w:cantSplit/>
        </w:trPr>
        <w:tc>
          <w:tcPr>
            <w:tcW w:type="dxa" w:w="21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Provider boundaries</w:t>
            </w:r>
          </w:p>
        </w:tc>
        <w:tc>
          <w:tcPr>
            <w:tcW w:type="dxa" w:w="396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Payment/media/AI/notification state is observable without secrets.</w:t>
            </w:r>
          </w:p>
        </w:tc>
        <w:tc>
          <w:tcPr>
            <w:tcW w:type="dxa" w:w="357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EVD-INTEGRATION-*</w:t>
            </w:r>
            <w:r>
              <w:rPr>
                <w:sz w:val="17"/>
              </w:rPr>
              <w:t>; sandbox/live mode recorded.</w:t>
            </w:r>
          </w:p>
        </w:tc>
      </w:tr>
    </w:tbl>
    <w:p>
      <w:pPr>
        <w:spacing w:after="20"/>
      </w:pPr>
    </w:p>
    <w:p>
      <w:pPr>
        <w:pStyle w:val="Heading3"/>
        <w:keepNext/>
        <w:pageBreakBefore w:val="0"/>
      </w:pPr>
      <w:r>
        <w:t>2.10 Migration, rollback, and recovery</w:t>
      </w:r>
    </w:p>
    <w:p>
      <w:pPr>
        <w:pStyle w:val="Heading4"/>
        <w:keepNext/>
        <w:pageBreakBefore w:val="0"/>
      </w:pPr>
      <w:r>
        <w:t>Data/migration safeguard</w:t>
      </w:r>
    </w:p>
    <w:p>
      <w:pPr>
        <w:spacing w:after="80" w:line="240" w:lineRule="auto"/>
      </w:pPr>
      <w:r>
        <w:rPr>
          <w:sz w:val="19"/>
        </w:rPr>
        <w:t>Before a schema/configuration change, record release/build, backup evidence, migration order, compatibility window, and rollback owner. Preserve exam/version/attempt/report provenance. Do not use destructive volume deletion as a routine migration step.</w:t>
      </w:r>
    </w:p>
    <w:p>
      <w:pPr>
        <w:pStyle w:val="Heading4"/>
        <w:keepNext/>
        <w:pageBreakBefore w:val="0"/>
      </w:pPr>
      <w:r>
        <w:t>Rollback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Declare the release issue and stop new handoff actions.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Identify whether the issue is web, application, migration, provider, or data integrity.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Follow the approved version rollback/migration compatibility procedure.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Verify public edge and service health.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Verify a safe synthetic organization/exam/report read path.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Confirm no duplicate payment, answer, score, or publication was created.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 xml:space="preserve">Record the timeline and evidence; update the related </w:t>
      </w:r>
      <w:r>
        <w:rPr>
          <w:rFonts w:ascii="Consolas" w:hAnsi="Consolas"/>
          <w:b w:val="0"/>
          <w:i w:val="0"/>
          <w:sz w:val="17"/>
        </w:rPr>
        <w:t>BUG-*</w:t>
      </w:r>
      <w:r>
        <w:rPr>
          <w:sz w:val="18"/>
        </w:rPr>
        <w:t>/</w:t>
      </w:r>
      <w:r>
        <w:rPr>
          <w:rFonts w:ascii="Consolas" w:hAnsi="Consolas"/>
          <w:b w:val="0"/>
          <w:i w:val="0"/>
          <w:sz w:val="17"/>
        </w:rPr>
        <w:t>TBD-*</w:t>
      </w:r>
      <w:r>
        <w:rPr>
          <w:sz w:val="18"/>
        </w:rPr>
        <w:t xml:space="preserve"> item.</w:t>
      </w:r>
    </w:p>
    <w:p>
      <w:pPr>
        <w:pStyle w:val="Heading4"/>
        <w:keepNext/>
        <w:pageBreakBefore w:val="0"/>
      </w:pPr>
      <w:r>
        <w:t>Student connectivity recovery</w:t>
      </w:r>
    </w:p>
    <w:p>
      <w:pPr>
        <w:spacing w:after="80" w:line="240" w:lineRule="auto"/>
      </w:pPr>
      <w:r>
        <w:rPr>
          <w:sz w:val="19"/>
        </w:rPr>
        <w:t>The Student follows the client’s visible local-save/retry status. The Host/Proctor must not tell the Student that an answer is submitted until the client/server state confirms it. If local storage or device failure prevents recovery, preserve the safe status and escalate; do not manually invent a score/report.</w:t>
      </w:r>
    </w:p>
    <w:p>
      <w:pPr>
        <w:pStyle w:val="Heading3"/>
        <w:keepNext/>
        <w:pageBreakBefore w:val="0"/>
      </w:pPr>
      <w:r>
        <w:t>2.11 Support escalation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2"/>
        <w:gridCol w:w="2262"/>
        <w:gridCol w:w="2262"/>
        <w:gridCol w:w="2262"/>
      </w:tblGrid>
      <w:tr>
        <w:trPr>
          <w:tblHeader w:val="true"/>
          <w:cantSplit/>
        </w:trPr>
        <w:tc>
          <w:tcPr>
            <w:tcW w:type="dxa" w:w="19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FE8E1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b/>
                <w:sz w:val="17"/>
              </w:rPr>
              <w:t>Problem</w:t>
            </w:r>
          </w:p>
        </w:tc>
        <w:tc>
          <w:tcPr>
            <w:tcW w:type="dxa" w:w="260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FE8E1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b/>
                <w:sz w:val="17"/>
              </w:rPr>
              <w:t>First responder</w:t>
            </w:r>
          </w:p>
        </w:tc>
        <w:tc>
          <w:tcPr>
            <w:tcW w:type="dxa" w:w="19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FE8E1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b/>
                <w:sz w:val="17"/>
              </w:rPr>
              <w:t>Escalate to</w:t>
            </w:r>
          </w:p>
        </w:tc>
        <w:tc>
          <w:tcPr>
            <w:tcW w:type="dxa" w:w="329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FE8E1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b/>
                <w:sz w:val="17"/>
              </w:rPr>
              <w:t>Evidence to include</w:t>
            </w:r>
          </w:p>
        </w:tc>
      </w:tr>
      <w:tr>
        <w:trPr>
          <w:cantSplit/>
        </w:trPr>
        <w:tc>
          <w:tcPr>
            <w:tcW w:type="dxa" w:w="19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Login/session</w:t>
            </w:r>
          </w:p>
        </w:tc>
        <w:tc>
          <w:tcPr>
            <w:tcW w:type="dxa" w:w="260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Account holder/Host</w:t>
            </w:r>
          </w:p>
        </w:tc>
        <w:tc>
          <w:tcPr>
            <w:tcW w:type="dxa" w:w="19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Platform Admin</w:t>
            </w:r>
          </w:p>
        </w:tc>
        <w:tc>
          <w:tcPr>
            <w:tcW w:type="dxa" w:w="329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Safe message/reference, role, organization; never password/token.</w:t>
            </w:r>
          </w:p>
        </w:tc>
      </w:tr>
      <w:tr>
        <w:trPr>
          <w:cantSplit/>
        </w:trPr>
        <w:tc>
          <w:tcPr>
            <w:tcW w:type="dxa" w:w="19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Package/payment</w:t>
            </w:r>
          </w:p>
        </w:tc>
        <w:tc>
          <w:tcPr>
            <w:tcW w:type="dxa" w:w="260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Host</w:t>
            </w:r>
          </w:p>
        </w:tc>
        <w:tc>
          <w:tcPr>
            <w:tcW w:type="dxa" w:w="19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Platform Admin/integration owner</w:t>
            </w:r>
          </w:p>
        </w:tc>
        <w:tc>
          <w:tcPr>
            <w:tcW w:type="dxa" w:w="329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Order/license correlation and provider state.</w:t>
            </w:r>
          </w:p>
        </w:tc>
      </w:tr>
      <w:tr>
        <w:trPr>
          <w:cantSplit/>
        </w:trPr>
        <w:tc>
          <w:tcPr>
            <w:tcW w:type="dxa" w:w="19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Content/media</w:t>
            </w:r>
          </w:p>
        </w:tc>
        <w:tc>
          <w:tcPr>
            <w:tcW w:type="dxa" w:w="260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Platform Author</w:t>
            </w:r>
          </w:p>
        </w:tc>
        <w:tc>
          <w:tcPr>
            <w:tcW w:type="dxa" w:w="19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Platform Admin/media owner</w:t>
            </w:r>
          </w:p>
        </w:tc>
        <w:tc>
          <w:tcPr>
            <w:tcW w:type="dxa" w:w="329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Question revision, media status, error reference.</w:t>
            </w:r>
          </w:p>
        </w:tc>
      </w:tr>
      <w:tr>
        <w:trPr>
          <w:cantSplit/>
        </w:trPr>
        <w:tc>
          <w:tcPr>
            <w:tcW w:type="dxa" w:w="19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Exam generation/conflict</w:t>
            </w:r>
          </w:p>
        </w:tc>
        <w:tc>
          <w:tcPr>
            <w:tcW w:type="dxa" w:w="260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Host</w:t>
            </w:r>
          </w:p>
        </w:tc>
        <w:tc>
          <w:tcPr>
            <w:tcW w:type="dxa" w:w="19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Platform/technical owner</w:t>
            </w:r>
          </w:p>
        </w:tc>
        <w:tc>
          <w:tcPr>
            <w:tcW w:type="dxa" w:w="329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Exam draft ID, validation blockers, generation state.</w:t>
            </w:r>
          </w:p>
        </w:tc>
      </w:tr>
      <w:tr>
        <w:trPr>
          <w:cantSplit/>
        </w:trPr>
        <w:tc>
          <w:tcPr>
            <w:tcW w:type="dxa" w:w="19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Device/audio</w:t>
            </w:r>
          </w:p>
        </w:tc>
        <w:tc>
          <w:tcPr>
            <w:tcW w:type="dxa" w:w="260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Student/Proctor</w:t>
            </w:r>
          </w:p>
        </w:tc>
        <w:tc>
          <w:tcPr>
            <w:tcW w:type="dxa" w:w="19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Host/exam-client owner</w:t>
            </w:r>
          </w:p>
        </w:tc>
        <w:tc>
          <w:tcPr>
            <w:tcW w:type="dxa" w:w="329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Device-check item and client build.</w:t>
            </w:r>
          </w:p>
        </w:tc>
      </w:tr>
      <w:tr>
        <w:trPr>
          <w:cantSplit/>
        </w:trPr>
        <w:tc>
          <w:tcPr>
            <w:tcW w:type="dxa" w:w="19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Answer sync</w:t>
            </w:r>
          </w:p>
        </w:tc>
        <w:tc>
          <w:tcPr>
            <w:tcW w:type="dxa" w:w="260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Student/Proctor</w:t>
            </w:r>
          </w:p>
        </w:tc>
        <w:tc>
          <w:tcPr>
            <w:tcW w:type="dxa" w:w="19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Host/technical owner</w:t>
            </w:r>
          </w:p>
        </w:tc>
        <w:tc>
          <w:tcPr>
            <w:tcW w:type="dxa" w:w="329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Attempt/task correlation, local/sync state, time.</w:t>
            </w:r>
          </w:p>
        </w:tc>
      </w:tr>
      <w:tr>
        <w:trPr>
          <w:cantSplit/>
        </w:trPr>
        <w:tc>
          <w:tcPr>
            <w:tcW w:type="dxa" w:w="19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Violation/audit</w:t>
            </w:r>
          </w:p>
        </w:tc>
        <w:tc>
          <w:tcPr>
            <w:tcW w:type="dxa" w:w="260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Proctor/Host</w:t>
            </w:r>
          </w:p>
        </w:tc>
        <w:tc>
          <w:tcPr>
            <w:tcW w:type="dxa" w:w="19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Integrity/technical owner</w:t>
            </w:r>
          </w:p>
        </w:tc>
        <w:tc>
          <w:tcPr>
            <w:tcW w:type="dxa" w:w="329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Assigned exam, event reference, policy; no raw sensitive payload.</w:t>
            </w:r>
          </w:p>
        </w:tc>
      </w:tr>
      <w:tr>
        <w:trPr>
          <w:cantSplit/>
        </w:trPr>
        <w:tc>
          <w:tcPr>
            <w:tcW w:type="dxa" w:w="19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Score/publication</w:t>
            </w:r>
          </w:p>
        </w:tc>
        <w:tc>
          <w:tcPr>
            <w:tcW w:type="dxa" w:w="260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Examiner/Host</w:t>
            </w:r>
          </w:p>
        </w:tc>
        <w:tc>
          <w:tcPr>
            <w:tcW w:type="dxa" w:w="19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Scoring/report owner</w:t>
            </w:r>
          </w:p>
        </w:tc>
        <w:tc>
          <w:tcPr>
            <w:tcW w:type="dxa" w:w="329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Source status, readiness blocker, publication state.</w:t>
            </w:r>
          </w:p>
        </w:tc>
      </w:tr>
      <w:tr>
        <w:trPr>
          <w:cantSplit/>
        </w:trPr>
        <w:tc>
          <w:tcPr>
            <w:tcW w:type="dxa" w:w="19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Notification/provider</w:t>
            </w:r>
          </w:p>
        </w:tc>
        <w:tc>
          <w:tcPr>
            <w:tcW w:type="dxa" w:w="260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Host/Platform Admin</w:t>
            </w:r>
          </w:p>
        </w:tc>
        <w:tc>
          <w:tcPr>
            <w:tcW w:type="dxa" w:w="19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Integration owner</w:t>
            </w:r>
          </w:p>
        </w:tc>
        <w:tc>
          <w:tcPr>
            <w:tcW w:type="dxa" w:w="329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Correlation/status/retry state.</w:t>
            </w:r>
          </w:p>
        </w:tc>
      </w:tr>
    </w:tbl>
    <w:p>
      <w:pPr>
        <w:spacing w:after="20"/>
      </w:pPr>
    </w:p>
    <w:p>
      <w:pPr>
        <w:pStyle w:val="Heading2"/>
        <w:keepNext/>
        <w:pageBreakBefore w:val="0"/>
      </w:pPr>
      <w:r>
        <w:t>3. User Manual</w:t>
      </w:r>
    </w:p>
    <w:p>
      <w:pPr>
        <w:spacing w:after="80" w:line="240" w:lineRule="auto"/>
      </w:pPr>
      <w:r>
        <w:rPr>
          <w:sz w:val="19"/>
        </w:rPr>
        <w:t xml:space="preserve">This section maps the original DOCX heading </w:t>
      </w:r>
      <w:r>
        <w:rPr>
          <w:b/>
          <w:i w:val="0"/>
          <w:sz w:val="19"/>
        </w:rPr>
        <w:t>3. User Manual</w:t>
      </w:r>
      <w:r>
        <w:rPr>
          <w:sz w:val="19"/>
        </w:rPr>
        <w:t>. It provides role-specific workflows for the six approved human roles. Every workflow records a stable ID, purpose, prerequisites, steps, expected result, error/recovery path, visibility/audit effect, and linked requirements/tests. External Integration Services is described as a service boundary rather than a human manual role.</w:t>
      </w:r>
    </w:p>
    <w:p>
      <w:pPr>
        <w:pStyle w:val="Heading3"/>
        <w:keepNext/>
        <w:pageBreakBefore w:val="0"/>
      </w:pPr>
      <w:r>
        <w:t>3.1 Common language and status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25"/>
        <w:gridCol w:w="4525"/>
      </w:tblGrid>
      <w:tr>
        <w:trPr>
          <w:tblHeader w:val="true"/>
          <w:cantSplit/>
        </w:trPr>
        <w:tc>
          <w:tcPr>
            <w:tcW w:type="dxa" w:w="283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FE8E1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b/>
                <w:sz w:val="17"/>
              </w:rPr>
              <w:t>Status</w:t>
            </w:r>
          </w:p>
        </w:tc>
        <w:tc>
          <w:tcPr>
            <w:tcW w:type="dxa" w:w="68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FE8E1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b/>
                <w:sz w:val="17"/>
              </w:rPr>
              <w:t>Meaning for the user</w:t>
            </w:r>
          </w:p>
        </w:tc>
      </w:tr>
      <w:tr>
        <w:trPr>
          <w:cantSplit/>
        </w:trPr>
        <w:tc>
          <w:tcPr>
            <w:tcW w:type="dxa" w:w="283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Draft</w:t>
            </w:r>
          </w:p>
        </w:tc>
        <w:tc>
          <w:tcPr>
            <w:tcW w:type="dxa" w:w="68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Still being prepared; not available for the next business step.</w:t>
            </w:r>
          </w:p>
        </w:tc>
      </w:tr>
      <w:tr>
        <w:trPr>
          <w:cantSplit/>
        </w:trPr>
        <w:tc>
          <w:tcPr>
            <w:tcW w:type="dxa" w:w="283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Pending</w:t>
            </w:r>
          </w:p>
        </w:tc>
        <w:tc>
          <w:tcPr>
            <w:tcW w:type="dxa" w:w="68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Waiting for review/provider/background work; do not assume success.</w:t>
            </w:r>
          </w:p>
        </w:tc>
      </w:tr>
      <w:tr>
        <w:trPr>
          <w:cantSplit/>
        </w:trPr>
        <w:tc>
          <w:tcPr>
            <w:tcW w:type="dxa" w:w="283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Ready</w:t>
            </w:r>
          </w:p>
        </w:tc>
        <w:tc>
          <w:tcPr>
            <w:tcW w:type="dxa" w:w="68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Required checks are complete for the next permitted action.</w:t>
            </w:r>
          </w:p>
        </w:tc>
      </w:tr>
      <w:tr>
        <w:trPr>
          <w:cantSplit/>
        </w:trPr>
        <w:tc>
          <w:tcPr>
            <w:tcW w:type="dxa" w:w="283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Published</w:t>
            </w:r>
          </w:p>
        </w:tc>
        <w:tc>
          <w:tcPr>
            <w:tcW w:type="dxa" w:w="68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Made available to the authorized next actor.</w:t>
            </w:r>
          </w:p>
        </w:tc>
      </w:tr>
      <w:tr>
        <w:trPr>
          <w:cantSplit/>
        </w:trPr>
        <w:tc>
          <w:tcPr>
            <w:tcW w:type="dxa" w:w="283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Retryable/Error</w:t>
            </w:r>
          </w:p>
        </w:tc>
        <w:tc>
          <w:tcPr>
            <w:tcW w:type="dxa" w:w="68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The action needs correction or safe retry; existing state is preserved where the policy supports it.</w:t>
            </w:r>
          </w:p>
        </w:tc>
      </w:tr>
      <w:tr>
        <w:trPr>
          <w:cantSplit/>
        </w:trPr>
        <w:tc>
          <w:tcPr>
            <w:tcW w:type="dxa" w:w="283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Locked</w:t>
            </w:r>
          </w:p>
        </w:tc>
        <w:tc>
          <w:tcPr>
            <w:tcW w:type="dxa" w:w="68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Content/policy/audience is fixed for the exam/attempt.</w:t>
            </w:r>
          </w:p>
        </w:tc>
      </w:tr>
      <w:tr>
        <w:trPr>
          <w:cantSplit/>
        </w:trPr>
        <w:tc>
          <w:tcPr>
            <w:tcW w:type="dxa" w:w="283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TBD</w:t>
            </w:r>
          </w:p>
        </w:tc>
        <w:tc>
          <w:tcPr>
            <w:tcW w:type="dxa" w:w="6881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The product policy or evidence is not fixed; contact the owner rather than guessing.</w:t>
            </w:r>
          </w:p>
        </w:tc>
      </w:tr>
    </w:tbl>
    <w:p>
      <w:pPr>
        <w:spacing w:after="20"/>
      </w:pPr>
    </w:p>
    <w:p>
      <w:pPr>
        <w:spacing w:after="80" w:line="240" w:lineRule="auto"/>
      </w:pPr>
      <w:r>
        <w:rPr>
          <w:sz w:val="19"/>
        </w:rPr>
        <w:t>The product is independent from PTE Academic and is used for practice/mock-exam simulation. A PTE Prep report is not an official PTE Academic result.</w:t>
      </w:r>
    </w:p>
    <w:p>
      <w:pPr>
        <w:pStyle w:val="Heading3"/>
        <w:keepNext/>
        <w:pageBreakBefore w:val="0"/>
      </w:pPr>
      <w:r>
        <w:t>3.2 Platform Admin workflows</w:t>
      </w:r>
    </w:p>
    <w:p>
      <w:pPr>
        <w:pStyle w:val="Heading4"/>
        <w:keepNext/>
        <w:pageBreakBefore w:val="0"/>
      </w:pPr>
      <w:r>
        <w:t>`WF-ADMIN-ONBOARD-001` — Review an organization registration</w:t>
      </w:r>
    </w:p>
    <w:p>
      <w:pPr>
        <w:spacing w:after="80" w:line="240" w:lineRule="auto"/>
      </w:pPr>
      <w:r>
        <w:rPr>
          <w:b/>
          <w:i w:val="0"/>
          <w:sz w:val="19"/>
        </w:rPr>
        <w:t>Purpose:</w:t>
      </w:r>
      <w:r>
        <w:rPr>
          <w:sz w:val="19"/>
        </w:rPr>
        <w:t xml:space="preserve"> Decide whether a pending organization can receive an active workspace. </w:t>
      </w:r>
      <w:r>
        <w:rPr>
          <w:b/>
          <w:i w:val="0"/>
          <w:sz w:val="19"/>
        </w:rPr>
        <w:t>Prerequisites:</w:t>
      </w:r>
      <w:r>
        <w:rPr>
          <w:sz w:val="19"/>
        </w:rPr>
        <w:t xml:space="preserve"> Platform Admin account is active; registration is visible as </w:t>
      </w:r>
      <w:r>
        <w:rPr>
          <w:rFonts w:ascii="Consolas" w:hAnsi="Consolas"/>
          <w:b w:val="0"/>
          <w:i w:val="0"/>
          <w:sz w:val="17"/>
        </w:rPr>
        <w:t>PENDING</w:t>
      </w:r>
      <w:r>
        <w:rPr>
          <w:sz w:val="19"/>
        </w:rPr>
        <w:t>.</w:t>
      </w:r>
    </w:p>
    <w:p>
      <w:pPr>
        <w:spacing w:after="80" w:line="240" w:lineRule="auto"/>
      </w:pPr>
      <w:r>
        <w:rPr>
          <w:b/>
          <w:i w:val="0"/>
          <w:sz w:val="19"/>
        </w:rPr>
        <w:t>Steps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Open the platform administration portal through the approved public URL.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Open the pending registration list.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Review organization/contact details and duplicate indicators.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 xml:space="preserve">Select </w:t>
      </w:r>
      <w:r>
        <w:rPr>
          <w:b/>
          <w:i w:val="0"/>
          <w:sz w:val="18"/>
        </w:rPr>
        <w:t>Approve</w:t>
      </w:r>
      <w:r>
        <w:rPr>
          <w:sz w:val="18"/>
        </w:rPr>
        <w:t xml:space="preserve"> when the request meets policy, or </w:t>
      </w:r>
      <w:r>
        <w:rPr>
          <w:b/>
          <w:i w:val="0"/>
          <w:sz w:val="18"/>
        </w:rPr>
        <w:t>Reject</w:t>
      </w:r>
      <w:r>
        <w:rPr>
          <w:sz w:val="18"/>
        </w:rPr>
        <w:t xml:space="preserve"> and enter a reason.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Confirm the decision and open the resulting status/audit reference.</w:t>
      </w:r>
    </w:p>
    <w:p>
      <w:pPr>
        <w:spacing w:after="80" w:line="240" w:lineRule="auto"/>
      </w:pPr>
      <w:r>
        <w:rPr>
          <w:b/>
          <w:i w:val="0"/>
          <w:sz w:val="19"/>
        </w:rPr>
        <w:t>Expected result:</w:t>
      </w:r>
      <w:r>
        <w:rPr>
          <w:sz w:val="19"/>
        </w:rPr>
        <w:t xml:space="preserve"> Approval creates/activates the organization and first Host according to the onboarding contract; rejection keeps the request outside an active workspace. Registration does not activate a package or charge a Student.</w:t>
      </w:r>
    </w:p>
    <w:p>
      <w:pPr>
        <w:spacing w:after="80" w:line="240" w:lineRule="auto"/>
      </w:pPr>
      <w:r>
        <w:rPr>
          <w:b/>
          <w:i w:val="0"/>
          <w:sz w:val="19"/>
        </w:rPr>
        <w:t>Error/recovery:</w:t>
      </w:r>
      <w:r>
        <w:rPr>
          <w:sz w:val="19"/>
        </w:rPr>
        <w:t xml:space="preserve"> If the request is incomplete, return it with the missing fields. If approval appears to fail, refresh/retry only after checking the recorded status; do not approve repeatedly or create a duplicate organization manually.</w:t>
      </w:r>
    </w:p>
    <w:p>
      <w:pPr>
        <w:spacing w:after="80" w:line="240" w:lineRule="auto"/>
      </w:pPr>
      <w:r>
        <w:rPr>
          <w:b/>
          <w:i w:val="0"/>
          <w:sz w:val="19"/>
        </w:rPr>
        <w:t>Visibility/audit:</w:t>
      </w:r>
      <w:r>
        <w:rPr>
          <w:sz w:val="19"/>
        </w:rPr>
        <w:t xml:space="preserve"> Platform Admin sees the registration decision; the resulting Host sees only the approved organization scope. Actor, time, decision, reason, and organization reference are audited.</w:t>
      </w:r>
    </w:p>
    <w:p>
      <w:pPr>
        <w:spacing w:after="80" w:line="240" w:lineRule="auto"/>
      </w:pPr>
      <w:r>
        <w:rPr>
          <w:b/>
          <w:i w:val="0"/>
          <w:sz w:val="19"/>
        </w:rPr>
        <w:t>Traceability:</w:t>
      </w:r>
      <w:r>
        <w:rPr>
          <w:sz w:val="19"/>
        </w:rPr>
        <w:t xml:space="preserve"> </w:t>
      </w:r>
      <w:r>
        <w:rPr>
          <w:rFonts w:ascii="Consolas" w:hAnsi="Consolas"/>
          <w:b w:val="0"/>
          <w:i w:val="0"/>
          <w:sz w:val="17"/>
        </w:rPr>
        <w:t>WF-ADMIN-ONBOARD-001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FR-ONBOARD-001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FR-ONBOARD-003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BR-ACCESS-007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BR-ACCESS-008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TC-ACCESS-001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TC-ACCESS-002</w:t>
      </w:r>
      <w:r>
        <w:rPr>
          <w:sz w:val="19"/>
        </w:rPr>
        <w:t>.</w:t>
      </w:r>
    </w:p>
    <w:p>
      <w:pPr>
        <w:pStyle w:val="Heading4"/>
        <w:keepNext/>
        <w:pageBreakBefore w:val="0"/>
      </w:pPr>
      <w:r>
        <w:t>`WF-ADMIN-CONTENT-001` — Approve shared question/media content</w:t>
      </w:r>
    </w:p>
    <w:p>
      <w:pPr>
        <w:spacing w:after="80" w:line="240" w:lineRule="auto"/>
      </w:pPr>
      <w:r>
        <w:rPr>
          <w:b/>
          <w:i w:val="0"/>
          <w:sz w:val="19"/>
        </w:rPr>
        <w:t>Prerequisites:</w:t>
      </w:r>
      <w:r>
        <w:rPr>
          <w:sz w:val="19"/>
        </w:rPr>
        <w:t xml:space="preserve"> Platform Author submitted a draft; required media/status is visible.</w:t>
      </w:r>
    </w:p>
    <w:p>
      <w:pPr>
        <w:spacing w:after="80" w:line="240" w:lineRule="auto"/>
      </w:pPr>
      <w:r>
        <w:rPr>
          <w:b/>
          <w:i w:val="0"/>
          <w:sz w:val="19"/>
        </w:rPr>
        <w:t>Steps:</w:t>
      </w:r>
      <w:r>
        <w:rPr>
          <w:sz w:val="19"/>
        </w:rPr>
        <w:t xml:space="preserve"> Open draft → inspect task type/content/media → validate required fields → approve/publish or reject with a reason → confirm revision status.</w:t>
      </w:r>
    </w:p>
    <w:p>
      <w:pPr>
        <w:spacing w:after="80" w:line="240" w:lineRule="auto"/>
      </w:pPr>
      <w:r>
        <w:rPr>
          <w:b/>
          <w:i w:val="0"/>
          <w:sz w:val="19"/>
        </w:rPr>
        <w:t>Expected result:</w:t>
      </w:r>
      <w:r>
        <w:rPr>
          <w:sz w:val="19"/>
        </w:rPr>
        <w:t xml:space="preserve"> A complete revision becomes available to active templates; an incomplete/rejected revision remains unavailable with a correction reason. Published content is revised rather than overwritten.</w:t>
      </w:r>
    </w:p>
    <w:p>
      <w:pPr>
        <w:spacing w:after="80" w:line="240" w:lineRule="auto"/>
      </w:pPr>
      <w:r>
        <w:rPr>
          <w:b/>
          <w:i w:val="0"/>
          <w:sz w:val="19"/>
        </w:rPr>
        <w:t>Error/recovery:</w:t>
      </w:r>
      <w:r>
        <w:rPr>
          <w:sz w:val="19"/>
        </w:rPr>
        <w:t xml:space="preserve"> Expired media or missing answer/rubric stays non-published. Ask Platform Author to correct and resubmit; do not mark incomplete content active.</w:t>
      </w:r>
    </w:p>
    <w:p>
      <w:pPr>
        <w:spacing w:after="80" w:line="240" w:lineRule="auto"/>
      </w:pPr>
      <w:r>
        <w:rPr>
          <w:b/>
          <w:i w:val="0"/>
          <w:sz w:val="19"/>
        </w:rPr>
        <w:t>Visibility/audit:</w:t>
      </w:r>
      <w:r>
        <w:rPr>
          <w:sz w:val="19"/>
        </w:rPr>
        <w:t xml:space="preserve"> Platform Author sees draft/rejection; Host sees published selectable content only. Approval/publication/rejection is audited.</w:t>
      </w:r>
    </w:p>
    <w:p>
      <w:pPr>
        <w:spacing w:after="80" w:line="240" w:lineRule="auto"/>
      </w:pPr>
      <w:r>
        <w:rPr>
          <w:b/>
          <w:i w:val="0"/>
          <w:sz w:val="19"/>
        </w:rPr>
        <w:t>Traceability:</w:t>
      </w:r>
      <w:r>
        <w:rPr>
          <w:sz w:val="19"/>
        </w:rPr>
        <w:t xml:space="preserve"> </w:t>
      </w:r>
      <w:r>
        <w:rPr>
          <w:rFonts w:ascii="Consolas" w:hAnsi="Consolas"/>
          <w:b w:val="0"/>
          <w:i w:val="0"/>
          <w:sz w:val="17"/>
        </w:rPr>
        <w:t>WF-ADMIN-CONTENT-001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FR-CONTENT-003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FR-CONTENT-005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BR-CONTENT-012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BR-CONTENT-016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TC-CONTENT-001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TC-CONTENT-002</w:t>
      </w:r>
      <w:r>
        <w:rPr>
          <w:sz w:val="19"/>
        </w:rPr>
        <w:t>.</w:t>
      </w:r>
    </w:p>
    <w:p>
      <w:pPr>
        <w:pStyle w:val="Heading4"/>
        <w:keepNext/>
        <w:pageBreakBefore w:val="0"/>
      </w:pPr>
      <w:r>
        <w:t>`WF-ADMIN-PACKAGE-001` — Manage package/license state</w:t>
      </w:r>
    </w:p>
    <w:p>
      <w:pPr>
        <w:spacing w:after="80" w:line="240" w:lineRule="auto"/>
      </w:pPr>
      <w:r>
        <w:rPr>
          <w:b/>
          <w:i w:val="0"/>
          <w:sz w:val="19"/>
        </w:rPr>
        <w:t>Prerequisites:</w:t>
      </w:r>
      <w:r>
        <w:rPr>
          <w:sz w:val="19"/>
        </w:rPr>
        <w:t xml:space="preserve"> Platform Admin has the approved package policy and provider status.</w:t>
      </w:r>
    </w:p>
    <w:p>
      <w:pPr>
        <w:spacing w:after="80" w:line="240" w:lineRule="auto"/>
      </w:pPr>
      <w:r>
        <w:rPr>
          <w:b/>
          <w:i w:val="0"/>
          <w:sz w:val="19"/>
        </w:rPr>
        <w:t>Steps:</w:t>
      </w:r>
      <w:r>
        <w:rPr>
          <w:sz w:val="19"/>
        </w:rPr>
        <w:t xml:space="preserve"> Open package catalog → create/update/activate/retire package definition → review dates/limits/mode → issue/revoke license code where permitted → inspect order/subscription/audit state.</w:t>
      </w:r>
    </w:p>
    <w:p>
      <w:pPr>
        <w:spacing w:after="80" w:line="240" w:lineRule="auto"/>
      </w:pPr>
      <w:r>
        <w:rPr>
          <w:b/>
          <w:i w:val="0"/>
          <w:sz w:val="19"/>
        </w:rPr>
        <w:t>Expected result:</w:t>
      </w:r>
      <w:r>
        <w:rPr>
          <w:sz w:val="19"/>
        </w:rPr>
        <w:t xml:space="preserve"> Host sees only eligible package/license state and limits. A revoked/expired package cannot authorize a new exam.</w:t>
      </w:r>
    </w:p>
    <w:p>
      <w:pPr>
        <w:spacing w:after="80" w:line="240" w:lineRule="auto"/>
      </w:pPr>
      <w:r>
        <w:rPr>
          <w:b/>
          <w:i w:val="0"/>
          <w:sz w:val="19"/>
        </w:rPr>
        <w:t>Error/recovery:</w:t>
      </w:r>
      <w:r>
        <w:rPr>
          <w:sz w:val="19"/>
        </w:rPr>
        <w:t xml:space="preserve"> Duplicate callback or code redemption returns existing state; do not create a second subscription. Provider failure remains pending/error with correlation.</w:t>
      </w:r>
    </w:p>
    <w:p>
      <w:pPr>
        <w:spacing w:after="80" w:line="240" w:lineRule="auto"/>
      </w:pPr>
      <w:r>
        <w:rPr>
          <w:b/>
          <w:i w:val="0"/>
          <w:sz w:val="19"/>
        </w:rPr>
        <w:t>Traceability:</w:t>
      </w:r>
      <w:r>
        <w:rPr>
          <w:sz w:val="19"/>
        </w:rPr>
        <w:t xml:space="preserve"> </w:t>
      </w:r>
      <w:r>
        <w:rPr>
          <w:rFonts w:ascii="Consolas" w:hAnsi="Consolas"/>
          <w:b w:val="0"/>
          <w:i w:val="0"/>
          <w:sz w:val="17"/>
        </w:rPr>
        <w:t>WF-ADMIN-PACKAGE-001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FR-PACKAGE-001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FR-PACKAGE-004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BR-PACKAGE-018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BR-PACKAGE-022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TC-PACKAGE-002</w:t>
      </w:r>
      <w:r>
        <w:rPr>
          <w:sz w:val="19"/>
        </w:rPr>
        <w:t>.</w:t>
      </w:r>
    </w:p>
    <w:p>
      <w:pPr>
        <w:pStyle w:val="Heading3"/>
        <w:keepNext/>
        <w:pageBreakBefore w:val="0"/>
      </w:pPr>
      <w:r>
        <w:t>3.3 Platform Author workflows</w:t>
      </w:r>
    </w:p>
    <w:p>
      <w:pPr>
        <w:pStyle w:val="Heading4"/>
        <w:keepNext/>
        <w:pageBreakBefore w:val="0"/>
      </w:pPr>
      <w:r>
        <w:t>`WF-AUTHOR-DRAFT-001` — Create a question/media draft</w:t>
      </w:r>
    </w:p>
    <w:p>
      <w:pPr>
        <w:spacing w:after="80" w:line="240" w:lineRule="auto"/>
      </w:pPr>
      <w:r>
        <w:rPr>
          <w:b/>
          <w:i w:val="0"/>
          <w:sz w:val="19"/>
        </w:rPr>
        <w:t>Prerequisites:</w:t>
      </w:r>
      <w:r>
        <w:rPr>
          <w:sz w:val="19"/>
        </w:rPr>
        <w:t xml:space="preserve"> Platform Author has content scope; task catalog row and required media are known.</w:t>
      </w:r>
    </w:p>
    <w:p>
      <w:pPr>
        <w:spacing w:after="80" w:line="240" w:lineRule="auto"/>
      </w:pPr>
      <w:r>
        <w:rPr>
          <w:b/>
          <w:i w:val="0"/>
          <w:sz w:val="19"/>
        </w:rPr>
        <w:t>Steps:</w:t>
      </w:r>
      <w:r>
        <w:rPr>
          <w:sz w:val="19"/>
        </w:rPr>
        <w:t xml:space="preserve"> Open question authoring → choose the catalog task type → enter prompt/response/rubric fields → attach image/audio through the signed media flow → preview → validate → save draft.</w:t>
      </w:r>
    </w:p>
    <w:p>
      <w:pPr>
        <w:spacing w:after="80" w:line="240" w:lineRule="auto"/>
      </w:pPr>
      <w:r>
        <w:rPr>
          <w:b/>
          <w:i w:val="0"/>
          <w:sz w:val="19"/>
        </w:rPr>
        <w:t>Expected result:</w:t>
      </w:r>
      <w:r>
        <w:rPr>
          <w:sz w:val="19"/>
        </w:rPr>
        <w:t xml:space="preserve"> Draft has a revision/status, required response form, media completion state, and Score Template compatibility information. It is not production-published by the author.</w:t>
      </w:r>
    </w:p>
    <w:p>
      <w:pPr>
        <w:spacing w:after="80" w:line="240" w:lineRule="auto"/>
      </w:pPr>
      <w:r>
        <w:rPr>
          <w:b/>
          <w:i w:val="0"/>
          <w:sz w:val="19"/>
        </w:rPr>
        <w:t>Error/recovery:</w:t>
      </w:r>
      <w:r>
        <w:rPr>
          <w:sz w:val="19"/>
        </w:rPr>
        <w:t xml:space="preserve"> Missing/expired media, invalid response field, or unsupported task combination appears beside the relevant item. Correct and validate again; do not bypass a required media check.</w:t>
      </w:r>
    </w:p>
    <w:p>
      <w:pPr>
        <w:spacing w:after="80" w:line="240" w:lineRule="auto"/>
      </w:pPr>
      <w:r>
        <w:rPr>
          <w:b/>
          <w:i w:val="0"/>
          <w:sz w:val="19"/>
        </w:rPr>
        <w:t>Visibility/audit:</w:t>
      </w:r>
      <w:r>
        <w:rPr>
          <w:sz w:val="19"/>
        </w:rPr>
        <w:t xml:space="preserve"> Author sees assigned drafts/revisions; Platform Admin sees submitted drafts; Host sees only published content. Draft submission and revision actions are auditable.</w:t>
      </w:r>
    </w:p>
    <w:p>
      <w:pPr>
        <w:spacing w:after="80" w:line="240" w:lineRule="auto"/>
      </w:pPr>
      <w:r>
        <w:rPr>
          <w:b/>
          <w:i w:val="0"/>
          <w:sz w:val="19"/>
        </w:rPr>
        <w:t>Traceability:</w:t>
      </w:r>
      <w:r>
        <w:rPr>
          <w:sz w:val="19"/>
        </w:rPr>
        <w:t xml:space="preserve"> </w:t>
      </w:r>
      <w:r>
        <w:rPr>
          <w:rFonts w:ascii="Consolas" w:hAnsi="Consolas"/>
          <w:b w:val="0"/>
          <w:i w:val="0"/>
          <w:sz w:val="17"/>
        </w:rPr>
        <w:t>WF-AUTHOR-DRAFT-001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FR-CONTENT-001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FR-CONTENT-003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FR-INTEGRATION-002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TC-CONTENT-001</w:t>
      </w:r>
      <w:r>
        <w:rPr>
          <w:sz w:val="19"/>
        </w:rPr>
        <w:t>.</w:t>
      </w:r>
    </w:p>
    <w:p>
      <w:pPr>
        <w:pStyle w:val="Heading4"/>
        <w:keepNext/>
        <w:pageBreakBefore w:val="0"/>
      </w:pPr>
      <w:r>
        <w:t>`WF-AUTHOR-TEMPLATE-001` — Prepare a Score Template draft</w:t>
      </w:r>
    </w:p>
    <w:p>
      <w:pPr>
        <w:spacing w:after="80" w:line="240" w:lineRule="auto"/>
      </w:pPr>
      <w:r>
        <w:rPr>
          <w:b/>
          <w:i w:val="0"/>
          <w:sz w:val="19"/>
        </w:rPr>
        <w:t>Prerequisites:</w:t>
      </w:r>
      <w:r>
        <w:rPr>
          <w:sz w:val="19"/>
        </w:rPr>
        <w:t xml:space="preserve"> Task rows, section weights, timing, and score-source policy are available.</w:t>
      </w:r>
    </w:p>
    <w:p>
      <w:pPr>
        <w:spacing w:after="80" w:line="240" w:lineRule="auto"/>
      </w:pPr>
      <w:r>
        <w:rPr>
          <w:b/>
          <w:i w:val="0"/>
          <w:sz w:val="19"/>
        </w:rPr>
        <w:t>Steps:</w:t>
      </w:r>
      <w:r>
        <w:rPr>
          <w:sz w:val="19"/>
        </w:rPr>
        <w:t xml:space="preserve"> Create template draft → select task rows from the 23-row catalog → specify task count/timing/weight/source eligibility → explicitly mark Personal Introduction unscored when included → validate → submit for Platform Admin approval.</w:t>
      </w:r>
    </w:p>
    <w:p>
      <w:pPr>
        <w:spacing w:after="80" w:line="240" w:lineRule="auto"/>
      </w:pPr>
      <w:r>
        <w:rPr>
          <w:b/>
          <w:i w:val="0"/>
          <w:sz w:val="19"/>
        </w:rPr>
        <w:t>Expected result:</w:t>
      </w:r>
      <w:r>
        <w:rPr>
          <w:sz w:val="19"/>
        </w:rPr>
        <w:t xml:space="preserve"> Template status is submitted/pending approval; no new Host exam can select it until it is active.</w:t>
      </w:r>
    </w:p>
    <w:p>
      <w:pPr>
        <w:spacing w:after="80" w:line="240" w:lineRule="auto"/>
      </w:pPr>
      <w:r>
        <w:rPr>
          <w:b/>
          <w:i w:val="0"/>
          <w:sz w:val="19"/>
        </w:rPr>
        <w:t>Error/recovery:</w:t>
      </w:r>
      <w:r>
        <w:rPr>
          <w:sz w:val="19"/>
        </w:rPr>
        <w:t xml:space="preserve"> Invalid timing/weight/task combination remains draft with correction guidance. Do not alter a locked exam by editing the template.</w:t>
      </w:r>
    </w:p>
    <w:p>
      <w:pPr>
        <w:spacing w:after="80" w:line="240" w:lineRule="auto"/>
      </w:pPr>
      <w:r>
        <w:rPr>
          <w:b/>
          <w:i w:val="0"/>
          <w:sz w:val="19"/>
        </w:rPr>
        <w:t>Traceability:</w:t>
      </w:r>
      <w:r>
        <w:rPr>
          <w:sz w:val="19"/>
        </w:rPr>
        <w:t xml:space="preserve"> </w:t>
      </w:r>
      <w:r>
        <w:rPr>
          <w:rFonts w:ascii="Consolas" w:hAnsi="Consolas"/>
          <w:b w:val="0"/>
          <w:i w:val="0"/>
          <w:sz w:val="17"/>
        </w:rPr>
        <w:t>WF-AUTHOR-TEMPLATE-001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FR-TEMPLATE-001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FR-TEMPLATE-002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BR-CONTENT-014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BR-CONTENT-016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TC-EXAM-002</w:t>
      </w:r>
      <w:r>
        <w:rPr>
          <w:sz w:val="19"/>
        </w:rPr>
        <w:t>.</w:t>
      </w:r>
    </w:p>
    <w:p>
      <w:pPr>
        <w:pStyle w:val="Heading3"/>
        <w:keepNext/>
        <w:pageBreakBefore w:val="0"/>
      </w:pPr>
      <w:r>
        <w:t>3.4 Host workflows</w:t>
      </w:r>
    </w:p>
    <w:p>
      <w:pPr>
        <w:pStyle w:val="Heading4"/>
        <w:keepNext/>
        <w:pageBreakBefore w:val="0"/>
      </w:pPr>
      <w:r>
        <w:t>`WF-HOST-PACKAGE-001` — Activate an organization package</w:t>
      </w:r>
    </w:p>
    <w:p>
      <w:pPr>
        <w:spacing w:after="80" w:line="240" w:lineRule="auto"/>
      </w:pPr>
      <w:r>
        <w:rPr>
          <w:b/>
          <w:i w:val="0"/>
          <w:sz w:val="19"/>
        </w:rPr>
        <w:t>Prerequisites:</w:t>
      </w:r>
      <w:r>
        <w:rPr>
          <w:sz w:val="19"/>
        </w:rPr>
        <w:t xml:space="preserve"> Organization registration is approved; Host is signed in; eligible order/license is available.</w:t>
      </w:r>
    </w:p>
    <w:p>
      <w:pPr>
        <w:spacing w:after="80" w:line="240" w:lineRule="auto"/>
      </w:pPr>
      <w:r>
        <w:rPr>
          <w:b/>
          <w:i w:val="0"/>
          <w:sz w:val="19"/>
        </w:rPr>
        <w:t>Steps:</w:t>
      </w:r>
      <w:r>
        <w:rPr>
          <w:sz w:val="19"/>
        </w:rPr>
        <w:t xml:space="preserve"> Open package area → review package limits/dates → create order or enter license code → wait for verified callback/activation state → confirm subscription/license is active.</w:t>
      </w:r>
    </w:p>
    <w:p>
      <w:pPr>
        <w:spacing w:after="80" w:line="240" w:lineRule="auto"/>
      </w:pPr>
      <w:r>
        <w:rPr>
          <w:b/>
          <w:i w:val="0"/>
          <w:sz w:val="19"/>
        </w:rPr>
        <w:t>Expected result:</w:t>
      </w:r>
      <w:r>
        <w:rPr>
          <w:sz w:val="19"/>
        </w:rPr>
        <w:t xml:space="preserve"> Organization package state and available capacity are visible. Student is not asked to pay or own the package.</w:t>
      </w:r>
    </w:p>
    <w:p>
      <w:pPr>
        <w:spacing w:after="80" w:line="240" w:lineRule="auto"/>
      </w:pPr>
      <w:r>
        <w:rPr>
          <w:b/>
          <w:i w:val="0"/>
          <w:sz w:val="19"/>
        </w:rPr>
        <w:t>Error/recovery:</w:t>
      </w:r>
      <w:r>
        <w:rPr>
          <w:sz w:val="19"/>
        </w:rPr>
        <w:t xml:space="preserve"> Browser return without verified callback is not success. For pending/failed/duplicate state, keep the correlation reference and contact Platform Admin/integration support.</w:t>
      </w:r>
    </w:p>
    <w:p>
      <w:pPr>
        <w:spacing w:after="80" w:line="240" w:lineRule="auto"/>
      </w:pPr>
      <w:r>
        <w:rPr>
          <w:b/>
          <w:i w:val="0"/>
          <w:sz w:val="19"/>
        </w:rPr>
        <w:t>Visibility/audit:</w:t>
      </w:r>
      <w:r>
        <w:rPr>
          <w:sz w:val="19"/>
        </w:rPr>
        <w:t xml:space="preserve"> Host sees organization package data; Platform Admin sees platform/package audit. Payment/license status changes are audited.</w:t>
      </w:r>
    </w:p>
    <w:p>
      <w:pPr>
        <w:spacing w:after="80" w:line="240" w:lineRule="auto"/>
      </w:pPr>
      <w:r>
        <w:rPr>
          <w:b/>
          <w:i w:val="0"/>
          <w:sz w:val="19"/>
        </w:rPr>
        <w:t>Traceability:</w:t>
      </w:r>
      <w:r>
        <w:rPr>
          <w:sz w:val="19"/>
        </w:rPr>
        <w:t xml:space="preserve"> </w:t>
      </w:r>
      <w:r>
        <w:rPr>
          <w:rFonts w:ascii="Consolas" w:hAnsi="Consolas"/>
          <w:b w:val="0"/>
          <w:i w:val="0"/>
          <w:sz w:val="17"/>
        </w:rPr>
        <w:t>WF-HOST-PACKAGE-001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FR-PACKAGE-002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FR-PACKAGE-006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BR-PACKAGE-017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BR-PACKAGE-021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TC-PACKAGE-001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TC-PACKAGE-002</w:t>
      </w:r>
      <w:r>
        <w:rPr>
          <w:sz w:val="19"/>
        </w:rPr>
        <w:t>.</w:t>
      </w:r>
    </w:p>
    <w:p>
      <w:pPr>
        <w:pStyle w:val="Heading4"/>
        <w:keepNext/>
        <w:pageBreakBefore w:val="0"/>
      </w:pPr>
      <w:r>
        <w:t>`WF-HOST-ROSTER-001` — Prepare Students, classes, and staff</w:t>
      </w:r>
    </w:p>
    <w:p>
      <w:pPr>
        <w:spacing w:after="80" w:line="240" w:lineRule="auto"/>
      </w:pPr>
      <w:r>
        <w:rPr>
          <w:b/>
          <w:i w:val="0"/>
          <w:sz w:val="19"/>
        </w:rPr>
        <w:t>Prerequisites:</w:t>
      </w:r>
      <w:r>
        <w:rPr>
          <w:sz w:val="19"/>
        </w:rPr>
        <w:t xml:space="preserve"> Host has an active organization and sufficient Student capacity.</w:t>
      </w:r>
    </w:p>
    <w:p>
      <w:pPr>
        <w:spacing w:after="80" w:line="240" w:lineRule="auto"/>
      </w:pPr>
      <w:r>
        <w:rPr>
          <w:b/>
          <w:i w:val="0"/>
          <w:sz w:val="19"/>
        </w:rPr>
        <w:t>Steps:</w:t>
      </w:r>
      <w:r>
        <w:rPr>
          <w:sz w:val="19"/>
        </w:rPr>
        <w:t xml:space="preserve"> Create/import Students → review row-level validation → resolve duplicates/missing data → create programs/classes → assign memberships → add Proctors/Examiners with appropriate scope → review roster.</w:t>
      </w:r>
    </w:p>
    <w:p>
      <w:pPr>
        <w:spacing w:after="80" w:line="240" w:lineRule="auto"/>
      </w:pPr>
      <w:r>
        <w:rPr>
          <w:b/>
          <w:i w:val="0"/>
          <w:sz w:val="19"/>
        </w:rPr>
        <w:t>Expected result:</w:t>
      </w:r>
      <w:r>
        <w:rPr>
          <w:sz w:val="19"/>
        </w:rPr>
        <w:t xml:space="preserve"> Roster is tenant-scoped; membership and staff assignments are visible and ready for exam selection.</w:t>
      </w:r>
    </w:p>
    <w:p>
      <w:pPr>
        <w:spacing w:after="80" w:line="240" w:lineRule="auto"/>
      </w:pPr>
      <w:r>
        <w:rPr>
          <w:b/>
          <w:i w:val="0"/>
          <w:sz w:val="19"/>
        </w:rPr>
        <w:t>Error/recovery:</w:t>
      </w:r>
      <w:r>
        <w:rPr>
          <w:sz w:val="19"/>
        </w:rPr>
        <w:t xml:space="preserve"> Invalid import rows remain uncommitted or clearly separated. A duplicate/conflicting Student is not silently added. Ask Platform Admin/support for account issues.</w:t>
      </w:r>
    </w:p>
    <w:p>
      <w:pPr>
        <w:spacing w:after="80" w:line="240" w:lineRule="auto"/>
      </w:pPr>
      <w:r>
        <w:rPr>
          <w:b/>
          <w:i w:val="0"/>
          <w:sz w:val="19"/>
        </w:rPr>
        <w:t>Visibility/audit:</w:t>
      </w:r>
      <w:r>
        <w:rPr>
          <w:sz w:val="19"/>
        </w:rPr>
        <w:t xml:space="preserve"> Host sees own organization; Proctor/Examiner later see assigned work only. Import, membership, and staff assignment changes are audited.</w:t>
      </w:r>
    </w:p>
    <w:p>
      <w:pPr>
        <w:spacing w:after="80" w:line="240" w:lineRule="auto"/>
      </w:pPr>
      <w:r>
        <w:rPr>
          <w:b/>
          <w:i w:val="0"/>
          <w:sz w:val="19"/>
        </w:rPr>
        <w:t>Traceability:</w:t>
      </w:r>
      <w:r>
        <w:rPr>
          <w:sz w:val="19"/>
        </w:rPr>
        <w:t xml:space="preserve"> </w:t>
      </w:r>
      <w:r>
        <w:rPr>
          <w:rFonts w:ascii="Consolas" w:hAnsi="Consolas"/>
          <w:b w:val="0"/>
          <w:i w:val="0"/>
          <w:sz w:val="17"/>
        </w:rPr>
        <w:t>WF-HOST-ROSTER-001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FR-ORG-001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FR-ORG-004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FR-ENROLL-001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FR-ENROLL-002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TC-ROSTER-001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NFR-09</w:t>
      </w:r>
      <w:r>
        <w:rPr>
          <w:sz w:val="19"/>
        </w:rPr>
        <w:t>.</w:t>
      </w:r>
    </w:p>
    <w:p>
      <w:pPr>
        <w:pStyle w:val="Heading4"/>
        <w:keepNext/>
        <w:pageBreakBefore w:val="0"/>
      </w:pPr>
      <w:r>
        <w:t>`WF-HOST-CREATE-EXAM` — Create, validate, generate, and schedule</w:t>
      </w:r>
    </w:p>
    <w:p>
      <w:pPr>
        <w:spacing w:after="80" w:line="240" w:lineRule="auto"/>
      </w:pPr>
      <w:r>
        <w:rPr>
          <w:b/>
          <w:i w:val="0"/>
          <w:sz w:val="19"/>
        </w:rPr>
        <w:t>Prerequisites:</w:t>
      </w:r>
      <w:r>
        <w:rPr>
          <w:sz w:val="19"/>
        </w:rPr>
        <w:t xml:space="preserve"> Active content/media and Score Template; active package; roster; required Proctor/Examiner policy known.</w:t>
      </w:r>
    </w:p>
    <w:p>
      <w:pPr>
        <w:spacing w:after="80" w:line="240" w:lineRule="auto"/>
      </w:pPr>
      <w:r>
        <w:rPr>
          <w:b/>
          <w:i w:val="0"/>
          <w:sz w:val="19"/>
        </w:rPr>
        <w:t>Steps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Create an exam draft and choose mode/policy/date.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Select active Score Template and package.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Select Students/classes/programs; inspect deduplicated candidate preview.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Review capacity, date, content/media, conflict, assignment, and policy validation.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Resolve all blocking items.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Request generation and inspect fixed version/form/provenance status.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Publish/schedule only when the generated version is ready.</w:t>
      </w:r>
    </w:p>
    <w:p>
      <w:pPr>
        <w:spacing w:after="80" w:line="240" w:lineRule="auto"/>
      </w:pPr>
      <w:r>
        <w:rPr>
          <w:b/>
          <w:i w:val="0"/>
          <w:sz w:val="19"/>
        </w:rPr>
        <w:t>Expected result:</w:t>
      </w:r>
      <w:r>
        <w:rPr>
          <w:sz w:val="19"/>
        </w:rPr>
        <w:t xml:space="preserve"> Exam is published with frozen audience, task/media/template revisions, form mode, policy, and schedule. Student can enter only when open and eligible.</w:t>
      </w:r>
    </w:p>
    <w:p>
      <w:pPr>
        <w:spacing w:after="80" w:line="240" w:lineRule="auto"/>
      </w:pPr>
      <w:r>
        <w:rPr>
          <w:b/>
          <w:i w:val="0"/>
          <w:sz w:val="19"/>
        </w:rPr>
        <w:t>Error/recovery:</w:t>
      </w:r>
      <w:r>
        <w:rPr>
          <w:sz w:val="19"/>
        </w:rPr>
        <w:t xml:space="preserve"> If generation is pending/error, wait or use the approved retry/cancel action; do not publish partial forms. If validation identifies capacity/conflict, correct the draft and revalidate.</w:t>
      </w:r>
    </w:p>
    <w:p>
      <w:pPr>
        <w:spacing w:after="80" w:line="240" w:lineRule="auto"/>
      </w:pPr>
      <w:r>
        <w:rPr>
          <w:b/>
          <w:i w:val="0"/>
          <w:sz w:val="19"/>
        </w:rPr>
        <w:t>Visibility/audit:</w:t>
      </w:r>
      <w:r>
        <w:rPr>
          <w:sz w:val="19"/>
        </w:rPr>
        <w:t xml:space="preserve"> Host sees full organization exam state; assigned Proctor/Examiner see only their scope; Student sees an eligible assignment. Validation, generation, publication, and policy actions are audited.</w:t>
      </w:r>
    </w:p>
    <w:p>
      <w:pPr>
        <w:spacing w:after="80" w:line="240" w:lineRule="auto"/>
      </w:pPr>
      <w:r>
        <w:rPr>
          <w:b/>
          <w:i w:val="0"/>
          <w:sz w:val="19"/>
        </w:rPr>
        <w:t>Traceability:</w:t>
      </w:r>
      <w:r>
        <w:rPr>
          <w:sz w:val="19"/>
        </w:rPr>
        <w:t xml:space="preserve"> </w:t>
      </w:r>
      <w:r>
        <w:rPr>
          <w:rFonts w:ascii="Consolas" w:hAnsi="Consolas"/>
          <w:b w:val="0"/>
          <w:i w:val="0"/>
          <w:sz w:val="17"/>
        </w:rPr>
        <w:t>WF-HOST-CREATE-EXAM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FR-EXAM-001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FR-EXAM-009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FR-HARDENING-001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SD-EXAM-STATE-001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TC-EXAM-001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TC-EXAM-003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TBD-GENERATION-001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TBD-VERSION-001</w:t>
      </w:r>
      <w:r>
        <w:rPr>
          <w:sz w:val="19"/>
        </w:rPr>
        <w:t>.</w:t>
      </w:r>
    </w:p>
    <w:p>
      <w:pPr>
        <w:pStyle w:val="Heading4"/>
        <w:keepNext/>
        <w:pageBreakBefore w:val="0"/>
      </w:pPr>
      <w:r>
        <w:t>`WF-HOST-PUBLISH-REPORT` — Review scores and publish a report</w:t>
      </w:r>
    </w:p>
    <w:p>
      <w:pPr>
        <w:spacing w:after="80" w:line="240" w:lineRule="auto"/>
      </w:pPr>
      <w:r>
        <w:rPr>
          <w:b/>
          <w:i w:val="0"/>
          <w:sz w:val="19"/>
        </w:rPr>
        <w:t>Prerequisites:</w:t>
      </w:r>
      <w:r>
        <w:rPr>
          <w:sz w:val="19"/>
        </w:rPr>
        <w:t xml:space="preserve"> Attempt submitted; objective/AI/Examiner sources available or their pending/error state understood.</w:t>
      </w:r>
    </w:p>
    <w:p>
      <w:pPr>
        <w:spacing w:after="80" w:line="240" w:lineRule="auto"/>
      </w:pPr>
      <w:r>
        <w:rPr>
          <w:b/>
          <w:i w:val="0"/>
          <w:sz w:val="19"/>
        </w:rPr>
        <w:t>Steps:</w:t>
      </w:r>
      <w:r>
        <w:rPr>
          <w:sz w:val="19"/>
        </w:rPr>
        <w:t xml:space="preserve"> Open scoring/report workspace → review source/status per task/section → assign/reassign Examiner work if allowed → choose permitted final source → run readiness check → resolve blockers → publish report → verify publication/audit state.</w:t>
      </w:r>
    </w:p>
    <w:p>
      <w:pPr>
        <w:spacing w:after="80" w:line="240" w:lineRule="auto"/>
      </w:pPr>
      <w:r>
        <w:rPr>
          <w:b/>
          <w:i w:val="0"/>
          <w:sz w:val="19"/>
        </w:rPr>
        <w:t>Expected result:</w:t>
      </w:r>
      <w:r>
        <w:rPr>
          <w:sz w:val="19"/>
        </w:rPr>
        <w:t xml:space="preserve"> Report is published only when required sources and decisions are ready. Student sees only the own published report.</w:t>
      </w:r>
    </w:p>
    <w:p>
      <w:pPr>
        <w:spacing w:after="80" w:line="240" w:lineRule="auto"/>
      </w:pPr>
      <w:r>
        <w:rPr>
          <w:b/>
          <w:i w:val="0"/>
          <w:sz w:val="19"/>
        </w:rPr>
        <w:t>Error/recovery:</w:t>
      </w:r>
      <w:r>
        <w:rPr>
          <w:sz w:val="19"/>
        </w:rPr>
        <w:t xml:space="preserve"> Pending/failed score blocks publication and identifies the source. Notification failure does not undo publication. Escalate AI policy/provider gaps under </w:t>
      </w:r>
      <w:r>
        <w:rPr>
          <w:rFonts w:ascii="Consolas" w:hAnsi="Consolas"/>
          <w:b w:val="0"/>
          <w:i w:val="0"/>
          <w:sz w:val="17"/>
        </w:rPr>
        <w:t>TBD-AI-001</w:t>
      </w:r>
      <w:r>
        <w:rPr>
          <w:sz w:val="19"/>
        </w:rPr>
        <w:t>/</w:t>
      </w:r>
      <w:r>
        <w:rPr>
          <w:rFonts w:ascii="Consolas" w:hAnsi="Consolas"/>
          <w:b w:val="0"/>
          <w:i w:val="0"/>
          <w:sz w:val="17"/>
        </w:rPr>
        <w:t>TBD-AI-002</w:t>
      </w:r>
      <w:r>
        <w:rPr>
          <w:sz w:val="19"/>
        </w:rPr>
        <w:t>.</w:t>
      </w:r>
    </w:p>
    <w:p>
      <w:pPr>
        <w:spacing w:after="80" w:line="240" w:lineRule="auto"/>
      </w:pPr>
      <w:r>
        <w:rPr>
          <w:b/>
          <w:i w:val="0"/>
          <w:sz w:val="19"/>
        </w:rPr>
        <w:t>Visibility/audit:</w:t>
      </w:r>
      <w:r>
        <w:rPr>
          <w:sz w:val="19"/>
        </w:rPr>
        <w:t xml:space="preserve"> Host sees organization reports; Examiner sees assigned scoring context; Student sees own report after publication. Source selection and publication are audited.</w:t>
      </w:r>
    </w:p>
    <w:p>
      <w:pPr>
        <w:spacing w:after="80" w:line="240" w:lineRule="auto"/>
      </w:pPr>
      <w:r>
        <w:rPr>
          <w:b/>
          <w:i w:val="0"/>
          <w:sz w:val="19"/>
        </w:rPr>
        <w:t>Traceability:</w:t>
      </w:r>
      <w:r>
        <w:rPr>
          <w:sz w:val="19"/>
        </w:rPr>
        <w:t xml:space="preserve"> </w:t>
      </w:r>
      <w:r>
        <w:rPr>
          <w:rFonts w:ascii="Consolas" w:hAnsi="Consolas"/>
          <w:b w:val="0"/>
          <w:i w:val="0"/>
          <w:sz w:val="17"/>
        </w:rPr>
        <w:t>WF-HOST-PUBLISH-REPORT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FR-SCORE-001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FR-SCORE-007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FR-REPORT-001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FR-REPORT-005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SEQ-SCORE-PUBLISH-001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TC-SCORE-001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TC-REPORT-001</w:t>
      </w:r>
      <w:r>
        <w:rPr>
          <w:sz w:val="19"/>
        </w:rPr>
        <w:t>.</w:t>
      </w:r>
    </w:p>
    <w:p>
      <w:pPr>
        <w:pStyle w:val="Heading3"/>
        <w:keepNext/>
        <w:pageBreakBefore w:val="0"/>
      </w:pPr>
      <w:r>
        <w:t>3.5 Proctor workflows</w:t>
      </w:r>
    </w:p>
    <w:p>
      <w:pPr>
        <w:pStyle w:val="Heading4"/>
        <w:keepNext/>
        <w:pageBreakBefore w:val="0"/>
      </w:pPr>
      <w:r>
        <w:t>`WF-PROCTOR-MONITOR-001` — Monitor an assigned exam</w:t>
      </w:r>
    </w:p>
    <w:p>
      <w:pPr>
        <w:spacing w:after="80" w:line="240" w:lineRule="auto"/>
      </w:pPr>
      <w:r>
        <w:rPr>
          <w:b/>
          <w:i w:val="0"/>
          <w:sz w:val="19"/>
        </w:rPr>
        <w:t>Prerequisites:</w:t>
      </w:r>
      <w:r>
        <w:rPr>
          <w:sz w:val="19"/>
        </w:rPr>
        <w:t xml:space="preserve"> Proctor account is active and assigned to the exam; exam policy is visible.</w:t>
      </w:r>
    </w:p>
    <w:p>
      <w:pPr>
        <w:spacing w:after="80" w:line="240" w:lineRule="auto"/>
      </w:pPr>
      <w:r>
        <w:rPr>
          <w:b/>
          <w:i w:val="0"/>
          <w:sz w:val="19"/>
        </w:rPr>
        <w:t>Steps:</w:t>
      </w:r>
      <w:r>
        <w:rPr>
          <w:sz w:val="19"/>
        </w:rPr>
        <w:t xml:space="preserve"> Open assigned monitoring workspace → select exam → review Student/attempt/device/sync status → assist only within policy → record warning/violation with type/detail/severity → confirm event status.</w:t>
      </w:r>
    </w:p>
    <w:p>
      <w:pPr>
        <w:spacing w:after="80" w:line="240" w:lineRule="auto"/>
      </w:pPr>
      <w:r>
        <w:rPr>
          <w:b/>
          <w:i w:val="0"/>
          <w:sz w:val="19"/>
        </w:rPr>
        <w:t>Expected result:</w:t>
      </w:r>
      <w:r>
        <w:rPr>
          <w:sz w:val="19"/>
        </w:rPr>
        <w:t xml:space="preserve"> Proctor sees assigned data and records a traceable event. Practice policy warnings/audit do not automatically invalidate an attempt unless the fixed policy says so.</w:t>
      </w:r>
    </w:p>
    <w:p>
      <w:pPr>
        <w:spacing w:after="80" w:line="240" w:lineRule="auto"/>
      </w:pPr>
      <w:r>
        <w:rPr>
          <w:b/>
          <w:i w:val="0"/>
          <w:sz w:val="19"/>
        </w:rPr>
        <w:t>Error/recovery:</w:t>
      </w:r>
      <w:r>
        <w:rPr>
          <w:sz w:val="19"/>
        </w:rPr>
        <w:t xml:space="preserve"> Unassigned exam is denied. If event synchronization is pending/error, do not claim delivery; retain the visible event reference and escalate under </w:t>
      </w:r>
      <w:r>
        <w:rPr>
          <w:rFonts w:ascii="Consolas" w:hAnsi="Consolas"/>
          <w:b w:val="0"/>
          <w:i w:val="0"/>
          <w:sz w:val="17"/>
        </w:rPr>
        <w:t>TBD-PROCTOR-001</w:t>
      </w:r>
      <w:r>
        <w:rPr>
          <w:sz w:val="19"/>
        </w:rPr>
        <w:t>.</w:t>
      </w:r>
    </w:p>
    <w:p>
      <w:pPr>
        <w:spacing w:after="80" w:line="240" w:lineRule="auto"/>
      </w:pPr>
      <w:r>
        <w:rPr>
          <w:b/>
          <w:i w:val="0"/>
          <w:sz w:val="19"/>
        </w:rPr>
        <w:t>Visibility/audit:</w:t>
      </w:r>
      <w:r>
        <w:rPr>
          <w:sz w:val="19"/>
        </w:rPr>
        <w:t xml:space="preserve"> Host can review organization policy/event state; Student sees only what policy allows; Examiner does not receive unrelated Proctor details. Assignment, assistance, violation, and intervention actions are audited.</w:t>
      </w:r>
    </w:p>
    <w:p>
      <w:pPr>
        <w:spacing w:after="80" w:line="240" w:lineRule="auto"/>
      </w:pPr>
      <w:r>
        <w:rPr>
          <w:b/>
          <w:i w:val="0"/>
          <w:sz w:val="19"/>
        </w:rPr>
        <w:t>Traceability:</w:t>
      </w:r>
      <w:r>
        <w:rPr>
          <w:sz w:val="19"/>
        </w:rPr>
        <w:t xml:space="preserve"> </w:t>
      </w:r>
      <w:r>
        <w:rPr>
          <w:rFonts w:ascii="Consolas" w:hAnsi="Consolas"/>
          <w:b w:val="0"/>
          <w:i w:val="0"/>
          <w:sz w:val="17"/>
        </w:rPr>
        <w:t>WF-PROCTOR-MONITOR-001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FR-INTEGRITY-001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FR-INTEGRITY-005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SEQ-PROCTOR-AUDIT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TC-PROCTOR-001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NFR-10</w:t>
      </w:r>
      <w:r>
        <w:rPr>
          <w:sz w:val="19"/>
        </w:rPr>
        <w:t>.</w:t>
      </w:r>
    </w:p>
    <w:p>
      <w:pPr>
        <w:pStyle w:val="Heading3"/>
        <w:keepNext/>
        <w:pageBreakBefore w:val="0"/>
      </w:pPr>
      <w:r>
        <w:t>3.6 Examiner workflows</w:t>
      </w:r>
    </w:p>
    <w:p>
      <w:pPr>
        <w:pStyle w:val="Heading4"/>
        <w:keepNext/>
        <w:pageBreakBefore w:val="0"/>
      </w:pPr>
      <w:r>
        <w:t>`WF-EXAMINER-SCORE-001` — Score assigned answers</w:t>
      </w:r>
    </w:p>
    <w:p>
      <w:pPr>
        <w:spacing w:after="80" w:line="240" w:lineRule="auto"/>
      </w:pPr>
      <w:r>
        <w:rPr>
          <w:b/>
          <w:i w:val="0"/>
          <w:sz w:val="19"/>
        </w:rPr>
        <w:t>Prerequisites:</w:t>
      </w:r>
      <w:r>
        <w:rPr>
          <w:sz w:val="19"/>
        </w:rPr>
        <w:t xml:space="preserve"> Examiner account is active; Host assigned answer/attempt; rubric and prompt/media revision are available.</w:t>
      </w:r>
    </w:p>
    <w:p>
      <w:pPr>
        <w:spacing w:after="80" w:line="240" w:lineRule="auto"/>
      </w:pPr>
      <w:r>
        <w:rPr>
          <w:b/>
          <w:i w:val="0"/>
          <w:sz w:val="19"/>
        </w:rPr>
        <w:t>Steps:</w:t>
      </w:r>
      <w:r>
        <w:rPr>
          <w:sz w:val="19"/>
        </w:rPr>
        <w:t xml:space="preserve"> Open assigned queue → select work item → review prompt/response/rubric → enter criterion/score/note → save draft if allowed → submit score → confirm submitted/read-only state.</w:t>
      </w:r>
    </w:p>
    <w:p>
      <w:pPr>
        <w:spacing w:after="80" w:line="240" w:lineRule="auto"/>
      </w:pPr>
      <w:r>
        <w:rPr>
          <w:b/>
          <w:i w:val="0"/>
          <w:sz w:val="19"/>
        </w:rPr>
        <w:t>Expected result:</w:t>
      </w:r>
      <w:r>
        <w:rPr>
          <w:sz w:val="19"/>
        </w:rPr>
        <w:t xml:space="preserve"> Score source identifies Examiner, time, rubric/revision, and status. Host can review; Examiner cannot publish the report.</w:t>
      </w:r>
    </w:p>
    <w:p>
      <w:pPr>
        <w:spacing w:after="80" w:line="240" w:lineRule="auto"/>
      </w:pPr>
      <w:r>
        <w:rPr>
          <w:b/>
          <w:i w:val="0"/>
          <w:sz w:val="19"/>
        </w:rPr>
        <w:t>Error/recovery:</w:t>
      </w:r>
      <w:r>
        <w:rPr>
          <w:sz w:val="19"/>
        </w:rPr>
        <w:t xml:space="preserve"> Unassigned work is denied. Invalid score range or incomplete rubric remains unsaved/submitted with a correction message. If an answer cannot be evaluated, use the permitted review/reassignment path instead of inventing a score.</w:t>
      </w:r>
    </w:p>
    <w:p>
      <w:pPr>
        <w:spacing w:after="80" w:line="240" w:lineRule="auto"/>
      </w:pPr>
      <w:r>
        <w:rPr>
          <w:b/>
          <w:i w:val="0"/>
          <w:sz w:val="19"/>
        </w:rPr>
        <w:t>Visibility/audit:</w:t>
      </w:r>
      <w:r>
        <w:rPr>
          <w:sz w:val="19"/>
        </w:rPr>
        <w:t xml:space="preserve"> Examiner sees assigned work only; Host sees score source; Student sees no unpublished Examiner detail unless policy explicitly permits. Score submission is audited.</w:t>
      </w:r>
    </w:p>
    <w:p>
      <w:pPr>
        <w:spacing w:after="80" w:line="240" w:lineRule="auto"/>
      </w:pPr>
      <w:r>
        <w:rPr>
          <w:b/>
          <w:i w:val="0"/>
          <w:sz w:val="19"/>
        </w:rPr>
        <w:t>Traceability:</w:t>
      </w:r>
      <w:r>
        <w:rPr>
          <w:sz w:val="19"/>
        </w:rPr>
        <w:t xml:space="preserve"> </w:t>
      </w:r>
      <w:r>
        <w:rPr>
          <w:rFonts w:ascii="Consolas" w:hAnsi="Consolas"/>
          <w:b w:val="0"/>
          <w:i w:val="0"/>
          <w:sz w:val="17"/>
        </w:rPr>
        <w:t>WF-EXAMINER-SCORE-001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FR-SCORE-001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FR-SCORE-003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BR-SCORE-036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TC-SCORE-001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TC-SCORE-002</w:t>
      </w:r>
      <w:r>
        <w:rPr>
          <w:sz w:val="19"/>
        </w:rPr>
        <w:t>.</w:t>
      </w:r>
    </w:p>
    <w:p>
      <w:pPr>
        <w:pStyle w:val="Heading3"/>
        <w:keepNext/>
        <w:pageBreakBefore w:val="0"/>
      </w:pPr>
      <w:r>
        <w:t>3.7 Student workflows</w:t>
      </w:r>
    </w:p>
    <w:p>
      <w:pPr>
        <w:pStyle w:val="Heading4"/>
        <w:keepNext/>
        <w:pageBreakBefore w:val="0"/>
      </w:pPr>
      <w:r>
        <w:t>`WF-STUDENT-TAKE-001` — Take an assigned timed exam</w:t>
      </w:r>
    </w:p>
    <w:p>
      <w:pPr>
        <w:spacing w:after="80" w:line="240" w:lineRule="auto"/>
      </w:pPr>
      <w:r>
        <w:rPr>
          <w:b/>
          <w:i w:val="0"/>
          <w:sz w:val="19"/>
        </w:rPr>
        <w:t>Prerequisites:</w:t>
      </w:r>
      <w:r>
        <w:rPr>
          <w:sz w:val="19"/>
        </w:rPr>
        <w:t xml:space="preserve"> Student account is active; exam is published/open; Student is in the frozen audience; Windows client is installed.</w:t>
      </w:r>
    </w:p>
    <w:p>
      <w:pPr>
        <w:spacing w:after="80" w:line="240" w:lineRule="auto"/>
      </w:pPr>
      <w:r>
        <w:rPr>
          <w:b/>
          <w:i w:val="0"/>
          <w:sz w:val="19"/>
        </w:rPr>
        <w:t>Steps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Sign in through the approved client.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Open the assigned exam and review exam/mode instructions.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Complete microphone/audio/device/network check.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Start the fixed task sequence when the client indicates readiness.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Read/listen/respond within the displayed preparation/response timer.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Confirm each answer shows local saved/sync status.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If connectivity is interrupted, continue only when the client policy allows and watch the retry queue.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18"/>
        </w:rPr>
        <w:t>Submit once when the client indicates required work is complete.</w:t>
      </w:r>
    </w:p>
    <w:p>
      <w:pPr>
        <w:spacing w:after="80" w:line="240" w:lineRule="auto"/>
      </w:pPr>
      <w:r>
        <w:rPr>
          <w:b/>
          <w:i w:val="0"/>
          <w:sz w:val="19"/>
        </w:rPr>
        <w:t>Expected result:</w:t>
      </w:r>
      <w:r>
        <w:rPr>
          <w:sz w:val="19"/>
        </w:rPr>
        <w:t xml:space="preserve"> The client renders the fixed content, saves responses locally before sync, shows retry state when needed, and acknowledges final submission only after accepted/safe final state.</w:t>
      </w:r>
    </w:p>
    <w:p>
      <w:pPr>
        <w:spacing w:after="80" w:line="240" w:lineRule="auto"/>
      </w:pPr>
      <w:r>
        <w:rPr>
          <w:b/>
          <w:i w:val="0"/>
          <w:sz w:val="19"/>
        </w:rPr>
        <w:t>Error/recovery:</w:t>
      </w:r>
      <w:r>
        <w:rPr>
          <w:sz w:val="19"/>
        </w:rPr>
        <w:t xml:space="preserve"> Device check failure stops or warns before timed work according to policy. A queued answer remains visible; do not close/delete local data before support confirms recovery. A submitted attempt cannot be restarted without an approved retake policy.</w:t>
      </w:r>
    </w:p>
    <w:p>
      <w:pPr>
        <w:spacing w:after="80" w:line="240" w:lineRule="auto"/>
      </w:pPr>
      <w:r>
        <w:rPr>
          <w:b/>
          <w:i w:val="0"/>
          <w:sz w:val="19"/>
        </w:rPr>
        <w:t>Visibility/audit:</w:t>
      </w:r>
      <w:r>
        <w:rPr>
          <w:sz w:val="19"/>
        </w:rPr>
        <w:t xml:space="preserve"> Student sees own attempt state; Proctor sees permitted monitoring state; Host sees submission/scoring state. Device/security/submission events are auditable; raw answers/audio are not placed in ordinary logs.</w:t>
      </w:r>
    </w:p>
    <w:p>
      <w:pPr>
        <w:spacing w:after="80" w:line="240" w:lineRule="auto"/>
      </w:pPr>
      <w:r>
        <w:rPr>
          <w:b/>
          <w:i w:val="0"/>
          <w:sz w:val="19"/>
        </w:rPr>
        <w:t>Traceability:</w:t>
      </w:r>
      <w:r>
        <w:rPr>
          <w:sz w:val="19"/>
        </w:rPr>
        <w:t xml:space="preserve"> </w:t>
      </w:r>
      <w:r>
        <w:rPr>
          <w:rFonts w:ascii="Consolas" w:hAnsi="Consolas"/>
          <w:b w:val="0"/>
          <w:i w:val="0"/>
          <w:sz w:val="17"/>
        </w:rPr>
        <w:t>WF-STUDENT-TAKE-001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FR-DELIVERY-001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FR-DELIVERY-009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SEQ-ANSWER-SYNC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TC-DELIVERY-001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TC-DELIVERY-005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NFR-12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TBD-CLIENT-001</w:t>
      </w:r>
      <w:r>
        <w:rPr>
          <w:sz w:val="19"/>
        </w:rPr>
        <w:t>.</w:t>
      </w:r>
    </w:p>
    <w:p>
      <w:pPr>
        <w:pStyle w:val="Heading4"/>
        <w:keepNext/>
        <w:pageBreakBefore w:val="0"/>
      </w:pPr>
      <w:r>
        <w:t>`WF-STUDENT-VIEW-001` — View a published result</w:t>
      </w:r>
    </w:p>
    <w:p>
      <w:pPr>
        <w:spacing w:after="80" w:line="240" w:lineRule="auto"/>
      </w:pPr>
      <w:r>
        <w:rPr>
          <w:b/>
          <w:i w:val="0"/>
          <w:sz w:val="19"/>
        </w:rPr>
        <w:t>Prerequisites:</w:t>
      </w:r>
      <w:r>
        <w:rPr>
          <w:sz w:val="19"/>
        </w:rPr>
        <w:t xml:space="preserve"> Host has published the report; Student is signed in to the same organization assignment.</w:t>
      </w:r>
    </w:p>
    <w:p>
      <w:pPr>
        <w:spacing w:after="80" w:line="240" w:lineRule="auto"/>
      </w:pPr>
      <w:r>
        <w:rPr>
          <w:b/>
          <w:i w:val="0"/>
          <w:sz w:val="19"/>
        </w:rPr>
        <w:t>Steps:</w:t>
      </w:r>
      <w:r>
        <w:rPr>
          <w:sz w:val="19"/>
        </w:rPr>
        <w:t xml:space="preserve"> Open results → select own published attempt → review task/section/Overall values that the Score Template permits → read publication time/source status shown by policy.</w:t>
      </w:r>
    </w:p>
    <w:p>
      <w:pPr>
        <w:spacing w:after="80" w:line="240" w:lineRule="auto"/>
      </w:pPr>
      <w:r>
        <w:rPr>
          <w:b/>
          <w:i w:val="0"/>
          <w:sz w:val="19"/>
        </w:rPr>
        <w:t>Expected result:</w:t>
      </w:r>
      <w:r>
        <w:rPr>
          <w:sz w:val="19"/>
        </w:rPr>
        <w:t xml:space="preserve"> Student sees only the own report after publication. A missing or unpublished report is not replaced with a partial/fake result.</w:t>
      </w:r>
    </w:p>
    <w:p>
      <w:pPr>
        <w:spacing w:after="80" w:line="240" w:lineRule="auto"/>
      </w:pPr>
      <w:r>
        <w:rPr>
          <w:b/>
          <w:i w:val="0"/>
          <w:sz w:val="19"/>
        </w:rPr>
        <w:t>Error/recovery:</w:t>
      </w:r>
      <w:r>
        <w:rPr>
          <w:sz w:val="19"/>
        </w:rPr>
        <w:t xml:space="preserve"> If report is not visible, the message explains whether scoring is pending or Host publication is incomplete. Contact Host; do not attempt to access another Student’s report.</w:t>
      </w:r>
    </w:p>
    <w:p>
      <w:pPr>
        <w:spacing w:after="80" w:line="240" w:lineRule="auto"/>
      </w:pPr>
      <w:r>
        <w:rPr>
          <w:b/>
          <w:i w:val="0"/>
          <w:sz w:val="19"/>
        </w:rPr>
        <w:t>Visibility/audit:</w:t>
      </w:r>
      <w:r>
        <w:rPr>
          <w:sz w:val="19"/>
        </w:rPr>
        <w:t xml:space="preserve"> Student view is own-scope; Host publication and Student access are traceable.</w:t>
      </w:r>
    </w:p>
    <w:p>
      <w:pPr>
        <w:spacing w:after="80" w:line="240" w:lineRule="auto"/>
      </w:pPr>
      <w:r>
        <w:rPr>
          <w:b/>
          <w:i w:val="0"/>
          <w:sz w:val="19"/>
        </w:rPr>
        <w:t>Traceability:</w:t>
      </w:r>
      <w:r>
        <w:rPr>
          <w:sz w:val="19"/>
        </w:rPr>
        <w:t xml:space="preserve"> </w:t>
      </w:r>
      <w:r>
        <w:rPr>
          <w:rFonts w:ascii="Consolas" w:hAnsi="Consolas"/>
          <w:b w:val="0"/>
          <w:i w:val="0"/>
          <w:sz w:val="17"/>
        </w:rPr>
        <w:t>WF-STUDENT-VIEW-001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FR-REPORT-002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FR-REPORT-004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BR-REPORT-040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BR-REPORT-041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TC-REPORT-001</w:t>
      </w:r>
      <w:r>
        <w:rPr>
          <w:sz w:val="19"/>
        </w:rPr>
        <w:t>.</w:t>
      </w:r>
    </w:p>
    <w:p>
      <w:pPr>
        <w:pStyle w:val="Heading3"/>
        <w:keepNext/>
        <w:pageBreakBefore w:val="0"/>
      </w:pPr>
      <w:r>
        <w:t>3.8 External Integration Services boundary</w:t>
      </w:r>
    </w:p>
    <w:p>
      <w:pPr>
        <w:spacing w:after="80" w:line="240" w:lineRule="auto"/>
      </w:pPr>
      <w:r>
        <w:rPr>
          <w:sz w:val="19"/>
        </w:rPr>
        <w:t>External Integration Services has no user manual login. Its operational contract is documented through provider adapters and support runbooks: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Payment: verify callback/correlation, process once, expose pending/error, and never treat browser return as proof.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Media: use signed access/upload, validate completion, renew expired link, and preserve revision identity.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AI scoring: expose pending/success/failure/retry/review state; provider and threshold remain TBD.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Notification: retry bounded delivery and do not roll back the originating business result.</w:t>
      </w:r>
    </w:p>
    <w:p>
      <w:pPr>
        <w:spacing w:after="80" w:line="240" w:lineRule="auto"/>
      </w:pPr>
      <w:r>
        <w:rPr>
          <w:b/>
          <w:i w:val="0"/>
          <w:sz w:val="19"/>
        </w:rPr>
        <w:t>Traceability:</w:t>
      </w:r>
      <w:r>
        <w:rPr>
          <w:sz w:val="19"/>
        </w:rPr>
        <w:t xml:space="preserve"> </w:t>
      </w:r>
      <w:r>
        <w:rPr>
          <w:rFonts w:ascii="Consolas" w:hAnsi="Consolas"/>
          <w:b w:val="0"/>
          <w:i w:val="0"/>
          <w:sz w:val="17"/>
        </w:rPr>
        <w:t>FR-INTEGRATION-001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FR-INTEGRATION-006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BR-INTEGRATION-044</w:t>
      </w:r>
      <w:r>
        <w:rPr>
          <w:sz w:val="19"/>
        </w:rPr>
        <w:t>–</w:t>
      </w:r>
      <w:r>
        <w:rPr>
          <w:rFonts w:ascii="Consolas" w:hAnsi="Consolas"/>
          <w:b w:val="0"/>
          <w:i w:val="0"/>
          <w:sz w:val="17"/>
        </w:rPr>
        <w:t>BR-INTEGRATION-048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NFR-19</w:t>
      </w:r>
      <w:r>
        <w:rPr>
          <w:sz w:val="19"/>
        </w:rPr>
        <w:t xml:space="preserve">, </w:t>
      </w:r>
      <w:r>
        <w:rPr>
          <w:rFonts w:ascii="Consolas" w:hAnsi="Consolas"/>
          <w:b w:val="0"/>
          <w:i w:val="0"/>
          <w:sz w:val="17"/>
        </w:rPr>
        <w:t>TC-INTEGRATION-001</w:t>
      </w:r>
      <w:r>
        <w:rPr>
          <w:sz w:val="19"/>
        </w:rPr>
        <w:t>.</w:t>
      </w:r>
    </w:p>
    <w:p>
      <w:pPr>
        <w:pStyle w:val="Heading3"/>
        <w:keepNext/>
        <w:pageBreakBefore w:val="0"/>
      </w:pPr>
      <w:r>
        <w:t>3.9 Troubleshooting and FAQ</w:t>
      </w:r>
    </w:p>
    <w:p>
      <w:pPr>
        <w:pStyle w:val="Heading4"/>
        <w:keepNext/>
        <w:pageBreakBefore w:val="0"/>
      </w:pPr>
      <w:r>
        <w:t>Login or session problem</w:t>
      </w:r>
    </w:p>
    <w:p>
      <w:pPr>
        <w:spacing w:after="80" w:line="240" w:lineRule="auto"/>
      </w:pPr>
      <w:r>
        <w:rPr>
          <w:sz w:val="19"/>
        </w:rPr>
        <w:t>Check account status, organization approval, role/scope, and session expiry. Sign out/sign in or follow controlled reset. Platform Admin handles administrator-assisted recovery. Never share passwords or tokens in a support message.</w:t>
      </w:r>
    </w:p>
    <w:p>
      <w:pPr>
        <w:pStyle w:val="Heading4"/>
        <w:keepNext/>
        <w:pageBreakBefore w:val="0"/>
      </w:pPr>
      <w:r>
        <w:t>Package/capacity problem</w:t>
      </w:r>
    </w:p>
    <w:p>
      <w:pPr>
        <w:spacing w:after="80" w:line="240" w:lineRule="auto"/>
      </w:pPr>
      <w:r>
        <w:rPr>
          <w:sz w:val="19"/>
        </w:rPr>
        <w:t>Check subscription/license status, effective dates, Student capacity, and exam overlap. Registration approval does not prove package activation. Host contacts Platform Admin with the order/license correlation.</w:t>
      </w:r>
    </w:p>
    <w:p>
      <w:pPr>
        <w:pStyle w:val="Heading4"/>
        <w:keepNext/>
        <w:pageBreakBefore w:val="0"/>
      </w:pPr>
      <w:r>
        <w:t>Missing question/media or template</w:t>
      </w:r>
    </w:p>
    <w:p>
      <w:pPr>
        <w:spacing w:after="80" w:line="240" w:lineRule="auto"/>
      </w:pPr>
      <w:r>
        <w:rPr>
          <w:sz w:val="19"/>
        </w:rPr>
        <w:t>Check content revision status, required media completion, active Score Template, and approval state. Platform Author corrects the draft; Platform Admin approves/publishes. Host cannot bypass the shared content gate.</w:t>
      </w:r>
    </w:p>
    <w:p>
      <w:pPr>
        <w:pStyle w:val="Heading4"/>
        <w:keepNext/>
        <w:pageBreakBefore w:val="0"/>
      </w:pPr>
      <w:r>
        <w:t>Exam conflict or generation error</w:t>
      </w:r>
    </w:p>
    <w:p>
      <w:pPr>
        <w:spacing w:after="80" w:line="240" w:lineRule="auto"/>
      </w:pPr>
      <w:r>
        <w:rPr>
          <w:sz w:val="19"/>
        </w:rPr>
        <w:t>Review duplicate/conflicting candidates, package window, content completeness, assignments, and generation state. Use safe retry/cancel when available. Do not publish a pending/error or partial form. Escalate with exam draft/version reference.</w:t>
      </w:r>
    </w:p>
    <w:p>
      <w:pPr>
        <w:pStyle w:val="Heading4"/>
        <w:keepNext/>
        <w:pageBreakBefore w:val="0"/>
      </w:pPr>
      <w:r>
        <w:t>Microphone/audio/device check failure</w:t>
      </w:r>
    </w:p>
    <w:p>
      <w:pPr>
        <w:spacing w:after="80" w:line="240" w:lineRule="auto"/>
      </w:pPr>
      <w:r>
        <w:rPr>
          <w:sz w:val="19"/>
        </w:rPr>
        <w:t>Confirm Windows permissions, selected device, microphone input, audio playback, network, and client build. Re-run the check before the timer. If still blocked, contact Host/Proctor support and preserve the error reference.</w:t>
      </w:r>
    </w:p>
    <w:p>
      <w:pPr>
        <w:pStyle w:val="Heading4"/>
        <w:keepNext/>
        <w:pageBreakBefore w:val="0"/>
      </w:pPr>
      <w:r>
        <w:t>Offline answer synchronization</w:t>
      </w:r>
    </w:p>
    <w:p>
      <w:pPr>
        <w:spacing w:after="80" w:line="240" w:lineRule="auto"/>
      </w:pPr>
      <w:r>
        <w:rPr>
          <w:sz w:val="19"/>
        </w:rPr>
        <w:t xml:space="preserve">Look for </w:t>
      </w:r>
      <w:r>
        <w:rPr>
          <w:b/>
          <w:i w:val="0"/>
          <w:sz w:val="19"/>
        </w:rPr>
        <w:t>locally saved</w:t>
      </w:r>
      <w:r>
        <w:rPr>
          <w:sz w:val="19"/>
        </w:rPr>
        <w:t xml:space="preserve">, </w:t>
      </w:r>
      <w:r>
        <w:rPr>
          <w:b/>
          <w:i w:val="0"/>
          <w:sz w:val="19"/>
        </w:rPr>
        <w:t>queued</w:t>
      </w:r>
      <w:r>
        <w:rPr>
          <w:sz w:val="19"/>
        </w:rPr>
        <w:t xml:space="preserve">, </w:t>
      </w:r>
      <w:r>
        <w:rPr>
          <w:b/>
          <w:i w:val="0"/>
          <w:sz w:val="19"/>
        </w:rPr>
        <w:t>retrying</w:t>
      </w:r>
      <w:r>
        <w:rPr>
          <w:sz w:val="19"/>
        </w:rPr>
        <w:t xml:space="preserve">, </w:t>
      </w:r>
      <w:r>
        <w:rPr>
          <w:b/>
          <w:i w:val="0"/>
          <w:sz w:val="19"/>
        </w:rPr>
        <w:t>synchronized</w:t>
      </w:r>
      <w:r>
        <w:rPr>
          <w:sz w:val="19"/>
        </w:rPr>
        <w:t xml:space="preserve">, or </w:t>
      </w:r>
      <w:r>
        <w:rPr>
          <w:b/>
          <w:i w:val="0"/>
          <w:sz w:val="19"/>
        </w:rPr>
        <w:t>rejected</w:t>
      </w:r>
      <w:r>
        <w:rPr>
          <w:sz w:val="19"/>
        </w:rPr>
        <w:t xml:space="preserve"> state. Keep the client open and follow the approved retry path. Do not claim submission or delete local data before support confirms recovery. </w:t>
      </w:r>
      <w:r>
        <w:rPr>
          <w:rFonts w:ascii="Consolas" w:hAnsi="Consolas"/>
          <w:b w:val="0"/>
          <w:i w:val="0"/>
          <w:sz w:val="17"/>
        </w:rPr>
        <w:t>SEQ-ANSWER-SYNC</w:t>
      </w:r>
      <w:r>
        <w:rPr>
          <w:sz w:val="19"/>
        </w:rPr>
        <w:t xml:space="preserve"> and </w:t>
      </w:r>
      <w:r>
        <w:rPr>
          <w:rFonts w:ascii="Consolas" w:hAnsi="Consolas"/>
          <w:b w:val="0"/>
          <w:i w:val="0"/>
          <w:sz w:val="17"/>
        </w:rPr>
        <w:t>TC-DELIVERY-003</w:t>
      </w:r>
      <w:r>
        <w:rPr>
          <w:sz w:val="19"/>
        </w:rPr>
        <w:t xml:space="preserve"> define the evidence expected.</w:t>
      </w:r>
    </w:p>
    <w:p>
      <w:pPr>
        <w:pStyle w:val="Heading4"/>
        <w:keepNext/>
        <w:pageBreakBefore w:val="0"/>
      </w:pPr>
      <w:r>
        <w:t>Proctoring/violation question</w:t>
      </w:r>
    </w:p>
    <w:p>
      <w:pPr>
        <w:spacing w:after="80" w:line="240" w:lineRule="auto"/>
      </w:pPr>
      <w:r>
        <w:rPr>
          <w:sz w:val="19"/>
        </w:rPr>
        <w:t xml:space="preserve">The Proctor follows the fixed exam policy. A Practice warning/audit does not automatically invalidate the attempt in the initial policy. Unassigned actions are denied. If event state is pending/error, record the reference and escalate under </w:t>
      </w:r>
      <w:r>
        <w:rPr>
          <w:rFonts w:ascii="Consolas" w:hAnsi="Consolas"/>
          <w:b w:val="0"/>
          <w:i w:val="0"/>
          <w:sz w:val="17"/>
        </w:rPr>
        <w:t>TBD-PROCTOR-001</w:t>
      </w:r>
      <w:r>
        <w:rPr>
          <w:sz w:val="19"/>
        </w:rPr>
        <w:t>.</w:t>
      </w:r>
    </w:p>
    <w:p>
      <w:pPr>
        <w:pStyle w:val="Heading4"/>
        <w:keepNext/>
        <w:pageBreakBefore w:val="0"/>
      </w:pPr>
      <w:r>
        <w:t>AI or Examiner score pending/failed</w:t>
      </w:r>
    </w:p>
    <w:p>
      <w:pPr>
        <w:spacing w:after="80" w:line="240" w:lineRule="auto"/>
      </w:pPr>
      <w:r>
        <w:rPr>
          <w:sz w:val="19"/>
        </w:rPr>
        <w:t>Host checks source status, assignment, rubric, provider correlation, and retry/review policy. Do not substitute a placeholder as a valid final score. Publication remains blocked when required scores are incomplete.</w:t>
      </w:r>
    </w:p>
    <w:p>
      <w:pPr>
        <w:pStyle w:val="Heading4"/>
        <w:keepNext/>
        <w:pageBreakBefore w:val="0"/>
      </w:pPr>
      <w:r>
        <w:t>Report not visible after scoring</w:t>
      </w:r>
    </w:p>
    <w:p>
      <w:pPr>
        <w:spacing w:after="80" w:line="240" w:lineRule="auto"/>
      </w:pPr>
      <w:r>
        <w:rPr>
          <w:sz w:val="19"/>
        </w:rPr>
        <w:t>Check report readiness, Host source selection, publication state, Student ownership, and notification status. Notification failure does not necessarily mean publication failed; Host verifies the report state directly.</w:t>
      </w:r>
    </w:p>
    <w:p>
      <w:pPr>
        <w:pStyle w:val="Heading4"/>
        <w:keepNext/>
        <w:pageBreakBefore w:val="0"/>
      </w:pPr>
      <w:r>
        <w:t>External service outage</w:t>
      </w:r>
    </w:p>
    <w:p>
      <w:pPr>
        <w:spacing w:after="80" w:line="240" w:lineRule="auto"/>
      </w:pPr>
      <w:r>
        <w:rPr>
          <w:sz w:val="19"/>
        </w:rPr>
        <w:t>Record provider/correlation/status, wait for bounded retry if appropriate, and escalate to the integration owner. Do not repeat a payment/license/exam/publication action blindly.</w:t>
      </w:r>
    </w:p>
    <w:p>
      <w:pPr>
        <w:pStyle w:val="Heading3"/>
        <w:keepNext/>
        <w:pageBreakBefore w:val="0"/>
      </w:pPr>
      <w:r>
        <w:t>3.10 Screenshot and guide asset inventory</w:t>
      </w:r>
    </w:p>
    <w:p>
      <w:pPr>
        <w:spacing w:after="80" w:line="240" w:lineRule="auto"/>
      </w:pPr>
      <w:r>
        <w:rPr>
          <w:sz w:val="19"/>
        </w:rPr>
        <w:t>The current baseline does not embed screenshots because routes/client states and real data must be verified and masked first. Future assets use this inventory: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2"/>
        <w:gridCol w:w="2262"/>
        <w:gridCol w:w="2262"/>
        <w:gridCol w:w="2262"/>
      </w:tblGrid>
      <w:tr>
        <w:trPr>
          <w:tblHeader w:val="true"/>
          <w:cantSplit/>
        </w:trPr>
        <w:tc>
          <w:tcPr>
            <w:tcW w:type="dxa" w:w="209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FE8E1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b/>
                <w:sz w:val="17"/>
              </w:rPr>
              <w:t>Asset ID</w:t>
            </w:r>
          </w:p>
        </w:tc>
        <w:tc>
          <w:tcPr>
            <w:tcW w:type="dxa" w:w="30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FE8E1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b/>
                <w:sz w:val="17"/>
              </w:rPr>
              <w:t>Intended capture</w:t>
            </w:r>
          </w:p>
        </w:tc>
        <w:tc>
          <w:tcPr>
            <w:tcW w:type="dxa" w:w="247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FE8E1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b/>
                <w:sz w:val="17"/>
              </w:rPr>
              <w:t>Status/source</w:t>
            </w:r>
          </w:p>
        </w:tc>
        <w:tc>
          <w:tcPr>
            <w:tcW w:type="dxa" w:w="209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  <w:shd w:val="clear" w:color="auto" w:fill="FFE8E1"/>
          </w:tcPr>
          <w:p>
            <w:pPr>
              <w:spacing w:after="0" w:line="240" w:lineRule="auto"/>
            </w:pPr>
            <w:r>
              <w:rPr>
                <w:b/>
              </w:rPr>
            </w:r>
            <w:r>
              <w:rPr>
                <w:b/>
                <w:sz w:val="17"/>
              </w:rPr>
              <w:t>Related IDs</w:t>
            </w:r>
          </w:p>
        </w:tc>
      </w:tr>
      <w:tr>
        <w:trPr>
          <w:cantSplit/>
        </w:trPr>
        <w:tc>
          <w:tcPr>
            <w:tcW w:type="dxa" w:w="209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IMG-ADMIN-ONBOARD-001</w:t>
            </w:r>
          </w:p>
        </w:tc>
        <w:tc>
          <w:tcPr>
            <w:tcW w:type="dxa" w:w="30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Platform Admin registration review with synthetic organization</w:t>
            </w:r>
          </w:p>
        </w:tc>
        <w:tc>
          <w:tcPr>
            <w:tcW w:type="dxa" w:w="247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TBD — capture after route/evidence verification</w:t>
            </w:r>
          </w:p>
        </w:tc>
        <w:tc>
          <w:tcPr>
            <w:tcW w:type="dxa" w:w="209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WF-ADMIN-ONBOARD-001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7"/>
              </w:rPr>
              <w:t>FR-ONBOARD-002</w:t>
            </w:r>
          </w:p>
        </w:tc>
      </w:tr>
      <w:tr>
        <w:trPr>
          <w:cantSplit/>
        </w:trPr>
        <w:tc>
          <w:tcPr>
            <w:tcW w:type="dxa" w:w="209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IMG-HOST-EXAM-001</w:t>
            </w:r>
          </w:p>
        </w:tc>
        <w:tc>
          <w:tcPr>
            <w:tcW w:type="dxa" w:w="30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Host exam validation/candidate preview</w:t>
            </w:r>
          </w:p>
        </w:tc>
        <w:tc>
          <w:tcPr>
            <w:tcW w:type="dxa" w:w="247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TBD — capture after UI verification</w:t>
            </w:r>
          </w:p>
        </w:tc>
        <w:tc>
          <w:tcPr>
            <w:tcW w:type="dxa" w:w="209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WF-HOST-CREATE-EXAM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7"/>
              </w:rPr>
              <w:t>FR-EXAM-003</w:t>
            </w:r>
          </w:p>
        </w:tc>
      </w:tr>
      <w:tr>
        <w:trPr>
          <w:cantSplit/>
        </w:trPr>
        <w:tc>
          <w:tcPr>
            <w:tcW w:type="dxa" w:w="209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IMG-STUDENT-CHECK-001</w:t>
            </w:r>
          </w:p>
        </w:tc>
        <w:tc>
          <w:tcPr>
            <w:tcW w:type="dxa" w:w="30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Windows client device check and save/sync status</w:t>
            </w:r>
          </w:p>
        </w:tc>
        <w:tc>
          <w:tcPr>
            <w:tcW w:type="dxa" w:w="247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 xml:space="preserve">TBD — </w:t>
            </w:r>
            <w:r>
              <w:rPr>
                <w:rFonts w:ascii="Consolas" w:hAnsi="Consolas"/>
                <w:b w:val="0"/>
                <w:i w:val="0"/>
                <w:sz w:val="17"/>
              </w:rPr>
              <w:t>TBD-CLIENT-001</w:t>
            </w:r>
          </w:p>
        </w:tc>
        <w:tc>
          <w:tcPr>
            <w:tcW w:type="dxa" w:w="209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WF-STUDENT-TAKE-001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7"/>
              </w:rPr>
              <w:t>TC-DELIVERY-002</w:t>
            </w:r>
            <w:r>
              <w:rPr>
                <w:sz w:val="17"/>
              </w:rPr>
              <w:t>–</w:t>
            </w:r>
            <w:r>
              <w:rPr>
                <w:rFonts w:ascii="Consolas" w:hAnsi="Consolas"/>
                <w:b w:val="0"/>
                <w:i w:val="0"/>
                <w:sz w:val="17"/>
              </w:rPr>
              <w:t>TC-DELIVERY-003</w:t>
            </w:r>
          </w:p>
        </w:tc>
      </w:tr>
      <w:tr>
        <w:trPr>
          <w:cantSplit/>
        </w:trPr>
        <w:tc>
          <w:tcPr>
            <w:tcW w:type="dxa" w:w="209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IMG-PROCTOR-EVENT-001</w:t>
            </w:r>
          </w:p>
        </w:tc>
        <w:tc>
          <w:tcPr>
            <w:tcW w:type="dxa" w:w="30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Proctor assigned monitoring/violation record</w:t>
            </w:r>
          </w:p>
        </w:tc>
        <w:tc>
          <w:tcPr>
            <w:tcW w:type="dxa" w:w="247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 xml:space="preserve">TBD — </w:t>
            </w:r>
            <w:r>
              <w:rPr>
                <w:rFonts w:ascii="Consolas" w:hAnsi="Consolas"/>
                <w:b w:val="0"/>
                <w:i w:val="0"/>
                <w:sz w:val="17"/>
              </w:rPr>
              <w:t>TBD-PROCTOR-001</w:t>
            </w:r>
          </w:p>
        </w:tc>
        <w:tc>
          <w:tcPr>
            <w:tcW w:type="dxa" w:w="209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WF-PROCTOR-MONITOR-001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7"/>
              </w:rPr>
              <w:t>FR-INTEGRITY-003</w:t>
            </w:r>
          </w:p>
        </w:tc>
      </w:tr>
      <w:tr>
        <w:trPr>
          <w:cantSplit/>
        </w:trPr>
        <w:tc>
          <w:tcPr>
            <w:tcW w:type="dxa" w:w="209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IMG-REPORT-PUBLISH-001</w:t>
            </w:r>
          </w:p>
        </w:tc>
        <w:tc>
          <w:tcPr>
            <w:tcW w:type="dxa" w:w="304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Host readiness/source selection/publication</w:t>
            </w:r>
          </w:p>
        </w:tc>
        <w:tc>
          <w:tcPr>
            <w:tcW w:type="dxa" w:w="2478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sz w:val="17"/>
              </w:rPr>
              <w:t>TBD — verify score/report UI</w:t>
            </w:r>
          </w:p>
        </w:tc>
        <w:tc>
          <w:tcPr>
            <w:tcW w:type="dxa" w:w="209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/>
            </w:r>
            <w:r>
              <w:rPr>
                <w:rFonts w:ascii="Consolas" w:hAnsi="Consolas"/>
                <w:b w:val="0"/>
                <w:i w:val="0"/>
                <w:sz w:val="17"/>
              </w:rPr>
              <w:t>WF-HOST-PUBLISH-REPORT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7"/>
              </w:rPr>
              <w:t>FR-REPORT-003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sz w:val="17"/>
              </w:rPr>
              <w:t>TC-REPORT-001</w:t>
            </w:r>
          </w:p>
        </w:tc>
      </w:tr>
    </w:tbl>
    <w:p>
      <w:pPr>
        <w:spacing w:after="20"/>
      </w:pPr>
    </w:p>
    <w:p>
      <w:pPr>
        <w:spacing w:after="80" w:line="240" w:lineRule="auto"/>
      </w:pPr>
      <w:r>
        <w:rPr>
          <w:sz w:val="19"/>
        </w:rPr>
        <w:t>Every image must use synthetic/masked data and include status, source/capture date, and related workflow/requirement/test IDs. Missing screenshots remain TBD rather than fabricated.</w:t>
      </w:r>
    </w:p>
    <w:p>
      <w:pPr>
        <w:pStyle w:val="Heading3"/>
        <w:keepNext/>
        <w:pageBreakBefore w:val="0"/>
      </w:pPr>
      <w:r>
        <w:t>3.11 Guide review checklist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Product is named PTE Prep; PTE Academic independence boundary is visible.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Only Platform Admin, Platform Author, Host, Proctor, Examiner, Student, and External Integration Services appear as product actors.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Registration and package activation are separate instructions.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Windows-first client and device/offline limitations are explicit.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Every role workflow has prerequisites, steps, expected result, error/recovery, visibility, audit, and traceability.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Planned/Partial/TBD behavior is not written as a guaranteed Current workflow.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Internal service ports and secret values are not presented to end users.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Retention remains contract-based/TBD.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18"/>
        </w:rPr>
        <w:t>Screenshots/assets are masked or explicitly TBD.</w:t>
      </w:r>
    </w:p>
    <w:sectPr w:rsidR="00994D46" w:rsidRPr="00994D46" w:rsidSect="00155E22">
      <w:pgSz w:w="11906" w:h="16838"/>
      <w:pgMar w:top="1440" w:right="1416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580BEF"/>
    <w:multiLevelType w:val="hybridMultilevel"/>
    <w:tmpl w:val="FED4919E"/>
    <w:lvl w:ilvl="0" w:tplc="5D9C96BE">
      <w:start w:val="1"/>
      <w:numFmt w:val="decimal"/>
      <w:lvlText w:val="%1."/>
      <w:lvlJc w:val="left"/>
      <w:pPr>
        <w:tabs>
          <w:tab w:val="num" w:pos="72"/>
        </w:tabs>
        <w:ind w:left="144" w:firstLine="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B0A6348"/>
    <w:multiLevelType w:val="hybridMultilevel"/>
    <w:tmpl w:val="F80A1E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6474A3"/>
    <w:multiLevelType w:val="hybridMultilevel"/>
    <w:tmpl w:val="E0FE1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B368CD"/>
    <w:multiLevelType w:val="hybridMultilevel"/>
    <w:tmpl w:val="B582E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1E4AA4"/>
    <w:multiLevelType w:val="hybridMultilevel"/>
    <w:tmpl w:val="7070FB16"/>
    <w:lvl w:ilvl="0" w:tplc="741CC93C">
      <w:start w:val="1"/>
      <w:numFmt w:val="decimal"/>
      <w:lvlText w:val="%1."/>
      <w:lvlJc w:val="left"/>
      <w:pPr>
        <w:tabs>
          <w:tab w:val="num" w:pos="72"/>
        </w:tabs>
        <w:ind w:left="144" w:firstLine="0"/>
      </w:pPr>
      <w:rPr>
        <w:rFonts w:hint="default"/>
      </w:rPr>
    </w:lvl>
    <w:lvl w:ilvl="1" w:tplc="39302DB8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41C33BC"/>
    <w:multiLevelType w:val="multilevel"/>
    <w:tmpl w:val="00869456"/>
    <w:lvl w:ilvl="0">
      <w:start w:val="1"/>
      <w:numFmt w:val="decimal"/>
      <w:lvlText w:val="%1."/>
      <w:lvlJc w:val="left"/>
      <w:pPr>
        <w:tabs>
          <w:tab w:val="num" w:pos="72"/>
        </w:tabs>
        <w:ind w:left="144" w:firstLine="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1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93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91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9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482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90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688" w:hanging="2160"/>
      </w:pPr>
      <w:rPr>
        <w:rFonts w:hint="default"/>
      </w:rPr>
    </w:lvl>
  </w:abstractNum>
  <w:abstractNum w:abstractNumId="6" w15:restartNumberingAfterBreak="0">
    <w:nsid w:val="7D405978"/>
    <w:multiLevelType w:val="hybridMultilevel"/>
    <w:tmpl w:val="4434EA80"/>
    <w:lvl w:ilvl="0" w:tplc="5620A032">
      <w:numFmt w:val="bullet"/>
      <w:lvlText w:val="•"/>
      <w:lvlJc w:val="left"/>
      <w:pPr>
        <w:ind w:left="1080" w:hanging="360"/>
      </w:pPr>
      <w:rPr>
        <w:lang w:val="en-US" w:eastAsia="en-US" w:bidi="en-US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1"/>
  </w:num>
  <w:num w:numId="5">
    <w:abstractNumId w:val="4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4E27"/>
    <w:rsid w:val="00001F75"/>
    <w:rsid w:val="00084244"/>
    <w:rsid w:val="000B4EA5"/>
    <w:rsid w:val="000C287A"/>
    <w:rsid w:val="00105B35"/>
    <w:rsid w:val="00110F65"/>
    <w:rsid w:val="0015305A"/>
    <w:rsid w:val="00155E22"/>
    <w:rsid w:val="00192319"/>
    <w:rsid w:val="00192564"/>
    <w:rsid w:val="001C5421"/>
    <w:rsid w:val="001D0411"/>
    <w:rsid w:val="0023711D"/>
    <w:rsid w:val="00242AE1"/>
    <w:rsid w:val="00252176"/>
    <w:rsid w:val="00294C2B"/>
    <w:rsid w:val="002A022C"/>
    <w:rsid w:val="002A545F"/>
    <w:rsid w:val="002B1CB5"/>
    <w:rsid w:val="002B6EBD"/>
    <w:rsid w:val="002E0C5F"/>
    <w:rsid w:val="002E2423"/>
    <w:rsid w:val="00312D34"/>
    <w:rsid w:val="00350175"/>
    <w:rsid w:val="003B5DB2"/>
    <w:rsid w:val="003C1112"/>
    <w:rsid w:val="003E62DE"/>
    <w:rsid w:val="003F79EA"/>
    <w:rsid w:val="00410588"/>
    <w:rsid w:val="00440339"/>
    <w:rsid w:val="00461A1E"/>
    <w:rsid w:val="004B043A"/>
    <w:rsid w:val="004C7F8F"/>
    <w:rsid w:val="004E28A4"/>
    <w:rsid w:val="004E2BD0"/>
    <w:rsid w:val="005538C3"/>
    <w:rsid w:val="00570232"/>
    <w:rsid w:val="00570587"/>
    <w:rsid w:val="005922B2"/>
    <w:rsid w:val="00593E6F"/>
    <w:rsid w:val="005F490F"/>
    <w:rsid w:val="00623625"/>
    <w:rsid w:val="0065251E"/>
    <w:rsid w:val="00681920"/>
    <w:rsid w:val="006967F2"/>
    <w:rsid w:val="006C61C6"/>
    <w:rsid w:val="006D4C3E"/>
    <w:rsid w:val="007061E6"/>
    <w:rsid w:val="00713953"/>
    <w:rsid w:val="00724329"/>
    <w:rsid w:val="00792236"/>
    <w:rsid w:val="00794A14"/>
    <w:rsid w:val="00795EF6"/>
    <w:rsid w:val="007B7829"/>
    <w:rsid w:val="007B7BC4"/>
    <w:rsid w:val="007D73E6"/>
    <w:rsid w:val="00810D51"/>
    <w:rsid w:val="0081541F"/>
    <w:rsid w:val="008312FF"/>
    <w:rsid w:val="00832C26"/>
    <w:rsid w:val="00851703"/>
    <w:rsid w:val="008E2DD2"/>
    <w:rsid w:val="008F19EB"/>
    <w:rsid w:val="008F69DA"/>
    <w:rsid w:val="00906B62"/>
    <w:rsid w:val="00907D64"/>
    <w:rsid w:val="00914AE2"/>
    <w:rsid w:val="00922652"/>
    <w:rsid w:val="00922A14"/>
    <w:rsid w:val="00934074"/>
    <w:rsid w:val="0093643B"/>
    <w:rsid w:val="00937399"/>
    <w:rsid w:val="0097089C"/>
    <w:rsid w:val="00977EAE"/>
    <w:rsid w:val="00994D46"/>
    <w:rsid w:val="009B7085"/>
    <w:rsid w:val="009D51A2"/>
    <w:rsid w:val="00A0058F"/>
    <w:rsid w:val="00A63022"/>
    <w:rsid w:val="00A95B3E"/>
    <w:rsid w:val="00AB056F"/>
    <w:rsid w:val="00AB14C9"/>
    <w:rsid w:val="00AC7B82"/>
    <w:rsid w:val="00AD7DB1"/>
    <w:rsid w:val="00B20576"/>
    <w:rsid w:val="00B44E27"/>
    <w:rsid w:val="00B54F88"/>
    <w:rsid w:val="00B70E7B"/>
    <w:rsid w:val="00BC5D68"/>
    <w:rsid w:val="00C819A9"/>
    <w:rsid w:val="00C87F08"/>
    <w:rsid w:val="00C9298A"/>
    <w:rsid w:val="00C9405C"/>
    <w:rsid w:val="00CB5C1D"/>
    <w:rsid w:val="00CC0EC6"/>
    <w:rsid w:val="00D01441"/>
    <w:rsid w:val="00D15760"/>
    <w:rsid w:val="00D33E5D"/>
    <w:rsid w:val="00D77EDC"/>
    <w:rsid w:val="00DA394D"/>
    <w:rsid w:val="00DA4C4C"/>
    <w:rsid w:val="00DA653C"/>
    <w:rsid w:val="00DD74C0"/>
    <w:rsid w:val="00E57032"/>
    <w:rsid w:val="00E6342E"/>
    <w:rsid w:val="00E64B93"/>
    <w:rsid w:val="00EB7367"/>
    <w:rsid w:val="00ED1C1D"/>
    <w:rsid w:val="00EE3FE0"/>
    <w:rsid w:val="00EF03B2"/>
    <w:rsid w:val="00F01FF0"/>
    <w:rsid w:val="00F0214B"/>
    <w:rsid w:val="00F07421"/>
    <w:rsid w:val="00F17628"/>
    <w:rsid w:val="00F26556"/>
    <w:rsid w:val="00F37798"/>
    <w:rsid w:val="00F57E8D"/>
    <w:rsid w:val="00FB7B93"/>
    <w:rsid w:val="00FC4EE6"/>
    <w:rsid w:val="00FF2BF3"/>
    <w:rsid w:val="00FF3756"/>
    <w:rsid w:val="00FF4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62D7D"/>
  <w15:chartTrackingRefBased/>
  <w15:docId w15:val="{9D63CC40-EBEF-499B-800E-50E5734A85B4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B056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C00000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E0C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2E0C5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F2655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b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10D5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4C3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87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0058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B056F"/>
    <w:rPr>
      <w:rFonts w:asciiTheme="majorHAnsi" w:eastAsiaTheme="majorEastAsia" w:hAnsiTheme="majorHAnsi" w:cstheme="majorBidi"/>
      <w:b/>
      <w:color w:val="C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E0C5F"/>
    <w:rPr>
      <w:rFonts w:asciiTheme="majorHAnsi" w:eastAsiaTheme="majorEastAsia" w:hAnsiTheme="majorHAnsi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E0C5F"/>
    <w:rPr>
      <w:rFonts w:asciiTheme="majorHAnsi" w:eastAsiaTheme="majorEastAsia" w:hAnsiTheme="majorHAnsi" w:cstheme="majorBidi"/>
      <w:b/>
      <w:sz w:val="24"/>
      <w:szCs w:val="24"/>
    </w:rPr>
  </w:style>
  <w:style w:type="table" w:customStyle="1" w:styleId="Kiu2">
    <w:name w:val="Kiểu2"/>
    <w:basedOn w:val="TableNormal"/>
    <w:uiPriority w:val="99"/>
    <w:rsid w:val="00922652"/>
    <w:pPr>
      <w:spacing w:after="0" w:line="240" w:lineRule="auto"/>
    </w:pPr>
    <w:rPr>
      <w:rFonts w:ascii="Times New Roman" w:eastAsiaTheme="minorEastAsia" w:hAnsi="Times New Roman"/>
      <w:sz w:val="24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rPr>
        <w:rFonts w:ascii="Times New Roman" w:hAnsi="Times New Roman"/>
        <w:b w:val="0"/>
        <w:i w:val="0"/>
        <w:sz w:val="24"/>
        <w:u w:val="none"/>
      </w:rPr>
      <w:tblPr/>
      <w:tcPr>
        <w:shd w:val="clear" w:color="auto" w:fill="BDD6EE" w:themeFill="accent1" w:themeFillTint="66"/>
      </w:tcPr>
    </w:tblStylePr>
  </w:style>
  <w:style w:type="character" w:styleId="Hyperlink">
    <w:name w:val="Hyperlink"/>
    <w:basedOn w:val="DefaultParagraphFont"/>
    <w:uiPriority w:val="99"/>
    <w:unhideWhenUsed/>
    <w:rsid w:val="00922652"/>
    <w:rPr>
      <w:color w:val="0563C1" w:themeColor="hyperlink"/>
      <w:u w:val="single"/>
    </w:rPr>
  </w:style>
  <w:style w:type="paragraph" w:customStyle="1" w:styleId="bang">
    <w:name w:val="bang"/>
    <w:basedOn w:val="Normal"/>
    <w:autoRedefine/>
    <w:rsid w:val="006D4C3E"/>
    <w:pPr>
      <w:autoSpaceDE w:val="0"/>
      <w:autoSpaceDN w:val="0"/>
      <w:spacing w:before="80" w:after="80" w:line="240" w:lineRule="auto"/>
    </w:pPr>
    <w:rPr>
      <w:rFonts w:ascii="Times New Roman" w:eastAsia="MS Mincho" w:hAnsi="Times New Roman" w:cs="Times New Roman"/>
      <w:sz w:val="24"/>
      <w:szCs w:val="24"/>
      <w:shd w:val="clear" w:color="auto" w:fill="FFFFFF"/>
      <w:lang w:val="en-US" w:eastAsia="ja-JP"/>
    </w:rPr>
  </w:style>
  <w:style w:type="paragraph" w:customStyle="1" w:styleId="Bangheader">
    <w:name w:val="Bangheader"/>
    <w:basedOn w:val="Heading7"/>
    <w:autoRedefine/>
    <w:rsid w:val="006D4C3E"/>
    <w:pPr>
      <w:keepNext w:val="0"/>
      <w:keepLines w:val="0"/>
      <w:autoSpaceDE w:val="0"/>
      <w:autoSpaceDN w:val="0"/>
      <w:spacing w:before="80" w:after="80" w:line="240" w:lineRule="auto"/>
      <w:jc w:val="center"/>
    </w:pPr>
    <w:rPr>
      <w:rFonts w:ascii="Arial" w:eastAsia="MS Mincho" w:hAnsi="Arial" w:cs="Tahoma"/>
      <w:b/>
      <w:i w:val="0"/>
      <w:iCs w:val="0"/>
      <w:color w:val="auto"/>
      <w:sz w:val="16"/>
      <w:szCs w:val="16"/>
      <w:lang w:val="en-US"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4C3E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rsid w:val="00F26556"/>
    <w:rPr>
      <w:rFonts w:asciiTheme="majorHAnsi" w:eastAsiaTheme="majorEastAsia" w:hAnsiTheme="majorHAnsi" w:cstheme="majorBidi"/>
      <w:b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rsid w:val="00810D51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BodyText">
    <w:name w:val="Body Text"/>
    <w:basedOn w:val="Normal"/>
    <w:next w:val="Normal"/>
    <w:link w:val="BodyTextChar"/>
    <w:rsid w:val="005F490F"/>
    <w:pPr>
      <w:tabs>
        <w:tab w:val="left" w:pos="567"/>
      </w:tabs>
      <w:suppressAutoHyphens/>
      <w:spacing w:before="120" w:after="0" w:line="360" w:lineRule="auto"/>
      <w:ind w:left="360"/>
    </w:pPr>
    <w:rPr>
      <w:rFonts w:ascii="Arial" w:eastAsia="Times New Roman" w:hAnsi="Arial" w:cs="Tahoma"/>
      <w:sz w:val="20"/>
      <w:szCs w:val="20"/>
      <w:lang w:val="en-AU" w:eastAsia="ar-SA"/>
    </w:rPr>
  </w:style>
  <w:style w:type="character" w:customStyle="1" w:styleId="BodyTextChar">
    <w:name w:val="Body Text Char"/>
    <w:basedOn w:val="DefaultParagraphFont"/>
    <w:link w:val="BodyText"/>
    <w:rsid w:val="005F490F"/>
    <w:rPr>
      <w:rFonts w:ascii="Arial" w:eastAsia="Times New Roman" w:hAnsi="Arial" w:cs="Tahoma"/>
      <w:sz w:val="20"/>
      <w:szCs w:val="20"/>
      <w:lang w:val="en-AU" w:eastAsia="ar-SA"/>
    </w:rPr>
  </w:style>
  <w:style w:type="paragraph" w:styleId="TOCHeading">
    <w:name w:val="TOC Heading"/>
    <w:basedOn w:val="Heading1"/>
    <w:next w:val="Normal"/>
    <w:uiPriority w:val="39"/>
    <w:unhideWhenUsed/>
    <w:qFormat/>
    <w:rsid w:val="00907D64"/>
    <w:pPr>
      <w:outlineLvl w:val="9"/>
    </w:pPr>
    <w:rPr>
      <w:b w:val="0"/>
      <w:color w:val="2E74B5" w:themeColor="accent1" w:themeShade="BF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07D6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07D6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07D64"/>
    <w:pPr>
      <w:spacing w:after="100"/>
      <w:ind w:left="440"/>
    </w:pPr>
  </w:style>
  <w:style w:type="paragraph" w:customStyle="1" w:styleId="Bang0">
    <w:name w:val="Bang"/>
    <w:basedOn w:val="Normal"/>
    <w:autoRedefine/>
    <w:rsid w:val="007061E6"/>
    <w:pPr>
      <w:spacing w:before="80" w:after="80" w:line="240" w:lineRule="auto"/>
    </w:pPr>
    <w:rPr>
      <w:rFonts w:ascii="Tahoma" w:eastAsia="Times New Roman" w:hAnsi="Tahoma" w:cs="Tahoma"/>
      <w:sz w:val="18"/>
      <w:szCs w:val="18"/>
      <w:lang w:val="en-US"/>
    </w:rPr>
  </w:style>
  <w:style w:type="paragraph" w:customStyle="1" w:styleId="HeadingLv1">
    <w:name w:val="Heading Lv1"/>
    <w:basedOn w:val="Normal"/>
    <w:autoRedefine/>
    <w:rsid w:val="007061E6"/>
    <w:pPr>
      <w:widowControl w:val="0"/>
      <w:spacing w:before="120" w:after="60" w:line="240" w:lineRule="auto"/>
      <w:jc w:val="center"/>
    </w:pPr>
    <w:rPr>
      <w:rFonts w:ascii="Tahoma" w:eastAsia="Times New Roman" w:hAnsi="Tahoma" w:cs="Tahoma"/>
      <w:b/>
      <w:snapToGrid w:val="0"/>
      <w:color w:val="6E2500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44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11BF8A-35FB-4AE9-B9B1-6C10D2B957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</TotalTime>
  <Pages>4</Pages>
  <Words>358</Words>
  <Characters>2046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PTE Prep — Report 6 — Software User Guides</dc:title>
  <dc:subject>FA26SE182 Capstone Project — PTE Prep</dc:subject>
  <dc:creator>Ngô Đăng Quang — Project Leader</dc:creator>
  <cp:keywords/>
  <dc:description>Generated from the approved PTE Prep Markdown report bundle using the supplied DOCX template.</dc:description>
  <cp:lastModifiedBy>KienNT</cp:lastModifiedBy>
  <cp:revision>113</cp:revision>
  <dcterms:created xsi:type="dcterms:W3CDTF">2020-01-14T01:28:00Z</dcterms:created>
  <dcterms:modified xsi:type="dcterms:W3CDTF">2021-09-23T22:19:00Z</dcterms:modified>
</cp:coreProperties>
</file>