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2C66C" w14:textId="77777777" w:rsidR="00C87F08" w:rsidRDefault="00C87F08" w:rsidP="00C87F08"/>
    <w:p w14:paraId="1952C4F3" w14:textId="77777777" w:rsidR="00C87F08" w:rsidRDefault="00C87F08" w:rsidP="00C87F08">
      <w:pPr>
        <w:jc w:val="center"/>
      </w:pPr>
      <w:r>
        <w:rPr>
          <w:noProof/>
          <w:lang w:val="en-US"/>
        </w:rPr>
        <w:drawing>
          <wp:inline distT="0" distB="0" distL="0" distR="0" wp14:anchorId="00B62F00" wp14:editId="6835CC65">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175A5C19" w14:textId="77777777" w:rsidR="00C87F08" w:rsidRDefault="00C87F08"/>
    <w:p w14:paraId="008BD8F1" w14:textId="77777777" w:rsidR="00C87F08" w:rsidRDefault="00C87F08"/>
    <w:p w14:paraId="100E4F53" w14:textId="77777777" w:rsidR="00C87F08" w:rsidRDefault="00C87F08"/>
    <w:p w14:paraId="1005D85B" w14:textId="77777777" w:rsidR="00C87F08" w:rsidRDefault="00C87F08"/>
    <w:p w14:paraId="4B49D8B0" w14:textId="77777777" w:rsidR="00C87F08" w:rsidRDefault="00C87F08"/>
    <w:p w14:paraId="6B0AADEA" w14:textId="77777777" w:rsidR="00C87F08" w:rsidRDefault="00C87F08"/>
    <w:p w14:paraId="13BEE797" w14:textId="77777777" w:rsidR="00C87F08" w:rsidRDefault="00C87F08"/>
    <w:p w14:paraId="1DC74FD1" w14:textId="77777777" w:rsidR="00C87F08" w:rsidRPr="002E0C5F" w:rsidRDefault="00C87F08" w:rsidP="00C87F08">
      <w:pPr>
        <w:jc w:val="center"/>
        <w:rPr>
          <w:b/>
          <w:caps/>
          <w:color w:val="C00000"/>
          <w:sz w:val="56"/>
        </w:rPr>
      </w:pPr>
      <w:r>
        <w:rPr>
          <w:rFonts w:ascii="Arial" w:hAnsi="Arial"/>
          <w:b/>
          <w:i w:val="0"/>
          <w:color w:val="C00000"/>
          <w:sz w:val="51"/>
        </w:rPr>
        <w:t>Capstone Project Report</w:t>
      </w:r>
    </w:p>
    <w:p w14:paraId="024DD51A" w14:textId="77777777" w:rsidR="00C87F08" w:rsidRPr="002E0C5F" w:rsidRDefault="00C87F08" w:rsidP="00C87F08">
      <w:pPr>
        <w:jc w:val="center"/>
        <w:rPr>
          <w:b/>
          <w:color w:val="C00000"/>
          <w:sz w:val="44"/>
        </w:rPr>
      </w:pPr>
      <w:r>
        <w:rPr>
          <w:rFonts w:ascii="Arial" w:hAnsi="Arial"/>
          <w:b/>
          <w:i w:val="0"/>
          <w:color w:val="C00000"/>
          <w:sz w:val="40"/>
        </w:rPr>
        <w:t>Report 6 — Software User Guides</w:t>
      </w:r>
    </w:p>
    <w:p w14:paraId="7EF5078E" w14:textId="77777777" w:rsidR="00C87F08" w:rsidRDefault="00C87F08" w:rsidP="00C87F08">
      <w:pPr>
        <w:jc w:val="center"/>
        <w:rPr>
          <w:b/>
          <w:sz w:val="44"/>
        </w:rPr>
      </w:pPr>
      <w:r>
        <w:rPr>
          <w:rFonts w:ascii="Arial" w:hAnsi="Arial"/>
          <w:b/>
          <w:i w:val="0"/>
          <w:color w:val="1F4D78"/>
          <w:sz w:val="30"/>
        </w:rPr>
        <w:t>PTEPrep</w:t>
      </w:r>
    </w:p>
    <w:p w14:paraId="192FCCE0" w14:textId="77777777" w:rsidR="00C87F08" w:rsidRDefault="00C87F08" w:rsidP="00C87F08">
      <w:pPr>
        <w:jc w:val="center"/>
        <w:rPr>
          <w:b/>
          <w:sz w:val="44"/>
        </w:rPr>
      </w:pPr>
      <w:r>
        <w:rPr>
          <w:rFonts w:ascii="Arial" w:hAnsi="Arial"/>
          <w:b w:val="0"/>
          <w:i w:val="0"/>
          <w:color w:val="666666"/>
          <w:sz w:val="22"/>
        </w:rPr>
        <w:t>FA26SE182</w:t>
      </w:r>
    </w:p>
    <w:p w14:paraId="59D36259" w14:textId="77777777" w:rsidR="00C87F08" w:rsidRDefault="00C87F08" w:rsidP="00C87F08">
      <w:pPr>
        <w:jc w:val="center"/>
        <w:rPr>
          <w:b/>
          <w:sz w:val="44"/>
        </w:rPr>
      </w:pPr>
      <w:r>
        <w:rPr>
          <w:rFonts w:ascii="Arial" w:hAnsi="Arial"/>
          <w:b w:val="0"/>
          <w:i w:val="0"/>
          <w:color w:val="666666"/>
          <w:sz w:val="20"/>
        </w:rPr>
        <w:t>Version 1.1 · 22 October 2026</w:t>
      </w:r>
    </w:p>
    <w:p w14:paraId="1D70DA48" w14:textId="77777777" w:rsidR="00C87F08" w:rsidRDefault="00C87F08" w:rsidP="00C87F08">
      <w:pPr>
        <w:jc w:val="center"/>
        <w:rPr>
          <w:b/>
          <w:sz w:val="44"/>
        </w:rPr>
      </w:pPr>
    </w:p>
    <w:p w14:paraId="0D72CFDB" w14:textId="77777777" w:rsidR="00C87F08" w:rsidRDefault="00C87F08" w:rsidP="00C87F08">
      <w:pPr>
        <w:jc w:val="center"/>
        <w:rPr>
          <w:b/>
          <w:sz w:val="44"/>
        </w:rPr>
      </w:pPr>
    </w:p>
    <w:p w14:paraId="089CB3EB" w14:textId="77777777" w:rsidR="00C87F08" w:rsidRDefault="00C87F08" w:rsidP="00C87F08">
      <w:pPr>
        <w:jc w:val="center"/>
        <w:rPr>
          <w:b/>
          <w:sz w:val="44"/>
        </w:rPr>
      </w:pPr>
    </w:p>
    <w:p w14:paraId="7EAEEA0D" w14:textId="77777777" w:rsidR="00C87F08" w:rsidRDefault="00C87F08" w:rsidP="00C87F08">
      <w:pPr>
        <w:jc w:val="center"/>
        <w:rPr>
          <w:b/>
          <w:sz w:val="44"/>
        </w:rPr>
      </w:pPr>
    </w:p>
    <w:p w14:paraId="1755F0F5" w14:textId="77777777" w:rsidR="00C87F08" w:rsidRDefault="00C87F08" w:rsidP="00C87F08">
      <w:pPr>
        <w:jc w:val="center"/>
        <w:rPr>
          <w:b/>
          <w:sz w:val="44"/>
        </w:rPr>
      </w:pPr>
    </w:p>
    <w:p w14:paraId="5709A0C6" w14:textId="77777777" w:rsidR="00C87F08" w:rsidRDefault="00C87F08" w:rsidP="00C87F08">
      <w:pPr>
        <w:jc w:val="center"/>
        <w:rPr>
          <w:b/>
          <w:sz w:val="44"/>
        </w:rPr>
      </w:pPr>
    </w:p>
    <w:p w14:paraId="2769A77E" w14:textId="77777777" w:rsidR="00C87F08" w:rsidRPr="002E0C5F" w:rsidRDefault="00C87F08" w:rsidP="00C87F08">
      <w:pPr>
        <w:spacing w:before="89"/>
        <w:ind w:left="2526" w:right="2171"/>
        <w:jc w:val="center"/>
        <w:rPr>
          <w:rFonts w:cstheme="minorHAnsi"/>
          <w:sz w:val="28"/>
          <w:szCs w:val="28"/>
        </w:rPr>
      </w:pPr>
      <w:r>
        <w:rPr>
          <w:rFonts w:ascii="Arial" w:hAnsi="Arial"/>
          <w:b w:val="0"/>
          <w:i w:val="0"/>
          <w:sz w:val="24"/>
        </w:rPr>
        <w:t>— Ho Chi Minh City, 22 October 2026 —</w:t>
      </w:r>
    </w:p>
    <w:sdt>
      <w:sdtPr>
        <w:rPr>
          <w:rFonts w:asciiTheme="minorHAnsi" w:eastAsiaTheme="minorHAnsi" w:hAnsiTheme="minorHAnsi" w:cstheme="minorBidi"/>
          <w:color w:val="auto"/>
          <w:sz w:val="22"/>
          <w:szCs w:val="22"/>
          <w:lang w:val="en-GB"/>
        </w:rPr>
        <w:id w:val="144013842"/>
        <w:docPartObj>
          <w:docPartGallery w:val="Table of Contents"/>
          <w:docPartUnique/>
        </w:docPartObj>
      </w:sdtPr>
      <w:sdtEndPr>
        <w:rPr>
          <w:b/>
          <w:bCs/>
          <w:noProof/>
        </w:rPr>
      </w:sdtEndPr>
      <w:sdtContent>
        <w:p>
          <w:pPr>
            <w:pStyle w:val="TOCHeading"/>
          </w:pPr>
          <w:r>
            <w:rPr>
              <w:b/>
            </w:rPr>
            <w:t>Table of Contents</w:t>
          </w:r>
        </w:p>
        <w:p>
          <w:pPr>
            <w:pStyle w:val="TOC1"/>
          </w:pPr>
          <w:r>
            <w:rPr/>
            <w:t>I. Record of Changes</w:t>
          </w:r>
        </w:p>
        <w:p>
          <w:pPr>
            <w:pStyle w:val="TOC1"/>
          </w:pPr>
          <w:r>
            <w:rPr/>
            <w:t>II. Release Package &amp; User Guides</w:t>
          </w:r>
        </w:p>
        <w:p>
          <w:pPr>
            <w:pStyle w:val="TOC2"/>
          </w:pPr>
          <w:r>
            <w:rPr/>
            <w:t>1. Deliverable Package</w:t>
          </w:r>
        </w:p>
        <w:p>
          <w:pPr>
            <w:pStyle w:val="TOC3"/>
          </w:pPr>
          <w:r>
            <w:rPr/>
            <w:t>1.1 Product boundary</w:t>
          </w:r>
        </w:p>
        <w:p>
          <w:pPr>
            <w:pStyle w:val="TOC3"/>
          </w:pPr>
          <w:r>
            <w:rPr/>
            <w:t>1.2 Package contents</w:t>
          </w:r>
        </w:p>
        <w:p>
          <w:pPr>
            <w:pStyle w:val="TOC3"/>
          </w:pPr>
          <w:r>
            <w:rPr/>
            <w:t>1.3 Release identification</w:t>
          </w:r>
        </w:p>
        <w:p>
          <w:pPr>
            <w:pStyle w:val="TOC3"/>
          </w:pPr>
          <w:r>
            <w:rPr/>
            <w:t>1.4 Supported release scope</w:t>
          </w:r>
        </w:p>
        <w:p>
          <w:pPr>
            <w:pStyle w:val="TOC3"/>
          </w:pPr>
          <w:r>
            <w:rPr/>
            <w:t>1.5 Handoff evidence checklist</w:t>
          </w:r>
        </w:p>
        <w:p>
          <w:pPr>
            <w:pStyle w:val="TOC3"/>
          </w:pPr>
          <w:r>
            <w:rPr/>
            <w:t>1.6 Known partial and TBD items</w:t>
          </w:r>
        </w:p>
        <w:p>
          <w:pPr>
            <w:pStyle w:val="TOC3"/>
          </w:pPr>
          <w:r>
            <w:rPr/>
            <w:t>1.7 Scope revision package contents</w:t>
          </w:r>
        </w:p>
        <w:p>
          <w:pPr>
            <w:pStyle w:val="TOC2"/>
          </w:pPr>
          <w:r>
            <w:rPr/>
            <w:t>2. Installation Guides</w:t>
          </w:r>
        </w:p>
        <w:p>
          <w:pPr>
            <w:pStyle w:val="TOC3"/>
          </w:pPr>
          <w:r>
            <w:rPr/>
            <w:t>2.1 Installation and access responsibilities</w:t>
          </w:r>
        </w:p>
        <w:p>
          <w:pPr>
            <w:pStyle w:val="TOC3"/>
          </w:pPr>
          <w:r>
            <w:rPr/>
            <w:t>2.2 Server/deployment prerequisites</w:t>
          </w:r>
        </w:p>
        <w:p>
          <w:pPr>
            <w:pStyle w:val="TOC3"/>
          </w:pPr>
          <w:r>
            <w:rPr/>
            <w:t>2.3 Web-user prerequisites</w:t>
          </w:r>
        </w:p>
        <w:p>
          <w:pPr>
            <w:pStyle w:val="TOC3"/>
          </w:pPr>
          <w:r>
            <w:rPr/>
            <w:t>2.4 Windows exam-client prerequisites</w:t>
          </w:r>
        </w:p>
        <w:p>
          <w:pPr>
            <w:pStyle w:val="TOC3"/>
          </w:pPr>
          <w:r>
            <w:rPr/>
            <w:t>2.5 `STEP-INSTALL-001` — Prepare a hosted environment</w:t>
          </w:r>
        </w:p>
        <w:p>
          <w:pPr>
            <w:pStyle w:val="TOC3"/>
          </w:pPr>
          <w:r>
            <w:rPr/>
            <w:t>2.6 `STEP-INSTALL-002` — Configure an organization safely</w:t>
          </w:r>
        </w:p>
        <w:p>
          <w:pPr>
            <w:pStyle w:val="TOC3"/>
          </w:pPr>
          <w:r>
            <w:rPr/>
            <w:t>2.7 `STEP-INSTALL-003` — Verify an exam client before an exam</w:t>
          </w:r>
        </w:p>
        <w:p>
          <w:pPr>
            <w:pStyle w:val="TOC3"/>
          </w:pPr>
          <w:r>
            <w:rPr/>
            <w:t>2.8 Configuration and secret-handling checklist</w:t>
          </w:r>
        </w:p>
        <w:p>
          <w:pPr>
            <w:pStyle w:val="TOC3"/>
          </w:pPr>
          <w:r>
            <w:rPr/>
            <w:t>2.9 Health and verification checklist</w:t>
          </w:r>
        </w:p>
        <w:p>
          <w:pPr>
            <w:pStyle w:val="TOC3"/>
          </w:pPr>
          <w:r>
            <w:rPr/>
            <w:t>2.10 Migration, rollback, and recovery</w:t>
          </w:r>
        </w:p>
        <w:p>
          <w:pPr>
            <w:pStyle w:val="TOC3"/>
          </w:pPr>
          <w:r>
            <w:rPr/>
            <w:t>2.11 Support escalation</w:t>
          </w:r>
        </w:p>
        <w:p>
          <w:pPr>
            <w:pStyle w:val="TOC3"/>
          </w:pPr>
          <w:r>
            <w:rPr/>
            <w:t>2.12 Student practice and AI prerequisites</w:t>
          </w:r>
        </w:p>
        <w:p>
          <w:pPr>
            <w:pStyle w:val="TOC2"/>
          </w:pPr>
          <w:r>
            <w:rPr/>
            <w:t>3. User Manual</w:t>
          </w:r>
        </w:p>
        <w:p>
          <w:pPr>
            <w:pStyle w:val="TOC3"/>
          </w:pPr>
          <w:r>
            <w:rPr/>
            <w:t>3.1 Common language and status</w:t>
          </w:r>
        </w:p>
        <w:p>
          <w:pPr>
            <w:pStyle w:val="TOC3"/>
          </w:pPr>
          <w:r>
            <w:rPr/>
            <w:t>3.2 Platform Admin workflows</w:t>
          </w:r>
        </w:p>
        <w:p>
          <w:pPr>
            <w:pStyle w:val="TOC3"/>
          </w:pPr>
          <w:r>
            <w:rPr/>
            <w:t>3.3 Academic Staff workflows</w:t>
          </w:r>
        </w:p>
        <w:p>
          <w:pPr>
            <w:pStyle w:val="TOC3"/>
          </w:pPr>
          <w:r>
            <w:rPr/>
            <w:t>3.4 Host workflows</w:t>
          </w:r>
        </w:p>
        <w:p>
          <w:pPr>
            <w:pStyle w:val="TOC3"/>
          </w:pPr>
          <w:r>
            <w:rPr/>
            <w:t>3.5 Proctor workflows</w:t>
          </w:r>
        </w:p>
        <w:p>
          <w:pPr>
            <w:pStyle w:val="TOC3"/>
          </w:pPr>
          <w:r>
            <w:rPr/>
            <w:t>3.6 Examiner workflows</w:t>
          </w:r>
        </w:p>
        <w:p>
          <w:pPr>
            <w:pStyle w:val="TOC3"/>
          </w:pPr>
          <w:r>
            <w:rPr/>
            <w:t>3.7 Student workflows</w:t>
          </w:r>
        </w:p>
        <w:p>
          <w:pPr>
            <w:pStyle w:val="TOC3"/>
          </w:pPr>
          <w:r>
            <w:rPr/>
            <w:t>3.8 External Integration Services boundary</w:t>
          </w:r>
        </w:p>
        <w:p>
          <w:pPr>
            <w:pStyle w:val="TOC3"/>
          </w:pPr>
          <w:r>
            <w:rPr/>
            <w:t>3.9 Troubleshooting and FAQ</w:t>
          </w:r>
        </w:p>
        <w:p>
          <w:pPr>
            <w:pStyle w:val="TOC3"/>
          </w:pPr>
          <w:r>
            <w:rPr/>
            <w:t>3.10 Screenshot and guide asset inventory</w:t>
          </w:r>
        </w:p>
        <w:p>
          <w:pPr>
            <w:pStyle w:val="TOC3"/>
          </w:pPr>
          <w:r>
            <w:rPr/>
            <w:t>3.11 Guide review checklist</w:t>
          </w:r>
        </w:p>
        <w:p>
          <w:pPr>
            <w:pStyle w:val="TOC3"/>
          </w:pPr>
          <w:r>
            <w:rPr/>
            <w:t>3.12 Scope revision workflows</w:t>
          </w:r>
        </w:p>
        <w:p>
          <w:pPr>
            <w:pStyle w:val="TOC3"/>
          </w:pPr>
          <w:r>
            <w:rPr>
              <w:color w:val="666666"/>
            </w:rPr>
            <w:t>Page numbers are intentionally omitted from this generated outline so the cached page references cannot become stale.</w:t>
          </w:r>
        </w:p>
      </w:sdtContent>
    </w:sdt>
    <w:p>
      <w:r>
        <w:br w:type="page"/>
      </w:r>
    </w:p>
    <w:p>
      <w:pPr>
        <w:pStyle w:val="Heading1"/>
        <w:keepNext/>
        <w:pageBreakBefore w:val="0"/>
      </w:pPr>
      <w:r>
        <w:t>I. Record of Changes</w:t>
      </w:r>
    </w:p>
    <w:tbl>
      <w:tblPr>
        <w:tblW w:type="auto" w:w="0"/>
        <w:jc w:val="center"/>
        <w:tblLayout w:type="fixed"/>
        <w:tblLook w:firstColumn="1" w:firstRow="1" w:lastColumn="0" w:lastRow="0" w:noHBand="0" w:noVBand="1" w:val="04A0"/>
      </w:tblPr>
      <w:tblGrid>
        <w:gridCol w:w="1508"/>
        <w:gridCol w:w="1508"/>
        <w:gridCol w:w="1508"/>
        <w:gridCol w:w="1508"/>
        <w:gridCol w:w="1508"/>
        <w:gridCol w:w="1508"/>
      </w:tblGrid>
      <w:tr>
        <w:trPr>
          <w:tblHeader w:val="true"/>
          <w:cantSplit/>
        </w:trPr>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Version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Date</w:t>
            </w:r>
          </w:p>
        </w:tc>
        <w:tc>
          <w:tcPr>
            <w:tcW w:type="dxa" w:w="1893"/>
            <w:vAlign w:val="top"/>
            <w:tcMar>
              <w:top w:w="70" w:type="dxa"/>
              <w:start w:w="90" w:type="dxa"/>
              <w:bottom w:w="70" w:type="dxa"/>
              <w:end w:w="90" w:type="dxa"/>
            </w:tcMar>
            <w:shd w:val="clear" w:color="auto" w:fill="FFE8E1"/>
          </w:tcPr>
          <w:p>
            <w:pPr>
              <w:spacing w:after="0" w:line="240" w:lineRule="auto"/>
            </w:pPr>
            <w:r>
              <w:rPr>
                <w:b/>
              </w:rPr>
            </w:r>
            <w:r>
              <w:rPr>
                <w:b/>
                <w:sz w:val="16"/>
              </w:rPr>
              <w:t>A</w:t>
            </w:r>
            <w:r>
              <w:rPr>
                <w:b/>
                <w:i/>
                <w:sz w:val="16"/>
              </w:rPr>
              <w:t xml:space="preserve"> / M</w:t>
            </w:r>
            <w:r>
              <w:rPr>
                <w:b/>
                <w:i/>
                <w:sz w:val="16"/>
              </w:rPr>
              <w:t xml:space="preserve"> / D</w:t>
            </w:r>
            <w:r>
              <w:rPr>
                <w:b/>
                <w:sz w:val="16"/>
              </w:rPr>
              <w:t>**</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In charge</w:t>
            </w:r>
          </w:p>
        </w:tc>
        <w:tc>
          <w:tcPr>
            <w:tcW w:type="dxa" w:w="2272"/>
            <w:vAlign w:val="top"/>
            <w:tcMar>
              <w:top w:w="70" w:type="dxa"/>
              <w:start w:w="90" w:type="dxa"/>
              <w:bottom w:w="70" w:type="dxa"/>
              <w:end w:w="90" w:type="dxa"/>
            </w:tcMar>
            <w:shd w:val="clear" w:color="auto" w:fill="FFE8E1"/>
          </w:tcPr>
          <w:p>
            <w:pPr>
              <w:spacing w:after="0" w:line="240" w:lineRule="auto"/>
            </w:pPr>
            <w:r>
              <w:rPr>
                <w:b/>
              </w:rPr>
            </w:r>
            <w:r>
              <w:rPr>
                <w:b/>
                <w:sz w:val="16"/>
              </w:rPr>
              <w:t>Change description</w:t>
            </w:r>
          </w:p>
        </w:tc>
        <w:tc>
          <w:tcPr>
            <w:tcW w:type="dxa" w:w="1388"/>
            <w:vAlign w:val="top"/>
            <w:tcMar>
              <w:top w:w="70" w:type="dxa"/>
              <w:start w:w="90" w:type="dxa"/>
              <w:bottom w:w="70" w:type="dxa"/>
              <w:end w:w="90" w:type="dxa"/>
            </w:tcMar>
            <w:shd w:val="clear" w:color="auto" w:fill="FFE8E1"/>
          </w:tcPr>
          <w:p>
            <w:pPr>
              <w:spacing w:after="0" w:line="240" w:lineRule="auto"/>
            </w:pPr>
            <w:r>
              <w:rPr>
                <w:b/>
              </w:rPr>
            </w:r>
            <w:r>
              <w:rPr>
                <w:b/>
                <w:sz w:val="16"/>
              </w:rPr>
              <w:t>Reference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1.0</w:t>
            </w:r>
          </w:p>
        </w:tc>
        <w:tc>
          <w:tcPr>
            <w:tcW w:type="dxa" w:w="1388"/>
            <w:vAlign w:val="top"/>
            <w:tcMar>
              <w:top w:w="70" w:type="dxa"/>
              <w:start w:w="90" w:type="dxa"/>
              <w:bottom w:w="70" w:type="dxa"/>
              <w:end w:w="90" w:type="dxa"/>
            </w:tcMar>
          </w:tcPr>
          <w:p>
            <w:pPr>
              <w:spacing w:after="0" w:line="240" w:lineRule="auto"/>
            </w:pPr>
            <w:r>
              <w:rPr/>
            </w:r>
            <w:r>
              <w:rPr>
                <w:sz w:val="16"/>
              </w:rPr>
              <w:t>2026-10-06</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Converted the generic guide template into the first PTEPrep release, installation and user workflow baseline.</w:t>
            </w:r>
          </w:p>
        </w:tc>
        <w:tc>
          <w:tcPr>
            <w:tcW w:type="dxa" w:w="1388"/>
            <w:vAlign w:val="top"/>
            <w:tcMar>
              <w:top w:w="70" w:type="dxa"/>
              <w:start w:w="90" w:type="dxa"/>
              <w:bottom w:w="70" w:type="dxa"/>
              <w:end w:w="90" w:type="dxa"/>
            </w:tcMar>
          </w:tcPr>
          <w:p>
            <w:pPr>
              <w:spacing w:after="0" w:line="240" w:lineRule="auto"/>
            </w:pPr>
            <w:r>
              <w:rPr/>
            </w:r>
            <w:r>
              <w:rPr>
                <w:sz w:val="16"/>
              </w:rPr>
              <w:t>Reports 3-5 baseline and original Report 6 template</w:t>
            </w:r>
          </w:p>
        </w:tc>
      </w:tr>
      <w:tr>
        <w:trPr>
          <w:cantSplit/>
        </w:trPr>
        <w:tc>
          <w:tcPr>
            <w:tcW w:type="dxa" w:w="1388"/>
            <w:vAlign w:val="top"/>
            <w:tcMar>
              <w:top w:w="70" w:type="dxa"/>
              <w:start w:w="90" w:type="dxa"/>
              <w:bottom w:w="70" w:type="dxa"/>
              <w:end w:w="90" w:type="dxa"/>
            </w:tcMar>
          </w:tcPr>
          <w:p>
            <w:pPr>
              <w:spacing w:after="0" w:line="240" w:lineRule="auto"/>
            </w:pPr>
            <w:r>
              <w:rPr/>
            </w:r>
            <w:r>
              <w:rPr>
                <w:sz w:val="16"/>
              </w:rPr>
              <w:t>1.1</w:t>
            </w:r>
          </w:p>
        </w:tc>
        <w:tc>
          <w:tcPr>
            <w:tcW w:type="dxa" w:w="1388"/>
            <w:vAlign w:val="top"/>
            <w:tcMar>
              <w:top w:w="70" w:type="dxa"/>
              <w:start w:w="90" w:type="dxa"/>
              <w:bottom w:w="70" w:type="dxa"/>
              <w:end w:w="90" w:type="dxa"/>
            </w:tcMar>
          </w:tcPr>
          <w:p>
            <w:pPr>
              <w:spacing w:after="0" w:line="240" w:lineRule="auto"/>
            </w:pPr>
            <w:r>
              <w:rPr/>
            </w:r>
            <w:r>
              <w:rPr>
                <w:sz w:val="16"/>
              </w:rPr>
              <w:t>2026-10-22</w:t>
            </w:r>
          </w:p>
        </w:tc>
        <w:tc>
          <w:tcPr>
            <w:tcW w:type="dxa" w:w="1893"/>
            <w:vAlign w:val="top"/>
            <w:tcMar>
              <w:top w:w="70" w:type="dxa"/>
              <w:start w:w="90" w:type="dxa"/>
              <w:bottom w:w="70" w:type="dxa"/>
              <w:end w:w="90" w:type="dxa"/>
            </w:tcMar>
          </w:tcPr>
          <w:p>
            <w:pPr>
              <w:spacing w:after="0" w:line="240" w:lineRule="auto"/>
            </w:pPr>
            <w:r>
              <w:rPr/>
            </w:r>
            <w:r>
              <w:rPr>
                <w:sz w:val="16"/>
              </w:rPr>
              <w:t>A, M</w:t>
            </w:r>
          </w:p>
        </w:tc>
        <w:tc>
          <w:tcPr>
            <w:tcW w:type="dxa" w:w="1388"/>
            <w:vAlign w:val="top"/>
            <w:tcMar>
              <w:top w:w="70" w:type="dxa"/>
              <w:start w:w="90" w:type="dxa"/>
              <w:bottom w:w="70" w:type="dxa"/>
              <w:end w:w="90" w:type="dxa"/>
            </w:tcMar>
          </w:tcPr>
          <w:p>
            <w:pPr>
              <w:spacing w:after="0" w:line="240" w:lineRule="auto"/>
            </w:pPr>
            <w:r>
              <w:rPr/>
            </w:r>
            <w:r>
              <w:rPr>
                <w:sz w:val="16"/>
              </w:rPr>
              <w:t>Ngo Dang Quang - Project Leader</w:t>
            </w:r>
          </w:p>
        </w:tc>
        <w:tc>
          <w:tcPr>
            <w:tcW w:type="dxa" w:w="2272"/>
            <w:vAlign w:val="top"/>
            <w:tcMar>
              <w:top w:w="70" w:type="dxa"/>
              <w:start w:w="90" w:type="dxa"/>
              <w:bottom w:w="70" w:type="dxa"/>
              <w:end w:w="90" w:type="dxa"/>
            </w:tcMar>
          </w:tcPr>
          <w:p>
            <w:pPr>
              <w:spacing w:after="0" w:line="240" w:lineRule="auto"/>
            </w:pPr>
            <w:r>
              <w:rPr/>
            </w:r>
            <w:r>
              <w:rPr>
                <w:sz w:val="16"/>
              </w:rPr>
              <w:t>Added Platform Manager, Academic Manager, Academic Staff and Student practice instructions; separated current source behavior from planned AI explanation and channel-flag controls.</w:t>
            </w:r>
          </w:p>
        </w:tc>
        <w:tc>
          <w:tcPr>
            <w:tcW w:type="dxa" w:w="1388"/>
            <w:vAlign w:val="top"/>
            <w:tcMar>
              <w:top w:w="70" w:type="dxa"/>
              <w:start w:w="90" w:type="dxa"/>
              <w:bottom w:w="70" w:type="dxa"/>
              <w:end w:w="90" w:type="dxa"/>
            </w:tcMar>
          </w:tcPr>
          <w:p>
            <w:pPr>
              <w:spacing w:after="0" w:line="240" w:lineRule="auto"/>
            </w:pPr>
            <w:r>
              <w:rPr/>
            </w:r>
            <w:r>
              <w:rPr>
                <w:sz w:val="16"/>
              </w:rPr>
              <w:t>Reports 3-5 scope revision</w:t>
            </w:r>
          </w:p>
        </w:tc>
      </w:tr>
    </w:tbl>
    <w:p>
      <w:pPr>
        <w:spacing w:after="20"/>
      </w:pPr>
    </w:p>
    <w:p>
      <w:pPr>
        <w:spacing w:after="160" w:line="240" w:lineRule="auto"/>
      </w:pPr>
      <w:r>
        <w:rPr>
          <w:i/>
          <w:color w:val="666666"/>
          <w:sz w:val="17"/>
        </w:rPr>
        <w:t>* A — Added; M — Modified; D — Deleted.</w:t>
      </w:r>
    </w:p>
    <w:p>
      <w:pPr>
        <w:pStyle w:val="Heading1"/>
        <w:keepNext/>
        <w:pageBreakBefore w:val="0"/>
      </w:pPr>
      <w:r>
        <w:t>II. Release Package &amp; User Guides</w:t>
      </w:r>
    </w:p>
    <w:p>
      <w:pPr>
        <w:spacing w:after="80" w:line="240" w:lineRule="auto"/>
      </w:pPr>
      <w:r>
        <w:rPr>
          <w:i/>
          <w:color w:val="666666"/>
          <w:sz w:val="17"/>
        </w:rPr>
        <w:t>Product: PTEPrep · Independent organization-based PTE-style practice and mock-exam simulation platform.</w:t>
      </w:r>
    </w:p>
    <w:p>
      <w:pPr>
        <w:spacing w:after="80" w:line="240" w:lineRule="auto"/>
      </w:pPr>
      <w:r>
        <w:rPr>
          <w:i/>
          <w:color w:val="666666"/>
          <w:sz w:val="17"/>
        </w:rPr>
        <w:t>Registered title: PTEPrep: An AI-Powered PTE Practice Platform and Realistic Exam Simulator.</w:t>
      </w:r>
    </w:p>
    <w:p>
      <w:pPr>
        <w:spacing w:after="80" w:line="240" w:lineRule="auto"/>
      </w:pPr>
      <w:r>
        <w:rPr>
          <w:i/>
          <w:color w:val="666666"/>
          <w:sz w:val="17"/>
        </w:rPr>
        <w:t>Document baseline: Version 1.1 · 22 October 2026 · Owner: Ngô Đăng Quang — Project Leader · Group: FA26SE182.</w:t>
      </w:r>
    </w:p>
    <w:p>
      <w:pPr>
        <w:pStyle w:val="Heading2"/>
        <w:keepNext/>
        <w:pageBreakBefore w:val="0"/>
      </w:pPr>
      <w:r>
        <w:t>1. Deliverable Package</w:t>
      </w:r>
    </w:p>
    <w:p>
      <w:pPr>
        <w:spacing w:after="80" w:line="240" w:lineRule="auto"/>
      </w:pPr>
      <w:r>
        <w:rPr>
          <w:sz w:val="19"/>
        </w:rPr>
        <w:t xml:space="preserve">This section maps the original DOCX heading </w:t>
      </w:r>
      <w:r>
        <w:rPr>
          <w:b/>
          <w:i w:val="0"/>
          <w:sz w:val="19"/>
        </w:rPr>
        <w:t>1. Deliverable Package</w:t>
      </w:r>
      <w:r>
        <w:rPr>
          <w:sz w:val="19"/>
        </w:rPr>
        <w:t>. It defines what the PTEPrep release package contains, how each item is identified, what is supported, and what evidence is still required before a release handoff.</w:t>
      </w:r>
    </w:p>
    <w:p>
      <w:pPr>
        <w:pStyle w:val="Heading3"/>
        <w:keepNext/>
        <w:pageBreakBefore w:val="0"/>
      </w:pPr>
      <w:r>
        <w:t>1.1 Product boundary</w:t>
      </w:r>
    </w:p>
    <w:p>
      <w:pPr>
        <w:spacing w:after="80" w:line="240" w:lineRule="auto"/>
      </w:pPr>
      <w:r>
        <w:rPr>
          <w:sz w:val="19"/>
        </w:rPr>
        <w:t>PTEPrep is an independent organization-based PTE-style practice and mock-exam simulation platform. It is not connected to, representative of, endorsed by, or a certification service for PTE Academic. A report produced by PTEPrep is an organization practice/mock result, not an official PTE Academic result.</w:t>
      </w:r>
    </w:p>
    <w:p>
      <w:pPr>
        <w:pStyle w:val="Heading3"/>
        <w:keepNext/>
        <w:pageBreakBefore w:val="0"/>
      </w:pPr>
      <w:r>
        <w:t>1.2 Package contents</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227"/>
            <w:vAlign w:val="top"/>
            <w:tcMar>
              <w:top w:w="70" w:type="dxa"/>
              <w:start w:w="90" w:type="dxa"/>
              <w:bottom w:w="70" w:type="dxa"/>
              <w:end w:w="90" w:type="dxa"/>
            </w:tcMar>
            <w:shd w:val="clear" w:color="auto" w:fill="FFE8E1"/>
          </w:tcPr>
          <w:p>
            <w:pPr>
              <w:spacing w:after="0" w:line="240" w:lineRule="auto"/>
            </w:pPr>
            <w:r>
              <w:rPr>
                <w:b/>
              </w:rPr>
            </w:r>
            <w:r>
              <w:rPr>
                <w:b/>
                <w:sz w:val="17"/>
              </w:rPr>
              <w:t>Package ID</w:t>
            </w:r>
          </w:p>
        </w:tc>
        <w:tc>
          <w:tcPr>
            <w:tcW w:type="dxa" w:w="2227"/>
            <w:vAlign w:val="top"/>
            <w:tcMar>
              <w:top w:w="70" w:type="dxa"/>
              <w:start w:w="90" w:type="dxa"/>
              <w:bottom w:w="70" w:type="dxa"/>
              <w:end w:w="90" w:type="dxa"/>
            </w:tcMar>
            <w:shd w:val="clear" w:color="auto" w:fill="FFE8E1"/>
          </w:tcPr>
          <w:p>
            <w:pPr>
              <w:spacing w:after="0" w:line="240" w:lineRule="auto"/>
            </w:pPr>
            <w:r>
              <w:rPr>
                <w:b/>
              </w:rPr>
            </w:r>
            <w:r>
              <w:rPr>
                <w:b/>
                <w:sz w:val="17"/>
              </w:rPr>
              <w:t>Deliverable</w:t>
            </w:r>
          </w:p>
        </w:tc>
        <w:tc>
          <w:tcPr>
            <w:tcW w:type="dxa" w:w="2227"/>
            <w:vAlign w:val="top"/>
            <w:tcMar>
              <w:top w:w="70" w:type="dxa"/>
              <w:start w:w="90" w:type="dxa"/>
              <w:bottom w:w="70" w:type="dxa"/>
              <w:end w:w="90" w:type="dxa"/>
            </w:tcMar>
            <w:shd w:val="clear" w:color="auto" w:fill="FFE8E1"/>
          </w:tcPr>
          <w:p>
            <w:pPr>
              <w:spacing w:after="0" w:line="240" w:lineRule="auto"/>
            </w:pPr>
            <w:r>
              <w:rPr>
                <w:b/>
              </w:rPr>
            </w:r>
            <w:r>
              <w:rPr>
                <w:b/>
                <w:sz w:val="17"/>
              </w:rPr>
              <w:t>Purpose</w:t>
            </w:r>
          </w:p>
        </w:tc>
        <w:tc>
          <w:tcPr>
            <w:tcW w:type="dxa" w:w="3036"/>
            <w:vAlign w:val="top"/>
            <w:tcMar>
              <w:top w:w="70" w:type="dxa"/>
              <w:start w:w="90" w:type="dxa"/>
              <w:bottom w:w="70" w:type="dxa"/>
              <w:end w:w="90" w:type="dxa"/>
            </w:tcMar>
            <w:shd w:val="clear" w:color="auto" w:fill="FFE8E1"/>
          </w:tcPr>
          <w:p>
            <w:pPr>
              <w:spacing w:after="0" w:line="240" w:lineRule="auto"/>
            </w:pPr>
            <w:r>
              <w:rPr>
                <w:b/>
              </w:rPr>
            </w:r>
            <w:r>
              <w:rPr>
                <w:b/>
                <w:sz w:val="17"/>
              </w:rPr>
              <w:t>Status/evidence</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REL-WEB-TENANT</w:t>
            </w:r>
          </w:p>
        </w:tc>
        <w:tc>
          <w:tcPr>
            <w:tcW w:type="dxa" w:w="2227"/>
            <w:vAlign w:val="top"/>
            <w:tcMar>
              <w:top w:w="70" w:type="dxa"/>
              <w:start w:w="90" w:type="dxa"/>
              <w:bottom w:w="70" w:type="dxa"/>
              <w:end w:w="90" w:type="dxa"/>
            </w:tcMar>
          </w:tcPr>
          <w:p>
            <w:pPr>
              <w:spacing w:after="0" w:line="240" w:lineRule="auto"/>
            </w:pPr>
            <w:r>
              <w:rPr/>
            </w:r>
            <w:r>
              <w:rPr>
                <w:sz w:val="17"/>
              </w:rPr>
              <w:t>Organization web portal</w:t>
            </w:r>
          </w:p>
        </w:tc>
        <w:tc>
          <w:tcPr>
            <w:tcW w:type="dxa" w:w="2227"/>
            <w:vAlign w:val="top"/>
            <w:tcMar>
              <w:top w:w="70" w:type="dxa"/>
              <w:start w:w="90" w:type="dxa"/>
              <w:bottom w:w="70" w:type="dxa"/>
              <w:end w:w="90" w:type="dxa"/>
            </w:tcMar>
          </w:tcPr>
          <w:p>
            <w:pPr>
              <w:spacing w:after="0" w:line="240" w:lineRule="auto"/>
            </w:pPr>
            <w:r>
              <w:rPr/>
            </w:r>
            <w:r>
              <w:rPr>
                <w:sz w:val="17"/>
              </w:rPr>
              <w:t>Host, Proctor, Examiner operations: roster, packages, exams, monitoring, scoring, reports, audit.</w:t>
            </w:r>
          </w:p>
        </w:tc>
        <w:tc>
          <w:tcPr>
            <w:tcW w:type="dxa" w:w="3036"/>
            <w:vAlign w:val="top"/>
            <w:tcMar>
              <w:top w:w="70" w:type="dxa"/>
              <w:start w:w="90" w:type="dxa"/>
              <w:bottom w:w="70" w:type="dxa"/>
              <w:end w:w="90" w:type="dxa"/>
            </w:tcMar>
          </w:tcPr>
          <w:p>
            <w:pPr>
              <w:spacing w:after="0" w:line="240" w:lineRule="auto"/>
            </w:pPr>
            <w:r>
              <w:rPr/>
            </w:r>
            <w:r>
              <w:rPr>
                <w:sz w:val="17"/>
              </w:rPr>
              <w:t>Current channel boundary; individual workflows are Current/Partial only when route/UI evidence is verified (</w:t>
            </w:r>
            <w:r>
              <w:rPr>
                <w:rFonts w:ascii="Consolas" w:hAnsi="Consolas"/>
                <w:b w:val="0"/>
                <w:i w:val="0"/>
                <w:sz w:val="17"/>
              </w:rPr>
              <w:t>EVD-FOUNDATION-004</w:t>
            </w:r>
            <w:r>
              <w:rPr>
                <w:sz w:val="17"/>
              </w:rPr>
              <w: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REL-WEB-PLATFORM</w:t>
            </w:r>
          </w:p>
        </w:tc>
        <w:tc>
          <w:tcPr>
            <w:tcW w:type="dxa" w:w="2227"/>
            <w:vAlign w:val="top"/>
            <w:tcMar>
              <w:top w:w="70" w:type="dxa"/>
              <w:start w:w="90" w:type="dxa"/>
              <w:bottom w:w="70" w:type="dxa"/>
              <w:end w:w="90" w:type="dxa"/>
            </w:tcMar>
          </w:tcPr>
          <w:p>
            <w:pPr>
              <w:spacing w:after="0" w:line="240" w:lineRule="auto"/>
            </w:pPr>
            <w:r>
              <w:rPr/>
            </w:r>
            <w:r>
              <w:rPr>
                <w:sz w:val="17"/>
              </w:rPr>
              <w:t>Platform administration portal</w:t>
            </w:r>
          </w:p>
        </w:tc>
        <w:tc>
          <w:tcPr>
            <w:tcW w:type="dxa" w:w="2227"/>
            <w:vAlign w:val="top"/>
            <w:tcMar>
              <w:top w:w="70" w:type="dxa"/>
              <w:start w:w="90" w:type="dxa"/>
              <w:bottom w:w="70" w:type="dxa"/>
              <w:end w:w="90" w:type="dxa"/>
            </w:tcMar>
          </w:tcPr>
          <w:p>
            <w:pPr>
              <w:spacing w:after="0" w:line="240" w:lineRule="auto"/>
            </w:pPr>
            <w:r>
              <w:rPr/>
            </w:r>
            <w:r>
              <w:rPr>
                <w:sz w:val="17"/>
              </w:rPr>
              <w:t>Platform Admin, Platform Manager, Academic Manager and Academic Staff organization, operational, content, template and package governance.</w:t>
            </w:r>
          </w:p>
        </w:tc>
        <w:tc>
          <w:tcPr>
            <w:tcW w:type="dxa" w:w="3036"/>
            <w:vAlign w:val="top"/>
            <w:tcMar>
              <w:top w:w="70" w:type="dxa"/>
              <w:start w:w="90" w:type="dxa"/>
              <w:bottom w:w="70" w:type="dxa"/>
              <w:end w:w="90" w:type="dxa"/>
            </w:tcMar>
          </w:tcPr>
          <w:p>
            <w:pPr>
              <w:spacing w:after="0" w:line="240" w:lineRule="auto"/>
            </w:pPr>
            <w:r>
              <w:rPr/>
            </w:r>
            <w:r>
              <w:rPr>
                <w:sz w:val="17"/>
              </w:rPr>
              <w:t>Current channel boundary; end-to-end slices are evidence-dependent.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REL-CLIENT-WINDOWS</w:t>
            </w:r>
          </w:p>
        </w:tc>
        <w:tc>
          <w:tcPr>
            <w:tcW w:type="dxa" w:w="2227"/>
            <w:vAlign w:val="top"/>
            <w:tcMar>
              <w:top w:w="70" w:type="dxa"/>
              <w:start w:w="90" w:type="dxa"/>
              <w:bottom w:w="70" w:type="dxa"/>
              <w:end w:w="90" w:type="dxa"/>
            </w:tcMar>
          </w:tcPr>
          <w:p>
            <w:pPr>
              <w:spacing w:after="0" w:line="240" w:lineRule="auto"/>
            </w:pPr>
            <w:r>
              <w:rPr/>
            </w:r>
            <w:r>
              <w:rPr>
                <w:sz w:val="17"/>
              </w:rPr>
              <w:t>Windows-first exam client</w:t>
            </w:r>
          </w:p>
        </w:tc>
        <w:tc>
          <w:tcPr>
            <w:tcW w:type="dxa" w:w="2227"/>
            <w:vAlign w:val="top"/>
            <w:tcMar>
              <w:top w:w="70" w:type="dxa"/>
              <w:start w:w="90" w:type="dxa"/>
              <w:bottom w:w="70" w:type="dxa"/>
              <w:end w:w="90" w:type="dxa"/>
            </w:tcMar>
          </w:tcPr>
          <w:p>
            <w:pPr>
              <w:spacing w:after="0" w:line="240" w:lineRule="auto"/>
            </w:pPr>
            <w:r>
              <w:rPr/>
            </w:r>
            <w:r>
              <w:rPr>
                <w:sz w:val="17"/>
              </w:rPr>
              <w:t>Student sign-in, device check, timed tasks, local answer save, synchronization, submission, result view.</w:t>
            </w:r>
          </w:p>
        </w:tc>
        <w:tc>
          <w:tcPr>
            <w:tcW w:type="dxa" w:w="3036"/>
            <w:vAlign w:val="top"/>
            <w:tcMar>
              <w:top w:w="70" w:type="dxa"/>
              <w:start w:w="90" w:type="dxa"/>
              <w:bottom w:w="70" w:type="dxa"/>
              <w:end w:w="90" w:type="dxa"/>
            </w:tcMar>
          </w:tcPr>
          <w:p>
            <w:pPr>
              <w:spacing w:after="0" w:line="240" w:lineRule="auto"/>
            </w:pPr>
            <w:r>
              <w:rPr/>
            </w:r>
            <w:r>
              <w:rPr>
                <w:sz w:val="17"/>
              </w:rPr>
              <w:t xml:space="preserve">Windows-first requirement; complete device/offline matrix is </w:t>
            </w:r>
            <w:r>
              <w:rPr>
                <w:rFonts w:ascii="Consolas" w:hAnsi="Consolas"/>
                <w:b w:val="0"/>
                <w:i w:val="0"/>
                <w:sz w:val="17"/>
              </w:rPr>
              <w:t>TBD-CLIENT-001</w:t>
            </w:r>
            <w:r>
              <w:rPr>
                <w:sz w:val="17"/>
              </w:rPr>
              <w: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REL-APP</w:t>
            </w:r>
          </w:p>
        </w:tc>
        <w:tc>
          <w:tcPr>
            <w:tcW w:type="dxa" w:w="2227"/>
            <w:vAlign w:val="top"/>
            <w:tcMar>
              <w:top w:w="70" w:type="dxa"/>
              <w:start w:w="90" w:type="dxa"/>
              <w:bottom w:w="70" w:type="dxa"/>
              <w:end w:w="90" w:type="dxa"/>
            </w:tcMar>
          </w:tcPr>
          <w:p>
            <w:pPr>
              <w:spacing w:after="0" w:line="240" w:lineRule="auto"/>
            </w:pPr>
            <w:r>
              <w:rPr/>
            </w:r>
            <w:r>
              <w:rPr>
                <w:sz w:val="17"/>
              </w:rPr>
              <w:t>PTEPrep backend application</w:t>
            </w:r>
          </w:p>
        </w:tc>
        <w:tc>
          <w:tcPr>
            <w:tcW w:type="dxa" w:w="2227"/>
            <w:vAlign w:val="top"/>
            <w:tcMar>
              <w:top w:w="70" w:type="dxa"/>
              <w:start w:w="90" w:type="dxa"/>
              <w:bottom w:w="70" w:type="dxa"/>
              <w:end w:w="90" w:type="dxa"/>
            </w:tcMar>
          </w:tcPr>
          <w:p>
            <w:pPr>
              <w:spacing w:after="0" w:line="240" w:lineRule="auto"/>
            </w:pPr>
            <w:r>
              <w:rPr/>
            </w:r>
            <w:r>
              <w:rPr>
                <w:sz w:val="17"/>
              </w:rPr>
              <w:t>Identity, tenancy, content, template, billing, exam, attempt, proctoring, scoring, reporting, notification, support, and audit package boundaries.</w:t>
            </w:r>
          </w:p>
        </w:tc>
        <w:tc>
          <w:tcPr>
            <w:tcW w:type="dxa" w:w="3036"/>
            <w:vAlign w:val="top"/>
            <w:tcMar>
              <w:top w:w="70" w:type="dxa"/>
              <w:start w:w="90" w:type="dxa"/>
              <w:bottom w:w="70" w:type="dxa"/>
              <w:end w:w="90" w:type="dxa"/>
            </w:tcMar>
          </w:tcPr>
          <w:p>
            <w:pPr>
              <w:spacing w:after="0" w:line="240" w:lineRule="auto"/>
            </w:pPr>
            <w:r>
              <w:rPr/>
            </w:r>
            <w:r>
              <w:rPr>
                <w:sz w:val="17"/>
              </w:rPr>
              <w:t>Current modular-monolith topology (</w:t>
            </w:r>
            <w:r>
              <w:rPr>
                <w:rFonts w:ascii="Consolas" w:hAnsi="Consolas"/>
                <w:b w:val="0"/>
                <w:i w:val="0"/>
                <w:sz w:val="17"/>
              </w:rPr>
              <w:t>EVD-FOUNDATION-003</w:t>
            </w:r>
            <w:r>
              <w:rPr>
                <w:sz w:val="17"/>
              </w:rPr>
              <w: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REL-DATABASE</w:t>
            </w:r>
          </w:p>
        </w:tc>
        <w:tc>
          <w:tcPr>
            <w:tcW w:type="dxa" w:w="2227"/>
            <w:vAlign w:val="top"/>
            <w:tcMar>
              <w:top w:w="70" w:type="dxa"/>
              <w:start w:w="90" w:type="dxa"/>
              <w:bottom w:w="70" w:type="dxa"/>
              <w:end w:w="90" w:type="dxa"/>
            </w:tcMar>
          </w:tcPr>
          <w:p>
            <w:pPr>
              <w:spacing w:after="0" w:line="240" w:lineRule="auto"/>
            </w:pPr>
            <w:r>
              <w:rPr/>
            </w:r>
            <w:r>
              <w:rPr>
                <w:sz w:val="17"/>
              </w:rPr>
              <w:t>PostgreSQL data store</w:t>
            </w:r>
          </w:p>
        </w:tc>
        <w:tc>
          <w:tcPr>
            <w:tcW w:type="dxa" w:w="2227"/>
            <w:vAlign w:val="top"/>
            <w:tcMar>
              <w:top w:w="70" w:type="dxa"/>
              <w:start w:w="90" w:type="dxa"/>
              <w:bottom w:w="70" w:type="dxa"/>
              <w:end w:w="90" w:type="dxa"/>
            </w:tcMar>
          </w:tcPr>
          <w:p>
            <w:pPr>
              <w:spacing w:after="0" w:line="240" w:lineRule="auto"/>
            </w:pPr>
            <w:r>
              <w:rPr/>
            </w:r>
            <w:r>
              <w:rPr>
                <w:sz w:val="17"/>
              </w:rPr>
              <w:t>Relational organization, exam, attempt, scoring, report, and audit data.</w:t>
            </w:r>
          </w:p>
        </w:tc>
        <w:tc>
          <w:tcPr>
            <w:tcW w:type="dxa" w:w="3036"/>
            <w:vAlign w:val="top"/>
            <w:tcMar>
              <w:top w:w="70" w:type="dxa"/>
              <w:start w:w="90" w:type="dxa"/>
              <w:bottom w:w="70" w:type="dxa"/>
              <w:end w:w="90" w:type="dxa"/>
            </w:tcMar>
          </w:tcPr>
          <w:p>
            <w:pPr>
              <w:spacing w:after="0" w:line="240" w:lineRule="auto"/>
            </w:pPr>
            <w:r>
              <w:rPr/>
            </w:r>
            <w:r>
              <w:rPr>
                <w:sz w:val="17"/>
              </w:rPr>
              <w:t>Current infrastructure boundary; retention is contract-based TBD.</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REL-SUPPORT-INFRA</w:t>
            </w:r>
          </w:p>
        </w:tc>
        <w:tc>
          <w:tcPr>
            <w:tcW w:type="dxa" w:w="2227"/>
            <w:vAlign w:val="top"/>
            <w:tcMar>
              <w:top w:w="70" w:type="dxa"/>
              <w:start w:w="90" w:type="dxa"/>
              <w:bottom w:w="70" w:type="dxa"/>
              <w:end w:w="90" w:type="dxa"/>
            </w:tcMar>
          </w:tcPr>
          <w:p>
            <w:pPr>
              <w:spacing w:after="0" w:line="240" w:lineRule="auto"/>
            </w:pPr>
            <w:r>
              <w:rPr/>
            </w:r>
            <w:r>
              <w:rPr>
                <w:sz w:val="17"/>
              </w:rPr>
              <w:t>Redis and RabbitMQ support services</w:t>
            </w:r>
          </w:p>
        </w:tc>
        <w:tc>
          <w:tcPr>
            <w:tcW w:type="dxa" w:w="2227"/>
            <w:vAlign w:val="top"/>
            <w:tcMar>
              <w:top w:w="70" w:type="dxa"/>
              <w:start w:w="90" w:type="dxa"/>
              <w:bottom w:w="70" w:type="dxa"/>
              <w:end w:w="90" w:type="dxa"/>
            </w:tcMar>
          </w:tcPr>
          <w:p>
            <w:pPr>
              <w:spacing w:after="0" w:line="240" w:lineRule="auto"/>
            </w:pPr>
            <w:r>
              <w:rPr/>
            </w:r>
            <w:r>
              <w:rPr>
                <w:sz w:val="17"/>
              </w:rPr>
              <w:t>Cache/rate-limit/coordination and asynchronous work where configured.</w:t>
            </w:r>
          </w:p>
        </w:tc>
        <w:tc>
          <w:tcPr>
            <w:tcW w:type="dxa" w:w="3036"/>
            <w:vAlign w:val="top"/>
            <w:tcMar>
              <w:top w:w="70" w:type="dxa"/>
              <w:start w:w="90" w:type="dxa"/>
              <w:bottom w:w="70" w:type="dxa"/>
              <w:end w:w="90" w:type="dxa"/>
            </w:tcMar>
          </w:tcPr>
          <w:p>
            <w:pPr>
              <w:spacing w:after="0" w:line="240" w:lineRule="auto"/>
            </w:pPr>
            <w:r>
              <w:rPr/>
            </w:r>
            <w:r>
              <w:rPr>
                <w:sz w:val="17"/>
              </w:rPr>
              <w:t>Current infrastructure boundary; feature use is evidence-dependent.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REL-EDGE</w:t>
            </w:r>
          </w:p>
        </w:tc>
        <w:tc>
          <w:tcPr>
            <w:tcW w:type="dxa" w:w="2227"/>
            <w:vAlign w:val="top"/>
            <w:tcMar>
              <w:top w:w="70" w:type="dxa"/>
              <w:start w:w="90" w:type="dxa"/>
              <w:bottom w:w="70" w:type="dxa"/>
              <w:end w:w="90" w:type="dxa"/>
            </w:tcMar>
          </w:tcPr>
          <w:p>
            <w:pPr>
              <w:spacing w:after="0" w:line="240" w:lineRule="auto"/>
            </w:pPr>
            <w:r>
              <w:rPr/>
            </w:r>
            <w:r>
              <w:rPr>
                <w:sz w:val="17"/>
              </w:rPr>
              <w:t>Public edge/proxy and TLS boundary</w:t>
            </w:r>
          </w:p>
        </w:tc>
        <w:tc>
          <w:tcPr>
            <w:tcW w:type="dxa" w:w="2227"/>
            <w:vAlign w:val="top"/>
            <w:tcMar>
              <w:top w:w="70" w:type="dxa"/>
              <w:start w:w="90" w:type="dxa"/>
              <w:bottom w:w="70" w:type="dxa"/>
              <w:end w:w="90" w:type="dxa"/>
            </w:tcMar>
          </w:tcPr>
          <w:p>
            <w:pPr>
              <w:spacing w:after="0" w:line="240" w:lineRule="auto"/>
            </w:pPr>
            <w:r>
              <w:rPr/>
            </w:r>
            <w:r>
              <w:rPr>
                <w:sz w:val="17"/>
              </w:rPr>
              <w:t>Routes users to supported web/API entry points.</w:t>
            </w:r>
          </w:p>
        </w:tc>
        <w:tc>
          <w:tcPr>
            <w:tcW w:type="dxa" w:w="3036"/>
            <w:vAlign w:val="top"/>
            <w:tcMar>
              <w:top w:w="70" w:type="dxa"/>
              <w:start w:w="90" w:type="dxa"/>
              <w:bottom w:w="70" w:type="dxa"/>
              <w:end w:w="90" w:type="dxa"/>
            </w:tcMar>
          </w:tcPr>
          <w:p>
            <w:pPr>
              <w:spacing w:after="0" w:line="240" w:lineRule="auto"/>
            </w:pPr>
            <w:r>
              <w:rPr/>
            </w:r>
            <w:r>
              <w:rPr>
                <w:sz w:val="17"/>
              </w:rPr>
              <w:t>Current deployment topology (</w:t>
            </w:r>
            <w:r>
              <w:rPr>
                <w:rFonts w:ascii="Consolas" w:hAnsi="Consolas"/>
                <w:b w:val="0"/>
                <w:i w:val="0"/>
                <w:sz w:val="17"/>
              </w:rPr>
              <w:t>EVD-FOUNDATION-006</w:t>
            </w:r>
            <w:r>
              <w:rPr>
                <w:sz w:val="17"/>
              </w:rPr>
              <w: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REL-MEDIA</w:t>
            </w:r>
          </w:p>
        </w:tc>
        <w:tc>
          <w:tcPr>
            <w:tcW w:type="dxa" w:w="2227"/>
            <w:vAlign w:val="top"/>
            <w:tcMar>
              <w:top w:w="70" w:type="dxa"/>
              <w:start w:w="90" w:type="dxa"/>
              <w:bottom w:w="70" w:type="dxa"/>
              <w:end w:w="90" w:type="dxa"/>
            </w:tcMar>
          </w:tcPr>
          <w:p>
            <w:pPr>
              <w:spacing w:after="0" w:line="240" w:lineRule="auto"/>
            </w:pPr>
            <w:r>
              <w:rPr/>
            </w:r>
            <w:r>
              <w:rPr>
                <w:sz w:val="17"/>
              </w:rPr>
              <w:t>Cloudinary or approved media integration</w:t>
            </w:r>
          </w:p>
        </w:tc>
        <w:tc>
          <w:tcPr>
            <w:tcW w:type="dxa" w:w="2227"/>
            <w:vAlign w:val="top"/>
            <w:tcMar>
              <w:top w:w="70" w:type="dxa"/>
              <w:start w:w="90" w:type="dxa"/>
              <w:bottom w:w="70" w:type="dxa"/>
              <w:end w:w="90" w:type="dxa"/>
            </w:tcMar>
          </w:tcPr>
          <w:p>
            <w:pPr>
              <w:spacing w:after="0" w:line="240" w:lineRule="auto"/>
            </w:pPr>
            <w:r>
              <w:rPr/>
            </w:r>
            <w:r>
              <w:rPr>
                <w:sz w:val="17"/>
              </w:rPr>
              <w:t>Signed image/audio upload/access for question revisions.</w:t>
            </w:r>
          </w:p>
        </w:tc>
        <w:tc>
          <w:tcPr>
            <w:tcW w:type="dxa" w:w="3036"/>
            <w:vAlign w:val="top"/>
            <w:tcMar>
              <w:top w:w="70" w:type="dxa"/>
              <w:start w:w="90" w:type="dxa"/>
              <w:bottom w:w="70" w:type="dxa"/>
              <w:end w:w="90" w:type="dxa"/>
            </w:tcMar>
          </w:tcPr>
          <w:p>
            <w:pPr>
              <w:spacing w:after="0" w:line="240" w:lineRule="auto"/>
            </w:pPr>
            <w:r>
              <w:rPr/>
            </w:r>
            <w:r>
              <w:rPr>
                <w:sz w:val="17"/>
              </w:rPr>
              <w:t>External boundary; provider status and credentials are not included.</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REL-PAYMENT</w:t>
            </w:r>
          </w:p>
        </w:tc>
        <w:tc>
          <w:tcPr>
            <w:tcW w:type="dxa" w:w="2227"/>
            <w:vAlign w:val="top"/>
            <w:tcMar>
              <w:top w:w="70" w:type="dxa"/>
              <w:start w:w="90" w:type="dxa"/>
              <w:bottom w:w="70" w:type="dxa"/>
              <w:end w:w="90" w:type="dxa"/>
            </w:tcMar>
          </w:tcPr>
          <w:p>
            <w:pPr>
              <w:spacing w:after="0" w:line="240" w:lineRule="auto"/>
            </w:pPr>
            <w:r>
              <w:rPr/>
            </w:r>
            <w:r>
              <w:rPr>
                <w:sz w:val="17"/>
              </w:rPr>
              <w:t>PayOS or approved payment integration</w:t>
            </w:r>
          </w:p>
        </w:tc>
        <w:tc>
          <w:tcPr>
            <w:tcW w:type="dxa" w:w="2227"/>
            <w:vAlign w:val="top"/>
            <w:tcMar>
              <w:top w:w="70" w:type="dxa"/>
              <w:start w:w="90" w:type="dxa"/>
              <w:bottom w:w="70" w:type="dxa"/>
              <w:end w:w="90" w:type="dxa"/>
            </w:tcMar>
          </w:tcPr>
          <w:p>
            <w:pPr>
              <w:spacing w:after="0" w:line="240" w:lineRule="auto"/>
            </w:pPr>
            <w:r>
              <w:rPr/>
            </w:r>
            <w:r>
              <w:rPr>
                <w:sz w:val="17"/>
              </w:rPr>
              <w:t>Organization package order/callback/license activation where enabled.</w:t>
            </w:r>
          </w:p>
        </w:tc>
        <w:tc>
          <w:tcPr>
            <w:tcW w:type="dxa" w:w="3036"/>
            <w:vAlign w:val="top"/>
            <w:tcMar>
              <w:top w:w="70" w:type="dxa"/>
              <w:start w:w="90" w:type="dxa"/>
              <w:bottom w:w="70" w:type="dxa"/>
              <w:end w:w="90" w:type="dxa"/>
            </w:tcMar>
          </w:tcPr>
          <w:p>
            <w:pPr>
              <w:spacing w:after="0" w:line="240" w:lineRule="auto"/>
            </w:pPr>
            <w:r>
              <w:rPr/>
            </w:r>
            <w:r>
              <w:rPr>
                <w:sz w:val="17"/>
              </w:rPr>
              <w:t>External boundary; registration remains separate from payment.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REL-AI</w:t>
            </w:r>
          </w:p>
        </w:tc>
        <w:tc>
          <w:tcPr>
            <w:tcW w:type="dxa" w:w="2227"/>
            <w:vAlign w:val="top"/>
            <w:tcMar>
              <w:top w:w="70" w:type="dxa"/>
              <w:start w:w="90" w:type="dxa"/>
              <w:bottom w:w="70" w:type="dxa"/>
              <w:end w:w="90" w:type="dxa"/>
            </w:tcMar>
          </w:tcPr>
          <w:p>
            <w:pPr>
              <w:spacing w:after="0" w:line="240" w:lineRule="auto"/>
            </w:pPr>
            <w:r>
              <w:rPr/>
            </w:r>
            <w:r>
              <w:rPr>
                <w:sz w:val="17"/>
              </w:rPr>
              <w:t>Approved AI scoring boundary</w:t>
            </w:r>
          </w:p>
        </w:tc>
        <w:tc>
          <w:tcPr>
            <w:tcW w:type="dxa" w:w="2227"/>
            <w:vAlign w:val="top"/>
            <w:tcMar>
              <w:top w:w="70" w:type="dxa"/>
              <w:start w:w="90" w:type="dxa"/>
              <w:bottom w:w="70" w:type="dxa"/>
              <w:end w:w="90" w:type="dxa"/>
            </w:tcMar>
          </w:tcPr>
          <w:p>
            <w:pPr>
              <w:spacing w:after="0" w:line="240" w:lineRule="auto"/>
            </w:pPr>
            <w:r>
              <w:rPr/>
            </w:r>
            <w:r>
              <w:rPr>
                <w:sz w:val="17"/>
              </w:rPr>
              <w:t>Optional asynchronous scoring for eligible task types.</w:t>
            </w:r>
          </w:p>
        </w:tc>
        <w:tc>
          <w:tcPr>
            <w:tcW w:type="dxa" w:w="3036"/>
            <w:vAlign w:val="top"/>
            <w:tcMar>
              <w:top w:w="70" w:type="dxa"/>
              <w:start w:w="90" w:type="dxa"/>
              <w:bottom w:w="70" w:type="dxa"/>
              <w:end w:w="90" w:type="dxa"/>
            </w:tcMar>
          </w:tcPr>
          <w:p>
            <w:pPr>
              <w:spacing w:after="0" w:line="240" w:lineRule="auto"/>
            </w:pPr>
            <w:r>
              <w:rPr/>
            </w:r>
            <w:r>
              <w:rPr>
                <w:sz w:val="17"/>
              </w:rPr>
              <w:t>Partial/Planned/TBD provider/threshold (</w:t>
            </w:r>
            <w:r>
              <w:rPr>
                <w:rFonts w:ascii="Consolas" w:hAnsi="Consolas"/>
                <w:b w:val="0"/>
                <w:i w:val="0"/>
                <w:sz w:val="17"/>
              </w:rPr>
              <w:t>TBD-AI-001</w:t>
            </w:r>
            <w:r>
              <w:rPr>
                <w:sz w:val="17"/>
              </w:rPr>
              <w:t>).</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REL-NOTIFICATION</w:t>
            </w:r>
          </w:p>
        </w:tc>
        <w:tc>
          <w:tcPr>
            <w:tcW w:type="dxa" w:w="2227"/>
            <w:vAlign w:val="top"/>
            <w:tcMar>
              <w:top w:w="70" w:type="dxa"/>
              <w:start w:w="90" w:type="dxa"/>
              <w:bottom w:w="70" w:type="dxa"/>
              <w:end w:w="90" w:type="dxa"/>
            </w:tcMar>
          </w:tcPr>
          <w:p>
            <w:pPr>
              <w:spacing w:after="0" w:line="240" w:lineRule="auto"/>
            </w:pPr>
            <w:r>
              <w:rPr/>
            </w:r>
            <w:r>
              <w:rPr>
                <w:sz w:val="17"/>
              </w:rPr>
              <w:t>Email/notification boundary</w:t>
            </w:r>
          </w:p>
        </w:tc>
        <w:tc>
          <w:tcPr>
            <w:tcW w:type="dxa" w:w="2227"/>
            <w:vAlign w:val="top"/>
            <w:tcMar>
              <w:top w:w="70" w:type="dxa"/>
              <w:start w:w="90" w:type="dxa"/>
              <w:bottom w:w="70" w:type="dxa"/>
              <w:end w:w="90" w:type="dxa"/>
            </w:tcMar>
          </w:tcPr>
          <w:p>
            <w:pPr>
              <w:spacing w:after="0" w:line="240" w:lineRule="auto"/>
            </w:pPr>
            <w:r>
              <w:rPr/>
            </w:r>
            <w:r>
              <w:rPr>
                <w:sz w:val="17"/>
              </w:rPr>
              <w:t>Supported status notifications and retry state.</w:t>
            </w:r>
          </w:p>
        </w:tc>
        <w:tc>
          <w:tcPr>
            <w:tcW w:type="dxa" w:w="3036"/>
            <w:vAlign w:val="top"/>
            <w:tcMar>
              <w:top w:w="70" w:type="dxa"/>
              <w:start w:w="90" w:type="dxa"/>
              <w:bottom w:w="70" w:type="dxa"/>
              <w:end w:w="90" w:type="dxa"/>
            </w:tcMar>
          </w:tcPr>
          <w:p>
            <w:pPr>
              <w:spacing w:after="0" w:line="240" w:lineRule="auto"/>
            </w:pPr>
            <w:r>
              <w:rPr/>
            </w:r>
            <w:r>
              <w:rPr>
                <w:sz w:val="17"/>
              </w:rPr>
              <w:t>External boundary; failure does not roll back business state.</w:t>
            </w:r>
          </w:p>
        </w:tc>
      </w:tr>
      <w:tr>
        <w:trPr>
          <w:cantSplit/>
        </w:trPr>
        <w:tc>
          <w:tcPr>
            <w:tcW w:type="dxa" w:w="2227"/>
            <w:vAlign w:val="top"/>
            <w:tcMar>
              <w:top w:w="70" w:type="dxa"/>
              <w:start w:w="90" w:type="dxa"/>
              <w:bottom w:w="70" w:type="dxa"/>
              <w:end w:w="90" w:type="dxa"/>
            </w:tcMar>
          </w:tcPr>
          <w:p>
            <w:pPr>
              <w:spacing w:after="0" w:line="240" w:lineRule="auto"/>
            </w:pPr>
            <w:r>
              <w:rPr/>
            </w:r>
            <w:r>
              <w:rPr>
                <w:rFonts w:ascii="Consolas" w:hAnsi="Consolas"/>
                <w:b w:val="0"/>
                <w:i w:val="0"/>
                <w:sz w:val="17"/>
              </w:rPr>
              <w:t>REL-DOCS</w:t>
            </w:r>
          </w:p>
        </w:tc>
        <w:tc>
          <w:tcPr>
            <w:tcW w:type="dxa" w:w="2227"/>
            <w:vAlign w:val="top"/>
            <w:tcMar>
              <w:top w:w="70" w:type="dxa"/>
              <w:start w:w="90" w:type="dxa"/>
              <w:bottom w:w="70" w:type="dxa"/>
              <w:end w:w="90" w:type="dxa"/>
            </w:tcMar>
          </w:tcPr>
          <w:p>
            <w:pPr>
              <w:spacing w:after="0" w:line="240" w:lineRule="auto"/>
            </w:pPr>
            <w:r>
              <w:rPr/>
            </w:r>
            <w:r>
              <w:rPr>
                <w:sz w:val="17"/>
              </w:rPr>
              <w:t>Reports 3–6 Markdown set</w:t>
            </w:r>
          </w:p>
        </w:tc>
        <w:tc>
          <w:tcPr>
            <w:tcW w:type="dxa" w:w="2227"/>
            <w:vAlign w:val="top"/>
            <w:tcMar>
              <w:top w:w="70" w:type="dxa"/>
              <w:start w:w="90" w:type="dxa"/>
              <w:bottom w:w="70" w:type="dxa"/>
              <w:end w:w="90" w:type="dxa"/>
            </w:tcMar>
          </w:tcPr>
          <w:p>
            <w:pPr>
              <w:spacing w:after="0" w:line="240" w:lineRule="auto"/>
            </w:pPr>
            <w:r>
              <w:rPr/>
            </w:r>
            <w:r>
              <w:rPr>
                <w:sz w:val="17"/>
              </w:rPr>
              <w:t>Requirements, design, testing documentation, release package, and user guides.</w:t>
            </w:r>
          </w:p>
        </w:tc>
        <w:tc>
          <w:tcPr>
            <w:tcW w:type="dxa" w:w="3036"/>
            <w:vAlign w:val="top"/>
            <w:tcMar>
              <w:top w:w="70" w:type="dxa"/>
              <w:start w:w="90" w:type="dxa"/>
              <w:bottom w:w="70" w:type="dxa"/>
              <w:end w:w="90" w:type="dxa"/>
            </w:tcMar>
          </w:tcPr>
          <w:p>
            <w:pPr>
              <w:spacing w:after="0" w:line="240" w:lineRule="auto"/>
            </w:pPr>
            <w:r>
              <w:rPr/>
            </w:r>
            <w:r>
              <w:rPr>
                <w:sz w:val="17"/>
              </w:rPr>
              <w:t>This documentation work package; Report 7/Vietnamese copies deferred.</w:t>
            </w:r>
          </w:p>
        </w:tc>
      </w:tr>
    </w:tbl>
    <w:p>
      <w:pPr>
        <w:spacing w:after="20"/>
      </w:pPr>
    </w:p>
    <w:p>
      <w:pPr>
        <w:pStyle w:val="Heading3"/>
        <w:keepNext/>
        <w:pageBreakBefore w:val="0"/>
      </w:pPr>
      <w:r>
        <w:t>1.3 Release identification</w:t>
      </w:r>
    </w:p>
    <w:p>
      <w:pPr>
        <w:spacing w:after="80" w:line="240" w:lineRule="auto"/>
      </w:pPr>
      <w:r>
        <w:rPr>
          <w:sz w:val="19"/>
        </w:rPr>
        <w:t>Every handoff should include:</w:t>
      </w:r>
    </w:p>
    <w:p>
      <w:pPr>
        <w:pStyle w:val="ListParagraph"/>
        <w:numPr>
          <w:ilvl w:val="0"/>
          <w:numId w:val="17"/>
        </w:numPr>
        <w:spacing w:after="40"/>
      </w:pPr>
      <w:r>
        <w:rPr>
          <w:sz w:val="18"/>
        </w:rPr>
        <w:t>release identifier and date;</w:t>
      </w:r>
    </w:p>
    <w:p>
      <w:pPr>
        <w:pStyle w:val="ListParagraph"/>
        <w:numPr>
          <w:ilvl w:val="0"/>
          <w:numId w:val="17"/>
        </w:numPr>
        <w:spacing w:after="40"/>
      </w:pPr>
      <w:r>
        <w:rPr>
          <w:sz w:val="18"/>
        </w:rPr>
        <w:t>backend/web/client build identifiers;</w:t>
      </w:r>
    </w:p>
    <w:p>
      <w:pPr>
        <w:pStyle w:val="ListParagraph"/>
        <w:numPr>
          <w:ilvl w:val="0"/>
          <w:numId w:val="17"/>
        </w:numPr>
        <w:spacing w:after="40"/>
      </w:pPr>
      <w:r>
        <w:rPr>
          <w:sz w:val="18"/>
        </w:rPr>
        <w:t>database migration/configuration version;</w:t>
      </w:r>
    </w:p>
    <w:p>
      <w:pPr>
        <w:pStyle w:val="ListParagraph"/>
        <w:numPr>
          <w:ilvl w:val="0"/>
          <w:numId w:val="17"/>
        </w:numPr>
        <w:spacing w:after="40"/>
      </w:pPr>
      <w:r>
        <w:rPr>
          <w:sz w:val="18"/>
        </w:rPr>
        <w:t>supported browser and Windows/device matrix;</w:t>
      </w:r>
    </w:p>
    <w:p>
      <w:pPr>
        <w:pStyle w:val="ListParagraph"/>
        <w:numPr>
          <w:ilvl w:val="0"/>
          <w:numId w:val="17"/>
        </w:numPr>
        <w:spacing w:after="40"/>
      </w:pPr>
      <w:r>
        <w:rPr>
          <w:sz w:val="18"/>
        </w:rPr>
        <w:t>enabled external providers and simulation mode, without credentials;</w:t>
      </w:r>
    </w:p>
    <w:p>
      <w:pPr>
        <w:pStyle w:val="ListParagraph"/>
        <w:numPr>
          <w:ilvl w:val="0"/>
          <w:numId w:val="17"/>
        </w:numPr>
        <w:spacing w:after="40"/>
      </w:pPr>
      <w:r>
        <w:rPr>
          <w:sz w:val="18"/>
        </w:rPr>
        <w:t>test run/report IDs and open defects/TBD decisions;</w:t>
      </w:r>
    </w:p>
    <w:p>
      <w:pPr>
        <w:pStyle w:val="ListParagraph"/>
        <w:numPr>
          <w:ilvl w:val="0"/>
          <w:numId w:val="17"/>
        </w:numPr>
        <w:spacing w:after="40"/>
      </w:pPr>
      <w:r>
        <w:rPr>
          <w:sz w:val="18"/>
        </w:rPr>
        <w:t>rollback/recovery owner and contact path;</w:t>
      </w:r>
    </w:p>
    <w:p>
      <w:pPr>
        <w:pStyle w:val="ListParagraph"/>
        <w:numPr>
          <w:ilvl w:val="0"/>
          <w:numId w:val="17"/>
        </w:numPr>
        <w:spacing w:after="40"/>
      </w:pPr>
      <w:r>
        <w:rPr>
          <w:sz w:val="18"/>
        </w:rPr>
        <w:t>document version and record-of-changes entry.</w:t>
      </w:r>
    </w:p>
    <w:p>
      <w:pPr>
        <w:spacing w:after="80" w:line="240" w:lineRule="auto"/>
      </w:pPr>
      <w:r>
        <w:rPr>
          <w:sz w:val="19"/>
        </w:rPr>
        <w:t xml:space="preserve">The package must not contain </w:t>
      </w:r>
      <w:r>
        <w:rPr>
          <w:rFonts w:ascii="Consolas" w:hAnsi="Consolas"/>
          <w:b w:val="0"/>
          <w:i w:val="0"/>
          <w:sz w:val="17"/>
        </w:rPr>
        <w:t>.env</w:t>
      </w:r>
      <w:r>
        <w:rPr>
          <w:sz w:val="19"/>
        </w:rPr>
        <w:t xml:space="preserve"> files, tokens, private keys, passwords, raw provider secrets, or unmasked Student/audio/answer/report data.</w:t>
      </w:r>
    </w:p>
    <w:p>
      <w:pPr>
        <w:pStyle w:val="Heading3"/>
        <w:keepNext/>
        <w:pageBreakBefore w:val="0"/>
      </w:pPr>
      <w:r>
        <w:t>1.4 Supported release scope</w:t>
      </w:r>
    </w:p>
    <w:p>
      <w:pPr>
        <w:spacing w:after="80" w:line="240" w:lineRule="auto"/>
      </w:pPr>
      <w:r>
        <w:rPr>
          <w:sz w:val="19"/>
        </w:rPr>
        <w:t>The release scope is organization-first practice/mock-exam operation: approved onboarding, shared content/template governance, roster and package preparation, fixed exam setup, Windows-first Student delivery, assignment-scoped Proctor/Examiner work, Host score-source review, report publication, and audit. Current/Partial/Planned/Future labels must follow the foundation evidence matrix.</w:t>
      </w:r>
    </w:p>
    <w:p>
      <w:pPr>
        <w:spacing w:after="80" w:line="240" w:lineRule="auto"/>
      </w:pPr>
      <w:r>
        <w:rPr>
          <w:sz w:val="19"/>
        </w:rPr>
        <w:t>The release does not promise official certification, Student self-payment, mobile delivery, adaptive/IRT testing, universal no-repeat content, advanced anti-cheat, or a universal retention period.</w:t>
      </w:r>
    </w:p>
    <w:p>
      <w:pPr>
        <w:pStyle w:val="Heading3"/>
        <w:keepNext/>
        <w:pageBreakBefore w:val="0"/>
      </w:pPr>
      <w:r>
        <w:t>1.5 Handoff evidence checklist</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741"/>
            <w:vAlign w:val="top"/>
            <w:tcMar>
              <w:top w:w="70" w:type="dxa"/>
              <w:start w:w="90" w:type="dxa"/>
              <w:bottom w:w="70" w:type="dxa"/>
              <w:end w:w="90" w:type="dxa"/>
            </w:tcMar>
            <w:shd w:val="clear" w:color="auto" w:fill="FFE8E1"/>
          </w:tcPr>
          <w:p>
            <w:pPr>
              <w:spacing w:after="0" w:line="240" w:lineRule="auto"/>
            </w:pPr>
            <w:r>
              <w:rPr>
                <w:b/>
              </w:rPr>
            </w:r>
            <w:r>
              <w:rPr>
                <w:b/>
                <w:sz w:val="17"/>
              </w:rPr>
              <w:t>Area</w:t>
            </w:r>
          </w:p>
        </w:tc>
        <w:tc>
          <w:tcPr>
            <w:tcW w:type="dxa" w:w="4236"/>
            <w:vAlign w:val="top"/>
            <w:tcMar>
              <w:top w:w="70" w:type="dxa"/>
              <w:start w:w="90" w:type="dxa"/>
              <w:bottom w:w="70" w:type="dxa"/>
              <w:end w:w="90" w:type="dxa"/>
            </w:tcMar>
            <w:shd w:val="clear" w:color="auto" w:fill="FFE8E1"/>
          </w:tcPr>
          <w:p>
            <w:pPr>
              <w:spacing w:after="0" w:line="240" w:lineRule="auto"/>
            </w:pPr>
            <w:r>
              <w:rPr>
                <w:b/>
              </w:rPr>
            </w:r>
            <w:r>
              <w:rPr>
                <w:b/>
                <w:sz w:val="17"/>
              </w:rPr>
              <w:t>Required evidence</w:t>
            </w:r>
          </w:p>
        </w:tc>
        <w:tc>
          <w:tcPr>
            <w:tcW w:type="dxa" w:w="2741"/>
            <w:vAlign w:val="top"/>
            <w:tcMar>
              <w:top w:w="70" w:type="dxa"/>
              <w:start w:w="90" w:type="dxa"/>
              <w:bottom w:w="70" w:type="dxa"/>
              <w:end w:w="90" w:type="dxa"/>
            </w:tcMar>
            <w:shd w:val="clear" w:color="auto" w:fill="FFE8E1"/>
          </w:tcPr>
          <w:p>
            <w:pPr>
              <w:spacing w:after="0" w:line="240" w:lineRule="auto"/>
            </w:pPr>
            <w:r>
              <w:rPr>
                <w:b/>
              </w:rPr>
            </w:r>
            <w:r>
              <w:rPr>
                <w:b/>
                <w:sz w:val="17"/>
              </w:rPr>
              <w:t>Related IDs</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Onboarding</w:t>
            </w:r>
          </w:p>
        </w:tc>
        <w:tc>
          <w:tcPr>
            <w:tcW w:type="dxa" w:w="4236"/>
            <w:vAlign w:val="top"/>
            <w:tcMar>
              <w:top w:w="70" w:type="dxa"/>
              <w:start w:w="90" w:type="dxa"/>
              <w:bottom w:w="70" w:type="dxa"/>
              <w:end w:w="90" w:type="dxa"/>
            </w:tcMar>
          </w:tcPr>
          <w:p>
            <w:pPr>
              <w:spacing w:after="0" w:line="240" w:lineRule="auto"/>
            </w:pPr>
            <w:r>
              <w:rPr/>
            </w:r>
            <w:r>
              <w:rPr>
                <w:sz w:val="17"/>
              </w:rPr>
              <w:t>Registration/approval/Host access result and audit reference</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FR-ONBOARD-002</w:t>
            </w:r>
            <w:r>
              <w:rPr>
                <w:sz w:val="17"/>
              </w:rPr>
              <w:t xml:space="preserve">, </w:t>
            </w:r>
            <w:r>
              <w:rPr>
                <w:rFonts w:ascii="Consolas" w:hAnsi="Consolas"/>
                <w:b w:val="0"/>
                <w:i w:val="0"/>
                <w:sz w:val="17"/>
              </w:rPr>
              <w:t>TC-ACCESS-002</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Content/template</w:t>
            </w:r>
          </w:p>
        </w:tc>
        <w:tc>
          <w:tcPr>
            <w:tcW w:type="dxa" w:w="4236"/>
            <w:vAlign w:val="top"/>
            <w:tcMar>
              <w:top w:w="70" w:type="dxa"/>
              <w:start w:w="90" w:type="dxa"/>
              <w:bottom w:w="70" w:type="dxa"/>
              <w:end w:w="90" w:type="dxa"/>
            </w:tcMar>
          </w:tcPr>
          <w:p>
            <w:pPr>
              <w:spacing w:after="0" w:line="240" w:lineRule="auto"/>
            </w:pPr>
            <w:r>
              <w:rPr/>
            </w:r>
            <w:r>
              <w:rPr>
                <w:sz w:val="17"/>
              </w:rPr>
              <w:t>Approved revision, complete media, active template/version</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FR-CONTENT-003</w:t>
            </w:r>
            <w:r>
              <w:rPr>
                <w:sz w:val="17"/>
              </w:rPr>
              <w:t xml:space="preserve">, </w:t>
            </w:r>
            <w:r>
              <w:rPr>
                <w:rFonts w:ascii="Consolas" w:hAnsi="Consolas"/>
                <w:b w:val="0"/>
                <w:i w:val="0"/>
                <w:sz w:val="17"/>
              </w:rPr>
              <w:t>FR-TEMPLATE-002</w:t>
            </w:r>
            <w:r>
              <w:rPr>
                <w:sz w:val="17"/>
              </w:rPr>
              <w:t xml:space="preserve">, </w:t>
            </w:r>
            <w:r>
              <w:rPr>
                <w:rFonts w:ascii="Consolas" w:hAnsi="Consolas"/>
                <w:b w:val="0"/>
                <w:i w:val="0"/>
                <w:sz w:val="17"/>
              </w:rPr>
              <w:t>TC-CONTENT-001</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Package/roster</w:t>
            </w:r>
          </w:p>
        </w:tc>
        <w:tc>
          <w:tcPr>
            <w:tcW w:type="dxa" w:w="4236"/>
            <w:vAlign w:val="top"/>
            <w:tcMar>
              <w:top w:w="70" w:type="dxa"/>
              <w:start w:w="90" w:type="dxa"/>
              <w:bottom w:w="70" w:type="dxa"/>
              <w:end w:w="90" w:type="dxa"/>
            </w:tcMar>
          </w:tcPr>
          <w:p>
            <w:pPr>
              <w:spacing w:after="0" w:line="240" w:lineRule="auto"/>
            </w:pPr>
            <w:r>
              <w:rPr/>
            </w:r>
            <w:r>
              <w:rPr>
                <w:sz w:val="17"/>
              </w:rPr>
              <w:t>Package status, limit/capacity result, deduplicated candidate preview</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FR-PACKAGE-005</w:t>
            </w:r>
            <w:r>
              <w:rPr>
                <w:sz w:val="17"/>
              </w:rPr>
              <w:t xml:space="preserve">, </w:t>
            </w:r>
            <w:r>
              <w:rPr>
                <w:rFonts w:ascii="Consolas" w:hAnsi="Consolas"/>
                <w:b w:val="0"/>
                <w:i w:val="0"/>
                <w:sz w:val="17"/>
              </w:rPr>
              <w:t>FR-ENROLL-002</w:t>
            </w:r>
            <w:r>
              <w:rPr>
                <w:sz w:val="17"/>
              </w:rPr>
              <w:t xml:space="preserve">, </w:t>
            </w:r>
            <w:r>
              <w:rPr>
                <w:rFonts w:ascii="Consolas" w:hAnsi="Consolas"/>
                <w:b w:val="0"/>
                <w:i w:val="0"/>
                <w:sz w:val="17"/>
              </w:rPr>
              <w:t>TC-PACKAGE-001</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Exam generation</w:t>
            </w:r>
          </w:p>
        </w:tc>
        <w:tc>
          <w:tcPr>
            <w:tcW w:type="dxa" w:w="4236"/>
            <w:vAlign w:val="top"/>
            <w:tcMar>
              <w:top w:w="70" w:type="dxa"/>
              <w:start w:w="90" w:type="dxa"/>
              <w:bottom w:w="70" w:type="dxa"/>
              <w:end w:w="90" w:type="dxa"/>
            </w:tcMar>
          </w:tcPr>
          <w:p>
            <w:pPr>
              <w:spacing w:after="0" w:line="240" w:lineRule="auto"/>
            </w:pPr>
            <w:r>
              <w:rPr/>
            </w:r>
            <w:r>
              <w:rPr>
                <w:sz w:val="17"/>
              </w:rPr>
              <w:t>Fixed version, form mode, provenance, generation state</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FR-EXAM-004</w:t>
            </w:r>
            <w:r>
              <w:rPr>
                <w:sz w:val="17"/>
              </w:rPr>
              <w:t xml:space="preserve">, </w:t>
            </w:r>
            <w:r>
              <w:rPr>
                <w:rFonts w:ascii="Consolas" w:hAnsi="Consolas"/>
                <w:b w:val="0"/>
                <w:i w:val="0"/>
                <w:sz w:val="17"/>
              </w:rPr>
              <w:t>FR-HARDENING-001</w:t>
            </w:r>
            <w:r>
              <w:rPr>
                <w:sz w:val="17"/>
              </w:rPr>
              <w:t xml:space="preserve">, </w:t>
            </w:r>
            <w:r>
              <w:rPr>
                <w:rFonts w:ascii="Consolas" w:hAnsi="Consolas"/>
                <w:b w:val="0"/>
                <w:i w:val="0"/>
                <w:sz w:val="17"/>
              </w:rPr>
              <w:t>TC-EXAM-002</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Delivery</w:t>
            </w:r>
          </w:p>
        </w:tc>
        <w:tc>
          <w:tcPr>
            <w:tcW w:type="dxa" w:w="4236"/>
            <w:vAlign w:val="top"/>
            <w:tcMar>
              <w:top w:w="70" w:type="dxa"/>
              <w:start w:w="90" w:type="dxa"/>
              <w:bottom w:w="70" w:type="dxa"/>
              <w:end w:w="90" w:type="dxa"/>
            </w:tcMar>
          </w:tcPr>
          <w:p>
            <w:pPr>
              <w:spacing w:after="0" w:line="240" w:lineRule="auto"/>
            </w:pPr>
            <w:r>
              <w:rPr/>
            </w:r>
            <w:r>
              <w:rPr>
                <w:sz w:val="17"/>
              </w:rPr>
              <w:t>Device check, local save/sync state, submission acknowledgement</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FR-DELIVERY-002</w:t>
            </w:r>
            <w:r>
              <w:rPr>
                <w:sz w:val="17"/>
              </w:rPr>
              <w:t xml:space="preserve">, </w:t>
            </w:r>
            <w:r>
              <w:rPr>
                <w:rFonts w:ascii="Consolas" w:hAnsi="Consolas"/>
                <w:b w:val="0"/>
                <w:i w:val="0"/>
                <w:sz w:val="17"/>
              </w:rPr>
              <w:t>FR-DELIVERY-006</w:t>
            </w:r>
            <w:r>
              <w:rPr>
                <w:sz w:val="17"/>
              </w:rPr>
              <w:t xml:space="preserve">, </w:t>
            </w:r>
            <w:r>
              <w:rPr>
                <w:rFonts w:ascii="Consolas" w:hAnsi="Consolas"/>
                <w:b w:val="0"/>
                <w:i w:val="0"/>
                <w:sz w:val="17"/>
              </w:rPr>
              <w:t>TC-DELIVERY-003</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Integrity</w:t>
            </w:r>
          </w:p>
        </w:tc>
        <w:tc>
          <w:tcPr>
            <w:tcW w:type="dxa" w:w="4236"/>
            <w:vAlign w:val="top"/>
            <w:tcMar>
              <w:top w:w="70" w:type="dxa"/>
              <w:start w:w="90" w:type="dxa"/>
              <w:bottom w:w="70" w:type="dxa"/>
              <w:end w:w="90" w:type="dxa"/>
            </w:tcMar>
          </w:tcPr>
          <w:p>
            <w:pPr>
              <w:spacing w:after="0" w:line="240" w:lineRule="auto"/>
            </w:pPr>
            <w:r>
              <w:rPr/>
            </w:r>
            <w:r>
              <w:rPr>
                <w:sz w:val="17"/>
              </w:rPr>
              <w:t>Assignment, violation/assistance event, policy effect</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FR-INTEGRITY-003</w:t>
            </w:r>
            <w:r>
              <w:rPr>
                <w:sz w:val="17"/>
              </w:rPr>
              <w:t xml:space="preserve">, </w:t>
            </w:r>
            <w:r>
              <w:rPr>
                <w:rFonts w:ascii="Consolas" w:hAnsi="Consolas"/>
                <w:b w:val="0"/>
                <w:i w:val="0"/>
                <w:sz w:val="17"/>
              </w:rPr>
              <w:t>TC-PROCTOR-001</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Scoring/publication</w:t>
            </w:r>
          </w:p>
        </w:tc>
        <w:tc>
          <w:tcPr>
            <w:tcW w:type="dxa" w:w="4236"/>
            <w:vAlign w:val="top"/>
            <w:tcMar>
              <w:top w:w="70" w:type="dxa"/>
              <w:start w:w="90" w:type="dxa"/>
              <w:bottom w:w="70" w:type="dxa"/>
              <w:end w:w="90" w:type="dxa"/>
            </w:tcMar>
          </w:tcPr>
          <w:p>
            <w:pPr>
              <w:spacing w:after="0" w:line="240" w:lineRule="auto"/>
            </w:pPr>
            <w:r>
              <w:rPr/>
            </w:r>
            <w:r>
              <w:rPr>
                <w:sz w:val="17"/>
              </w:rPr>
              <w:t>Examiner/provider source, Host selection, readiness, publication, Student visibility</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FR-SCORE-005</w:t>
            </w:r>
            <w:r>
              <w:rPr>
                <w:sz w:val="17"/>
              </w:rPr>
              <w:t xml:space="preserve">, </w:t>
            </w:r>
            <w:r>
              <w:rPr>
                <w:rFonts w:ascii="Consolas" w:hAnsi="Consolas"/>
                <w:b w:val="0"/>
                <w:i w:val="0"/>
                <w:sz w:val="17"/>
              </w:rPr>
              <w:t>FR-REPORT-003</w:t>
            </w:r>
            <w:r>
              <w:rPr>
                <w:sz w:val="17"/>
              </w:rPr>
              <w:t xml:space="preserve">, </w:t>
            </w:r>
            <w:r>
              <w:rPr>
                <w:rFonts w:ascii="Consolas" w:hAnsi="Consolas"/>
                <w:b w:val="0"/>
                <w:i w:val="0"/>
                <w:sz w:val="17"/>
              </w:rPr>
              <w:t>TC-SCORE-003</w:t>
            </w:r>
            <w:r>
              <w:rPr>
                <w:sz w:val="17"/>
              </w:rPr>
              <w:t xml:space="preserve">, </w:t>
            </w:r>
            <w:r>
              <w:rPr>
                <w:rFonts w:ascii="Consolas" w:hAnsi="Consolas"/>
                <w:b w:val="0"/>
                <w:i w:val="0"/>
                <w:sz w:val="17"/>
              </w:rPr>
              <w:t>TC-REPORT-001</w:t>
            </w:r>
          </w:p>
        </w:tc>
      </w:tr>
      <w:tr>
        <w:trPr>
          <w:cantSplit/>
        </w:trPr>
        <w:tc>
          <w:tcPr>
            <w:tcW w:type="dxa" w:w="2741"/>
            <w:vAlign w:val="top"/>
            <w:tcMar>
              <w:top w:w="70" w:type="dxa"/>
              <w:start w:w="90" w:type="dxa"/>
              <w:bottom w:w="70" w:type="dxa"/>
              <w:end w:w="90" w:type="dxa"/>
            </w:tcMar>
          </w:tcPr>
          <w:p>
            <w:pPr>
              <w:spacing w:after="0" w:line="240" w:lineRule="auto"/>
            </w:pPr>
            <w:r>
              <w:rPr/>
            </w:r>
            <w:r>
              <w:rPr>
                <w:sz w:val="17"/>
              </w:rPr>
              <w:t>Operations</w:t>
            </w:r>
          </w:p>
        </w:tc>
        <w:tc>
          <w:tcPr>
            <w:tcW w:type="dxa" w:w="4236"/>
            <w:vAlign w:val="top"/>
            <w:tcMar>
              <w:top w:w="70" w:type="dxa"/>
              <w:start w:w="90" w:type="dxa"/>
              <w:bottom w:w="70" w:type="dxa"/>
              <w:end w:w="90" w:type="dxa"/>
            </w:tcMar>
          </w:tcPr>
          <w:p>
            <w:pPr>
              <w:spacing w:after="0" w:line="240" w:lineRule="auto"/>
            </w:pPr>
            <w:r>
              <w:rPr/>
            </w:r>
            <w:r>
              <w:rPr>
                <w:sz w:val="17"/>
              </w:rPr>
              <w:t>Health, backup/recovery, performance and integration evidence</w:t>
            </w:r>
          </w:p>
        </w:tc>
        <w:tc>
          <w:tcPr>
            <w:tcW w:type="dxa" w:w="2741"/>
            <w:vAlign w:val="top"/>
            <w:tcMar>
              <w:top w:w="70" w:type="dxa"/>
              <w:start w:w="90" w:type="dxa"/>
              <w:bottom w:w="70" w:type="dxa"/>
              <w:end w:w="90" w:type="dxa"/>
            </w:tcMar>
          </w:tcPr>
          <w:p>
            <w:pPr>
              <w:spacing w:after="0" w:line="240" w:lineRule="auto"/>
            </w:pPr>
            <w:r>
              <w:rPr/>
            </w:r>
            <w:r>
              <w:rPr>
                <w:rFonts w:ascii="Consolas" w:hAnsi="Consolas"/>
                <w:b w:val="0"/>
                <w:i w:val="0"/>
                <w:sz w:val="17"/>
              </w:rPr>
              <w:t>NFR-01</w:t>
            </w:r>
            <w:r>
              <w:rPr>
                <w:sz w:val="17"/>
              </w:rPr>
              <w:t>–</w:t>
            </w:r>
            <w:r>
              <w:rPr>
                <w:rFonts w:ascii="Consolas" w:hAnsi="Consolas"/>
                <w:b w:val="0"/>
                <w:i w:val="0"/>
                <w:sz w:val="17"/>
              </w:rPr>
              <w:t>NFR-08</w:t>
            </w:r>
            <w:r>
              <w:rPr>
                <w:sz w:val="17"/>
              </w:rPr>
              <w:t xml:space="preserve">, </w:t>
            </w:r>
            <w:r>
              <w:rPr>
                <w:rFonts w:ascii="Consolas" w:hAnsi="Consolas"/>
                <w:b w:val="0"/>
                <w:i w:val="0"/>
                <w:sz w:val="17"/>
              </w:rPr>
              <w:t>NFR-19</w:t>
            </w:r>
            <w:r>
              <w:rPr>
                <w:sz w:val="17"/>
              </w:rPr>
              <w:t xml:space="preserve">, </w:t>
            </w:r>
            <w:r>
              <w:rPr>
                <w:rFonts w:ascii="Consolas" w:hAnsi="Consolas"/>
                <w:b w:val="0"/>
                <w:i w:val="0"/>
                <w:sz w:val="17"/>
              </w:rPr>
              <w:t>TC-OPS-001</w:t>
            </w:r>
          </w:p>
        </w:tc>
      </w:tr>
    </w:tbl>
    <w:p>
      <w:pPr>
        <w:spacing w:after="20"/>
      </w:pPr>
    </w:p>
    <w:p>
      <w:pPr>
        <w:pStyle w:val="Heading3"/>
        <w:keepNext/>
        <w:pageBreakBefore w:val="0"/>
      </w:pPr>
      <w:r>
        <w:t>1.6 Known partial and TBD items</w:t>
      </w:r>
    </w:p>
    <w:p>
      <w:pPr>
        <w:pStyle w:val="ListParagraph"/>
        <w:numPr>
          <w:ilvl w:val="0"/>
          <w:numId w:val="17"/>
        </w:numPr>
        <w:spacing w:after="40"/>
      </w:pPr>
      <w:r>
        <w:rPr>
          <w:sz w:val="18"/>
        </w:rPr>
        <w:t xml:space="preserve">Complete Windows device/audio matrix and offline recovery proof: </w:t>
      </w:r>
      <w:r>
        <w:rPr>
          <w:rFonts w:ascii="Consolas" w:hAnsi="Consolas"/>
          <w:b w:val="0"/>
          <w:i w:val="0"/>
          <w:sz w:val="17"/>
        </w:rPr>
        <w:t>TBD-CLIENT-001</w:t>
      </w:r>
      <w:r>
        <w:rPr>
          <w:sz w:val="18"/>
        </w:rPr>
        <w:t>.</w:t>
      </w:r>
    </w:p>
    <w:p>
      <w:pPr>
        <w:pStyle w:val="ListParagraph"/>
        <w:numPr>
          <w:ilvl w:val="0"/>
          <w:numId w:val="17"/>
        </w:numPr>
        <w:spacing w:after="40"/>
      </w:pPr>
      <w:r>
        <w:rPr>
          <w:sz w:val="18"/>
        </w:rPr>
        <w:t xml:space="preserve">Exact generation retry/cancel/idempotency state machine: </w:t>
      </w:r>
      <w:r>
        <w:rPr>
          <w:rFonts w:ascii="Consolas" w:hAnsi="Consolas"/>
          <w:b w:val="0"/>
          <w:i w:val="0"/>
          <w:sz w:val="17"/>
        </w:rPr>
        <w:t>TBD-GENERATION-001</w:t>
      </w:r>
      <w:r>
        <w:rPr>
          <w:sz w:val="18"/>
        </w:rPr>
        <w:t>.</w:t>
      </w:r>
    </w:p>
    <w:p>
      <w:pPr>
        <w:pStyle w:val="ListParagraph"/>
        <w:numPr>
          <w:ilvl w:val="0"/>
          <w:numId w:val="17"/>
        </w:numPr>
        <w:spacing w:after="40"/>
      </w:pPr>
      <w:r>
        <w:rPr>
          <w:sz w:val="18"/>
        </w:rPr>
        <w:t xml:space="preserve">Per-mode audience/form policy approval: </w:t>
      </w:r>
      <w:r>
        <w:rPr>
          <w:rFonts w:ascii="Consolas" w:hAnsi="Consolas"/>
          <w:b w:val="0"/>
          <w:i w:val="0"/>
          <w:sz w:val="17"/>
        </w:rPr>
        <w:t>TBD-VERSION-001</w:t>
      </w:r>
      <w:r>
        <w:rPr>
          <w:sz w:val="18"/>
        </w:rPr>
        <w:t>.</w:t>
      </w:r>
    </w:p>
    <w:p>
      <w:pPr>
        <w:pStyle w:val="ListParagraph"/>
        <w:numPr>
          <w:ilvl w:val="0"/>
          <w:numId w:val="17"/>
        </w:numPr>
        <w:spacing w:after="40"/>
      </w:pPr>
      <w:r>
        <w:rPr>
          <w:sz w:val="18"/>
        </w:rPr>
        <w:t xml:space="preserve">Proctor violation synchronization timing and recovery: </w:t>
      </w:r>
      <w:r>
        <w:rPr>
          <w:rFonts w:ascii="Consolas" w:hAnsi="Consolas"/>
          <w:b w:val="0"/>
          <w:i w:val="0"/>
          <w:sz w:val="17"/>
        </w:rPr>
        <w:t>TBD-PROCTOR-001</w:t>
      </w:r>
      <w:r>
        <w:rPr>
          <w:sz w:val="18"/>
        </w:rPr>
        <w:t>.</w:t>
      </w:r>
    </w:p>
    <w:p>
      <w:pPr>
        <w:pStyle w:val="ListParagraph"/>
        <w:numPr>
          <w:ilvl w:val="0"/>
          <w:numId w:val="17"/>
        </w:numPr>
        <w:spacing w:after="40"/>
      </w:pPr>
      <w:r>
        <w:rPr>
          <w:sz w:val="18"/>
        </w:rPr>
        <w:t xml:space="preserve">AI provider, thresholds, and Examiner review policy: </w:t>
      </w:r>
      <w:r>
        <w:rPr>
          <w:rFonts w:ascii="Consolas" w:hAnsi="Consolas"/>
          <w:b w:val="0"/>
          <w:i w:val="0"/>
          <w:sz w:val="17"/>
        </w:rPr>
        <w:t>TBD-AI-001</w:t>
      </w:r>
      <w:r>
        <w:rPr>
          <w:sz w:val="18"/>
        </w:rPr>
        <w:t xml:space="preserve">, </w:t>
      </w:r>
      <w:r>
        <w:rPr>
          <w:rFonts w:ascii="Consolas" w:hAnsi="Consolas"/>
          <w:b w:val="0"/>
          <w:i w:val="0"/>
          <w:sz w:val="17"/>
        </w:rPr>
        <w:t>TBD-AI-002</w:t>
      </w:r>
      <w:r>
        <w:rPr>
          <w:sz w:val="18"/>
        </w:rPr>
        <w:t>.</w:t>
      </w:r>
    </w:p>
    <w:p>
      <w:pPr>
        <w:pStyle w:val="ListParagraph"/>
        <w:numPr>
          <w:ilvl w:val="0"/>
          <w:numId w:val="17"/>
        </w:numPr>
        <w:spacing w:after="40"/>
      </w:pPr>
      <w:r>
        <w:rPr>
          <w:sz w:val="18"/>
        </w:rPr>
        <w:t xml:space="preserve">Retention, export/delete/legal hold and jurisdiction: </w:t>
      </w:r>
      <w:r>
        <w:rPr>
          <w:rFonts w:ascii="Consolas" w:hAnsi="Consolas"/>
          <w:b w:val="0"/>
          <w:i w:val="0"/>
          <w:sz w:val="17"/>
        </w:rPr>
        <w:t>TBD-RETENTION-001</w:t>
      </w:r>
      <w:r>
        <w:rPr>
          <w:sz w:val="18"/>
        </w:rPr>
        <w:t xml:space="preserve">, </w:t>
      </w:r>
      <w:r>
        <w:rPr>
          <w:rFonts w:ascii="Consolas" w:hAnsi="Consolas"/>
          <w:b w:val="0"/>
          <w:i w:val="0"/>
          <w:sz w:val="17"/>
        </w:rPr>
        <w:t>TBD-DATA-001</w:t>
      </w:r>
      <w:r>
        <w:rPr>
          <w:sz w:val="18"/>
        </w:rPr>
        <w:t>.</w:t>
      </w:r>
    </w:p>
    <w:p>
      <w:pPr>
        <w:pStyle w:val="Heading3"/>
        <w:keepNext/>
        <w:pageBreakBefore w:val="0"/>
      </w:pPr>
      <w:r>
        <w:t>1.7 Scope revision package contents</w:t>
      </w:r>
    </w:p>
    <w:p>
      <w:pPr>
        <w:spacing w:after="80" w:line="240" w:lineRule="auto"/>
      </w:pPr>
      <w:r>
        <w:rPr>
          <w:sz w:val="19"/>
        </w:rPr>
        <w:t>The revised submission package contains four user-facing channels and one shared business backend:</w:t>
      </w:r>
    </w:p>
    <w:p>
      <w:pPr>
        <w:pStyle w:val="ListParagraph"/>
        <w:numPr>
          <w:ilvl w:val="0"/>
          <w:numId w:val="18"/>
        </w:numPr>
        <w:spacing w:after="40"/>
      </w:pPr>
      <w:r>
        <w:rPr>
          <w:sz w:val="18"/>
        </w:rPr>
        <w:t>Platform administration web for Platform Admin, Platform Manager, Academic Manager and Academic Staff.</w:t>
      </w:r>
    </w:p>
    <w:p>
      <w:pPr>
        <w:pStyle w:val="ListParagraph"/>
        <w:numPr>
          <w:ilvl w:val="0"/>
          <w:numId w:val="18"/>
        </w:numPr>
        <w:spacing w:after="40"/>
      </w:pPr>
      <w:r>
        <w:rPr>
          <w:sz w:val="18"/>
        </w:rPr>
        <w:t>Organization web for Host, assigned Proctor and assigned Examiner.</w:t>
      </w:r>
    </w:p>
    <w:p>
      <w:pPr>
        <w:pStyle w:val="ListParagraph"/>
        <w:numPr>
          <w:ilvl w:val="0"/>
          <w:numId w:val="18"/>
        </w:numPr>
        <w:spacing w:after="40"/>
      </w:pPr>
      <w:r>
        <w:rPr>
          <w:sz w:val="18"/>
        </w:rPr>
        <w:t>Student practice web for email sign-in, task catalog, practice sessions, progress and future AI explanations.</w:t>
      </w:r>
    </w:p>
    <w:p>
      <w:pPr>
        <w:pStyle w:val="ListParagraph"/>
        <w:numPr>
          <w:ilvl w:val="0"/>
          <w:numId w:val="18"/>
        </w:numPr>
        <w:spacing w:after="40"/>
      </w:pPr>
      <w:r>
        <w:rPr>
          <w:sz w:val="18"/>
        </w:rPr>
        <w:t>Windows exam client for assigned organization exams, device checks, timed tasks, local saving, synchronization and submission.</w:t>
      </w:r>
    </w:p>
    <w:p>
      <w:pPr>
        <w:pStyle w:val="ListParagraph"/>
        <w:numPr>
          <w:ilvl w:val="0"/>
          <w:numId w:val="18"/>
        </w:numPr>
        <w:spacing w:after="40"/>
      </w:pPr>
      <w:r>
        <w:rPr>
          <w:sz w:val="18"/>
        </w:rPr>
        <w:t>Shared reports, diagrams, test cases, evidence records and the later practice implementation gap handoff.</w:t>
      </w:r>
    </w:p>
    <w:p>
      <w:pPr>
        <w:spacing w:after="80" w:line="240" w:lineRule="auto"/>
      </w:pPr>
      <w:r>
        <w:rPr>
          <w:sz w:val="19"/>
        </w:rPr>
        <w:t>The package does not include an official PTE Academic connection, Student personal payment, mobile exam delivery, a research-based learning product, or an open chatbot/personalized study-plan engine. AI explanation and channel-specific question flags are included as requirements and design/test handoff items; their current implementation state is labelled rather than implied.</w:t>
      </w:r>
    </w:p>
    <w:p>
      <w:pPr>
        <w:pStyle w:val="Heading2"/>
        <w:keepNext/>
        <w:pageBreakBefore w:val="0"/>
      </w:pPr>
      <w:r>
        <w:t>2. Installation Guides</w:t>
      </w:r>
    </w:p>
    <w:p>
      <w:pPr>
        <w:spacing w:after="80" w:line="240" w:lineRule="auto"/>
      </w:pPr>
      <w:r>
        <w:rPr>
          <w:sz w:val="19"/>
        </w:rPr>
        <w:t xml:space="preserve">This section maps the original DOCX heading </w:t>
      </w:r>
      <w:r>
        <w:rPr>
          <w:b/>
          <w:i w:val="0"/>
          <w:sz w:val="19"/>
        </w:rPr>
        <w:t>2. Installation Guides</w:t>
      </w:r>
      <w:r>
        <w:rPr>
          <w:sz w:val="19"/>
        </w:rPr>
        <w:t>. It is written for operators and business users. It gives safe prerequisites, access/setup, verification, recovery, and escalation steps without exposing secrets or instructing users to use internal service ports directly.</w:t>
      </w:r>
    </w:p>
    <w:p>
      <w:pPr>
        <w:pStyle w:val="Heading3"/>
        <w:keepNext/>
        <w:pageBreakBefore w:val="0"/>
      </w:pPr>
      <w:r>
        <w:t>2.1 Installation and access responsibilities</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275"/>
            <w:vAlign w:val="top"/>
            <w:tcMar>
              <w:top w:w="70" w:type="dxa"/>
              <w:start w:w="90" w:type="dxa"/>
              <w:bottom w:w="70" w:type="dxa"/>
              <w:end w:w="90" w:type="dxa"/>
            </w:tcMar>
            <w:shd w:val="clear" w:color="auto" w:fill="FFE8E1"/>
          </w:tcPr>
          <w:p>
            <w:pPr>
              <w:spacing w:after="0" w:line="240" w:lineRule="auto"/>
            </w:pPr>
            <w:r>
              <w:rPr>
                <w:b/>
              </w:rPr>
            </w:r>
            <w:r>
              <w:rPr>
                <w:b/>
                <w:sz w:val="17"/>
              </w:rPr>
              <w:t>Area</w:t>
            </w:r>
          </w:p>
        </w:tc>
        <w:tc>
          <w:tcPr>
            <w:tcW w:type="dxa" w:w="4756"/>
            <w:vAlign w:val="top"/>
            <w:tcMar>
              <w:top w:w="70" w:type="dxa"/>
              <w:start w:w="90" w:type="dxa"/>
              <w:bottom w:w="70" w:type="dxa"/>
              <w:end w:w="90" w:type="dxa"/>
            </w:tcMar>
            <w:shd w:val="clear" w:color="auto" w:fill="FFE8E1"/>
          </w:tcPr>
          <w:p>
            <w:pPr>
              <w:spacing w:after="0" w:line="240" w:lineRule="auto"/>
            </w:pPr>
            <w:r>
              <w:rPr>
                <w:b/>
              </w:rPr>
            </w:r>
            <w:r>
              <w:rPr>
                <w:b/>
                <w:sz w:val="17"/>
              </w:rPr>
              <w:t>Responsible person/team</w:t>
            </w:r>
          </w:p>
        </w:tc>
        <w:tc>
          <w:tcPr>
            <w:tcW w:type="dxa" w:w="2688"/>
            <w:vAlign w:val="top"/>
            <w:tcMar>
              <w:top w:w="70" w:type="dxa"/>
              <w:start w:w="90" w:type="dxa"/>
              <w:bottom w:w="70" w:type="dxa"/>
              <w:end w:w="90" w:type="dxa"/>
            </w:tcMar>
            <w:shd w:val="clear" w:color="auto" w:fill="FFE8E1"/>
          </w:tcPr>
          <w:p>
            <w:pPr>
              <w:spacing w:after="0" w:line="240" w:lineRule="auto"/>
            </w:pPr>
            <w:r>
              <w:rPr>
                <w:b/>
              </w:rPr>
            </w:r>
            <w:r>
              <w:rPr>
                <w:b/>
                <w:sz w:val="17"/>
              </w:rPr>
              <w:t>Safe boundary</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Hosted application/deployment</w:t>
            </w:r>
          </w:p>
        </w:tc>
        <w:tc>
          <w:tcPr>
            <w:tcW w:type="dxa" w:w="4756"/>
            <w:vAlign w:val="top"/>
            <w:tcMar>
              <w:top w:w="70" w:type="dxa"/>
              <w:start w:w="90" w:type="dxa"/>
              <w:bottom w:w="70" w:type="dxa"/>
              <w:end w:w="90" w:type="dxa"/>
            </w:tcMar>
          </w:tcPr>
          <w:p>
            <w:pPr>
              <w:spacing w:after="0" w:line="240" w:lineRule="auto"/>
            </w:pPr>
            <w:r>
              <w:rPr/>
            </w:r>
            <w:r>
              <w:rPr>
                <w:sz w:val="17"/>
              </w:rPr>
              <w:t>Operations owner</w:t>
            </w:r>
          </w:p>
        </w:tc>
        <w:tc>
          <w:tcPr>
            <w:tcW w:type="dxa" w:w="2688"/>
            <w:vAlign w:val="top"/>
            <w:tcMar>
              <w:top w:w="70" w:type="dxa"/>
              <w:start w:w="90" w:type="dxa"/>
              <w:bottom w:w="70" w:type="dxa"/>
              <w:end w:w="90" w:type="dxa"/>
            </w:tcMar>
          </w:tcPr>
          <w:p>
            <w:pPr>
              <w:spacing w:after="0" w:line="240" w:lineRule="auto"/>
            </w:pPr>
            <w:r>
              <w:rPr/>
            </w:r>
            <w:r>
              <w:rPr>
                <w:sz w:val="17"/>
              </w:rPr>
              <w:t>Use the approved repository/workflow/secret process; do not paste secrets into documentation or commands.</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Platform portal access</w:t>
            </w:r>
          </w:p>
        </w:tc>
        <w:tc>
          <w:tcPr>
            <w:tcW w:type="dxa" w:w="4756"/>
            <w:vAlign w:val="top"/>
            <w:tcMar>
              <w:top w:w="70" w:type="dxa"/>
              <w:start w:w="90" w:type="dxa"/>
              <w:bottom w:w="70" w:type="dxa"/>
              <w:end w:w="90" w:type="dxa"/>
            </w:tcMar>
          </w:tcPr>
          <w:p>
            <w:pPr>
              <w:spacing w:after="0" w:line="240" w:lineRule="auto"/>
            </w:pPr>
            <w:r>
              <w:rPr/>
            </w:r>
            <w:r>
              <w:rPr>
                <w:sz w:val="17"/>
              </w:rPr>
              <w:t>Platform Admin</w:t>
            </w:r>
          </w:p>
        </w:tc>
        <w:tc>
          <w:tcPr>
            <w:tcW w:type="dxa" w:w="2688"/>
            <w:vAlign w:val="top"/>
            <w:tcMar>
              <w:top w:w="70" w:type="dxa"/>
              <w:start w:w="90" w:type="dxa"/>
              <w:bottom w:w="70" w:type="dxa"/>
              <w:end w:w="90" w:type="dxa"/>
            </w:tcMar>
          </w:tcPr>
          <w:p>
            <w:pPr>
              <w:spacing w:after="0" w:line="240" w:lineRule="auto"/>
            </w:pPr>
            <w:r>
              <w:rPr/>
            </w:r>
            <w:r>
              <w:rPr>
                <w:sz w:val="17"/>
              </w:rPr>
              <w:t>Create/approve Platform Admin, Platform Manager, Academic Manager and Academic Staff access under the identity policy.</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Organization onboarding</w:t>
            </w:r>
          </w:p>
        </w:tc>
        <w:tc>
          <w:tcPr>
            <w:tcW w:type="dxa" w:w="4756"/>
            <w:vAlign w:val="top"/>
            <w:tcMar>
              <w:top w:w="70" w:type="dxa"/>
              <w:start w:w="90" w:type="dxa"/>
              <w:bottom w:w="70" w:type="dxa"/>
              <w:end w:w="90" w:type="dxa"/>
            </w:tcMar>
          </w:tcPr>
          <w:p>
            <w:pPr>
              <w:spacing w:after="0" w:line="240" w:lineRule="auto"/>
            </w:pPr>
            <w:r>
              <w:rPr/>
            </w:r>
            <w:r>
              <w:rPr>
                <w:sz w:val="17"/>
              </w:rPr>
              <w:t>Platform Admin + Host</w:t>
            </w:r>
          </w:p>
        </w:tc>
        <w:tc>
          <w:tcPr>
            <w:tcW w:type="dxa" w:w="2688"/>
            <w:vAlign w:val="top"/>
            <w:tcMar>
              <w:top w:w="70" w:type="dxa"/>
              <w:start w:w="90" w:type="dxa"/>
              <w:bottom w:w="70" w:type="dxa"/>
              <w:end w:w="90" w:type="dxa"/>
            </w:tcMar>
          </w:tcPr>
          <w:p>
            <w:pPr>
              <w:spacing w:after="0" w:line="240" w:lineRule="auto"/>
            </w:pPr>
            <w:r>
              <w:rPr/>
            </w:r>
            <w:r>
              <w:rPr>
                <w:sz w:val="17"/>
              </w:rPr>
              <w:t>Registration approval precedes Host workspace/package activation.</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Windows exam client</w:t>
            </w:r>
          </w:p>
        </w:tc>
        <w:tc>
          <w:tcPr>
            <w:tcW w:type="dxa" w:w="4756"/>
            <w:vAlign w:val="top"/>
            <w:tcMar>
              <w:top w:w="70" w:type="dxa"/>
              <w:start w:w="90" w:type="dxa"/>
              <w:bottom w:w="70" w:type="dxa"/>
              <w:end w:w="90" w:type="dxa"/>
            </w:tcMar>
          </w:tcPr>
          <w:p>
            <w:pPr>
              <w:spacing w:after="0" w:line="240" w:lineRule="auto"/>
            </w:pPr>
            <w:r>
              <w:rPr/>
            </w:r>
            <w:r>
              <w:rPr>
                <w:sz w:val="17"/>
              </w:rPr>
              <w:t>Host/Student support</w:t>
            </w:r>
          </w:p>
        </w:tc>
        <w:tc>
          <w:tcPr>
            <w:tcW w:type="dxa" w:w="2688"/>
            <w:vAlign w:val="top"/>
            <w:tcMar>
              <w:top w:w="70" w:type="dxa"/>
              <w:start w:w="90" w:type="dxa"/>
              <w:bottom w:w="70" w:type="dxa"/>
              <w:end w:w="90" w:type="dxa"/>
            </w:tcMar>
          </w:tcPr>
          <w:p>
            <w:pPr>
              <w:spacing w:after="0" w:line="240" w:lineRule="auto"/>
            </w:pPr>
            <w:r>
              <w:rPr/>
            </w:r>
            <w:r>
              <w:rPr>
                <w:sz w:val="17"/>
              </w:rPr>
              <w:t>Install the approved client build and run device check before a timed attempt.</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External providers</w:t>
            </w:r>
          </w:p>
        </w:tc>
        <w:tc>
          <w:tcPr>
            <w:tcW w:type="dxa" w:w="4756"/>
            <w:vAlign w:val="top"/>
            <w:tcMar>
              <w:top w:w="70" w:type="dxa"/>
              <w:start w:w="90" w:type="dxa"/>
              <w:bottom w:w="70" w:type="dxa"/>
              <w:end w:w="90" w:type="dxa"/>
            </w:tcMar>
          </w:tcPr>
          <w:p>
            <w:pPr>
              <w:spacing w:after="0" w:line="240" w:lineRule="auto"/>
            </w:pPr>
            <w:r>
              <w:rPr/>
            </w:r>
            <w:r>
              <w:rPr>
                <w:sz w:val="17"/>
              </w:rPr>
              <w:t>Integration/operations owner</w:t>
            </w:r>
          </w:p>
        </w:tc>
        <w:tc>
          <w:tcPr>
            <w:tcW w:type="dxa" w:w="2688"/>
            <w:vAlign w:val="top"/>
            <w:tcMar>
              <w:top w:w="70" w:type="dxa"/>
              <w:start w:w="90" w:type="dxa"/>
              <w:bottom w:w="70" w:type="dxa"/>
              <w:end w:w="90" w:type="dxa"/>
            </w:tcMar>
          </w:tcPr>
          <w:p>
            <w:pPr>
              <w:spacing w:after="0" w:line="240" w:lineRule="auto"/>
            </w:pPr>
            <w:r>
              <w:rPr/>
            </w:r>
            <w:r>
              <w:rPr>
                <w:sz w:val="17"/>
              </w:rPr>
              <w:t>Configure provider credentials through the secret manager/environment process.</w:t>
            </w:r>
          </w:p>
        </w:tc>
      </w:tr>
      <w:tr>
        <w:trPr>
          <w:cantSplit/>
        </w:trPr>
        <w:tc>
          <w:tcPr>
            <w:tcW w:type="dxa" w:w="2275"/>
            <w:vAlign w:val="top"/>
            <w:tcMar>
              <w:top w:w="70" w:type="dxa"/>
              <w:start w:w="90" w:type="dxa"/>
              <w:bottom w:w="70" w:type="dxa"/>
              <w:end w:w="90" w:type="dxa"/>
            </w:tcMar>
          </w:tcPr>
          <w:p>
            <w:pPr>
              <w:spacing w:after="0" w:line="240" w:lineRule="auto"/>
            </w:pPr>
            <w:r>
              <w:rPr/>
            </w:r>
            <w:r>
              <w:rPr>
                <w:sz w:val="17"/>
              </w:rPr>
              <w:t>Data/backup/retention</w:t>
            </w:r>
          </w:p>
        </w:tc>
        <w:tc>
          <w:tcPr>
            <w:tcW w:type="dxa" w:w="4756"/>
            <w:vAlign w:val="top"/>
            <w:tcMar>
              <w:top w:w="70" w:type="dxa"/>
              <w:start w:w="90" w:type="dxa"/>
              <w:bottom w:w="70" w:type="dxa"/>
              <w:end w:w="90" w:type="dxa"/>
            </w:tcMar>
          </w:tcPr>
          <w:p>
            <w:pPr>
              <w:spacing w:after="0" w:line="240" w:lineRule="auto"/>
            </w:pPr>
            <w:r>
              <w:rPr/>
            </w:r>
            <w:r>
              <w:rPr>
                <w:sz w:val="17"/>
              </w:rPr>
              <w:t>Platform Admin + operations/legal owner</w:t>
            </w:r>
          </w:p>
        </w:tc>
        <w:tc>
          <w:tcPr>
            <w:tcW w:type="dxa" w:w="2688"/>
            <w:vAlign w:val="top"/>
            <w:tcMar>
              <w:top w:w="70" w:type="dxa"/>
              <w:start w:w="90" w:type="dxa"/>
              <w:bottom w:w="70" w:type="dxa"/>
              <w:end w:w="90" w:type="dxa"/>
            </w:tcMar>
          </w:tcPr>
          <w:p>
            <w:pPr>
              <w:spacing w:after="0" w:line="240" w:lineRule="auto"/>
            </w:pPr>
            <w:r>
              <w:rPr/>
            </w:r>
            <w:r>
              <w:rPr>
                <w:sz w:val="17"/>
              </w:rPr>
              <w:t>Follow organization contract and approved retention decision; current period is TBD.</w:t>
            </w:r>
          </w:p>
        </w:tc>
      </w:tr>
    </w:tbl>
    <w:p>
      <w:pPr>
        <w:spacing w:after="20"/>
      </w:pPr>
    </w:p>
    <w:p>
      <w:pPr>
        <w:pStyle w:val="Heading3"/>
        <w:keepNext/>
        <w:pageBreakBefore w:val="0"/>
      </w:pPr>
      <w:r>
        <w:t>2.2 Server/deployment prerequisites</w:t>
      </w:r>
    </w:p>
    <w:p>
      <w:pPr>
        <w:spacing w:after="80" w:line="240" w:lineRule="auto"/>
      </w:pPr>
      <w:r>
        <w:rPr>
          <w:sz w:val="19"/>
        </w:rPr>
        <w:t>The deployment baseline uses one Dockerized stack behind a public edge:</w:t>
      </w:r>
    </w:p>
    <w:p>
      <w:pPr>
        <w:pStyle w:val="ListParagraph"/>
        <w:numPr>
          <w:ilvl w:val="0"/>
          <w:numId w:val="17"/>
        </w:numPr>
        <w:spacing w:after="40"/>
      </w:pPr>
      <w:r>
        <w:rPr>
          <w:sz w:val="18"/>
        </w:rPr>
        <w:t>public edge/proxy with supported TLS/domain configuration;</w:t>
      </w:r>
    </w:p>
    <w:p>
      <w:pPr>
        <w:pStyle w:val="ListParagraph"/>
        <w:numPr>
          <w:ilvl w:val="0"/>
          <w:numId w:val="17"/>
        </w:numPr>
        <w:spacing w:after="40"/>
      </w:pPr>
      <w:r>
        <w:rPr>
          <w:rFonts w:ascii="Consolas" w:hAnsi="Consolas"/>
          <w:b w:val="0"/>
          <w:i w:val="0"/>
          <w:sz w:val="17"/>
        </w:rPr>
        <w:t>web-tenant</w:t>
      </w:r>
      <w:r>
        <w:rPr>
          <w:sz w:val="18"/>
        </w:rPr>
        <w:t xml:space="preserve"> and </w:t>
      </w:r>
      <w:r>
        <w:rPr>
          <w:rFonts w:ascii="Consolas" w:hAnsi="Consolas"/>
          <w:b w:val="0"/>
          <w:i w:val="0"/>
          <w:sz w:val="17"/>
        </w:rPr>
        <w:t>web-vendor</w:t>
      </w:r>
      <w:r>
        <w:rPr>
          <w:sz w:val="18"/>
        </w:rPr>
        <w:t xml:space="preserve"> web applications;</w:t>
      </w:r>
    </w:p>
    <w:p>
      <w:pPr>
        <w:pStyle w:val="ListParagraph"/>
        <w:numPr>
          <w:ilvl w:val="0"/>
          <w:numId w:val="17"/>
        </w:numPr>
        <w:spacing w:after="40"/>
      </w:pPr>
      <w:r>
        <w:rPr>
          <w:rFonts w:ascii="Consolas" w:hAnsi="Consolas"/>
          <w:b w:val="0"/>
          <w:i w:val="0"/>
          <w:sz w:val="17"/>
        </w:rPr>
        <w:t>app</w:t>
      </w:r>
      <w:r>
        <w:rPr>
          <w:sz w:val="18"/>
        </w:rPr>
        <w:t xml:space="preserve"> Spring/Java modular-monolith application;</w:t>
      </w:r>
    </w:p>
    <w:p>
      <w:pPr>
        <w:pStyle w:val="ListParagraph"/>
        <w:numPr>
          <w:ilvl w:val="0"/>
          <w:numId w:val="17"/>
        </w:numPr>
        <w:spacing w:after="40"/>
      </w:pPr>
      <w:r>
        <w:rPr>
          <w:sz w:val="18"/>
        </w:rPr>
        <w:t>PostgreSQL database with the expected migrations;</w:t>
      </w:r>
    </w:p>
    <w:p>
      <w:pPr>
        <w:pStyle w:val="ListParagraph"/>
        <w:numPr>
          <w:ilvl w:val="0"/>
          <w:numId w:val="17"/>
        </w:numPr>
        <w:spacing w:after="40"/>
      </w:pPr>
      <w:r>
        <w:rPr>
          <w:sz w:val="18"/>
        </w:rPr>
        <w:t>Redis and RabbitMQ services when the enabled feature requires them;</w:t>
      </w:r>
    </w:p>
    <w:p>
      <w:pPr>
        <w:pStyle w:val="ListParagraph"/>
        <w:numPr>
          <w:ilvl w:val="0"/>
          <w:numId w:val="17"/>
        </w:numPr>
        <w:spacing w:after="40"/>
      </w:pPr>
      <w:r>
        <w:rPr>
          <w:sz w:val="18"/>
        </w:rPr>
        <w:t>health/observability access for the operations owner;</w:t>
      </w:r>
    </w:p>
    <w:p>
      <w:pPr>
        <w:pStyle w:val="ListParagraph"/>
        <w:numPr>
          <w:ilvl w:val="0"/>
          <w:numId w:val="17"/>
        </w:numPr>
        <w:spacing w:after="40"/>
      </w:pPr>
      <w:r>
        <w:rPr>
          <w:sz w:val="18"/>
        </w:rPr>
        <w:t>approved configuration/secret source with least-privilege values;</w:t>
      </w:r>
    </w:p>
    <w:p>
      <w:pPr>
        <w:pStyle w:val="ListParagraph"/>
        <w:numPr>
          <w:ilvl w:val="0"/>
          <w:numId w:val="17"/>
        </w:numPr>
        <w:spacing w:after="40"/>
      </w:pPr>
      <w:r>
        <w:rPr>
          <w:sz w:val="18"/>
        </w:rPr>
        <w:t>backup/restore and rollback procedure approved for the environment.</w:t>
      </w:r>
    </w:p>
    <w:p>
      <w:pPr>
        <w:spacing w:after="80" w:line="240" w:lineRule="auto"/>
      </w:pPr>
      <w:r>
        <w:rPr>
          <w:sz w:val="19"/>
        </w:rPr>
        <w:t xml:space="preserve">The exact host size, browser matrix, provider contract, and Windows hardware matrix are environment decisions. Use </w:t>
      </w:r>
      <w:r>
        <w:rPr>
          <w:rFonts w:ascii="Consolas" w:hAnsi="Consolas"/>
          <w:b w:val="0"/>
          <w:i w:val="0"/>
          <w:sz w:val="17"/>
        </w:rPr>
        <w:t>TBD-CLIENT-001</w:t>
      </w:r>
      <w:r>
        <w:rPr>
          <w:sz w:val="19"/>
        </w:rPr>
        <w:t xml:space="preserve"> and the approved operations checklist rather than guessing a number in a user guide.</w:t>
      </w:r>
    </w:p>
    <w:p>
      <w:pPr>
        <w:pStyle w:val="Heading3"/>
        <w:keepNext/>
        <w:pageBreakBefore w:val="0"/>
      </w:pPr>
      <w:r>
        <w:t>2.3 Web-user prerequisites</w:t>
      </w:r>
    </w:p>
    <w:p>
      <w:pPr>
        <w:pStyle w:val="ListParagraph"/>
        <w:numPr>
          <w:ilvl w:val="0"/>
          <w:numId w:val="18"/>
        </w:numPr>
        <w:spacing w:after="40"/>
      </w:pPr>
      <w:r>
        <w:rPr>
          <w:sz w:val="18"/>
        </w:rPr>
        <w:t>Use a supported modern browser with JavaScript/cookies permitted by the organization policy.</w:t>
      </w:r>
    </w:p>
    <w:p>
      <w:pPr>
        <w:pStyle w:val="ListParagraph"/>
        <w:numPr>
          <w:ilvl w:val="0"/>
          <w:numId w:val="18"/>
        </w:numPr>
        <w:spacing w:after="40"/>
      </w:pPr>
      <w:r>
        <w:rPr>
          <w:sz w:val="18"/>
        </w:rPr>
        <w:t>Use the public edge URL supplied by the Platform Admin; do not browse to an internal backend port.</w:t>
      </w:r>
    </w:p>
    <w:p>
      <w:pPr>
        <w:pStyle w:val="ListParagraph"/>
        <w:numPr>
          <w:ilvl w:val="0"/>
          <w:numId w:val="18"/>
        </w:numPr>
        <w:spacing w:after="40"/>
      </w:pPr>
      <w:r>
        <w:rPr>
          <w:sz w:val="18"/>
        </w:rPr>
        <w:t>Confirm the account is active and has the intended role/scope.</w:t>
      </w:r>
    </w:p>
    <w:p>
      <w:pPr>
        <w:pStyle w:val="ListParagraph"/>
        <w:numPr>
          <w:ilvl w:val="0"/>
          <w:numId w:val="18"/>
        </w:numPr>
        <w:spacing w:after="40"/>
      </w:pPr>
      <w:r>
        <w:rPr>
          <w:sz w:val="18"/>
        </w:rPr>
        <w:t>Use synthetic or authorized organization data only in a test/stage environment.</w:t>
      </w:r>
    </w:p>
    <w:p>
      <w:pPr>
        <w:pStyle w:val="ListParagraph"/>
        <w:numPr>
          <w:ilvl w:val="0"/>
          <w:numId w:val="18"/>
        </w:numPr>
        <w:spacing w:after="40"/>
      </w:pPr>
      <w:r>
        <w:rPr>
          <w:sz w:val="18"/>
        </w:rPr>
        <w:t>Confirm the organization is approved before expecting a Host workspace.</w:t>
      </w:r>
    </w:p>
    <w:p>
      <w:pPr>
        <w:pStyle w:val="ListParagraph"/>
        <w:numPr>
          <w:ilvl w:val="0"/>
          <w:numId w:val="18"/>
        </w:numPr>
        <w:spacing w:after="40"/>
      </w:pPr>
      <w:r>
        <w:rPr>
          <w:sz w:val="18"/>
        </w:rPr>
        <w:t>Confirm package/license readiness before creating an exam.</w:t>
      </w:r>
    </w:p>
    <w:p>
      <w:pPr>
        <w:pStyle w:val="Heading3"/>
        <w:keepNext/>
        <w:pageBreakBefore w:val="0"/>
      </w:pPr>
      <w:r>
        <w:t>2.4 Windows exam-client prerequisites</w:t>
      </w:r>
    </w:p>
    <w:p>
      <w:pPr>
        <w:pStyle w:val="ListParagraph"/>
        <w:numPr>
          <w:ilvl w:val="0"/>
          <w:numId w:val="18"/>
        </w:numPr>
        <w:spacing w:after="40"/>
      </w:pPr>
      <w:r>
        <w:rPr>
          <w:sz w:val="18"/>
        </w:rPr>
        <w:t>Install the approved Windows-first client build from the organization’s release channel.</w:t>
      </w:r>
    </w:p>
    <w:p>
      <w:pPr>
        <w:pStyle w:val="ListParagraph"/>
        <w:numPr>
          <w:ilvl w:val="0"/>
          <w:numId w:val="18"/>
        </w:numPr>
        <w:spacing w:after="40"/>
      </w:pPr>
      <w:r>
        <w:rPr>
          <w:sz w:val="18"/>
        </w:rPr>
        <w:t>Sign in with the assigned Student account; do not share credentials.</w:t>
      </w:r>
    </w:p>
    <w:p>
      <w:pPr>
        <w:pStyle w:val="ListParagraph"/>
        <w:numPr>
          <w:ilvl w:val="0"/>
          <w:numId w:val="18"/>
        </w:numPr>
        <w:spacing w:after="40"/>
      </w:pPr>
      <w:r>
        <w:rPr>
          <w:sz w:val="18"/>
        </w:rPr>
        <w:t>Confirm microphone/audio input and required device permissions.</w:t>
      </w:r>
    </w:p>
    <w:p>
      <w:pPr>
        <w:pStyle w:val="ListParagraph"/>
        <w:numPr>
          <w:ilvl w:val="0"/>
          <w:numId w:val="18"/>
        </w:numPr>
        <w:spacing w:after="40"/>
      </w:pPr>
      <w:r>
        <w:rPr>
          <w:sz w:val="18"/>
        </w:rPr>
        <w:t>Confirm the exam mode’s network and integrity policy.</w:t>
      </w:r>
    </w:p>
    <w:p>
      <w:pPr>
        <w:pStyle w:val="ListParagraph"/>
        <w:numPr>
          <w:ilvl w:val="0"/>
          <w:numId w:val="18"/>
        </w:numPr>
        <w:spacing w:after="40"/>
      </w:pPr>
      <w:r>
        <w:rPr>
          <w:sz w:val="18"/>
        </w:rPr>
        <w:t>Close unsupported applications or follow the Proctor’s instructions where a controlled policy requires it.</w:t>
      </w:r>
    </w:p>
    <w:p>
      <w:pPr>
        <w:pStyle w:val="ListParagraph"/>
        <w:numPr>
          <w:ilvl w:val="0"/>
          <w:numId w:val="18"/>
        </w:numPr>
        <w:spacing w:after="40"/>
      </w:pPr>
      <w:r>
        <w:rPr>
          <w:sz w:val="18"/>
        </w:rPr>
        <w:t>Run the device check before the timer begins.</w:t>
      </w:r>
    </w:p>
    <w:p>
      <w:pPr>
        <w:pStyle w:val="ListParagraph"/>
        <w:numPr>
          <w:ilvl w:val="0"/>
          <w:numId w:val="18"/>
        </w:numPr>
        <w:spacing w:after="40"/>
      </w:pPr>
      <w:r>
        <w:rPr>
          <w:sz w:val="18"/>
        </w:rPr>
        <w:t>Confirm that local storage is available for the answer queue; the client must show save/sync status.</w:t>
      </w:r>
    </w:p>
    <w:p>
      <w:pPr>
        <w:pStyle w:val="ListParagraph"/>
        <w:numPr>
          <w:ilvl w:val="0"/>
          <w:numId w:val="18"/>
        </w:numPr>
        <w:spacing w:after="40"/>
      </w:pPr>
      <w:r>
        <w:rPr>
          <w:sz w:val="18"/>
        </w:rPr>
        <w:t>If the device check fails, do not start timed work; capture the safe error reference and escalate.</w:t>
      </w:r>
    </w:p>
    <w:p>
      <w:pPr>
        <w:spacing w:after="80" w:line="240" w:lineRule="auto"/>
      </w:pPr>
      <w:r>
        <w:rPr>
          <w:b/>
          <w:i w:val="0"/>
          <w:sz w:val="19"/>
        </w:rPr>
        <w:t>Requirement links:</w:t>
      </w:r>
      <w:r>
        <w:rPr>
          <w:sz w:val="19"/>
        </w:rPr>
        <w:t xml:space="preserve"> </w:t>
      </w:r>
      <w:r>
        <w:rPr>
          <w:rFonts w:ascii="Consolas" w:hAnsi="Consolas"/>
          <w:b w:val="0"/>
          <w:i w:val="0"/>
          <w:sz w:val="17"/>
        </w:rPr>
        <w:t>FR-DELIVERY-001</w:t>
      </w:r>
      <w:r>
        <w:rPr>
          <w:sz w:val="19"/>
        </w:rPr>
        <w:t>–</w:t>
      </w:r>
      <w:r>
        <w:rPr>
          <w:rFonts w:ascii="Consolas" w:hAnsi="Consolas"/>
          <w:b w:val="0"/>
          <w:i w:val="0"/>
          <w:sz w:val="17"/>
        </w:rPr>
        <w:t>FR-DELIVERY-006</w:t>
      </w:r>
      <w:r>
        <w:rPr>
          <w:sz w:val="19"/>
        </w:rPr>
        <w:t xml:space="preserve">, </w:t>
      </w:r>
      <w:r>
        <w:rPr>
          <w:rFonts w:ascii="Consolas" w:hAnsi="Consolas"/>
          <w:b w:val="0"/>
          <w:i w:val="0"/>
          <w:sz w:val="17"/>
        </w:rPr>
        <w:t>NFR-18</w:t>
      </w:r>
      <w:r>
        <w:rPr>
          <w:sz w:val="19"/>
        </w:rPr>
        <w:t xml:space="preserve">, </w:t>
      </w:r>
      <w:r>
        <w:rPr>
          <w:rFonts w:ascii="Consolas" w:hAnsi="Consolas"/>
          <w:b w:val="0"/>
          <w:i w:val="0"/>
          <w:sz w:val="17"/>
        </w:rPr>
        <w:t>TBD-CLIENT-001</w:t>
      </w:r>
      <w:r>
        <w:rPr>
          <w:sz w:val="19"/>
        </w:rPr>
        <w:t>.</w:t>
      </w:r>
    </w:p>
    <w:p>
      <w:pPr>
        <w:pStyle w:val="Heading3"/>
        <w:keepNext/>
        <w:pageBreakBefore w:val="0"/>
      </w:pPr>
      <w:r>
        <w:t>2.5 `STEP-INSTALL-001` — Prepare a hosted environment</w:t>
      </w:r>
    </w:p>
    <w:p>
      <w:pPr>
        <w:pStyle w:val="ListParagraph"/>
        <w:numPr>
          <w:ilvl w:val="0"/>
          <w:numId w:val="18"/>
        </w:numPr>
        <w:spacing w:after="40"/>
      </w:pPr>
      <w:r>
        <w:rPr>
          <w:sz w:val="18"/>
        </w:rPr>
        <w:t>Confirm the release identifier, target environment, and approved change/rollback owner.</w:t>
      </w:r>
    </w:p>
    <w:p>
      <w:pPr>
        <w:pStyle w:val="ListParagraph"/>
        <w:numPr>
          <w:ilvl w:val="0"/>
          <w:numId w:val="18"/>
        </w:numPr>
        <w:spacing w:after="40"/>
      </w:pPr>
      <w:r>
        <w:rPr>
          <w:sz w:val="18"/>
        </w:rPr>
        <w:t>Confirm the repository/build artifacts correspond to the release record.</w:t>
      </w:r>
    </w:p>
    <w:p>
      <w:pPr>
        <w:pStyle w:val="ListParagraph"/>
        <w:numPr>
          <w:ilvl w:val="0"/>
          <w:numId w:val="18"/>
        </w:numPr>
        <w:spacing w:after="40"/>
      </w:pPr>
      <w:r>
        <w:rPr>
          <w:sz w:val="18"/>
        </w:rPr>
        <w:t>Load configuration from the approved secret/environment process. Never put values in this document, shell history, screenshots, or logs.</w:t>
      </w:r>
    </w:p>
    <w:p>
      <w:pPr>
        <w:pStyle w:val="ListParagraph"/>
        <w:numPr>
          <w:ilvl w:val="0"/>
          <w:numId w:val="18"/>
        </w:numPr>
        <w:spacing w:after="40"/>
      </w:pPr>
      <w:r>
        <w:rPr>
          <w:sz w:val="18"/>
        </w:rPr>
        <w:t>Validate Compose configuration and required service names without printing environment values.</w:t>
      </w:r>
    </w:p>
    <w:p>
      <w:pPr>
        <w:pStyle w:val="ListParagraph"/>
        <w:numPr>
          <w:ilvl w:val="0"/>
          <w:numId w:val="18"/>
        </w:numPr>
        <w:spacing w:after="40"/>
      </w:pPr>
      <w:r>
        <w:rPr>
          <w:sz w:val="18"/>
        </w:rPr>
        <w:t>Start or update only the approved stack for the environment.</w:t>
      </w:r>
    </w:p>
    <w:p>
      <w:pPr>
        <w:pStyle w:val="ListParagraph"/>
        <w:numPr>
          <w:ilvl w:val="0"/>
          <w:numId w:val="18"/>
        </w:numPr>
        <w:spacing w:after="40"/>
      </w:pPr>
      <w:r>
        <w:rPr>
          <w:sz w:val="18"/>
        </w:rPr>
        <w:t>Confirm the edge, web applications, application, PostgreSQL, Redis, and RabbitMQ report the expected process/health state.</w:t>
      </w:r>
    </w:p>
    <w:p>
      <w:pPr>
        <w:pStyle w:val="ListParagraph"/>
        <w:numPr>
          <w:ilvl w:val="0"/>
          <w:numId w:val="18"/>
        </w:numPr>
        <w:spacing w:after="40"/>
      </w:pPr>
      <w:r>
        <w:rPr>
          <w:sz w:val="18"/>
        </w:rPr>
        <w:t>Run a safe application health check through the approved operations path.</w:t>
      </w:r>
    </w:p>
    <w:p>
      <w:pPr>
        <w:pStyle w:val="ListParagraph"/>
        <w:numPr>
          <w:ilvl w:val="0"/>
          <w:numId w:val="18"/>
        </w:numPr>
        <w:spacing w:after="40"/>
      </w:pPr>
      <w:r>
        <w:rPr>
          <w:sz w:val="18"/>
        </w:rPr>
        <w:t>Confirm database migrations completed and no destructive data action was requested.</w:t>
      </w:r>
    </w:p>
    <w:p>
      <w:pPr>
        <w:pStyle w:val="ListParagraph"/>
        <w:numPr>
          <w:ilvl w:val="0"/>
          <w:numId w:val="18"/>
        </w:numPr>
        <w:spacing w:after="40"/>
      </w:pPr>
      <w:r>
        <w:rPr>
          <w:sz w:val="18"/>
        </w:rPr>
        <w:t xml:space="preserve">Record environment/build/health evidence as </w:t>
      </w:r>
      <w:r>
        <w:rPr>
          <w:rFonts w:ascii="Consolas" w:hAnsi="Consolas"/>
          <w:b w:val="0"/>
          <w:i w:val="0"/>
          <w:sz w:val="17"/>
        </w:rPr>
        <w:t>EVD-OPS-*</w:t>
      </w:r>
      <w:r>
        <w:rPr>
          <w:sz w:val="18"/>
        </w:rPr>
        <w:t xml:space="preserve"> with masked output.</w:t>
      </w:r>
    </w:p>
    <w:p>
      <w:pPr>
        <w:spacing w:after="80" w:line="240" w:lineRule="auto"/>
      </w:pPr>
      <w:r>
        <w:rPr>
          <w:b/>
          <w:i w:val="0"/>
          <w:sz w:val="19"/>
        </w:rPr>
        <w:t>Expected result:</w:t>
      </w:r>
      <w:r>
        <w:rPr>
          <w:sz w:val="19"/>
        </w:rPr>
        <w:t xml:space="preserve"> The public edge routes to the intended web/API applications; internal services remain internal. </w:t>
      </w:r>
      <w:r>
        <w:rPr>
          <w:b/>
          <w:i w:val="0"/>
          <w:sz w:val="19"/>
        </w:rPr>
        <w:t>Error/recovery:</w:t>
      </w:r>
      <w:r>
        <w:rPr>
          <w:sz w:val="19"/>
        </w:rPr>
        <w:t xml:space="preserve"> If a service fails health, stop release handoff, inspect the failed service logs/status, and follow the rollback owner’s procedure. Do not delete database volumes as a first response. </w:t>
      </w:r>
      <w:r>
        <w:rPr>
          <w:b/>
          <w:i w:val="0"/>
          <w:sz w:val="19"/>
        </w:rPr>
        <w:t>Traceability:</w:t>
      </w:r>
      <w:r>
        <w:rPr>
          <w:sz w:val="19"/>
        </w:rPr>
        <w:t xml:space="preserve"> </w:t>
      </w:r>
      <w:r>
        <w:rPr>
          <w:rFonts w:ascii="Consolas" w:hAnsi="Consolas"/>
          <w:b w:val="0"/>
          <w:i w:val="0"/>
          <w:sz w:val="17"/>
        </w:rPr>
        <w:t>SD-ARCH-DEPLOY-001</w:t>
      </w:r>
      <w:r>
        <w:rPr>
          <w:sz w:val="19"/>
        </w:rPr>
        <w:t xml:space="preserve">, </w:t>
      </w:r>
      <w:r>
        <w:rPr>
          <w:rFonts w:ascii="Consolas" w:hAnsi="Consolas"/>
          <w:b w:val="0"/>
          <w:i w:val="0"/>
          <w:sz w:val="17"/>
        </w:rPr>
        <w:t>NFR-05</w:t>
      </w:r>
      <w:r>
        <w:rPr>
          <w:sz w:val="19"/>
        </w:rPr>
        <w:t>–</w:t>
      </w:r>
      <w:r>
        <w:rPr>
          <w:rFonts w:ascii="Consolas" w:hAnsi="Consolas"/>
          <w:b w:val="0"/>
          <w:i w:val="0"/>
          <w:sz w:val="17"/>
        </w:rPr>
        <w:t>NFR-08</w:t>
      </w:r>
      <w:r>
        <w:rPr>
          <w:sz w:val="19"/>
        </w:rPr>
        <w:t xml:space="preserve">, </w:t>
      </w:r>
      <w:r>
        <w:rPr>
          <w:rFonts w:ascii="Consolas" w:hAnsi="Consolas"/>
          <w:b w:val="0"/>
          <w:i w:val="0"/>
          <w:sz w:val="17"/>
        </w:rPr>
        <w:t>NFR-19</w:t>
      </w:r>
      <w:r>
        <w:rPr>
          <w:sz w:val="19"/>
        </w:rPr>
        <w:t xml:space="preserve">, </w:t>
      </w:r>
      <w:r>
        <w:rPr>
          <w:rFonts w:ascii="Consolas" w:hAnsi="Consolas"/>
          <w:b w:val="0"/>
          <w:i w:val="0"/>
          <w:sz w:val="17"/>
        </w:rPr>
        <w:t>TC-OPS-001</w:t>
      </w:r>
      <w:r>
        <w:rPr>
          <w:sz w:val="19"/>
        </w:rPr>
        <w:t>.</w:t>
      </w:r>
    </w:p>
    <w:p>
      <w:pPr>
        <w:pStyle w:val="Heading3"/>
        <w:keepNext/>
        <w:pageBreakBefore w:val="0"/>
      </w:pPr>
      <w:r>
        <w:t>2.6 `STEP-INSTALL-002` — Configure an organization safely</w:t>
      </w:r>
    </w:p>
    <w:p>
      <w:pPr>
        <w:pStyle w:val="ListParagraph"/>
        <w:numPr>
          <w:ilvl w:val="0"/>
          <w:numId w:val="18"/>
        </w:numPr>
        <w:spacing w:after="40"/>
      </w:pPr>
      <w:r>
        <w:rPr>
          <w:sz w:val="18"/>
        </w:rPr>
        <w:t>Platform Admin confirms the organization registration is approved.</w:t>
      </w:r>
    </w:p>
    <w:p>
      <w:pPr>
        <w:pStyle w:val="ListParagraph"/>
        <w:numPr>
          <w:ilvl w:val="0"/>
          <w:numId w:val="18"/>
        </w:numPr>
        <w:spacing w:after="40"/>
      </w:pPr>
      <w:r>
        <w:rPr>
          <w:sz w:val="18"/>
        </w:rPr>
        <w:t>Create/confirm the first Host access and organization scope.</w:t>
      </w:r>
    </w:p>
    <w:p>
      <w:pPr>
        <w:pStyle w:val="ListParagraph"/>
        <w:numPr>
          <w:ilvl w:val="0"/>
          <w:numId w:val="18"/>
        </w:numPr>
        <w:spacing w:after="40"/>
      </w:pPr>
      <w:r>
        <w:rPr>
          <w:sz w:val="18"/>
        </w:rPr>
        <w:t>Host signs in through the public organization portal.</w:t>
      </w:r>
    </w:p>
    <w:p>
      <w:pPr>
        <w:pStyle w:val="ListParagraph"/>
        <w:numPr>
          <w:ilvl w:val="0"/>
          <w:numId w:val="18"/>
        </w:numPr>
        <w:spacing w:after="40"/>
      </w:pPr>
      <w:r>
        <w:rPr>
          <w:sz w:val="18"/>
        </w:rPr>
        <w:t>Host checks organization identity, Student capacity, package/license state, and staff assignment policy.</w:t>
      </w:r>
    </w:p>
    <w:p>
      <w:pPr>
        <w:pStyle w:val="ListParagraph"/>
        <w:numPr>
          <w:ilvl w:val="0"/>
          <w:numId w:val="18"/>
        </w:numPr>
        <w:spacing w:after="40"/>
      </w:pPr>
      <w:r>
        <w:rPr>
          <w:sz w:val="18"/>
        </w:rPr>
        <w:t>Host activates/redeems an eligible package separately from registration.</w:t>
      </w:r>
    </w:p>
    <w:p>
      <w:pPr>
        <w:pStyle w:val="ListParagraph"/>
        <w:numPr>
          <w:ilvl w:val="0"/>
          <w:numId w:val="18"/>
        </w:numPr>
        <w:spacing w:after="40"/>
      </w:pPr>
      <w:r>
        <w:rPr>
          <w:sz w:val="18"/>
        </w:rPr>
        <w:t>Confirm the package dates/limits are visible before creating an exam.</w:t>
      </w:r>
    </w:p>
    <w:p>
      <w:pPr>
        <w:pStyle w:val="ListParagraph"/>
        <w:numPr>
          <w:ilvl w:val="0"/>
          <w:numId w:val="18"/>
        </w:numPr>
        <w:spacing w:after="40"/>
      </w:pPr>
      <w:r>
        <w:rPr>
          <w:sz w:val="18"/>
        </w:rPr>
        <w:t>Record any payment/provider pending state with its correlation reference; do not treat a browser return as payment proof.</w:t>
      </w:r>
    </w:p>
    <w:p>
      <w:pPr>
        <w:spacing w:after="80" w:line="240" w:lineRule="auto"/>
      </w:pPr>
      <w:r>
        <w:rPr>
          <w:b/>
          <w:i w:val="0"/>
          <w:sz w:val="19"/>
        </w:rPr>
        <w:t>Expected result:</w:t>
      </w:r>
      <w:r>
        <w:rPr>
          <w:sz w:val="19"/>
        </w:rPr>
        <w:t xml:space="preserve"> Organization workspace and package state are understandable and separate. </w:t>
      </w:r>
      <w:r>
        <w:rPr>
          <w:b/>
          <w:i w:val="0"/>
          <w:sz w:val="19"/>
        </w:rPr>
        <w:t>Error/recovery:</w:t>
      </w:r>
      <w:r>
        <w:rPr>
          <w:sz w:val="19"/>
        </w:rPr>
        <w:t xml:space="preserve"> Rejected registration, inactive package, duplicate callback, or expired license remains visible with an owner/action. </w:t>
      </w:r>
      <w:r>
        <w:rPr>
          <w:b/>
          <w:i w:val="0"/>
          <w:sz w:val="19"/>
        </w:rPr>
        <w:t>Traceability:</w:t>
      </w:r>
      <w:r>
        <w:rPr>
          <w:sz w:val="19"/>
        </w:rPr>
        <w:t xml:space="preserve"> </w:t>
      </w:r>
      <w:r>
        <w:rPr>
          <w:rFonts w:ascii="Consolas" w:hAnsi="Consolas"/>
          <w:b w:val="0"/>
          <w:i w:val="0"/>
          <w:sz w:val="17"/>
        </w:rPr>
        <w:t>FR-ONBOARD-002</w:t>
      </w:r>
      <w:r>
        <w:rPr>
          <w:sz w:val="19"/>
        </w:rPr>
        <w:t xml:space="preserve">, </w:t>
      </w:r>
      <w:r>
        <w:rPr>
          <w:rFonts w:ascii="Consolas" w:hAnsi="Consolas"/>
          <w:b w:val="0"/>
          <w:i w:val="0"/>
          <w:sz w:val="17"/>
        </w:rPr>
        <w:t>FR-PACKAGE-003</w:t>
      </w:r>
      <w:r>
        <w:rPr>
          <w:sz w:val="19"/>
        </w:rPr>
        <w:t>–</w:t>
      </w:r>
      <w:r>
        <w:rPr>
          <w:rFonts w:ascii="Consolas" w:hAnsi="Consolas"/>
          <w:b w:val="0"/>
          <w:i w:val="0"/>
          <w:sz w:val="17"/>
        </w:rPr>
        <w:t>FR-PACKAGE-005</w:t>
      </w:r>
      <w:r>
        <w:rPr>
          <w:sz w:val="19"/>
        </w:rPr>
        <w:t xml:space="preserve">, </w:t>
      </w:r>
      <w:r>
        <w:rPr>
          <w:rFonts w:ascii="Consolas" w:hAnsi="Consolas"/>
          <w:b w:val="0"/>
          <w:i w:val="0"/>
          <w:sz w:val="17"/>
        </w:rPr>
        <w:t>TC-ACCESS-002</w:t>
      </w:r>
      <w:r>
        <w:rPr>
          <w:sz w:val="19"/>
        </w:rPr>
        <w:t xml:space="preserve">, </w:t>
      </w:r>
      <w:r>
        <w:rPr>
          <w:rFonts w:ascii="Consolas" w:hAnsi="Consolas"/>
          <w:b w:val="0"/>
          <w:i w:val="0"/>
          <w:sz w:val="17"/>
        </w:rPr>
        <w:t>TC-PACKAGE-002</w:t>
      </w:r>
      <w:r>
        <w:rPr>
          <w:sz w:val="19"/>
        </w:rPr>
        <w:t>.</w:t>
      </w:r>
    </w:p>
    <w:p>
      <w:pPr>
        <w:pStyle w:val="Heading3"/>
        <w:keepNext/>
        <w:pageBreakBefore w:val="0"/>
      </w:pPr>
      <w:r>
        <w:t>2.7 `STEP-INSTALL-003` — Verify an exam client before an exam</w:t>
      </w:r>
    </w:p>
    <w:p>
      <w:pPr>
        <w:pStyle w:val="ListParagraph"/>
        <w:numPr>
          <w:ilvl w:val="0"/>
          <w:numId w:val="18"/>
        </w:numPr>
        <w:spacing w:after="40"/>
      </w:pPr>
      <w:r>
        <w:rPr>
          <w:sz w:val="18"/>
        </w:rPr>
        <w:t>Student opens the assigned exam from the Windows client.</w:t>
      </w:r>
    </w:p>
    <w:p>
      <w:pPr>
        <w:pStyle w:val="ListParagraph"/>
        <w:numPr>
          <w:ilvl w:val="0"/>
          <w:numId w:val="18"/>
        </w:numPr>
        <w:spacing w:after="40"/>
      </w:pPr>
      <w:r>
        <w:rPr>
          <w:sz w:val="18"/>
        </w:rPr>
        <w:t>Confirm the exam is published/open and the Student is in the frozen audience.</w:t>
      </w:r>
    </w:p>
    <w:p>
      <w:pPr>
        <w:pStyle w:val="ListParagraph"/>
        <w:numPr>
          <w:ilvl w:val="0"/>
          <w:numId w:val="18"/>
        </w:numPr>
        <w:spacing w:after="40"/>
      </w:pPr>
      <w:r>
        <w:rPr>
          <w:sz w:val="18"/>
        </w:rPr>
        <w:t>Run device, microphone, audio, connectivity, and policy checks.</w:t>
      </w:r>
    </w:p>
    <w:p>
      <w:pPr>
        <w:pStyle w:val="ListParagraph"/>
        <w:numPr>
          <w:ilvl w:val="0"/>
          <w:numId w:val="18"/>
        </w:numPr>
        <w:spacing w:after="40"/>
      </w:pPr>
      <w:r>
        <w:rPr>
          <w:sz w:val="18"/>
        </w:rPr>
        <w:t>Confirm the first task loads from the fixed exam version.</w:t>
      </w:r>
    </w:p>
    <w:p>
      <w:pPr>
        <w:pStyle w:val="ListParagraph"/>
        <w:numPr>
          <w:ilvl w:val="0"/>
          <w:numId w:val="18"/>
        </w:numPr>
        <w:spacing w:after="40"/>
      </w:pPr>
      <w:r>
        <w:rPr>
          <w:sz w:val="18"/>
        </w:rPr>
        <w:t>Save a safe test response only where the organization test procedure permits it.</w:t>
      </w:r>
    </w:p>
    <w:p>
      <w:pPr>
        <w:pStyle w:val="ListParagraph"/>
        <w:numPr>
          <w:ilvl w:val="0"/>
          <w:numId w:val="18"/>
        </w:numPr>
        <w:spacing w:after="40"/>
      </w:pPr>
      <w:r>
        <w:rPr>
          <w:sz w:val="18"/>
        </w:rPr>
        <w:t>Confirm local save/sync state and remove the test attempt according to the approved data procedure.</w:t>
      </w:r>
    </w:p>
    <w:p>
      <w:pPr>
        <w:spacing w:after="80" w:line="240" w:lineRule="auto"/>
      </w:pPr>
      <w:r>
        <w:rPr>
          <w:b/>
          <w:i w:val="0"/>
          <w:sz w:val="19"/>
        </w:rPr>
        <w:t>Expected result:</w:t>
      </w:r>
      <w:r>
        <w:rPr>
          <w:sz w:val="19"/>
        </w:rPr>
        <w:t xml:space="preserve"> Student can identify readiness before timed work; a failure does not start a misleading timer. </w:t>
      </w:r>
      <w:r>
        <w:rPr>
          <w:b/>
          <w:i w:val="0"/>
          <w:sz w:val="19"/>
        </w:rPr>
        <w:t>Error/recovery:</w:t>
      </w:r>
      <w:r>
        <w:rPr>
          <w:sz w:val="19"/>
        </w:rPr>
        <w:t xml:space="preserve"> Capture the client status/reference, correct the device or contact Host/Proctor support, and do not repeat a timed attempt without policy approval. </w:t>
      </w:r>
      <w:r>
        <w:rPr>
          <w:b/>
          <w:i w:val="0"/>
          <w:sz w:val="19"/>
        </w:rPr>
        <w:t>Traceability:</w:t>
      </w:r>
      <w:r>
        <w:rPr>
          <w:sz w:val="19"/>
        </w:rPr>
        <w:t xml:space="preserve"> </w:t>
      </w:r>
      <w:r>
        <w:rPr>
          <w:rFonts w:ascii="Consolas" w:hAnsi="Consolas"/>
          <w:b w:val="0"/>
          <w:i w:val="0"/>
          <w:sz w:val="17"/>
        </w:rPr>
        <w:t>FR-DELIVERY-001</w:t>
      </w:r>
      <w:r>
        <w:rPr>
          <w:sz w:val="19"/>
        </w:rPr>
        <w:t>–</w:t>
      </w:r>
      <w:r>
        <w:rPr>
          <w:rFonts w:ascii="Consolas" w:hAnsi="Consolas"/>
          <w:b w:val="0"/>
          <w:i w:val="0"/>
          <w:sz w:val="17"/>
        </w:rPr>
        <w:t>FR-DELIVERY-004</w:t>
      </w:r>
      <w:r>
        <w:rPr>
          <w:sz w:val="19"/>
        </w:rPr>
        <w:t xml:space="preserve">, </w:t>
      </w:r>
      <w:r>
        <w:rPr>
          <w:rFonts w:ascii="Consolas" w:hAnsi="Consolas"/>
          <w:b w:val="0"/>
          <w:i w:val="0"/>
          <w:sz w:val="17"/>
        </w:rPr>
        <w:t>TC-DELIVERY-002</w:t>
      </w:r>
      <w:r>
        <w:rPr>
          <w:sz w:val="19"/>
        </w:rPr>
        <w:t xml:space="preserve">, </w:t>
      </w:r>
      <w:r>
        <w:rPr>
          <w:rFonts w:ascii="Consolas" w:hAnsi="Consolas"/>
          <w:b w:val="0"/>
          <w:i w:val="0"/>
          <w:sz w:val="17"/>
        </w:rPr>
        <w:t>TC-DELIVERY-003</w:t>
      </w:r>
      <w:r>
        <w:rPr>
          <w:sz w:val="19"/>
        </w:rPr>
        <w:t xml:space="preserve">, </w:t>
      </w:r>
      <w:r>
        <w:rPr>
          <w:rFonts w:ascii="Consolas" w:hAnsi="Consolas"/>
          <w:b w:val="0"/>
          <w:i w:val="0"/>
          <w:sz w:val="17"/>
        </w:rPr>
        <w:t>NFR-18</w:t>
      </w:r>
      <w:r>
        <w:rPr>
          <w:sz w:val="19"/>
        </w:rPr>
        <w:t>.</w:t>
      </w:r>
    </w:p>
    <w:p>
      <w:pPr>
        <w:pStyle w:val="Heading3"/>
        <w:keepNext/>
        <w:pageBreakBefore w:val="0"/>
      </w:pPr>
      <w:r>
        <w:t>2.8 Configuration and secret-handling checklist</w:t>
      </w:r>
    </w:p>
    <w:p>
      <w:pPr>
        <w:pStyle w:val="ListParagraph"/>
        <w:numPr>
          <w:ilvl w:val="0"/>
          <w:numId w:val="17"/>
        </w:numPr>
        <w:spacing w:after="40"/>
      </w:pPr>
      <w:r>
        <w:rPr>
          <w:sz w:val="18"/>
        </w:rPr>
        <w:t>Configuration names and required/optional status may be documented; secret values may not.</w:t>
      </w:r>
    </w:p>
    <w:p>
      <w:pPr>
        <w:pStyle w:val="ListParagraph"/>
        <w:numPr>
          <w:ilvl w:val="0"/>
          <w:numId w:val="17"/>
        </w:numPr>
        <w:spacing w:after="40"/>
      </w:pPr>
      <w:r>
        <w:rPr>
          <w:sz w:val="18"/>
        </w:rPr>
        <w:t>Provider credentials are stored in the approved environment/secret manager with least privilege.</w:t>
      </w:r>
    </w:p>
    <w:p>
      <w:pPr>
        <w:pStyle w:val="ListParagraph"/>
        <w:numPr>
          <w:ilvl w:val="0"/>
          <w:numId w:val="17"/>
        </w:numPr>
        <w:spacing w:after="40"/>
      </w:pPr>
      <w:r>
        <w:rPr>
          <w:sz w:val="18"/>
        </w:rPr>
        <w:t>Public URLs may be documented when safe; internal database/queue credentials and private endpoints are not.</w:t>
      </w:r>
    </w:p>
    <w:p>
      <w:pPr>
        <w:pStyle w:val="ListParagraph"/>
        <w:numPr>
          <w:ilvl w:val="0"/>
          <w:numId w:val="17"/>
        </w:numPr>
        <w:spacing w:after="40"/>
      </w:pPr>
      <w:r>
        <w:rPr>
          <w:sz w:val="18"/>
        </w:rPr>
        <w:t xml:space="preserve">Example commands use placeholders such as </w:t>
      </w:r>
      <w:r>
        <w:rPr>
          <w:rFonts w:ascii="Consolas" w:hAnsi="Consolas"/>
          <w:b w:val="0"/>
          <w:i w:val="0"/>
          <w:sz w:val="17"/>
        </w:rPr>
        <w:t>&lt;approved-secret-reference&gt;</w:t>
      </w:r>
      <w:r>
        <w:rPr>
          <w:sz w:val="18"/>
        </w:rPr>
        <w:t>, never real values.</w:t>
      </w:r>
    </w:p>
    <w:p>
      <w:pPr>
        <w:pStyle w:val="ListParagraph"/>
        <w:numPr>
          <w:ilvl w:val="0"/>
          <w:numId w:val="17"/>
        </w:numPr>
        <w:spacing w:after="40"/>
      </w:pPr>
      <w:r>
        <w:rPr>
          <w:sz w:val="18"/>
        </w:rPr>
        <w:t>Logs and screenshots mask emails, Student IDs, answer/media content, tokens, and provider payloads.</w:t>
      </w:r>
    </w:p>
    <w:p>
      <w:pPr>
        <w:pStyle w:val="ListParagraph"/>
        <w:numPr>
          <w:ilvl w:val="0"/>
          <w:numId w:val="17"/>
        </w:numPr>
        <w:spacing w:after="40"/>
      </w:pPr>
      <w:r>
        <w:rPr>
          <w:sz w:val="18"/>
        </w:rPr>
        <w:t>A provider sandbox/simulation is labelled clearly in test evidence.</w:t>
      </w:r>
    </w:p>
    <w:p>
      <w:pPr>
        <w:pStyle w:val="Heading3"/>
        <w:keepNext/>
        <w:pageBreakBefore w:val="0"/>
      </w:pPr>
      <w:r>
        <w:t>2.9 Health and verification checklist</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2181"/>
            <w:vAlign w:val="top"/>
            <w:tcMar>
              <w:top w:w="70" w:type="dxa"/>
              <w:start w:w="90" w:type="dxa"/>
              <w:bottom w:w="70" w:type="dxa"/>
              <w:end w:w="90" w:type="dxa"/>
            </w:tcMar>
            <w:shd w:val="clear" w:color="auto" w:fill="FFE8E1"/>
          </w:tcPr>
          <w:p>
            <w:pPr>
              <w:spacing w:after="0" w:line="240" w:lineRule="auto"/>
            </w:pPr>
            <w:r>
              <w:rPr>
                <w:b/>
              </w:rPr>
            </w:r>
            <w:r>
              <w:rPr>
                <w:b/>
                <w:sz w:val="17"/>
              </w:rPr>
              <w:t>Check</w:t>
            </w:r>
          </w:p>
        </w:tc>
        <w:tc>
          <w:tcPr>
            <w:tcW w:type="dxa" w:w="3967"/>
            <w:vAlign w:val="top"/>
            <w:tcMar>
              <w:top w:w="70" w:type="dxa"/>
              <w:start w:w="90" w:type="dxa"/>
              <w:bottom w:w="70" w:type="dxa"/>
              <w:end w:w="90" w:type="dxa"/>
            </w:tcMar>
            <w:shd w:val="clear" w:color="auto" w:fill="FFE8E1"/>
          </w:tcPr>
          <w:p>
            <w:pPr>
              <w:spacing w:after="0" w:line="240" w:lineRule="auto"/>
            </w:pPr>
            <w:r>
              <w:rPr>
                <w:b/>
              </w:rPr>
            </w:r>
            <w:r>
              <w:rPr>
                <w:b/>
                <w:sz w:val="17"/>
              </w:rPr>
              <w:t>Expected observation</w:t>
            </w:r>
          </w:p>
        </w:tc>
        <w:tc>
          <w:tcPr>
            <w:tcW w:type="dxa" w:w="3571"/>
            <w:vAlign w:val="top"/>
            <w:tcMar>
              <w:top w:w="70" w:type="dxa"/>
              <w:start w:w="90" w:type="dxa"/>
              <w:bottom w:w="70" w:type="dxa"/>
              <w:end w:w="90" w:type="dxa"/>
            </w:tcMar>
            <w:shd w:val="clear" w:color="auto" w:fill="FFE8E1"/>
          </w:tcPr>
          <w:p>
            <w:pPr>
              <w:spacing w:after="0" w:line="240" w:lineRule="auto"/>
            </w:pPr>
            <w:r>
              <w:rPr>
                <w:b/>
              </w:rPr>
            </w:r>
            <w:r>
              <w:rPr>
                <w:b/>
                <w:sz w:val="17"/>
              </w:rPr>
              <w:t>Evidence ID/status</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Public edge</w:t>
            </w:r>
          </w:p>
        </w:tc>
        <w:tc>
          <w:tcPr>
            <w:tcW w:type="dxa" w:w="3967"/>
            <w:vAlign w:val="top"/>
            <w:tcMar>
              <w:top w:w="70" w:type="dxa"/>
              <w:start w:w="90" w:type="dxa"/>
              <w:bottom w:w="70" w:type="dxa"/>
              <w:end w:w="90" w:type="dxa"/>
            </w:tcMar>
          </w:tcPr>
          <w:p>
            <w:pPr>
              <w:spacing w:after="0" w:line="240" w:lineRule="auto"/>
            </w:pPr>
            <w:r>
              <w:rPr/>
            </w:r>
            <w:r>
              <w:rPr>
                <w:sz w:val="17"/>
              </w:rPr>
              <w:t>Supported domain responds and routes to the intended web app/API.</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EVD-OPS-EDGE-*</w:t>
            </w:r>
            <w:r>
              <w:rPr>
                <w:sz w:val="17"/>
              </w:rPr>
              <w:t>; execute per environment.</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Web tenant/vendor</w:t>
            </w:r>
          </w:p>
        </w:tc>
        <w:tc>
          <w:tcPr>
            <w:tcW w:type="dxa" w:w="3967"/>
            <w:vAlign w:val="top"/>
            <w:tcMar>
              <w:top w:w="70" w:type="dxa"/>
              <w:start w:w="90" w:type="dxa"/>
              <w:bottom w:w="70" w:type="dxa"/>
              <w:end w:w="90" w:type="dxa"/>
            </w:tcMar>
          </w:tcPr>
          <w:p>
            <w:pPr>
              <w:spacing w:after="0" w:line="240" w:lineRule="auto"/>
            </w:pPr>
            <w:r>
              <w:rPr/>
            </w:r>
            <w:r>
              <w:rPr>
                <w:sz w:val="17"/>
              </w:rPr>
              <w:t>Portal loads without exposing internal addresses.</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EVD-OPS-WEB-*</w:t>
            </w:r>
            <w:r>
              <w:rPr>
                <w:sz w:val="17"/>
              </w:rPr>
              <w:t>; environment-specific.</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Application health</w:t>
            </w:r>
          </w:p>
        </w:tc>
        <w:tc>
          <w:tcPr>
            <w:tcW w:type="dxa" w:w="3967"/>
            <w:vAlign w:val="top"/>
            <w:tcMar>
              <w:top w:w="70" w:type="dxa"/>
              <w:start w:w="90" w:type="dxa"/>
              <w:bottom w:w="70" w:type="dxa"/>
              <w:end w:w="90" w:type="dxa"/>
            </w:tcMar>
          </w:tcPr>
          <w:p>
            <w:pPr>
              <w:spacing w:after="0" w:line="240" w:lineRule="auto"/>
            </w:pPr>
            <w:r>
              <w:rPr/>
            </w:r>
            <w:r>
              <w:rPr>
                <w:sz w:val="17"/>
              </w:rPr>
              <w:t>Approved health endpoint/process reports usable state.</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EVD-OPS-APP-*</w:t>
            </w:r>
            <w:r>
              <w:rPr>
                <w:sz w:val="17"/>
              </w:rPr>
              <w:t>; not a full business E2E proof.</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PostgreSQL</w:t>
            </w:r>
          </w:p>
        </w:tc>
        <w:tc>
          <w:tcPr>
            <w:tcW w:type="dxa" w:w="3967"/>
            <w:vAlign w:val="top"/>
            <w:tcMar>
              <w:top w:w="70" w:type="dxa"/>
              <w:start w:w="90" w:type="dxa"/>
              <w:bottom w:w="70" w:type="dxa"/>
              <w:end w:w="90" w:type="dxa"/>
            </w:tcMar>
          </w:tcPr>
          <w:p>
            <w:pPr>
              <w:spacing w:after="0" w:line="240" w:lineRule="auto"/>
            </w:pPr>
            <w:r>
              <w:rPr/>
            </w:r>
            <w:r>
              <w:rPr>
                <w:sz w:val="17"/>
              </w:rPr>
              <w:t>Database health/migrations are valid.</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EVD-OPS-DB-*</w:t>
            </w:r>
            <w:r>
              <w:rPr>
                <w:sz w:val="17"/>
              </w:rPr>
              <w:t>; no sensitive rows exported.</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Redis/RabbitMQ</w:t>
            </w:r>
          </w:p>
        </w:tc>
        <w:tc>
          <w:tcPr>
            <w:tcW w:type="dxa" w:w="3967"/>
            <w:vAlign w:val="top"/>
            <w:tcMar>
              <w:top w:w="70" w:type="dxa"/>
              <w:start w:w="90" w:type="dxa"/>
              <w:bottom w:w="70" w:type="dxa"/>
              <w:end w:w="90" w:type="dxa"/>
            </w:tcMar>
          </w:tcPr>
          <w:p>
            <w:pPr>
              <w:spacing w:after="0" w:line="240" w:lineRule="auto"/>
            </w:pPr>
            <w:r>
              <w:rPr/>
            </w:r>
            <w:r>
              <w:rPr>
                <w:sz w:val="17"/>
              </w:rPr>
              <w:t>Supporting service health is visible when enabled.</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EVD-OPS-INFRA-*</w:t>
            </w:r>
            <w:r>
              <w:rPr>
                <w:sz w:val="17"/>
              </w:rPr>
              <w:t>.</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Student client</w:t>
            </w:r>
          </w:p>
        </w:tc>
        <w:tc>
          <w:tcPr>
            <w:tcW w:type="dxa" w:w="3967"/>
            <w:vAlign w:val="top"/>
            <w:tcMar>
              <w:top w:w="70" w:type="dxa"/>
              <w:start w:w="90" w:type="dxa"/>
              <w:bottom w:w="70" w:type="dxa"/>
              <w:end w:w="90" w:type="dxa"/>
            </w:tcMar>
          </w:tcPr>
          <w:p>
            <w:pPr>
              <w:spacing w:after="0" w:line="240" w:lineRule="auto"/>
            </w:pPr>
            <w:r>
              <w:rPr/>
            </w:r>
            <w:r>
              <w:rPr>
                <w:sz w:val="17"/>
              </w:rPr>
              <w:t>Device check, first task, local save, and sync status work in a safe test.</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EVD-CLIENT-*</w:t>
            </w:r>
            <w:r>
              <w:rPr>
                <w:sz w:val="17"/>
              </w:rPr>
              <w:t xml:space="preserve">; </w:t>
            </w:r>
            <w:r>
              <w:rPr>
                <w:rFonts w:ascii="Consolas" w:hAnsi="Consolas"/>
                <w:b w:val="0"/>
                <w:i w:val="0"/>
                <w:sz w:val="17"/>
              </w:rPr>
              <w:t>TBD-CLIENT-001</w:t>
            </w:r>
            <w:r>
              <w:rPr>
                <w:sz w:val="17"/>
              </w:rPr>
              <w:t xml:space="preserve"> if incomplete.</w:t>
            </w:r>
          </w:p>
        </w:tc>
      </w:tr>
      <w:tr>
        <w:trPr>
          <w:cantSplit/>
        </w:trPr>
        <w:tc>
          <w:tcPr>
            <w:tcW w:type="dxa" w:w="2181"/>
            <w:vAlign w:val="top"/>
            <w:tcMar>
              <w:top w:w="70" w:type="dxa"/>
              <w:start w:w="90" w:type="dxa"/>
              <w:bottom w:w="70" w:type="dxa"/>
              <w:end w:w="90" w:type="dxa"/>
            </w:tcMar>
          </w:tcPr>
          <w:p>
            <w:pPr>
              <w:spacing w:after="0" w:line="240" w:lineRule="auto"/>
            </w:pPr>
            <w:r>
              <w:rPr/>
            </w:r>
            <w:r>
              <w:rPr>
                <w:sz w:val="17"/>
              </w:rPr>
              <w:t>Provider boundaries</w:t>
            </w:r>
          </w:p>
        </w:tc>
        <w:tc>
          <w:tcPr>
            <w:tcW w:type="dxa" w:w="3967"/>
            <w:vAlign w:val="top"/>
            <w:tcMar>
              <w:top w:w="70" w:type="dxa"/>
              <w:start w:w="90" w:type="dxa"/>
              <w:bottom w:w="70" w:type="dxa"/>
              <w:end w:w="90" w:type="dxa"/>
            </w:tcMar>
          </w:tcPr>
          <w:p>
            <w:pPr>
              <w:spacing w:after="0" w:line="240" w:lineRule="auto"/>
            </w:pPr>
            <w:r>
              <w:rPr/>
            </w:r>
            <w:r>
              <w:rPr>
                <w:sz w:val="17"/>
              </w:rPr>
              <w:t>Payment/media/AI/notification state is observable without secrets.</w:t>
            </w:r>
          </w:p>
        </w:tc>
        <w:tc>
          <w:tcPr>
            <w:tcW w:type="dxa" w:w="3571"/>
            <w:vAlign w:val="top"/>
            <w:tcMar>
              <w:top w:w="70" w:type="dxa"/>
              <w:start w:w="90" w:type="dxa"/>
              <w:bottom w:w="70" w:type="dxa"/>
              <w:end w:w="90" w:type="dxa"/>
            </w:tcMar>
          </w:tcPr>
          <w:p>
            <w:pPr>
              <w:spacing w:after="0" w:line="240" w:lineRule="auto"/>
            </w:pPr>
            <w:r>
              <w:rPr/>
            </w:r>
            <w:r>
              <w:rPr>
                <w:rFonts w:ascii="Consolas" w:hAnsi="Consolas"/>
                <w:b w:val="0"/>
                <w:i w:val="0"/>
                <w:sz w:val="17"/>
              </w:rPr>
              <w:t>EVD-INTEGRATION-*</w:t>
            </w:r>
            <w:r>
              <w:rPr>
                <w:sz w:val="17"/>
              </w:rPr>
              <w:t>; sandbox/live mode recorded.</w:t>
            </w:r>
          </w:p>
        </w:tc>
      </w:tr>
    </w:tbl>
    <w:p>
      <w:pPr>
        <w:spacing w:after="20"/>
      </w:pPr>
    </w:p>
    <w:p>
      <w:pPr>
        <w:pStyle w:val="Heading3"/>
        <w:keepNext/>
        <w:pageBreakBefore w:val="0"/>
      </w:pPr>
      <w:r>
        <w:t>2.10 Migration, rollback, and recovery</w:t>
      </w:r>
    </w:p>
    <w:p>
      <w:pPr>
        <w:pStyle w:val="Heading4"/>
        <w:keepNext/>
        <w:pageBreakBefore w:val="0"/>
      </w:pPr>
      <w:r>
        <w:t>Data/migration safeguard</w:t>
      </w:r>
    </w:p>
    <w:p>
      <w:pPr>
        <w:spacing w:after="80" w:line="240" w:lineRule="auto"/>
      </w:pPr>
      <w:r>
        <w:rPr>
          <w:sz w:val="19"/>
        </w:rPr>
        <w:t>Before a schema/configuration change, record release/build, backup evidence, migration order, compatibility window, and rollback owner. Preserve exam/version/attempt/report provenance. Do not use destructive volume deletion as a routine migration step.</w:t>
      </w:r>
    </w:p>
    <w:p>
      <w:pPr>
        <w:pStyle w:val="Heading4"/>
        <w:keepNext/>
        <w:pageBreakBefore w:val="0"/>
      </w:pPr>
      <w:r>
        <w:t>Rollback</w:t>
      </w:r>
    </w:p>
    <w:p>
      <w:pPr>
        <w:pStyle w:val="ListParagraph"/>
        <w:numPr>
          <w:ilvl w:val="0"/>
          <w:numId w:val="18"/>
        </w:numPr>
        <w:spacing w:after="40"/>
      </w:pPr>
      <w:r>
        <w:rPr>
          <w:sz w:val="18"/>
        </w:rPr>
        <w:t>Declare the release issue and stop new handoff actions.</w:t>
      </w:r>
    </w:p>
    <w:p>
      <w:pPr>
        <w:pStyle w:val="ListParagraph"/>
        <w:numPr>
          <w:ilvl w:val="0"/>
          <w:numId w:val="18"/>
        </w:numPr>
        <w:spacing w:after="40"/>
      </w:pPr>
      <w:r>
        <w:rPr>
          <w:sz w:val="18"/>
        </w:rPr>
        <w:t>Identify whether the issue is web, application, migration, provider, or data integrity.</w:t>
      </w:r>
    </w:p>
    <w:p>
      <w:pPr>
        <w:pStyle w:val="ListParagraph"/>
        <w:numPr>
          <w:ilvl w:val="0"/>
          <w:numId w:val="18"/>
        </w:numPr>
        <w:spacing w:after="40"/>
      </w:pPr>
      <w:r>
        <w:rPr>
          <w:sz w:val="18"/>
        </w:rPr>
        <w:t>Follow the approved version rollback/migration compatibility procedure.</w:t>
      </w:r>
    </w:p>
    <w:p>
      <w:pPr>
        <w:pStyle w:val="ListParagraph"/>
        <w:numPr>
          <w:ilvl w:val="0"/>
          <w:numId w:val="18"/>
        </w:numPr>
        <w:spacing w:after="40"/>
      </w:pPr>
      <w:r>
        <w:rPr>
          <w:sz w:val="18"/>
        </w:rPr>
        <w:t>Verify public edge and service health.</w:t>
      </w:r>
    </w:p>
    <w:p>
      <w:pPr>
        <w:pStyle w:val="ListParagraph"/>
        <w:numPr>
          <w:ilvl w:val="0"/>
          <w:numId w:val="18"/>
        </w:numPr>
        <w:spacing w:after="40"/>
      </w:pPr>
      <w:r>
        <w:rPr>
          <w:sz w:val="18"/>
        </w:rPr>
        <w:t>Verify a safe synthetic organization/exam/report read path.</w:t>
      </w:r>
    </w:p>
    <w:p>
      <w:pPr>
        <w:pStyle w:val="ListParagraph"/>
        <w:numPr>
          <w:ilvl w:val="0"/>
          <w:numId w:val="18"/>
        </w:numPr>
        <w:spacing w:after="40"/>
      </w:pPr>
      <w:r>
        <w:rPr>
          <w:sz w:val="18"/>
        </w:rPr>
        <w:t>Confirm no duplicate payment, answer, score, or publication was created.</w:t>
      </w:r>
    </w:p>
    <w:p>
      <w:pPr>
        <w:pStyle w:val="ListParagraph"/>
        <w:numPr>
          <w:ilvl w:val="0"/>
          <w:numId w:val="18"/>
        </w:numPr>
        <w:spacing w:after="40"/>
      </w:pPr>
      <w:r>
        <w:rPr>
          <w:sz w:val="18"/>
        </w:rPr>
        <w:t xml:space="preserve">Record the timeline and evidence; update the related </w:t>
      </w:r>
      <w:r>
        <w:rPr>
          <w:rFonts w:ascii="Consolas" w:hAnsi="Consolas"/>
          <w:b w:val="0"/>
          <w:i w:val="0"/>
          <w:sz w:val="17"/>
        </w:rPr>
        <w:t>BUG-*</w:t>
      </w:r>
      <w:r>
        <w:rPr>
          <w:sz w:val="18"/>
        </w:rPr>
        <w:t>/</w:t>
      </w:r>
      <w:r>
        <w:rPr>
          <w:rFonts w:ascii="Consolas" w:hAnsi="Consolas"/>
          <w:b w:val="0"/>
          <w:i w:val="0"/>
          <w:sz w:val="17"/>
        </w:rPr>
        <w:t>TBD-*</w:t>
      </w:r>
      <w:r>
        <w:rPr>
          <w:sz w:val="18"/>
        </w:rPr>
        <w:t xml:space="preserve"> item.</w:t>
      </w:r>
    </w:p>
    <w:p>
      <w:pPr>
        <w:pStyle w:val="Heading4"/>
        <w:keepNext/>
        <w:pageBreakBefore w:val="0"/>
      </w:pPr>
      <w:r>
        <w:t>Student connectivity recovery</w:t>
      </w:r>
    </w:p>
    <w:p>
      <w:pPr>
        <w:spacing w:after="80" w:line="240" w:lineRule="auto"/>
      </w:pPr>
      <w:r>
        <w:rPr>
          <w:sz w:val="19"/>
        </w:rPr>
        <w:t>The Student follows the client’s visible local-save/retry status. The Host/Proctor must not tell the Student that an answer is submitted until the client/server state confirms it. If local storage or device failure prevents recovery, preserve the safe status and escalate; do not manually invent a score/report.</w:t>
      </w:r>
    </w:p>
    <w:p>
      <w:pPr>
        <w:pStyle w:val="Heading3"/>
        <w:keepNext/>
        <w:pageBreakBefore w:val="0"/>
      </w:pPr>
      <w:r>
        <w:t>2.11 Support escalation</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1909"/>
            <w:vAlign w:val="top"/>
            <w:tcMar>
              <w:top w:w="70" w:type="dxa"/>
              <w:start w:w="90" w:type="dxa"/>
              <w:bottom w:w="70" w:type="dxa"/>
              <w:end w:w="90" w:type="dxa"/>
            </w:tcMar>
            <w:shd w:val="clear" w:color="auto" w:fill="FFE8E1"/>
          </w:tcPr>
          <w:p>
            <w:pPr>
              <w:spacing w:after="0" w:line="240" w:lineRule="auto"/>
            </w:pPr>
            <w:r>
              <w:rPr>
                <w:b/>
              </w:rPr>
            </w:r>
            <w:r>
              <w:rPr>
                <w:b/>
                <w:sz w:val="17"/>
              </w:rPr>
              <w:t>Problem</w:t>
            </w:r>
          </w:p>
        </w:tc>
        <w:tc>
          <w:tcPr>
            <w:tcW w:type="dxa" w:w="2603"/>
            <w:vAlign w:val="top"/>
            <w:tcMar>
              <w:top w:w="70" w:type="dxa"/>
              <w:start w:w="90" w:type="dxa"/>
              <w:bottom w:w="70" w:type="dxa"/>
              <w:end w:w="90" w:type="dxa"/>
            </w:tcMar>
            <w:shd w:val="clear" w:color="auto" w:fill="FFE8E1"/>
          </w:tcPr>
          <w:p>
            <w:pPr>
              <w:spacing w:after="0" w:line="240" w:lineRule="auto"/>
            </w:pPr>
            <w:r>
              <w:rPr>
                <w:b/>
              </w:rPr>
            </w:r>
            <w:r>
              <w:rPr>
                <w:b/>
                <w:sz w:val="17"/>
              </w:rPr>
              <w:t>First responder</w:t>
            </w:r>
          </w:p>
        </w:tc>
        <w:tc>
          <w:tcPr>
            <w:tcW w:type="dxa" w:w="1909"/>
            <w:vAlign w:val="top"/>
            <w:tcMar>
              <w:top w:w="70" w:type="dxa"/>
              <w:start w:w="90" w:type="dxa"/>
              <w:bottom w:w="70" w:type="dxa"/>
              <w:end w:w="90" w:type="dxa"/>
            </w:tcMar>
            <w:shd w:val="clear" w:color="auto" w:fill="FFE8E1"/>
          </w:tcPr>
          <w:p>
            <w:pPr>
              <w:spacing w:after="0" w:line="240" w:lineRule="auto"/>
            </w:pPr>
            <w:r>
              <w:rPr>
                <w:b/>
              </w:rPr>
            </w:r>
            <w:r>
              <w:rPr>
                <w:b/>
                <w:sz w:val="17"/>
              </w:rPr>
              <w:t>Escalate to</w:t>
            </w:r>
          </w:p>
        </w:tc>
        <w:tc>
          <w:tcPr>
            <w:tcW w:type="dxa" w:w="3297"/>
            <w:vAlign w:val="top"/>
            <w:tcMar>
              <w:top w:w="70" w:type="dxa"/>
              <w:start w:w="90" w:type="dxa"/>
              <w:bottom w:w="70" w:type="dxa"/>
              <w:end w:w="90" w:type="dxa"/>
            </w:tcMar>
            <w:shd w:val="clear" w:color="auto" w:fill="FFE8E1"/>
          </w:tcPr>
          <w:p>
            <w:pPr>
              <w:spacing w:after="0" w:line="240" w:lineRule="auto"/>
            </w:pPr>
            <w:r>
              <w:rPr>
                <w:b/>
              </w:rPr>
            </w:r>
            <w:r>
              <w:rPr>
                <w:b/>
                <w:sz w:val="17"/>
              </w:rPr>
              <w:t>Evidence to include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Login/session</w:t>
            </w:r>
          </w:p>
        </w:tc>
        <w:tc>
          <w:tcPr>
            <w:tcW w:type="dxa" w:w="2603"/>
            <w:vAlign w:val="top"/>
            <w:tcMar>
              <w:top w:w="70" w:type="dxa"/>
              <w:start w:w="90" w:type="dxa"/>
              <w:bottom w:w="70" w:type="dxa"/>
              <w:end w:w="90" w:type="dxa"/>
            </w:tcMar>
          </w:tcPr>
          <w:p>
            <w:pPr>
              <w:spacing w:after="0" w:line="240" w:lineRule="auto"/>
            </w:pPr>
            <w:r>
              <w:rPr/>
            </w:r>
            <w:r>
              <w:rPr>
                <w:sz w:val="17"/>
              </w:rPr>
              <w:t>Account holder/Host</w:t>
            </w:r>
          </w:p>
        </w:tc>
        <w:tc>
          <w:tcPr>
            <w:tcW w:type="dxa" w:w="1909"/>
            <w:vAlign w:val="top"/>
            <w:tcMar>
              <w:top w:w="70" w:type="dxa"/>
              <w:start w:w="90" w:type="dxa"/>
              <w:bottom w:w="70" w:type="dxa"/>
              <w:end w:w="90" w:type="dxa"/>
            </w:tcMar>
          </w:tcPr>
          <w:p>
            <w:pPr>
              <w:spacing w:after="0" w:line="240" w:lineRule="auto"/>
            </w:pPr>
            <w:r>
              <w:rPr/>
            </w:r>
            <w:r>
              <w:rPr>
                <w:sz w:val="17"/>
              </w:rPr>
              <w:t>Platform Admin</w:t>
            </w:r>
          </w:p>
        </w:tc>
        <w:tc>
          <w:tcPr>
            <w:tcW w:type="dxa" w:w="3297"/>
            <w:vAlign w:val="top"/>
            <w:tcMar>
              <w:top w:w="70" w:type="dxa"/>
              <w:start w:w="90" w:type="dxa"/>
              <w:bottom w:w="70" w:type="dxa"/>
              <w:end w:w="90" w:type="dxa"/>
            </w:tcMar>
          </w:tcPr>
          <w:p>
            <w:pPr>
              <w:spacing w:after="0" w:line="240" w:lineRule="auto"/>
            </w:pPr>
            <w:r>
              <w:rPr/>
            </w:r>
            <w:r>
              <w:rPr>
                <w:sz w:val="17"/>
              </w:rPr>
              <w:t>Safe message/reference, role, organization; never password/token.</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Package/payment</w:t>
            </w:r>
          </w:p>
        </w:tc>
        <w:tc>
          <w:tcPr>
            <w:tcW w:type="dxa" w:w="2603"/>
            <w:vAlign w:val="top"/>
            <w:tcMar>
              <w:top w:w="70" w:type="dxa"/>
              <w:start w:w="90" w:type="dxa"/>
              <w:bottom w:w="70" w:type="dxa"/>
              <w:end w:w="90" w:type="dxa"/>
            </w:tcMar>
          </w:tcPr>
          <w:p>
            <w:pPr>
              <w:spacing w:after="0" w:line="240" w:lineRule="auto"/>
            </w:pPr>
            <w:r>
              <w:rPr/>
            </w:r>
            <w:r>
              <w:rPr>
                <w:sz w:val="17"/>
              </w:rPr>
              <w:t>Host</w:t>
            </w:r>
          </w:p>
        </w:tc>
        <w:tc>
          <w:tcPr>
            <w:tcW w:type="dxa" w:w="1909"/>
            <w:vAlign w:val="top"/>
            <w:tcMar>
              <w:top w:w="70" w:type="dxa"/>
              <w:start w:w="90" w:type="dxa"/>
              <w:bottom w:w="70" w:type="dxa"/>
              <w:end w:w="90" w:type="dxa"/>
            </w:tcMar>
          </w:tcPr>
          <w:p>
            <w:pPr>
              <w:spacing w:after="0" w:line="240" w:lineRule="auto"/>
            </w:pPr>
            <w:r>
              <w:rPr/>
            </w:r>
            <w:r>
              <w:rPr>
                <w:sz w:val="17"/>
              </w:rPr>
              <w:t>Platform Admin/integration owner</w:t>
            </w:r>
          </w:p>
        </w:tc>
        <w:tc>
          <w:tcPr>
            <w:tcW w:type="dxa" w:w="3297"/>
            <w:vAlign w:val="top"/>
            <w:tcMar>
              <w:top w:w="70" w:type="dxa"/>
              <w:start w:w="90" w:type="dxa"/>
              <w:bottom w:w="70" w:type="dxa"/>
              <w:end w:w="90" w:type="dxa"/>
            </w:tcMar>
          </w:tcPr>
          <w:p>
            <w:pPr>
              <w:spacing w:after="0" w:line="240" w:lineRule="auto"/>
            </w:pPr>
            <w:r>
              <w:rPr/>
            </w:r>
            <w:r>
              <w:rPr>
                <w:sz w:val="17"/>
              </w:rPr>
              <w:t>Order/license correlation and provider state.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Content/media</w:t>
            </w:r>
          </w:p>
        </w:tc>
        <w:tc>
          <w:tcPr>
            <w:tcW w:type="dxa" w:w="2603"/>
            <w:vAlign w:val="top"/>
            <w:tcMar>
              <w:top w:w="70" w:type="dxa"/>
              <w:start w:w="90" w:type="dxa"/>
              <w:bottom w:w="70" w:type="dxa"/>
              <w:end w:w="90" w:type="dxa"/>
            </w:tcMar>
          </w:tcPr>
          <w:p>
            <w:pPr>
              <w:spacing w:after="0" w:line="240" w:lineRule="auto"/>
            </w:pPr>
            <w:r>
              <w:rPr/>
            </w:r>
            <w:r>
              <w:rPr>
                <w:sz w:val="17"/>
              </w:rPr>
              <w:t>Academic Staff</w:t>
            </w:r>
          </w:p>
        </w:tc>
        <w:tc>
          <w:tcPr>
            <w:tcW w:type="dxa" w:w="1909"/>
            <w:vAlign w:val="top"/>
            <w:tcMar>
              <w:top w:w="70" w:type="dxa"/>
              <w:start w:w="90" w:type="dxa"/>
              <w:bottom w:w="70" w:type="dxa"/>
              <w:end w:w="90" w:type="dxa"/>
            </w:tcMar>
          </w:tcPr>
          <w:p>
            <w:pPr>
              <w:spacing w:after="0" w:line="240" w:lineRule="auto"/>
            </w:pPr>
            <w:r>
              <w:rPr/>
            </w:r>
            <w:r>
              <w:rPr>
                <w:sz w:val="17"/>
              </w:rPr>
              <w:t>Academic Manager for academic review; Platform Admin/media owner for platform support</w:t>
            </w:r>
          </w:p>
        </w:tc>
        <w:tc>
          <w:tcPr>
            <w:tcW w:type="dxa" w:w="3297"/>
            <w:vAlign w:val="top"/>
            <w:tcMar>
              <w:top w:w="70" w:type="dxa"/>
              <w:start w:w="90" w:type="dxa"/>
              <w:bottom w:w="70" w:type="dxa"/>
              <w:end w:w="90" w:type="dxa"/>
            </w:tcMar>
          </w:tcPr>
          <w:p>
            <w:pPr>
              <w:spacing w:after="0" w:line="240" w:lineRule="auto"/>
            </w:pPr>
            <w:r>
              <w:rPr/>
            </w:r>
            <w:r>
              <w:rPr>
                <w:sz w:val="17"/>
              </w:rPr>
              <w:t>Question revision, media status, error reference.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Exam generation/conflict</w:t>
            </w:r>
          </w:p>
        </w:tc>
        <w:tc>
          <w:tcPr>
            <w:tcW w:type="dxa" w:w="2603"/>
            <w:vAlign w:val="top"/>
            <w:tcMar>
              <w:top w:w="70" w:type="dxa"/>
              <w:start w:w="90" w:type="dxa"/>
              <w:bottom w:w="70" w:type="dxa"/>
              <w:end w:w="90" w:type="dxa"/>
            </w:tcMar>
          </w:tcPr>
          <w:p>
            <w:pPr>
              <w:spacing w:after="0" w:line="240" w:lineRule="auto"/>
            </w:pPr>
            <w:r>
              <w:rPr/>
            </w:r>
            <w:r>
              <w:rPr>
                <w:sz w:val="17"/>
              </w:rPr>
              <w:t>Host</w:t>
            </w:r>
          </w:p>
        </w:tc>
        <w:tc>
          <w:tcPr>
            <w:tcW w:type="dxa" w:w="1909"/>
            <w:vAlign w:val="top"/>
            <w:tcMar>
              <w:top w:w="70" w:type="dxa"/>
              <w:start w:w="90" w:type="dxa"/>
              <w:bottom w:w="70" w:type="dxa"/>
              <w:end w:w="90" w:type="dxa"/>
            </w:tcMar>
          </w:tcPr>
          <w:p>
            <w:pPr>
              <w:spacing w:after="0" w:line="240" w:lineRule="auto"/>
            </w:pPr>
            <w:r>
              <w:rPr/>
            </w:r>
            <w:r>
              <w:rPr>
                <w:sz w:val="17"/>
              </w:rPr>
              <w:t>Platform/technical owner</w:t>
            </w:r>
          </w:p>
        </w:tc>
        <w:tc>
          <w:tcPr>
            <w:tcW w:type="dxa" w:w="3297"/>
            <w:vAlign w:val="top"/>
            <w:tcMar>
              <w:top w:w="70" w:type="dxa"/>
              <w:start w:w="90" w:type="dxa"/>
              <w:bottom w:w="70" w:type="dxa"/>
              <w:end w:w="90" w:type="dxa"/>
            </w:tcMar>
          </w:tcPr>
          <w:p>
            <w:pPr>
              <w:spacing w:after="0" w:line="240" w:lineRule="auto"/>
            </w:pPr>
            <w:r>
              <w:rPr/>
            </w:r>
            <w:r>
              <w:rPr>
                <w:sz w:val="17"/>
              </w:rPr>
              <w:t>Exam draft ID, validation blockers, generation state.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Device/audio</w:t>
            </w:r>
          </w:p>
        </w:tc>
        <w:tc>
          <w:tcPr>
            <w:tcW w:type="dxa" w:w="2603"/>
            <w:vAlign w:val="top"/>
            <w:tcMar>
              <w:top w:w="70" w:type="dxa"/>
              <w:start w:w="90" w:type="dxa"/>
              <w:bottom w:w="70" w:type="dxa"/>
              <w:end w:w="90" w:type="dxa"/>
            </w:tcMar>
          </w:tcPr>
          <w:p>
            <w:pPr>
              <w:spacing w:after="0" w:line="240" w:lineRule="auto"/>
            </w:pPr>
            <w:r>
              <w:rPr/>
            </w:r>
            <w:r>
              <w:rPr>
                <w:sz w:val="17"/>
              </w:rPr>
              <w:t>Student/Proctor</w:t>
            </w:r>
          </w:p>
        </w:tc>
        <w:tc>
          <w:tcPr>
            <w:tcW w:type="dxa" w:w="1909"/>
            <w:vAlign w:val="top"/>
            <w:tcMar>
              <w:top w:w="70" w:type="dxa"/>
              <w:start w:w="90" w:type="dxa"/>
              <w:bottom w:w="70" w:type="dxa"/>
              <w:end w:w="90" w:type="dxa"/>
            </w:tcMar>
          </w:tcPr>
          <w:p>
            <w:pPr>
              <w:spacing w:after="0" w:line="240" w:lineRule="auto"/>
            </w:pPr>
            <w:r>
              <w:rPr/>
            </w:r>
            <w:r>
              <w:rPr>
                <w:sz w:val="17"/>
              </w:rPr>
              <w:t>Host/exam-client owner</w:t>
            </w:r>
          </w:p>
        </w:tc>
        <w:tc>
          <w:tcPr>
            <w:tcW w:type="dxa" w:w="3297"/>
            <w:vAlign w:val="top"/>
            <w:tcMar>
              <w:top w:w="70" w:type="dxa"/>
              <w:start w:w="90" w:type="dxa"/>
              <w:bottom w:w="70" w:type="dxa"/>
              <w:end w:w="90" w:type="dxa"/>
            </w:tcMar>
          </w:tcPr>
          <w:p>
            <w:pPr>
              <w:spacing w:after="0" w:line="240" w:lineRule="auto"/>
            </w:pPr>
            <w:r>
              <w:rPr/>
            </w:r>
            <w:r>
              <w:rPr>
                <w:sz w:val="17"/>
              </w:rPr>
              <w:t>Device-check item and client build.</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Answer sync</w:t>
            </w:r>
          </w:p>
        </w:tc>
        <w:tc>
          <w:tcPr>
            <w:tcW w:type="dxa" w:w="2603"/>
            <w:vAlign w:val="top"/>
            <w:tcMar>
              <w:top w:w="70" w:type="dxa"/>
              <w:start w:w="90" w:type="dxa"/>
              <w:bottom w:w="70" w:type="dxa"/>
              <w:end w:w="90" w:type="dxa"/>
            </w:tcMar>
          </w:tcPr>
          <w:p>
            <w:pPr>
              <w:spacing w:after="0" w:line="240" w:lineRule="auto"/>
            </w:pPr>
            <w:r>
              <w:rPr/>
            </w:r>
            <w:r>
              <w:rPr>
                <w:sz w:val="17"/>
              </w:rPr>
              <w:t>Student/Proctor</w:t>
            </w:r>
          </w:p>
        </w:tc>
        <w:tc>
          <w:tcPr>
            <w:tcW w:type="dxa" w:w="1909"/>
            <w:vAlign w:val="top"/>
            <w:tcMar>
              <w:top w:w="70" w:type="dxa"/>
              <w:start w:w="90" w:type="dxa"/>
              <w:bottom w:w="70" w:type="dxa"/>
              <w:end w:w="90" w:type="dxa"/>
            </w:tcMar>
          </w:tcPr>
          <w:p>
            <w:pPr>
              <w:spacing w:after="0" w:line="240" w:lineRule="auto"/>
            </w:pPr>
            <w:r>
              <w:rPr/>
            </w:r>
            <w:r>
              <w:rPr>
                <w:sz w:val="17"/>
              </w:rPr>
              <w:t>Host/technical owner</w:t>
            </w:r>
          </w:p>
        </w:tc>
        <w:tc>
          <w:tcPr>
            <w:tcW w:type="dxa" w:w="3297"/>
            <w:vAlign w:val="top"/>
            <w:tcMar>
              <w:top w:w="70" w:type="dxa"/>
              <w:start w:w="90" w:type="dxa"/>
              <w:bottom w:w="70" w:type="dxa"/>
              <w:end w:w="90" w:type="dxa"/>
            </w:tcMar>
          </w:tcPr>
          <w:p>
            <w:pPr>
              <w:spacing w:after="0" w:line="240" w:lineRule="auto"/>
            </w:pPr>
            <w:r>
              <w:rPr/>
            </w:r>
            <w:r>
              <w:rPr>
                <w:sz w:val="17"/>
              </w:rPr>
              <w:t>Attempt/task correlation, local/sync state, time.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Violation/audit</w:t>
            </w:r>
          </w:p>
        </w:tc>
        <w:tc>
          <w:tcPr>
            <w:tcW w:type="dxa" w:w="2603"/>
            <w:vAlign w:val="top"/>
            <w:tcMar>
              <w:top w:w="70" w:type="dxa"/>
              <w:start w:w="90" w:type="dxa"/>
              <w:bottom w:w="70" w:type="dxa"/>
              <w:end w:w="90" w:type="dxa"/>
            </w:tcMar>
          </w:tcPr>
          <w:p>
            <w:pPr>
              <w:spacing w:after="0" w:line="240" w:lineRule="auto"/>
            </w:pPr>
            <w:r>
              <w:rPr/>
            </w:r>
            <w:r>
              <w:rPr>
                <w:sz w:val="17"/>
              </w:rPr>
              <w:t>Proctor/Host</w:t>
            </w:r>
          </w:p>
        </w:tc>
        <w:tc>
          <w:tcPr>
            <w:tcW w:type="dxa" w:w="1909"/>
            <w:vAlign w:val="top"/>
            <w:tcMar>
              <w:top w:w="70" w:type="dxa"/>
              <w:start w:w="90" w:type="dxa"/>
              <w:bottom w:w="70" w:type="dxa"/>
              <w:end w:w="90" w:type="dxa"/>
            </w:tcMar>
          </w:tcPr>
          <w:p>
            <w:pPr>
              <w:spacing w:after="0" w:line="240" w:lineRule="auto"/>
            </w:pPr>
            <w:r>
              <w:rPr/>
            </w:r>
            <w:r>
              <w:rPr>
                <w:sz w:val="17"/>
              </w:rPr>
              <w:t>Integrity/technical owner</w:t>
            </w:r>
          </w:p>
        </w:tc>
        <w:tc>
          <w:tcPr>
            <w:tcW w:type="dxa" w:w="3297"/>
            <w:vAlign w:val="top"/>
            <w:tcMar>
              <w:top w:w="70" w:type="dxa"/>
              <w:start w:w="90" w:type="dxa"/>
              <w:bottom w:w="70" w:type="dxa"/>
              <w:end w:w="90" w:type="dxa"/>
            </w:tcMar>
          </w:tcPr>
          <w:p>
            <w:pPr>
              <w:spacing w:after="0" w:line="240" w:lineRule="auto"/>
            </w:pPr>
            <w:r>
              <w:rPr/>
            </w:r>
            <w:r>
              <w:rPr>
                <w:sz w:val="17"/>
              </w:rPr>
              <w:t>Assigned exam, event reference, policy; no raw sensitive payload.</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Score/publication</w:t>
            </w:r>
          </w:p>
        </w:tc>
        <w:tc>
          <w:tcPr>
            <w:tcW w:type="dxa" w:w="2603"/>
            <w:vAlign w:val="top"/>
            <w:tcMar>
              <w:top w:w="70" w:type="dxa"/>
              <w:start w:w="90" w:type="dxa"/>
              <w:bottom w:w="70" w:type="dxa"/>
              <w:end w:w="90" w:type="dxa"/>
            </w:tcMar>
          </w:tcPr>
          <w:p>
            <w:pPr>
              <w:spacing w:after="0" w:line="240" w:lineRule="auto"/>
            </w:pPr>
            <w:r>
              <w:rPr/>
            </w:r>
            <w:r>
              <w:rPr>
                <w:sz w:val="17"/>
              </w:rPr>
              <w:t>Examiner/Host</w:t>
            </w:r>
          </w:p>
        </w:tc>
        <w:tc>
          <w:tcPr>
            <w:tcW w:type="dxa" w:w="1909"/>
            <w:vAlign w:val="top"/>
            <w:tcMar>
              <w:top w:w="70" w:type="dxa"/>
              <w:start w:w="90" w:type="dxa"/>
              <w:bottom w:w="70" w:type="dxa"/>
              <w:end w:w="90" w:type="dxa"/>
            </w:tcMar>
          </w:tcPr>
          <w:p>
            <w:pPr>
              <w:spacing w:after="0" w:line="240" w:lineRule="auto"/>
            </w:pPr>
            <w:r>
              <w:rPr/>
            </w:r>
            <w:r>
              <w:rPr>
                <w:sz w:val="17"/>
              </w:rPr>
              <w:t>Scoring/report owner</w:t>
            </w:r>
          </w:p>
        </w:tc>
        <w:tc>
          <w:tcPr>
            <w:tcW w:type="dxa" w:w="3297"/>
            <w:vAlign w:val="top"/>
            <w:tcMar>
              <w:top w:w="70" w:type="dxa"/>
              <w:start w:w="90" w:type="dxa"/>
              <w:bottom w:w="70" w:type="dxa"/>
              <w:end w:w="90" w:type="dxa"/>
            </w:tcMar>
          </w:tcPr>
          <w:p>
            <w:pPr>
              <w:spacing w:after="0" w:line="240" w:lineRule="auto"/>
            </w:pPr>
            <w:r>
              <w:rPr/>
            </w:r>
            <w:r>
              <w:rPr>
                <w:sz w:val="17"/>
              </w:rPr>
              <w:t>Source status, readiness blocker, publication state.</w:t>
            </w:r>
          </w:p>
        </w:tc>
      </w:tr>
      <w:tr>
        <w:trPr>
          <w:cantSplit/>
        </w:trPr>
        <w:tc>
          <w:tcPr>
            <w:tcW w:type="dxa" w:w="1909"/>
            <w:vAlign w:val="top"/>
            <w:tcMar>
              <w:top w:w="70" w:type="dxa"/>
              <w:start w:w="90" w:type="dxa"/>
              <w:bottom w:w="70" w:type="dxa"/>
              <w:end w:w="90" w:type="dxa"/>
            </w:tcMar>
          </w:tcPr>
          <w:p>
            <w:pPr>
              <w:spacing w:after="0" w:line="240" w:lineRule="auto"/>
            </w:pPr>
            <w:r>
              <w:rPr/>
            </w:r>
            <w:r>
              <w:rPr>
                <w:sz w:val="17"/>
              </w:rPr>
              <w:t>Notification/provider</w:t>
            </w:r>
          </w:p>
        </w:tc>
        <w:tc>
          <w:tcPr>
            <w:tcW w:type="dxa" w:w="2603"/>
            <w:vAlign w:val="top"/>
            <w:tcMar>
              <w:top w:w="70" w:type="dxa"/>
              <w:start w:w="90" w:type="dxa"/>
              <w:bottom w:w="70" w:type="dxa"/>
              <w:end w:w="90" w:type="dxa"/>
            </w:tcMar>
          </w:tcPr>
          <w:p>
            <w:pPr>
              <w:spacing w:after="0" w:line="240" w:lineRule="auto"/>
            </w:pPr>
            <w:r>
              <w:rPr/>
            </w:r>
            <w:r>
              <w:rPr>
                <w:sz w:val="17"/>
              </w:rPr>
              <w:t>Host/Platform Admin</w:t>
            </w:r>
          </w:p>
        </w:tc>
        <w:tc>
          <w:tcPr>
            <w:tcW w:type="dxa" w:w="1909"/>
            <w:vAlign w:val="top"/>
            <w:tcMar>
              <w:top w:w="70" w:type="dxa"/>
              <w:start w:w="90" w:type="dxa"/>
              <w:bottom w:w="70" w:type="dxa"/>
              <w:end w:w="90" w:type="dxa"/>
            </w:tcMar>
          </w:tcPr>
          <w:p>
            <w:pPr>
              <w:spacing w:after="0" w:line="240" w:lineRule="auto"/>
            </w:pPr>
            <w:r>
              <w:rPr/>
            </w:r>
            <w:r>
              <w:rPr>
                <w:sz w:val="17"/>
              </w:rPr>
              <w:t>Integration owner</w:t>
            </w:r>
          </w:p>
        </w:tc>
        <w:tc>
          <w:tcPr>
            <w:tcW w:type="dxa" w:w="3297"/>
            <w:vAlign w:val="top"/>
            <w:tcMar>
              <w:top w:w="70" w:type="dxa"/>
              <w:start w:w="90" w:type="dxa"/>
              <w:bottom w:w="70" w:type="dxa"/>
              <w:end w:w="90" w:type="dxa"/>
            </w:tcMar>
          </w:tcPr>
          <w:p>
            <w:pPr>
              <w:spacing w:after="0" w:line="240" w:lineRule="auto"/>
            </w:pPr>
            <w:r>
              <w:rPr/>
            </w:r>
            <w:r>
              <w:rPr>
                <w:sz w:val="17"/>
              </w:rPr>
              <w:t>Correlation/status/retry state.</w:t>
            </w:r>
          </w:p>
        </w:tc>
      </w:tr>
    </w:tbl>
    <w:p>
      <w:pPr>
        <w:spacing w:after="20"/>
      </w:pPr>
    </w:p>
    <w:p>
      <w:pPr>
        <w:pStyle w:val="Heading3"/>
        <w:keepNext/>
        <w:pageBreakBefore w:val="0"/>
      </w:pPr>
      <w:r>
        <w:t>2.12 Student practice and AI prerequisites</w:t>
      </w:r>
    </w:p>
    <w:p>
      <w:pPr>
        <w:pStyle w:val="Heading4"/>
        <w:keepNext/>
        <w:pageBreakBefore w:val="0"/>
      </w:pPr>
      <w:r>
        <w:t>2.12.1 Practice Web prerequisites</w:t>
      </w:r>
    </w:p>
    <w:p>
      <w:pPr>
        <w:spacing w:after="80" w:line="240" w:lineRule="auto"/>
      </w:pPr>
      <w:r>
        <w:rPr>
          <w:b/>
          <w:i w:val="0"/>
          <w:sz w:val="19"/>
        </w:rPr>
        <w:t>Status: Partial/Planned.</w:t>
      </w:r>
      <w:r>
        <w:rPr>
          <w:sz w:val="19"/>
        </w:rPr>
        <w:t xml:space="preserve"> A practice environment needs the configured Practice Web application, the shared backend API, an accessible database/infrastructure boundary, seeded approved question content, and a valid Student context/entitlement. The question revision must be published, ready and enabled for practice. An exam-only flag is not enough.</w:t>
      </w:r>
    </w:p>
    <w:p>
      <w:pPr>
        <w:spacing w:after="80" w:line="240" w:lineRule="auto"/>
      </w:pPr>
      <w:r>
        <w:rPr>
          <w:sz w:val="19"/>
        </w:rPr>
        <w:t>The operator must verify the route and API contract from repository configuration before describing the feature as available. Do not place provider keys, email credentials, database passwords or private URLs in this guide.</w:t>
      </w:r>
    </w:p>
    <w:p>
      <w:pPr>
        <w:pStyle w:val="Heading4"/>
        <w:keepNext/>
        <w:pageBreakBefore w:val="0"/>
      </w:pPr>
      <w:r>
        <w:t>2.12.2 AI explanation prerequisites</w:t>
      </w:r>
    </w:p>
    <w:p>
      <w:pPr>
        <w:spacing w:after="80" w:line="240" w:lineRule="auto"/>
      </w:pPr>
      <w:r>
        <w:rPr>
          <w:b/>
          <w:i w:val="0"/>
          <w:sz w:val="19"/>
        </w:rPr>
        <w:t>Status: Planned/Future/TBD.</w:t>
      </w:r>
      <w:r>
        <w:rPr>
          <w:sz w:val="19"/>
        </w:rPr>
        <w:t xml:space="preserve"> The later implementation requires an approved provider adapter, task eligibility list, rubric/prompt version, response correlation, retry policy, data-handling decision and academic review policy. A provider being configured does not prove that explanations are available or correct. When the provider is unavailable, the Student answer and activity record must remain usable.</w:t>
      </w:r>
    </w:p>
    <w:p>
      <w:pPr>
        <w:pStyle w:val="Heading4"/>
        <w:keepNext/>
        <w:pageBreakBefore w:val="0"/>
      </w:pPr>
      <w:r>
        <w:t>2.12.3 Channel-flag content preparation</w:t>
      </w:r>
    </w:p>
    <w:p>
      <w:pPr>
        <w:spacing w:after="80" w:line="240" w:lineRule="auto"/>
      </w:pPr>
      <w:r>
        <w:rPr>
          <w:sz w:val="19"/>
        </w:rPr>
        <w:t>Academic Staff prepares a question revision and selects the intended Practice and/or Exam usage flag. Academic Manager reviews the content, media, rubric and flag choice. The question becomes selectable only after the required publication/readiness state. Later flag changes affect future selection and must not rewrite a frozen session or exam.</w:t>
      </w:r>
    </w:p>
    <w:p>
      <w:pPr>
        <w:pStyle w:val="Heading2"/>
        <w:keepNext/>
        <w:pageBreakBefore w:val="0"/>
      </w:pPr>
      <w:r>
        <w:t>3. User Manual</w:t>
      </w:r>
    </w:p>
    <w:p>
      <w:pPr>
        <w:spacing w:after="80" w:line="240" w:lineRule="auto"/>
      </w:pPr>
      <w:r>
        <w:rPr>
          <w:sz w:val="19"/>
        </w:rPr>
        <w:t xml:space="preserve">This section maps the original DOCX heading </w:t>
      </w:r>
      <w:r>
        <w:rPr>
          <w:b/>
          <w:i w:val="0"/>
          <w:sz w:val="19"/>
        </w:rPr>
        <w:t>3. User Manual</w:t>
      </w:r>
      <w:r>
        <w:rPr>
          <w:sz w:val="19"/>
        </w:rPr>
        <w:t>. It provides role-specific workflows for the eight approved human roles. Every workflow records a stable ID, purpose, prerequisites, steps, expected result, error/recovery path, visibility/audit effect, and linked requirements/tests. External Integration Services is described as a service boundary rather than a human manual role.</w:t>
      </w:r>
    </w:p>
    <w:p>
      <w:pPr>
        <w:pStyle w:val="Heading3"/>
        <w:keepNext/>
        <w:pageBreakBefore w:val="0"/>
      </w:pPr>
      <w:r>
        <w:t>3.1 Common language and status</w:t>
      </w:r>
    </w:p>
    <w:tbl>
      <w:tblPr>
        <w:tblW w:type="auto" w:w="0"/>
        <w:jc w:val="center"/>
        <w:tblLayout w:type="fixed"/>
        <w:tblLook w:firstColumn="1" w:firstRow="1" w:lastColumn="0" w:lastRow="0" w:noHBand="0" w:noVBand="1" w:val="04A0"/>
      </w:tblPr>
      <w:tblGrid>
        <w:gridCol w:w="4525"/>
        <w:gridCol w:w="4525"/>
      </w:tblGrid>
      <w:tr>
        <w:trPr>
          <w:tblHeader w:val="true"/>
          <w:cantSplit/>
        </w:trPr>
        <w:tc>
          <w:tcPr>
            <w:tcW w:type="dxa" w:w="2838"/>
            <w:vAlign w:val="top"/>
            <w:tcMar>
              <w:top w:w="70" w:type="dxa"/>
              <w:start w:w="90" w:type="dxa"/>
              <w:bottom w:w="70" w:type="dxa"/>
              <w:end w:w="90" w:type="dxa"/>
            </w:tcMar>
            <w:shd w:val="clear" w:color="auto" w:fill="FFE8E1"/>
          </w:tcPr>
          <w:p>
            <w:pPr>
              <w:spacing w:after="0" w:line="240" w:lineRule="auto"/>
            </w:pPr>
            <w:r>
              <w:rPr>
                <w:b/>
              </w:rPr>
            </w:r>
            <w:r>
              <w:rPr>
                <w:b/>
                <w:sz w:val="17"/>
              </w:rPr>
              <w:t>Status</w:t>
            </w:r>
          </w:p>
        </w:tc>
        <w:tc>
          <w:tcPr>
            <w:tcW w:type="dxa" w:w="6881"/>
            <w:vAlign w:val="top"/>
            <w:tcMar>
              <w:top w:w="70" w:type="dxa"/>
              <w:start w:w="90" w:type="dxa"/>
              <w:bottom w:w="70" w:type="dxa"/>
              <w:end w:w="90" w:type="dxa"/>
            </w:tcMar>
            <w:shd w:val="clear" w:color="auto" w:fill="FFE8E1"/>
          </w:tcPr>
          <w:p>
            <w:pPr>
              <w:spacing w:after="0" w:line="240" w:lineRule="auto"/>
            </w:pPr>
            <w:r>
              <w:rPr>
                <w:b/>
              </w:rPr>
            </w:r>
            <w:r>
              <w:rPr>
                <w:b/>
                <w:sz w:val="17"/>
              </w:rPr>
              <w:t>Meaning for the user</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Draft</w:t>
            </w:r>
          </w:p>
        </w:tc>
        <w:tc>
          <w:tcPr>
            <w:tcW w:type="dxa" w:w="6881"/>
            <w:vAlign w:val="top"/>
            <w:tcMar>
              <w:top w:w="70" w:type="dxa"/>
              <w:start w:w="90" w:type="dxa"/>
              <w:bottom w:w="70" w:type="dxa"/>
              <w:end w:w="90" w:type="dxa"/>
            </w:tcMar>
          </w:tcPr>
          <w:p>
            <w:pPr>
              <w:spacing w:after="0" w:line="240" w:lineRule="auto"/>
            </w:pPr>
            <w:r>
              <w:rPr/>
            </w:r>
            <w:r>
              <w:rPr>
                <w:sz w:val="17"/>
              </w:rPr>
              <w:t>Still being prepared; not available for the next business step.</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Pending</w:t>
            </w:r>
          </w:p>
        </w:tc>
        <w:tc>
          <w:tcPr>
            <w:tcW w:type="dxa" w:w="6881"/>
            <w:vAlign w:val="top"/>
            <w:tcMar>
              <w:top w:w="70" w:type="dxa"/>
              <w:start w:w="90" w:type="dxa"/>
              <w:bottom w:w="70" w:type="dxa"/>
              <w:end w:w="90" w:type="dxa"/>
            </w:tcMar>
          </w:tcPr>
          <w:p>
            <w:pPr>
              <w:spacing w:after="0" w:line="240" w:lineRule="auto"/>
            </w:pPr>
            <w:r>
              <w:rPr/>
            </w:r>
            <w:r>
              <w:rPr>
                <w:sz w:val="17"/>
              </w:rPr>
              <w:t>Waiting for review/provider/background work; do not assume success.</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Ready</w:t>
            </w:r>
          </w:p>
        </w:tc>
        <w:tc>
          <w:tcPr>
            <w:tcW w:type="dxa" w:w="6881"/>
            <w:vAlign w:val="top"/>
            <w:tcMar>
              <w:top w:w="70" w:type="dxa"/>
              <w:start w:w="90" w:type="dxa"/>
              <w:bottom w:w="70" w:type="dxa"/>
              <w:end w:w="90" w:type="dxa"/>
            </w:tcMar>
          </w:tcPr>
          <w:p>
            <w:pPr>
              <w:spacing w:after="0" w:line="240" w:lineRule="auto"/>
            </w:pPr>
            <w:r>
              <w:rPr/>
            </w:r>
            <w:r>
              <w:rPr>
                <w:sz w:val="17"/>
              </w:rPr>
              <w:t>Required checks are complete for the next permitted action.</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Published</w:t>
            </w:r>
          </w:p>
        </w:tc>
        <w:tc>
          <w:tcPr>
            <w:tcW w:type="dxa" w:w="6881"/>
            <w:vAlign w:val="top"/>
            <w:tcMar>
              <w:top w:w="70" w:type="dxa"/>
              <w:start w:w="90" w:type="dxa"/>
              <w:bottom w:w="70" w:type="dxa"/>
              <w:end w:w="90" w:type="dxa"/>
            </w:tcMar>
          </w:tcPr>
          <w:p>
            <w:pPr>
              <w:spacing w:after="0" w:line="240" w:lineRule="auto"/>
            </w:pPr>
            <w:r>
              <w:rPr/>
            </w:r>
            <w:r>
              <w:rPr>
                <w:sz w:val="17"/>
              </w:rPr>
              <w:t>Made available to the authorized next actor.</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Retryable/Error</w:t>
            </w:r>
          </w:p>
        </w:tc>
        <w:tc>
          <w:tcPr>
            <w:tcW w:type="dxa" w:w="6881"/>
            <w:vAlign w:val="top"/>
            <w:tcMar>
              <w:top w:w="70" w:type="dxa"/>
              <w:start w:w="90" w:type="dxa"/>
              <w:bottom w:w="70" w:type="dxa"/>
              <w:end w:w="90" w:type="dxa"/>
            </w:tcMar>
          </w:tcPr>
          <w:p>
            <w:pPr>
              <w:spacing w:after="0" w:line="240" w:lineRule="auto"/>
            </w:pPr>
            <w:r>
              <w:rPr/>
            </w:r>
            <w:r>
              <w:rPr>
                <w:sz w:val="17"/>
              </w:rPr>
              <w:t>The action needs correction or safe retry; existing state is preserved where the policy supports it.</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Locked</w:t>
            </w:r>
          </w:p>
        </w:tc>
        <w:tc>
          <w:tcPr>
            <w:tcW w:type="dxa" w:w="6881"/>
            <w:vAlign w:val="top"/>
            <w:tcMar>
              <w:top w:w="70" w:type="dxa"/>
              <w:start w:w="90" w:type="dxa"/>
              <w:bottom w:w="70" w:type="dxa"/>
              <w:end w:w="90" w:type="dxa"/>
            </w:tcMar>
          </w:tcPr>
          <w:p>
            <w:pPr>
              <w:spacing w:after="0" w:line="240" w:lineRule="auto"/>
            </w:pPr>
            <w:r>
              <w:rPr/>
            </w:r>
            <w:r>
              <w:rPr>
                <w:sz w:val="17"/>
              </w:rPr>
              <w:t>Content/policy/audience is fixed for the exam/attempt.</w:t>
            </w:r>
          </w:p>
        </w:tc>
      </w:tr>
      <w:tr>
        <w:trPr>
          <w:cantSplit/>
        </w:trPr>
        <w:tc>
          <w:tcPr>
            <w:tcW w:type="dxa" w:w="2838"/>
            <w:vAlign w:val="top"/>
            <w:tcMar>
              <w:top w:w="70" w:type="dxa"/>
              <w:start w:w="90" w:type="dxa"/>
              <w:bottom w:w="70" w:type="dxa"/>
              <w:end w:w="90" w:type="dxa"/>
            </w:tcMar>
          </w:tcPr>
          <w:p>
            <w:pPr>
              <w:spacing w:after="0" w:line="240" w:lineRule="auto"/>
            </w:pPr>
            <w:r>
              <w:rPr/>
            </w:r>
            <w:r>
              <w:rPr>
                <w:sz w:val="17"/>
              </w:rPr>
              <w:t>TBD</w:t>
            </w:r>
          </w:p>
        </w:tc>
        <w:tc>
          <w:tcPr>
            <w:tcW w:type="dxa" w:w="6881"/>
            <w:vAlign w:val="top"/>
            <w:tcMar>
              <w:top w:w="70" w:type="dxa"/>
              <w:start w:w="90" w:type="dxa"/>
              <w:bottom w:w="70" w:type="dxa"/>
              <w:end w:w="90" w:type="dxa"/>
            </w:tcMar>
          </w:tcPr>
          <w:p>
            <w:pPr>
              <w:spacing w:after="0" w:line="240" w:lineRule="auto"/>
            </w:pPr>
            <w:r>
              <w:rPr/>
            </w:r>
            <w:r>
              <w:rPr>
                <w:sz w:val="17"/>
              </w:rPr>
              <w:t>The product policy or evidence is not fixed; contact the owner rather than guessing.</w:t>
            </w:r>
          </w:p>
        </w:tc>
      </w:tr>
    </w:tbl>
    <w:p>
      <w:pPr>
        <w:spacing w:after="20"/>
      </w:pPr>
    </w:p>
    <w:p>
      <w:pPr>
        <w:spacing w:after="80" w:line="240" w:lineRule="auto"/>
      </w:pPr>
      <w:r>
        <w:rPr>
          <w:sz w:val="19"/>
        </w:rPr>
        <w:t>The product is independent from PTE Academic and is used for practice/mock-exam simulation. A PTEPrep report is not an official PTE Academic result.</w:t>
      </w:r>
    </w:p>
    <w:p>
      <w:pPr>
        <w:pStyle w:val="Heading3"/>
        <w:keepNext/>
        <w:pageBreakBefore w:val="0"/>
      </w:pPr>
      <w:r>
        <w:t>3.2 Platform Admin workflows</w:t>
      </w:r>
    </w:p>
    <w:p>
      <w:pPr>
        <w:pStyle w:val="Heading4"/>
        <w:keepNext/>
        <w:pageBreakBefore w:val="0"/>
      </w:pPr>
      <w:r>
        <w:t>`WF-ADMIN-ONBOARD-001` — Review an organization registration</w:t>
      </w:r>
    </w:p>
    <w:p>
      <w:pPr>
        <w:spacing w:after="80" w:line="240" w:lineRule="auto"/>
      </w:pPr>
      <w:r>
        <w:rPr>
          <w:b/>
          <w:i w:val="0"/>
          <w:sz w:val="19"/>
        </w:rPr>
        <w:t>Purpose:</w:t>
      </w:r>
      <w:r>
        <w:rPr>
          <w:sz w:val="19"/>
        </w:rPr>
        <w:t xml:space="preserve"> Decide whether a pending organization can receive an active workspace. </w:t>
      </w:r>
      <w:r>
        <w:rPr>
          <w:b/>
          <w:i w:val="0"/>
          <w:sz w:val="19"/>
        </w:rPr>
        <w:t>Prerequisites:</w:t>
      </w:r>
      <w:r>
        <w:rPr>
          <w:sz w:val="19"/>
        </w:rPr>
        <w:t xml:space="preserve"> Platform Admin account is active; registration is visible as </w:t>
      </w:r>
      <w:r>
        <w:rPr>
          <w:rFonts w:ascii="Consolas" w:hAnsi="Consolas"/>
          <w:b w:val="0"/>
          <w:i w:val="0"/>
          <w:sz w:val="17"/>
        </w:rPr>
        <w:t>PENDING</w:t>
      </w:r>
      <w:r>
        <w:rPr>
          <w:sz w:val="19"/>
        </w:rPr>
        <w:t>.</w:t>
      </w:r>
    </w:p>
    <w:p>
      <w:pPr>
        <w:spacing w:after="80" w:line="240" w:lineRule="auto"/>
      </w:pPr>
      <w:r>
        <w:rPr>
          <w:b/>
          <w:i w:val="0"/>
          <w:sz w:val="19"/>
        </w:rPr>
        <w:t>Steps</w:t>
      </w:r>
    </w:p>
    <w:p>
      <w:pPr>
        <w:pStyle w:val="ListParagraph"/>
        <w:numPr>
          <w:ilvl w:val="0"/>
          <w:numId w:val="18"/>
        </w:numPr>
        <w:spacing w:after="40"/>
      </w:pPr>
      <w:r>
        <w:rPr>
          <w:sz w:val="18"/>
        </w:rPr>
        <w:t>Open the platform administration portal through the approved public URL.</w:t>
      </w:r>
    </w:p>
    <w:p>
      <w:pPr>
        <w:pStyle w:val="ListParagraph"/>
        <w:numPr>
          <w:ilvl w:val="0"/>
          <w:numId w:val="18"/>
        </w:numPr>
        <w:spacing w:after="40"/>
      </w:pPr>
      <w:r>
        <w:rPr>
          <w:sz w:val="18"/>
        </w:rPr>
        <w:t>Open the pending registration list.</w:t>
      </w:r>
    </w:p>
    <w:p>
      <w:pPr>
        <w:pStyle w:val="ListParagraph"/>
        <w:numPr>
          <w:ilvl w:val="0"/>
          <w:numId w:val="18"/>
        </w:numPr>
        <w:spacing w:after="40"/>
      </w:pPr>
      <w:r>
        <w:rPr>
          <w:sz w:val="18"/>
        </w:rPr>
        <w:t>Review organization/contact details and duplicate indicators.</w:t>
      </w:r>
    </w:p>
    <w:p>
      <w:pPr>
        <w:pStyle w:val="ListParagraph"/>
        <w:numPr>
          <w:ilvl w:val="0"/>
          <w:numId w:val="18"/>
        </w:numPr>
        <w:spacing w:after="40"/>
      </w:pPr>
      <w:r>
        <w:rPr>
          <w:sz w:val="18"/>
        </w:rPr>
        <w:t xml:space="preserve">Select </w:t>
      </w:r>
      <w:r>
        <w:rPr>
          <w:b/>
          <w:i w:val="0"/>
          <w:sz w:val="18"/>
        </w:rPr>
        <w:t>Approve</w:t>
      </w:r>
      <w:r>
        <w:rPr>
          <w:sz w:val="18"/>
        </w:rPr>
        <w:t xml:space="preserve"> when the request meets policy, or </w:t>
      </w:r>
      <w:r>
        <w:rPr>
          <w:b/>
          <w:i w:val="0"/>
          <w:sz w:val="18"/>
        </w:rPr>
        <w:t>Reject</w:t>
      </w:r>
      <w:r>
        <w:rPr>
          <w:sz w:val="18"/>
        </w:rPr>
        <w:t xml:space="preserve"> and enter a reason.</w:t>
      </w:r>
    </w:p>
    <w:p>
      <w:pPr>
        <w:pStyle w:val="ListParagraph"/>
        <w:numPr>
          <w:ilvl w:val="0"/>
          <w:numId w:val="18"/>
        </w:numPr>
        <w:spacing w:after="40"/>
      </w:pPr>
      <w:r>
        <w:rPr>
          <w:sz w:val="18"/>
        </w:rPr>
        <w:t>Confirm the decision and open the resulting status/audit reference.</w:t>
      </w:r>
    </w:p>
    <w:p>
      <w:pPr>
        <w:spacing w:after="80" w:line="240" w:lineRule="auto"/>
      </w:pPr>
      <w:r>
        <w:rPr>
          <w:b/>
          <w:i w:val="0"/>
          <w:sz w:val="19"/>
        </w:rPr>
        <w:t>Expected result:</w:t>
      </w:r>
      <w:r>
        <w:rPr>
          <w:sz w:val="19"/>
        </w:rPr>
        <w:t xml:space="preserve"> Approval creates/activates the organization and first Host according to the onboarding contract; rejection keeps the request outside an active workspace. Registration does not activate a package or charge a Student.</w:t>
      </w:r>
    </w:p>
    <w:p>
      <w:pPr>
        <w:spacing w:after="80" w:line="240" w:lineRule="auto"/>
      </w:pPr>
      <w:r>
        <w:rPr>
          <w:b/>
          <w:i w:val="0"/>
          <w:sz w:val="19"/>
        </w:rPr>
        <w:t>Error/recovery:</w:t>
      </w:r>
      <w:r>
        <w:rPr>
          <w:sz w:val="19"/>
        </w:rPr>
        <w:t xml:space="preserve"> If the request is incomplete, return it with the missing fields. If approval appears to fail, refresh/retry only after checking the recorded status; do not approve repeatedly or create a duplicate organization manually.</w:t>
      </w:r>
    </w:p>
    <w:p>
      <w:pPr>
        <w:spacing w:after="80" w:line="240" w:lineRule="auto"/>
      </w:pPr>
      <w:r>
        <w:rPr>
          <w:b/>
          <w:i w:val="0"/>
          <w:sz w:val="19"/>
        </w:rPr>
        <w:t>Visibility/audit:</w:t>
      </w:r>
      <w:r>
        <w:rPr>
          <w:sz w:val="19"/>
        </w:rPr>
        <w:t xml:space="preserve"> Platform Admin sees the registration decision; the resulting Host sees only the approved organization scope. Actor, time, decision, reason, and organization reference are audited.</w:t>
      </w:r>
    </w:p>
    <w:p>
      <w:pPr>
        <w:spacing w:after="80" w:line="240" w:lineRule="auto"/>
      </w:pPr>
      <w:r>
        <w:rPr>
          <w:b/>
          <w:i w:val="0"/>
          <w:sz w:val="19"/>
        </w:rPr>
        <w:t>Traceability:</w:t>
      </w:r>
      <w:r>
        <w:rPr>
          <w:sz w:val="19"/>
        </w:rPr>
        <w:t xml:space="preserve"> </w:t>
      </w:r>
      <w:r>
        <w:rPr>
          <w:rFonts w:ascii="Consolas" w:hAnsi="Consolas"/>
          <w:b w:val="0"/>
          <w:i w:val="0"/>
          <w:sz w:val="17"/>
        </w:rPr>
        <w:t>WF-ADMIN-ONBOARD-001</w:t>
      </w:r>
      <w:r>
        <w:rPr>
          <w:sz w:val="19"/>
        </w:rPr>
        <w:t xml:space="preserve">, </w:t>
      </w:r>
      <w:r>
        <w:rPr>
          <w:rFonts w:ascii="Consolas" w:hAnsi="Consolas"/>
          <w:b w:val="0"/>
          <w:i w:val="0"/>
          <w:sz w:val="17"/>
        </w:rPr>
        <w:t>FR-ONBOARD-001</w:t>
      </w:r>
      <w:r>
        <w:rPr>
          <w:sz w:val="19"/>
        </w:rPr>
        <w:t>–</w:t>
      </w:r>
      <w:r>
        <w:rPr>
          <w:rFonts w:ascii="Consolas" w:hAnsi="Consolas"/>
          <w:b w:val="0"/>
          <w:i w:val="0"/>
          <w:sz w:val="17"/>
        </w:rPr>
        <w:t>FR-ONBOARD-003</w:t>
      </w:r>
      <w:r>
        <w:rPr>
          <w:sz w:val="19"/>
        </w:rPr>
        <w:t xml:space="preserve">, </w:t>
      </w:r>
      <w:r>
        <w:rPr>
          <w:rFonts w:ascii="Consolas" w:hAnsi="Consolas"/>
          <w:b w:val="0"/>
          <w:i w:val="0"/>
          <w:sz w:val="17"/>
        </w:rPr>
        <w:t>BR-ACCESS-007</w:t>
      </w:r>
      <w:r>
        <w:rPr>
          <w:sz w:val="19"/>
        </w:rPr>
        <w:t>–</w:t>
      </w:r>
      <w:r>
        <w:rPr>
          <w:rFonts w:ascii="Consolas" w:hAnsi="Consolas"/>
          <w:b w:val="0"/>
          <w:i w:val="0"/>
          <w:sz w:val="17"/>
        </w:rPr>
        <w:t>BR-ACCESS-008</w:t>
      </w:r>
      <w:r>
        <w:rPr>
          <w:sz w:val="19"/>
        </w:rPr>
        <w:t xml:space="preserve">, </w:t>
      </w:r>
      <w:r>
        <w:rPr>
          <w:rFonts w:ascii="Consolas" w:hAnsi="Consolas"/>
          <w:b w:val="0"/>
          <w:i w:val="0"/>
          <w:sz w:val="17"/>
        </w:rPr>
        <w:t>TC-ACCESS-001</w:t>
      </w:r>
      <w:r>
        <w:rPr>
          <w:sz w:val="19"/>
        </w:rPr>
        <w:t>–</w:t>
      </w:r>
      <w:r>
        <w:rPr>
          <w:rFonts w:ascii="Consolas" w:hAnsi="Consolas"/>
          <w:b w:val="0"/>
          <w:i w:val="0"/>
          <w:sz w:val="17"/>
        </w:rPr>
        <w:t>TC-ACCESS-002</w:t>
      </w:r>
      <w:r>
        <w:rPr>
          <w:sz w:val="19"/>
        </w:rPr>
        <w:t>.</w:t>
      </w:r>
    </w:p>
    <w:p>
      <w:pPr>
        <w:pStyle w:val="Heading4"/>
        <w:keepNext/>
        <w:pageBreakBefore w:val="0"/>
      </w:pPr>
      <w:r>
        <w:t>`WF-ADMIN-PACKAGE-001` — Manage package/license state</w:t>
      </w:r>
    </w:p>
    <w:p>
      <w:pPr>
        <w:spacing w:after="80" w:line="240" w:lineRule="auto"/>
      </w:pPr>
      <w:r>
        <w:rPr>
          <w:b/>
          <w:i w:val="0"/>
          <w:sz w:val="19"/>
        </w:rPr>
        <w:t>Prerequisites:</w:t>
      </w:r>
      <w:r>
        <w:rPr>
          <w:sz w:val="19"/>
        </w:rPr>
        <w:t xml:space="preserve"> Platform Admin has the approved package policy and provider status.</w:t>
      </w:r>
    </w:p>
    <w:p>
      <w:pPr>
        <w:spacing w:after="80" w:line="240" w:lineRule="auto"/>
      </w:pPr>
      <w:r>
        <w:rPr>
          <w:b/>
          <w:i w:val="0"/>
          <w:sz w:val="19"/>
        </w:rPr>
        <w:t>Steps:</w:t>
      </w:r>
      <w:r>
        <w:rPr>
          <w:sz w:val="19"/>
        </w:rPr>
        <w:t xml:space="preserve"> Open package catalog → create/update/activate/retire package definition → review dates/limits/mode → issue/revoke license code where permitted → inspect order/subscription/audit state.</w:t>
      </w:r>
    </w:p>
    <w:p>
      <w:pPr>
        <w:spacing w:after="80" w:line="240" w:lineRule="auto"/>
      </w:pPr>
      <w:r>
        <w:rPr>
          <w:b/>
          <w:i w:val="0"/>
          <w:sz w:val="19"/>
        </w:rPr>
        <w:t>Expected result:</w:t>
      </w:r>
      <w:r>
        <w:rPr>
          <w:sz w:val="19"/>
        </w:rPr>
        <w:t xml:space="preserve"> Host sees only eligible package/license state and limits. A revoked/expired package cannot authorize a new exam.</w:t>
      </w:r>
    </w:p>
    <w:p>
      <w:pPr>
        <w:spacing w:after="80" w:line="240" w:lineRule="auto"/>
      </w:pPr>
      <w:r>
        <w:rPr>
          <w:b/>
          <w:i w:val="0"/>
          <w:sz w:val="19"/>
        </w:rPr>
        <w:t>Error/recovery:</w:t>
      </w:r>
      <w:r>
        <w:rPr>
          <w:sz w:val="19"/>
        </w:rPr>
        <w:t xml:space="preserve"> Duplicate callback or code redemption returns existing state; do not create a second subscription. Provider failure remains pending/error with correlation.</w:t>
      </w:r>
    </w:p>
    <w:p>
      <w:pPr>
        <w:spacing w:after="80" w:line="240" w:lineRule="auto"/>
      </w:pPr>
      <w:r>
        <w:rPr>
          <w:b/>
          <w:i w:val="0"/>
          <w:sz w:val="19"/>
        </w:rPr>
        <w:t>Traceability:</w:t>
      </w:r>
      <w:r>
        <w:rPr>
          <w:sz w:val="19"/>
        </w:rPr>
        <w:t xml:space="preserve"> </w:t>
      </w:r>
      <w:r>
        <w:rPr>
          <w:rFonts w:ascii="Consolas" w:hAnsi="Consolas"/>
          <w:b w:val="0"/>
          <w:i w:val="0"/>
          <w:sz w:val="17"/>
        </w:rPr>
        <w:t>WF-ADMIN-PACKAGE-001</w:t>
      </w:r>
      <w:r>
        <w:rPr>
          <w:sz w:val="19"/>
        </w:rPr>
        <w:t xml:space="preserve">, </w:t>
      </w:r>
      <w:r>
        <w:rPr>
          <w:rFonts w:ascii="Consolas" w:hAnsi="Consolas"/>
          <w:b w:val="0"/>
          <w:i w:val="0"/>
          <w:sz w:val="17"/>
        </w:rPr>
        <w:t>FR-PACKAGE-001</w:t>
      </w:r>
      <w:r>
        <w:rPr>
          <w:sz w:val="19"/>
        </w:rPr>
        <w:t>–</w:t>
      </w:r>
      <w:r>
        <w:rPr>
          <w:rFonts w:ascii="Consolas" w:hAnsi="Consolas"/>
          <w:b w:val="0"/>
          <w:i w:val="0"/>
          <w:sz w:val="17"/>
        </w:rPr>
        <w:t>FR-PACKAGE-004</w:t>
      </w:r>
      <w:r>
        <w:rPr>
          <w:sz w:val="19"/>
        </w:rPr>
        <w:t xml:space="preserve">, </w:t>
      </w:r>
      <w:r>
        <w:rPr>
          <w:rFonts w:ascii="Consolas" w:hAnsi="Consolas"/>
          <w:b w:val="0"/>
          <w:i w:val="0"/>
          <w:sz w:val="17"/>
        </w:rPr>
        <w:t>BR-PACKAGE-018</w:t>
      </w:r>
      <w:r>
        <w:rPr>
          <w:sz w:val="19"/>
        </w:rPr>
        <w:t>–</w:t>
      </w:r>
      <w:r>
        <w:rPr>
          <w:rFonts w:ascii="Consolas" w:hAnsi="Consolas"/>
          <w:b w:val="0"/>
          <w:i w:val="0"/>
          <w:sz w:val="17"/>
        </w:rPr>
        <w:t>BR-PACKAGE-022</w:t>
      </w:r>
      <w:r>
        <w:rPr>
          <w:sz w:val="19"/>
        </w:rPr>
        <w:t xml:space="preserve">, </w:t>
      </w:r>
      <w:r>
        <w:rPr>
          <w:rFonts w:ascii="Consolas" w:hAnsi="Consolas"/>
          <w:b w:val="0"/>
          <w:i w:val="0"/>
          <w:sz w:val="17"/>
        </w:rPr>
        <w:t>TC-PACKAGE-002</w:t>
      </w:r>
      <w:r>
        <w:rPr>
          <w:sz w:val="19"/>
        </w:rPr>
        <w:t>.</w:t>
      </w:r>
    </w:p>
    <w:p>
      <w:pPr>
        <w:pStyle w:val="Heading3"/>
        <w:keepNext/>
        <w:pageBreakBefore w:val="0"/>
      </w:pPr>
      <w:r>
        <w:t>3.3 Academic Staff workflows</w:t>
      </w:r>
    </w:p>
    <w:p>
      <w:pPr>
        <w:pStyle w:val="Heading4"/>
        <w:keepNext/>
        <w:pageBreakBefore w:val="0"/>
      </w:pPr>
      <w:r>
        <w:t>`WF-AUTHOR-DRAFT-001` — Create a question/media draft</w:t>
      </w:r>
    </w:p>
    <w:p>
      <w:pPr>
        <w:spacing w:after="80" w:line="240" w:lineRule="auto"/>
      </w:pPr>
      <w:r>
        <w:rPr>
          <w:b/>
          <w:i w:val="0"/>
          <w:sz w:val="19"/>
        </w:rPr>
        <w:t>Prerequisites:</w:t>
      </w:r>
      <w:r>
        <w:rPr>
          <w:sz w:val="19"/>
        </w:rPr>
        <w:t xml:space="preserve"> Academic Staff has content scope; task catalog row and required media are known.</w:t>
      </w:r>
    </w:p>
    <w:p>
      <w:pPr>
        <w:spacing w:after="80" w:line="240" w:lineRule="auto"/>
      </w:pPr>
      <w:r>
        <w:rPr>
          <w:b/>
          <w:i w:val="0"/>
          <w:sz w:val="19"/>
        </w:rPr>
        <w:t>Steps:</w:t>
      </w:r>
      <w:r>
        <w:rPr>
          <w:sz w:val="19"/>
        </w:rPr>
        <w:t xml:space="preserve"> Open question authoring → choose the catalog task type → enter prompt/response/rubric fields → attach image/audio through the signed media flow → preview → validate → save draft.</w:t>
      </w:r>
    </w:p>
    <w:p>
      <w:pPr>
        <w:spacing w:after="80" w:line="240" w:lineRule="auto"/>
      </w:pPr>
      <w:r>
        <w:rPr>
          <w:b/>
          <w:i w:val="0"/>
          <w:sz w:val="19"/>
        </w:rPr>
        <w:t>Expected result:</w:t>
      </w:r>
      <w:r>
        <w:rPr>
          <w:sz w:val="19"/>
        </w:rPr>
        <w:t xml:space="preserve"> Draft has a revision/status, required response form, media completion state, and Score Template compatibility information. It is not production-published by the author.</w:t>
      </w:r>
    </w:p>
    <w:p>
      <w:pPr>
        <w:spacing w:after="80" w:line="240" w:lineRule="auto"/>
      </w:pPr>
      <w:r>
        <w:rPr>
          <w:b/>
          <w:i w:val="0"/>
          <w:sz w:val="19"/>
        </w:rPr>
        <w:t>Error/recovery:</w:t>
      </w:r>
      <w:r>
        <w:rPr>
          <w:sz w:val="19"/>
        </w:rPr>
        <w:t xml:space="preserve"> Missing/expired media, invalid response field, or unsupported task combination appears beside the relevant item. Correct and validate again; do not bypass a required media check.</w:t>
      </w:r>
    </w:p>
    <w:p>
      <w:pPr>
        <w:spacing w:after="80" w:line="240" w:lineRule="auto"/>
      </w:pPr>
      <w:r>
        <w:rPr>
          <w:b/>
          <w:i w:val="0"/>
          <w:sz w:val="19"/>
        </w:rPr>
        <w:t>Visibility/audit:</w:t>
      </w:r>
      <w:r>
        <w:rPr>
          <w:sz w:val="19"/>
        </w:rPr>
        <w:t xml:space="preserve"> Academic Staff sees assigned drafts/revisions; Academic Manager sees submitted drafts for review; Platform Admin sees permitted governance/support data; Host sees only published content. Draft submission and revision actions are auditable.</w:t>
      </w:r>
    </w:p>
    <w:p>
      <w:pPr>
        <w:spacing w:after="80" w:line="240" w:lineRule="auto"/>
      </w:pPr>
      <w:r>
        <w:rPr>
          <w:b/>
          <w:i w:val="0"/>
          <w:sz w:val="19"/>
        </w:rPr>
        <w:t>Traceability:</w:t>
      </w:r>
      <w:r>
        <w:rPr>
          <w:sz w:val="19"/>
        </w:rPr>
        <w:t xml:space="preserve"> </w:t>
      </w:r>
      <w:r>
        <w:rPr>
          <w:rFonts w:ascii="Consolas" w:hAnsi="Consolas"/>
          <w:b w:val="0"/>
          <w:i w:val="0"/>
          <w:sz w:val="17"/>
        </w:rPr>
        <w:t>WF-AUTHOR-DRAFT-001</w:t>
      </w:r>
      <w:r>
        <w:rPr>
          <w:sz w:val="19"/>
        </w:rPr>
        <w:t xml:space="preserve">, </w:t>
      </w:r>
      <w:r>
        <w:rPr>
          <w:rFonts w:ascii="Consolas" w:hAnsi="Consolas"/>
          <w:b w:val="0"/>
          <w:i w:val="0"/>
          <w:sz w:val="17"/>
        </w:rPr>
        <w:t>FR-CONTENT-001</w:t>
      </w:r>
      <w:r>
        <w:rPr>
          <w:sz w:val="19"/>
        </w:rPr>
        <w:t>–</w:t>
      </w:r>
      <w:r>
        <w:rPr>
          <w:rFonts w:ascii="Consolas" w:hAnsi="Consolas"/>
          <w:b w:val="0"/>
          <w:i w:val="0"/>
          <w:sz w:val="17"/>
        </w:rPr>
        <w:t>FR-CONTENT-003</w:t>
      </w:r>
      <w:r>
        <w:rPr>
          <w:sz w:val="19"/>
        </w:rPr>
        <w:t xml:space="preserve">, </w:t>
      </w:r>
      <w:r>
        <w:rPr>
          <w:rFonts w:ascii="Consolas" w:hAnsi="Consolas"/>
          <w:b w:val="0"/>
          <w:i w:val="0"/>
          <w:sz w:val="17"/>
        </w:rPr>
        <w:t>FR-INTEGRATION-002</w:t>
      </w:r>
      <w:r>
        <w:rPr>
          <w:sz w:val="19"/>
        </w:rPr>
        <w:t xml:space="preserve">, </w:t>
      </w:r>
      <w:r>
        <w:rPr>
          <w:rFonts w:ascii="Consolas" w:hAnsi="Consolas"/>
          <w:b w:val="0"/>
          <w:i w:val="0"/>
          <w:sz w:val="17"/>
        </w:rPr>
        <w:t>TC-CONTENT-001</w:t>
      </w:r>
      <w:r>
        <w:rPr>
          <w:sz w:val="19"/>
        </w:rPr>
        <w:t>.</w:t>
      </w:r>
    </w:p>
    <w:p>
      <w:pPr>
        <w:pStyle w:val="Heading4"/>
        <w:keepNext/>
        <w:pageBreakBefore w:val="0"/>
      </w:pPr>
      <w:r>
        <w:t>`WF-AUTHOR-TEMPLATE-001` — Prepare a Score Template draft</w:t>
      </w:r>
    </w:p>
    <w:p>
      <w:pPr>
        <w:spacing w:after="80" w:line="240" w:lineRule="auto"/>
      </w:pPr>
      <w:r>
        <w:rPr>
          <w:b/>
          <w:i w:val="0"/>
          <w:sz w:val="19"/>
        </w:rPr>
        <w:t>Prerequisites:</w:t>
      </w:r>
      <w:r>
        <w:rPr>
          <w:sz w:val="19"/>
        </w:rPr>
        <w:t xml:space="preserve"> Task rows, section weights, timing, and score-source policy are available.</w:t>
      </w:r>
    </w:p>
    <w:p>
      <w:pPr>
        <w:spacing w:after="80" w:line="240" w:lineRule="auto"/>
      </w:pPr>
      <w:r>
        <w:rPr>
          <w:b/>
          <w:i w:val="0"/>
          <w:sz w:val="19"/>
        </w:rPr>
        <w:t>Steps:</w:t>
      </w:r>
      <w:r>
        <w:rPr>
          <w:sz w:val="19"/>
        </w:rPr>
        <w:t xml:space="preserve"> Create template draft → select task rows from the current 23-row vocabulary → specify task count/timing/weight/source eligibility and channel flags → explicitly mark Personal Introduction unscored when included → validate → submit for Academic Manager review.</w:t>
      </w:r>
    </w:p>
    <w:p>
      <w:pPr>
        <w:spacing w:after="80" w:line="240" w:lineRule="auto"/>
      </w:pPr>
      <w:r>
        <w:rPr>
          <w:b/>
          <w:i w:val="0"/>
          <w:sz w:val="19"/>
        </w:rPr>
        <w:t>Expected result:</w:t>
      </w:r>
      <w:r>
        <w:rPr>
          <w:sz w:val="19"/>
        </w:rPr>
        <w:t xml:space="preserve"> Template status is submitted/pending approval; no new Host exam can select it until it is active.</w:t>
      </w:r>
    </w:p>
    <w:p>
      <w:pPr>
        <w:spacing w:after="80" w:line="240" w:lineRule="auto"/>
      </w:pPr>
      <w:r>
        <w:rPr>
          <w:b/>
          <w:i w:val="0"/>
          <w:sz w:val="19"/>
        </w:rPr>
        <w:t>Error/recovery:</w:t>
      </w:r>
      <w:r>
        <w:rPr>
          <w:sz w:val="19"/>
        </w:rPr>
        <w:t xml:space="preserve"> Invalid timing/weight/task combination remains draft with correction guidance. Do not alter a locked exam by editing the template.</w:t>
      </w:r>
    </w:p>
    <w:p>
      <w:pPr>
        <w:spacing w:after="80" w:line="240" w:lineRule="auto"/>
      </w:pPr>
      <w:r>
        <w:rPr>
          <w:b/>
          <w:i w:val="0"/>
          <w:sz w:val="19"/>
        </w:rPr>
        <w:t>Traceability:</w:t>
      </w:r>
      <w:r>
        <w:rPr>
          <w:sz w:val="19"/>
        </w:rPr>
        <w:t xml:space="preserve"> </w:t>
      </w:r>
      <w:r>
        <w:rPr>
          <w:rFonts w:ascii="Consolas" w:hAnsi="Consolas"/>
          <w:b w:val="0"/>
          <w:i w:val="0"/>
          <w:sz w:val="17"/>
        </w:rPr>
        <w:t>WF-AUTHOR-TEMPLATE-001</w:t>
      </w:r>
      <w:r>
        <w:rPr>
          <w:sz w:val="19"/>
        </w:rPr>
        <w:t xml:space="preserve">, </w:t>
      </w:r>
      <w:r>
        <w:rPr>
          <w:rFonts w:ascii="Consolas" w:hAnsi="Consolas"/>
          <w:b w:val="0"/>
          <w:i w:val="0"/>
          <w:sz w:val="17"/>
        </w:rPr>
        <w:t>FR-TEMPLATE-001</w:t>
      </w:r>
      <w:r>
        <w:rPr>
          <w:sz w:val="19"/>
        </w:rPr>
        <w:t>–</w:t>
      </w:r>
      <w:r>
        <w:rPr>
          <w:rFonts w:ascii="Consolas" w:hAnsi="Consolas"/>
          <w:b w:val="0"/>
          <w:i w:val="0"/>
          <w:sz w:val="17"/>
        </w:rPr>
        <w:t>FR-TEMPLATE-002</w:t>
      </w:r>
      <w:r>
        <w:rPr>
          <w:sz w:val="19"/>
        </w:rPr>
        <w:t xml:space="preserve">, </w:t>
      </w:r>
      <w:r>
        <w:rPr>
          <w:rFonts w:ascii="Consolas" w:hAnsi="Consolas"/>
          <w:b w:val="0"/>
          <w:i w:val="0"/>
          <w:sz w:val="17"/>
        </w:rPr>
        <w:t>BR-CONTENT-014</w:t>
      </w:r>
      <w:r>
        <w:rPr>
          <w:sz w:val="19"/>
        </w:rPr>
        <w:t>–</w:t>
      </w:r>
      <w:r>
        <w:rPr>
          <w:rFonts w:ascii="Consolas" w:hAnsi="Consolas"/>
          <w:b w:val="0"/>
          <w:i w:val="0"/>
          <w:sz w:val="17"/>
        </w:rPr>
        <w:t>BR-CONTENT-016</w:t>
      </w:r>
      <w:r>
        <w:rPr>
          <w:sz w:val="19"/>
        </w:rPr>
        <w:t xml:space="preserve">, </w:t>
      </w:r>
      <w:r>
        <w:rPr>
          <w:rFonts w:ascii="Consolas" w:hAnsi="Consolas"/>
          <w:b w:val="0"/>
          <w:i w:val="0"/>
          <w:sz w:val="17"/>
        </w:rPr>
        <w:t>TC-EXAM-002</w:t>
      </w:r>
      <w:r>
        <w:rPr>
          <w:sz w:val="19"/>
        </w:rPr>
        <w:t>.</w:t>
      </w:r>
    </w:p>
    <w:p>
      <w:pPr>
        <w:pStyle w:val="Heading3"/>
        <w:keepNext/>
        <w:pageBreakBefore w:val="0"/>
      </w:pPr>
      <w:r>
        <w:t>3.4 Host workflows</w:t>
      </w:r>
    </w:p>
    <w:p>
      <w:pPr>
        <w:pStyle w:val="Heading4"/>
        <w:keepNext/>
        <w:pageBreakBefore w:val="0"/>
      </w:pPr>
      <w:r>
        <w:t>`WF-HOST-PACKAGE-001` — Activate an organization package</w:t>
      </w:r>
    </w:p>
    <w:p>
      <w:pPr>
        <w:spacing w:after="80" w:line="240" w:lineRule="auto"/>
      </w:pPr>
      <w:r>
        <w:rPr>
          <w:b/>
          <w:i w:val="0"/>
          <w:sz w:val="19"/>
        </w:rPr>
        <w:t>Prerequisites:</w:t>
      </w:r>
      <w:r>
        <w:rPr>
          <w:sz w:val="19"/>
        </w:rPr>
        <w:t xml:space="preserve"> Organization registration is approved; Host is signed in; eligible order/license is available.</w:t>
      </w:r>
    </w:p>
    <w:p>
      <w:pPr>
        <w:spacing w:after="80" w:line="240" w:lineRule="auto"/>
      </w:pPr>
      <w:r>
        <w:rPr>
          <w:b/>
          <w:i w:val="0"/>
          <w:sz w:val="19"/>
        </w:rPr>
        <w:t>Steps:</w:t>
      </w:r>
      <w:r>
        <w:rPr>
          <w:sz w:val="19"/>
        </w:rPr>
        <w:t xml:space="preserve"> Open package area → review package limits/dates → create order or enter license code → wait for verified callback/activation state → confirm subscription/license is active.</w:t>
      </w:r>
    </w:p>
    <w:p>
      <w:pPr>
        <w:spacing w:after="80" w:line="240" w:lineRule="auto"/>
      </w:pPr>
      <w:r>
        <w:rPr>
          <w:b/>
          <w:i w:val="0"/>
          <w:sz w:val="19"/>
        </w:rPr>
        <w:t>Expected result:</w:t>
      </w:r>
      <w:r>
        <w:rPr>
          <w:sz w:val="19"/>
        </w:rPr>
        <w:t xml:space="preserve"> Organization package state and available capacity are visible. Student is not asked to pay or own the package.</w:t>
      </w:r>
    </w:p>
    <w:p>
      <w:pPr>
        <w:spacing w:after="80" w:line="240" w:lineRule="auto"/>
      </w:pPr>
      <w:r>
        <w:rPr>
          <w:b/>
          <w:i w:val="0"/>
          <w:sz w:val="19"/>
        </w:rPr>
        <w:t>Error/recovery:</w:t>
      </w:r>
      <w:r>
        <w:rPr>
          <w:sz w:val="19"/>
        </w:rPr>
        <w:t xml:space="preserve"> Browser return without verified callback is not success. For pending/failed/duplicate state, keep the correlation reference and contact Platform Admin/integration support.</w:t>
      </w:r>
    </w:p>
    <w:p>
      <w:pPr>
        <w:spacing w:after="80" w:line="240" w:lineRule="auto"/>
      </w:pPr>
      <w:r>
        <w:rPr>
          <w:b/>
          <w:i w:val="0"/>
          <w:sz w:val="19"/>
        </w:rPr>
        <w:t>Visibility/audit:</w:t>
      </w:r>
      <w:r>
        <w:rPr>
          <w:sz w:val="19"/>
        </w:rPr>
        <w:t xml:space="preserve"> Host sees organization package data; Platform Admin sees platform/package audit. Payment/license status changes are audited.</w:t>
      </w:r>
    </w:p>
    <w:p>
      <w:pPr>
        <w:spacing w:after="80" w:line="240" w:lineRule="auto"/>
      </w:pPr>
      <w:r>
        <w:rPr>
          <w:b/>
          <w:i w:val="0"/>
          <w:sz w:val="19"/>
        </w:rPr>
        <w:t>Traceability:</w:t>
      </w:r>
      <w:r>
        <w:rPr>
          <w:sz w:val="19"/>
        </w:rPr>
        <w:t xml:space="preserve"> </w:t>
      </w:r>
      <w:r>
        <w:rPr>
          <w:rFonts w:ascii="Consolas" w:hAnsi="Consolas"/>
          <w:b w:val="0"/>
          <w:i w:val="0"/>
          <w:sz w:val="17"/>
        </w:rPr>
        <w:t>WF-HOST-PACKAGE-001</w:t>
      </w:r>
      <w:r>
        <w:rPr>
          <w:sz w:val="19"/>
        </w:rPr>
        <w:t xml:space="preserve">, </w:t>
      </w:r>
      <w:r>
        <w:rPr>
          <w:rFonts w:ascii="Consolas" w:hAnsi="Consolas"/>
          <w:b w:val="0"/>
          <w:i w:val="0"/>
          <w:sz w:val="17"/>
        </w:rPr>
        <w:t>FR-PACKAGE-002</w:t>
      </w:r>
      <w:r>
        <w:rPr>
          <w:sz w:val="19"/>
        </w:rPr>
        <w:t>–</w:t>
      </w:r>
      <w:r>
        <w:rPr>
          <w:rFonts w:ascii="Consolas" w:hAnsi="Consolas"/>
          <w:b w:val="0"/>
          <w:i w:val="0"/>
          <w:sz w:val="17"/>
        </w:rPr>
        <w:t>FR-PACKAGE-006</w:t>
      </w:r>
      <w:r>
        <w:rPr>
          <w:sz w:val="19"/>
        </w:rPr>
        <w:t xml:space="preserve">, </w:t>
      </w:r>
      <w:r>
        <w:rPr>
          <w:rFonts w:ascii="Consolas" w:hAnsi="Consolas"/>
          <w:b w:val="0"/>
          <w:i w:val="0"/>
          <w:sz w:val="17"/>
        </w:rPr>
        <w:t>BR-PACKAGE-017</w:t>
      </w:r>
      <w:r>
        <w:rPr>
          <w:sz w:val="19"/>
        </w:rPr>
        <w:t>–</w:t>
      </w:r>
      <w:r>
        <w:rPr>
          <w:rFonts w:ascii="Consolas" w:hAnsi="Consolas"/>
          <w:b w:val="0"/>
          <w:i w:val="0"/>
          <w:sz w:val="17"/>
        </w:rPr>
        <w:t>BR-PACKAGE-021</w:t>
      </w:r>
      <w:r>
        <w:rPr>
          <w:sz w:val="19"/>
        </w:rPr>
        <w:t xml:space="preserve">, </w:t>
      </w:r>
      <w:r>
        <w:rPr>
          <w:rFonts w:ascii="Consolas" w:hAnsi="Consolas"/>
          <w:b w:val="0"/>
          <w:i w:val="0"/>
          <w:sz w:val="17"/>
        </w:rPr>
        <w:t>TC-PACKAGE-001</w:t>
      </w:r>
      <w:r>
        <w:rPr>
          <w:sz w:val="19"/>
        </w:rPr>
        <w:t>–</w:t>
      </w:r>
      <w:r>
        <w:rPr>
          <w:rFonts w:ascii="Consolas" w:hAnsi="Consolas"/>
          <w:b w:val="0"/>
          <w:i w:val="0"/>
          <w:sz w:val="17"/>
        </w:rPr>
        <w:t>TC-PACKAGE-002</w:t>
      </w:r>
      <w:r>
        <w:rPr>
          <w:sz w:val="19"/>
        </w:rPr>
        <w:t>.</w:t>
      </w:r>
    </w:p>
    <w:p>
      <w:pPr>
        <w:pStyle w:val="Heading4"/>
        <w:keepNext/>
        <w:pageBreakBefore w:val="0"/>
      </w:pPr>
      <w:r>
        <w:t>`WF-HOST-ROSTER-001` — Prepare Students, classes, and staff</w:t>
      </w:r>
    </w:p>
    <w:p>
      <w:pPr>
        <w:spacing w:after="80" w:line="240" w:lineRule="auto"/>
      </w:pPr>
      <w:r>
        <w:rPr>
          <w:b/>
          <w:i w:val="0"/>
          <w:sz w:val="19"/>
        </w:rPr>
        <w:t>Prerequisites:</w:t>
      </w:r>
      <w:r>
        <w:rPr>
          <w:sz w:val="19"/>
        </w:rPr>
        <w:t xml:space="preserve"> Host has an active organization and sufficient Student capacity.</w:t>
      </w:r>
    </w:p>
    <w:p>
      <w:pPr>
        <w:spacing w:after="80" w:line="240" w:lineRule="auto"/>
      </w:pPr>
      <w:r>
        <w:rPr>
          <w:b/>
          <w:i w:val="0"/>
          <w:sz w:val="19"/>
        </w:rPr>
        <w:t>Steps:</w:t>
      </w:r>
      <w:r>
        <w:rPr>
          <w:sz w:val="19"/>
        </w:rPr>
        <w:t xml:space="preserve"> Create/import Students → review row-level validation → resolve duplicates/missing data → create programs/classes → assign memberships → add Proctors/Examiners with appropriate scope → review roster.</w:t>
      </w:r>
    </w:p>
    <w:p>
      <w:pPr>
        <w:spacing w:after="80" w:line="240" w:lineRule="auto"/>
      </w:pPr>
      <w:r>
        <w:rPr>
          <w:b/>
          <w:i w:val="0"/>
          <w:sz w:val="19"/>
        </w:rPr>
        <w:t>Expected result:</w:t>
      </w:r>
      <w:r>
        <w:rPr>
          <w:sz w:val="19"/>
        </w:rPr>
        <w:t xml:space="preserve"> Roster is tenant-scoped; membership and staff assignments are visible and ready for exam selection.</w:t>
      </w:r>
    </w:p>
    <w:p>
      <w:pPr>
        <w:spacing w:after="80" w:line="240" w:lineRule="auto"/>
      </w:pPr>
      <w:r>
        <w:rPr>
          <w:b/>
          <w:i w:val="0"/>
          <w:sz w:val="19"/>
        </w:rPr>
        <w:t>Error/recovery:</w:t>
      </w:r>
      <w:r>
        <w:rPr>
          <w:sz w:val="19"/>
        </w:rPr>
        <w:t xml:space="preserve"> Invalid import rows remain uncommitted or clearly separated. A duplicate/conflicting Student is not silently added. Ask Platform Admin/support for account issues.</w:t>
      </w:r>
    </w:p>
    <w:p>
      <w:pPr>
        <w:spacing w:after="80" w:line="240" w:lineRule="auto"/>
      </w:pPr>
      <w:r>
        <w:rPr>
          <w:b/>
          <w:i w:val="0"/>
          <w:sz w:val="19"/>
        </w:rPr>
        <w:t>Visibility/audit:</w:t>
      </w:r>
      <w:r>
        <w:rPr>
          <w:sz w:val="19"/>
        </w:rPr>
        <w:t xml:space="preserve"> Host sees own organization; Proctor/Examiner later see assigned work only. Import, membership, and staff assignment changes are audited.</w:t>
      </w:r>
    </w:p>
    <w:p>
      <w:pPr>
        <w:spacing w:after="80" w:line="240" w:lineRule="auto"/>
      </w:pPr>
      <w:r>
        <w:rPr>
          <w:b/>
          <w:i w:val="0"/>
          <w:sz w:val="19"/>
        </w:rPr>
        <w:t>Traceability:</w:t>
      </w:r>
      <w:r>
        <w:rPr>
          <w:sz w:val="19"/>
        </w:rPr>
        <w:t xml:space="preserve"> </w:t>
      </w:r>
      <w:r>
        <w:rPr>
          <w:rFonts w:ascii="Consolas" w:hAnsi="Consolas"/>
          <w:b w:val="0"/>
          <w:i w:val="0"/>
          <w:sz w:val="17"/>
        </w:rPr>
        <w:t>WF-HOST-ROSTER-001</w:t>
      </w:r>
      <w:r>
        <w:rPr>
          <w:sz w:val="19"/>
        </w:rPr>
        <w:t xml:space="preserve">, </w:t>
      </w:r>
      <w:r>
        <w:rPr>
          <w:rFonts w:ascii="Consolas" w:hAnsi="Consolas"/>
          <w:b w:val="0"/>
          <w:i w:val="0"/>
          <w:sz w:val="17"/>
        </w:rPr>
        <w:t>FR-ORG-001</w:t>
      </w:r>
      <w:r>
        <w:rPr>
          <w:sz w:val="19"/>
        </w:rPr>
        <w:t>–</w:t>
      </w:r>
      <w:r>
        <w:rPr>
          <w:rFonts w:ascii="Consolas" w:hAnsi="Consolas"/>
          <w:b w:val="0"/>
          <w:i w:val="0"/>
          <w:sz w:val="17"/>
        </w:rPr>
        <w:t>FR-ORG-004</w:t>
      </w:r>
      <w:r>
        <w:rPr>
          <w:sz w:val="19"/>
        </w:rPr>
        <w:t xml:space="preserve">, </w:t>
      </w:r>
      <w:r>
        <w:rPr>
          <w:rFonts w:ascii="Consolas" w:hAnsi="Consolas"/>
          <w:b w:val="0"/>
          <w:i w:val="0"/>
          <w:sz w:val="17"/>
        </w:rPr>
        <w:t>FR-ENROLL-001</w:t>
      </w:r>
      <w:r>
        <w:rPr>
          <w:sz w:val="19"/>
        </w:rPr>
        <w:t>–</w:t>
      </w:r>
      <w:r>
        <w:rPr>
          <w:rFonts w:ascii="Consolas" w:hAnsi="Consolas"/>
          <w:b w:val="0"/>
          <w:i w:val="0"/>
          <w:sz w:val="17"/>
        </w:rPr>
        <w:t>FR-ENROLL-002</w:t>
      </w:r>
      <w:r>
        <w:rPr>
          <w:sz w:val="19"/>
        </w:rPr>
        <w:t xml:space="preserve">, </w:t>
      </w:r>
      <w:r>
        <w:rPr>
          <w:rFonts w:ascii="Consolas" w:hAnsi="Consolas"/>
          <w:b w:val="0"/>
          <w:i w:val="0"/>
          <w:sz w:val="17"/>
        </w:rPr>
        <w:t>TC-ROSTER-001</w:t>
      </w:r>
      <w:r>
        <w:rPr>
          <w:sz w:val="19"/>
        </w:rPr>
        <w:t xml:space="preserve">, </w:t>
      </w:r>
      <w:r>
        <w:rPr>
          <w:rFonts w:ascii="Consolas" w:hAnsi="Consolas"/>
          <w:b w:val="0"/>
          <w:i w:val="0"/>
          <w:sz w:val="17"/>
        </w:rPr>
        <w:t>NFR-09</w:t>
      </w:r>
      <w:r>
        <w:rPr>
          <w:sz w:val="19"/>
        </w:rPr>
        <w:t>.</w:t>
      </w:r>
    </w:p>
    <w:p>
      <w:pPr>
        <w:pStyle w:val="Heading4"/>
        <w:keepNext/>
        <w:pageBreakBefore w:val="0"/>
      </w:pPr>
      <w:r>
        <w:t>`WF-HOST-CREATE-EXAM` — Create, validate, generate, and schedule</w:t>
      </w:r>
    </w:p>
    <w:p>
      <w:pPr>
        <w:spacing w:after="80" w:line="240" w:lineRule="auto"/>
      </w:pPr>
      <w:r>
        <w:rPr>
          <w:b/>
          <w:i w:val="0"/>
          <w:sz w:val="19"/>
        </w:rPr>
        <w:t>Prerequisites:</w:t>
      </w:r>
      <w:r>
        <w:rPr>
          <w:sz w:val="19"/>
        </w:rPr>
        <w:t xml:space="preserve"> Active content/media and Score Template; active package; roster; required Proctor/Examiner policy known.</w:t>
      </w:r>
    </w:p>
    <w:p>
      <w:pPr>
        <w:spacing w:after="80" w:line="240" w:lineRule="auto"/>
      </w:pPr>
      <w:r>
        <w:rPr>
          <w:b/>
          <w:i w:val="0"/>
          <w:sz w:val="19"/>
        </w:rPr>
        <w:t>Steps</w:t>
      </w:r>
    </w:p>
    <w:p>
      <w:pPr>
        <w:pStyle w:val="ListParagraph"/>
        <w:numPr>
          <w:ilvl w:val="0"/>
          <w:numId w:val="18"/>
        </w:numPr>
        <w:spacing w:after="40"/>
      </w:pPr>
      <w:r>
        <w:rPr>
          <w:sz w:val="18"/>
        </w:rPr>
        <w:t>Create an exam draft and choose mode/policy/date.</w:t>
      </w:r>
    </w:p>
    <w:p>
      <w:pPr>
        <w:pStyle w:val="ListParagraph"/>
        <w:numPr>
          <w:ilvl w:val="0"/>
          <w:numId w:val="18"/>
        </w:numPr>
        <w:spacing w:after="40"/>
      </w:pPr>
      <w:r>
        <w:rPr>
          <w:sz w:val="18"/>
        </w:rPr>
        <w:t>Select active Score Template and package.</w:t>
      </w:r>
    </w:p>
    <w:p>
      <w:pPr>
        <w:pStyle w:val="ListParagraph"/>
        <w:numPr>
          <w:ilvl w:val="0"/>
          <w:numId w:val="18"/>
        </w:numPr>
        <w:spacing w:after="40"/>
      </w:pPr>
      <w:r>
        <w:rPr>
          <w:sz w:val="18"/>
        </w:rPr>
        <w:t>Select Students/classes/programs; inspect deduplicated candidate preview.</w:t>
      </w:r>
    </w:p>
    <w:p>
      <w:pPr>
        <w:pStyle w:val="ListParagraph"/>
        <w:numPr>
          <w:ilvl w:val="0"/>
          <w:numId w:val="18"/>
        </w:numPr>
        <w:spacing w:after="40"/>
      </w:pPr>
      <w:r>
        <w:rPr>
          <w:sz w:val="18"/>
        </w:rPr>
        <w:t>Review capacity, date, content/media, conflict, assignment, and policy validation.</w:t>
      </w:r>
    </w:p>
    <w:p>
      <w:pPr>
        <w:pStyle w:val="ListParagraph"/>
        <w:numPr>
          <w:ilvl w:val="0"/>
          <w:numId w:val="18"/>
        </w:numPr>
        <w:spacing w:after="40"/>
      </w:pPr>
      <w:r>
        <w:rPr>
          <w:sz w:val="18"/>
        </w:rPr>
        <w:t>Resolve all blocking items.</w:t>
      </w:r>
    </w:p>
    <w:p>
      <w:pPr>
        <w:pStyle w:val="ListParagraph"/>
        <w:numPr>
          <w:ilvl w:val="0"/>
          <w:numId w:val="18"/>
        </w:numPr>
        <w:spacing w:after="40"/>
      </w:pPr>
      <w:r>
        <w:rPr>
          <w:sz w:val="18"/>
        </w:rPr>
        <w:t>Request generation and inspect fixed version/form/provenance status.</w:t>
      </w:r>
    </w:p>
    <w:p>
      <w:pPr>
        <w:pStyle w:val="ListParagraph"/>
        <w:numPr>
          <w:ilvl w:val="0"/>
          <w:numId w:val="18"/>
        </w:numPr>
        <w:spacing w:after="40"/>
      </w:pPr>
      <w:r>
        <w:rPr>
          <w:sz w:val="18"/>
        </w:rPr>
        <w:t>Publish/schedule only when the generated version is ready.</w:t>
      </w:r>
    </w:p>
    <w:p>
      <w:pPr>
        <w:spacing w:after="80" w:line="240" w:lineRule="auto"/>
      </w:pPr>
      <w:r>
        <w:rPr>
          <w:b/>
          <w:i w:val="0"/>
          <w:sz w:val="19"/>
        </w:rPr>
        <w:t>Expected result:</w:t>
      </w:r>
      <w:r>
        <w:rPr>
          <w:sz w:val="19"/>
        </w:rPr>
        <w:t xml:space="preserve"> Exam is published with frozen audience, task/media/template revisions, form mode, policy, and schedule. Student can enter only when open and eligible.</w:t>
      </w:r>
    </w:p>
    <w:p>
      <w:pPr>
        <w:spacing w:after="80" w:line="240" w:lineRule="auto"/>
      </w:pPr>
      <w:r>
        <w:rPr>
          <w:b/>
          <w:i w:val="0"/>
          <w:sz w:val="19"/>
        </w:rPr>
        <w:t>Error/recovery:</w:t>
      </w:r>
      <w:r>
        <w:rPr>
          <w:sz w:val="19"/>
        </w:rPr>
        <w:t xml:space="preserve"> If generation is pending/error, wait or use the approved retry/cancel action; do not publish partial forms. If validation identifies capacity/conflict, correct the draft and revalidate.</w:t>
      </w:r>
    </w:p>
    <w:p>
      <w:pPr>
        <w:spacing w:after="80" w:line="240" w:lineRule="auto"/>
      </w:pPr>
      <w:r>
        <w:rPr>
          <w:b/>
          <w:i w:val="0"/>
          <w:sz w:val="19"/>
        </w:rPr>
        <w:t>Visibility/audit:</w:t>
      </w:r>
      <w:r>
        <w:rPr>
          <w:sz w:val="19"/>
        </w:rPr>
        <w:t xml:space="preserve"> Host sees full organization exam state; assigned Proctor/Examiner see only their scope; Student sees an eligible assignment. Validation, generation, publication, and policy actions are audited.</w:t>
      </w:r>
    </w:p>
    <w:p>
      <w:pPr>
        <w:spacing w:after="80" w:line="240" w:lineRule="auto"/>
      </w:pPr>
      <w:r>
        <w:rPr>
          <w:b/>
          <w:i w:val="0"/>
          <w:sz w:val="19"/>
        </w:rPr>
        <w:t>Traceability:</w:t>
      </w:r>
      <w:r>
        <w:rPr>
          <w:sz w:val="19"/>
        </w:rPr>
        <w:t xml:space="preserve"> </w:t>
      </w:r>
      <w:r>
        <w:rPr>
          <w:rFonts w:ascii="Consolas" w:hAnsi="Consolas"/>
          <w:b w:val="0"/>
          <w:i w:val="0"/>
          <w:sz w:val="17"/>
        </w:rPr>
        <w:t>WF-HOST-CREATE-EXAM</w:t>
      </w:r>
      <w:r>
        <w:rPr>
          <w:sz w:val="19"/>
        </w:rPr>
        <w:t xml:space="preserve">, </w:t>
      </w:r>
      <w:r>
        <w:rPr>
          <w:rFonts w:ascii="Consolas" w:hAnsi="Consolas"/>
          <w:b w:val="0"/>
          <w:i w:val="0"/>
          <w:sz w:val="17"/>
        </w:rPr>
        <w:t>FR-EXAM-001</w:t>
      </w:r>
      <w:r>
        <w:rPr>
          <w:sz w:val="19"/>
        </w:rPr>
        <w:t>–</w:t>
      </w:r>
      <w:r>
        <w:rPr>
          <w:rFonts w:ascii="Consolas" w:hAnsi="Consolas"/>
          <w:b w:val="0"/>
          <w:i w:val="0"/>
          <w:sz w:val="17"/>
        </w:rPr>
        <w:t>FR-EXAM-009</w:t>
      </w:r>
      <w:r>
        <w:rPr>
          <w:sz w:val="19"/>
        </w:rPr>
        <w:t xml:space="preserve">, </w:t>
      </w:r>
      <w:r>
        <w:rPr>
          <w:rFonts w:ascii="Consolas" w:hAnsi="Consolas"/>
          <w:b w:val="0"/>
          <w:i w:val="0"/>
          <w:sz w:val="17"/>
        </w:rPr>
        <w:t>FR-HARDENING-001</w:t>
      </w:r>
      <w:r>
        <w:rPr>
          <w:sz w:val="19"/>
        </w:rPr>
        <w:t xml:space="preserve">, </w:t>
      </w:r>
      <w:r>
        <w:rPr>
          <w:rFonts w:ascii="Consolas" w:hAnsi="Consolas"/>
          <w:b w:val="0"/>
          <w:i w:val="0"/>
          <w:sz w:val="17"/>
        </w:rPr>
        <w:t>SD-EXAM-STATE-001</w:t>
      </w:r>
      <w:r>
        <w:rPr>
          <w:sz w:val="19"/>
        </w:rPr>
        <w:t xml:space="preserve">, </w:t>
      </w:r>
      <w:r>
        <w:rPr>
          <w:rFonts w:ascii="Consolas" w:hAnsi="Consolas"/>
          <w:b w:val="0"/>
          <w:i w:val="0"/>
          <w:sz w:val="17"/>
        </w:rPr>
        <w:t>TC-EXAM-001</w:t>
      </w:r>
      <w:r>
        <w:rPr>
          <w:sz w:val="19"/>
        </w:rPr>
        <w:t>–</w:t>
      </w:r>
      <w:r>
        <w:rPr>
          <w:rFonts w:ascii="Consolas" w:hAnsi="Consolas"/>
          <w:b w:val="0"/>
          <w:i w:val="0"/>
          <w:sz w:val="17"/>
        </w:rPr>
        <w:t>TC-EXAM-003</w:t>
      </w:r>
      <w:r>
        <w:rPr>
          <w:sz w:val="19"/>
        </w:rPr>
        <w:t xml:space="preserve">, </w:t>
      </w:r>
      <w:r>
        <w:rPr>
          <w:rFonts w:ascii="Consolas" w:hAnsi="Consolas"/>
          <w:b w:val="0"/>
          <w:i w:val="0"/>
          <w:sz w:val="17"/>
        </w:rPr>
        <w:t>TBD-GENERATION-001</w:t>
      </w:r>
      <w:r>
        <w:rPr>
          <w:sz w:val="19"/>
        </w:rPr>
        <w:t xml:space="preserve">, </w:t>
      </w:r>
      <w:r>
        <w:rPr>
          <w:rFonts w:ascii="Consolas" w:hAnsi="Consolas"/>
          <w:b w:val="0"/>
          <w:i w:val="0"/>
          <w:sz w:val="17"/>
        </w:rPr>
        <w:t>TBD-VERSION-001</w:t>
      </w:r>
      <w:r>
        <w:rPr>
          <w:sz w:val="19"/>
        </w:rPr>
        <w:t>.</w:t>
      </w:r>
    </w:p>
    <w:p>
      <w:pPr>
        <w:pStyle w:val="Heading4"/>
        <w:keepNext/>
        <w:pageBreakBefore w:val="0"/>
      </w:pPr>
      <w:r>
        <w:t>`WF-HOST-PUBLISH-REPORT` — Review scores and publish a report</w:t>
      </w:r>
    </w:p>
    <w:p>
      <w:pPr>
        <w:spacing w:after="80" w:line="240" w:lineRule="auto"/>
      </w:pPr>
      <w:r>
        <w:rPr>
          <w:b/>
          <w:i w:val="0"/>
          <w:sz w:val="19"/>
        </w:rPr>
        <w:t>Prerequisites:</w:t>
      </w:r>
      <w:r>
        <w:rPr>
          <w:sz w:val="19"/>
        </w:rPr>
        <w:t xml:space="preserve"> Attempt submitted; objective/AI/Examiner sources available or their pending/error state understood.</w:t>
      </w:r>
    </w:p>
    <w:p>
      <w:pPr>
        <w:spacing w:after="80" w:line="240" w:lineRule="auto"/>
      </w:pPr>
      <w:r>
        <w:rPr>
          <w:b/>
          <w:i w:val="0"/>
          <w:sz w:val="19"/>
        </w:rPr>
        <w:t>Steps:</w:t>
      </w:r>
      <w:r>
        <w:rPr>
          <w:sz w:val="19"/>
        </w:rPr>
        <w:t xml:space="preserve"> Open scoring/report workspace → review source/status per task/section → assign/reassign Examiner work if allowed → choose permitted final source → run readiness check → resolve blockers → publish report → verify publication/audit state.</w:t>
      </w:r>
    </w:p>
    <w:p>
      <w:pPr>
        <w:spacing w:after="80" w:line="240" w:lineRule="auto"/>
      </w:pPr>
      <w:r>
        <w:rPr>
          <w:b/>
          <w:i w:val="0"/>
          <w:sz w:val="19"/>
        </w:rPr>
        <w:t>Expected result:</w:t>
      </w:r>
      <w:r>
        <w:rPr>
          <w:sz w:val="19"/>
        </w:rPr>
        <w:t xml:space="preserve"> Report is published only when required sources and decisions are ready. Student sees only the own published report.</w:t>
      </w:r>
    </w:p>
    <w:p>
      <w:pPr>
        <w:spacing w:after="80" w:line="240" w:lineRule="auto"/>
      </w:pPr>
      <w:r>
        <w:rPr>
          <w:b/>
          <w:i w:val="0"/>
          <w:sz w:val="19"/>
        </w:rPr>
        <w:t>Error/recovery:</w:t>
      </w:r>
      <w:r>
        <w:rPr>
          <w:sz w:val="19"/>
        </w:rPr>
        <w:t xml:space="preserve"> Pending/failed score blocks publication and identifies the source. Notification failure does not undo publication. Escalate AI policy/provider gaps under </w:t>
      </w:r>
      <w:r>
        <w:rPr>
          <w:rFonts w:ascii="Consolas" w:hAnsi="Consolas"/>
          <w:b w:val="0"/>
          <w:i w:val="0"/>
          <w:sz w:val="17"/>
        </w:rPr>
        <w:t>TBD-AI-001</w:t>
      </w:r>
      <w:r>
        <w:rPr>
          <w:sz w:val="19"/>
        </w:rPr>
        <w:t>/</w:t>
      </w:r>
      <w:r>
        <w:rPr>
          <w:rFonts w:ascii="Consolas" w:hAnsi="Consolas"/>
          <w:b w:val="0"/>
          <w:i w:val="0"/>
          <w:sz w:val="17"/>
        </w:rPr>
        <w:t>TBD-AI-002</w:t>
      </w:r>
      <w:r>
        <w:rPr>
          <w:sz w:val="19"/>
        </w:rPr>
        <w:t>.</w:t>
      </w:r>
    </w:p>
    <w:p>
      <w:pPr>
        <w:spacing w:after="80" w:line="240" w:lineRule="auto"/>
      </w:pPr>
      <w:r>
        <w:rPr>
          <w:b/>
          <w:i w:val="0"/>
          <w:sz w:val="19"/>
        </w:rPr>
        <w:t>Visibility/audit:</w:t>
      </w:r>
      <w:r>
        <w:rPr>
          <w:sz w:val="19"/>
        </w:rPr>
        <w:t xml:space="preserve"> Host sees organization reports; Examiner sees assigned scoring context; Student sees own report after publication. Source selection and publication are audited.</w:t>
      </w:r>
    </w:p>
    <w:p>
      <w:pPr>
        <w:spacing w:after="80" w:line="240" w:lineRule="auto"/>
      </w:pPr>
      <w:r>
        <w:rPr>
          <w:b/>
          <w:i w:val="0"/>
          <w:sz w:val="19"/>
        </w:rPr>
        <w:t>Traceability:</w:t>
      </w:r>
      <w:r>
        <w:rPr>
          <w:sz w:val="19"/>
        </w:rPr>
        <w:t xml:space="preserve"> </w:t>
      </w:r>
      <w:r>
        <w:rPr>
          <w:rFonts w:ascii="Consolas" w:hAnsi="Consolas"/>
          <w:b w:val="0"/>
          <w:i w:val="0"/>
          <w:sz w:val="17"/>
        </w:rPr>
        <w:t>WF-HOST-PUBLISH-REPORT</w:t>
      </w:r>
      <w:r>
        <w:rPr>
          <w:sz w:val="19"/>
        </w:rPr>
        <w:t xml:space="preserve">, </w:t>
      </w:r>
      <w:r>
        <w:rPr>
          <w:rFonts w:ascii="Consolas" w:hAnsi="Consolas"/>
          <w:b w:val="0"/>
          <w:i w:val="0"/>
          <w:sz w:val="17"/>
        </w:rPr>
        <w:t>FR-SCORE-001</w:t>
      </w:r>
      <w:r>
        <w:rPr>
          <w:sz w:val="19"/>
        </w:rPr>
        <w:t>–</w:t>
      </w:r>
      <w:r>
        <w:rPr>
          <w:rFonts w:ascii="Consolas" w:hAnsi="Consolas"/>
          <w:b w:val="0"/>
          <w:i w:val="0"/>
          <w:sz w:val="17"/>
        </w:rPr>
        <w:t>FR-SCORE-007</w:t>
      </w:r>
      <w:r>
        <w:rPr>
          <w:sz w:val="19"/>
        </w:rPr>
        <w:t xml:space="preserve">, </w:t>
      </w:r>
      <w:r>
        <w:rPr>
          <w:rFonts w:ascii="Consolas" w:hAnsi="Consolas"/>
          <w:b w:val="0"/>
          <w:i w:val="0"/>
          <w:sz w:val="17"/>
        </w:rPr>
        <w:t>FR-REPORT-001</w:t>
      </w:r>
      <w:r>
        <w:rPr>
          <w:sz w:val="19"/>
        </w:rPr>
        <w:t>–</w:t>
      </w:r>
      <w:r>
        <w:rPr>
          <w:rFonts w:ascii="Consolas" w:hAnsi="Consolas"/>
          <w:b w:val="0"/>
          <w:i w:val="0"/>
          <w:sz w:val="17"/>
        </w:rPr>
        <w:t>FR-REPORT-005</w:t>
      </w:r>
      <w:r>
        <w:rPr>
          <w:sz w:val="19"/>
        </w:rPr>
        <w:t xml:space="preserve">, </w:t>
      </w:r>
      <w:r>
        <w:rPr>
          <w:rFonts w:ascii="Consolas" w:hAnsi="Consolas"/>
          <w:b w:val="0"/>
          <w:i w:val="0"/>
          <w:sz w:val="17"/>
        </w:rPr>
        <w:t>SEQ-SCORE-PUBLISH-001</w:t>
      </w:r>
      <w:r>
        <w:rPr>
          <w:sz w:val="19"/>
        </w:rPr>
        <w:t xml:space="preserve">, </w:t>
      </w:r>
      <w:r>
        <w:rPr>
          <w:rFonts w:ascii="Consolas" w:hAnsi="Consolas"/>
          <w:b w:val="0"/>
          <w:i w:val="0"/>
          <w:sz w:val="17"/>
        </w:rPr>
        <w:t>TC-SCORE-001</w:t>
      </w:r>
      <w:r>
        <w:rPr>
          <w:sz w:val="19"/>
        </w:rPr>
        <w:t>–</w:t>
      </w:r>
      <w:r>
        <w:rPr>
          <w:rFonts w:ascii="Consolas" w:hAnsi="Consolas"/>
          <w:b w:val="0"/>
          <w:i w:val="0"/>
          <w:sz w:val="17"/>
        </w:rPr>
        <w:t>TC-REPORT-001</w:t>
      </w:r>
      <w:r>
        <w:rPr>
          <w:sz w:val="19"/>
        </w:rPr>
        <w:t>.</w:t>
      </w:r>
    </w:p>
    <w:p>
      <w:pPr>
        <w:pStyle w:val="Heading3"/>
        <w:keepNext/>
        <w:pageBreakBefore w:val="0"/>
      </w:pPr>
      <w:r>
        <w:t>3.5 Proctor workflows</w:t>
      </w:r>
    </w:p>
    <w:p>
      <w:pPr>
        <w:pStyle w:val="Heading4"/>
        <w:keepNext/>
        <w:pageBreakBefore w:val="0"/>
      </w:pPr>
      <w:r>
        <w:t>`WF-PROCTOR-MONITOR-001` — Monitor an assigned exam</w:t>
      </w:r>
    </w:p>
    <w:p>
      <w:pPr>
        <w:spacing w:after="80" w:line="240" w:lineRule="auto"/>
      </w:pPr>
      <w:r>
        <w:rPr>
          <w:b/>
          <w:i w:val="0"/>
          <w:sz w:val="19"/>
        </w:rPr>
        <w:t>Prerequisites:</w:t>
      </w:r>
      <w:r>
        <w:rPr>
          <w:sz w:val="19"/>
        </w:rPr>
        <w:t xml:space="preserve"> Proctor account is active and assigned to the exam; exam policy is visible.</w:t>
      </w:r>
    </w:p>
    <w:p>
      <w:pPr>
        <w:spacing w:after="80" w:line="240" w:lineRule="auto"/>
      </w:pPr>
      <w:r>
        <w:rPr>
          <w:b/>
          <w:i w:val="0"/>
          <w:sz w:val="19"/>
        </w:rPr>
        <w:t>Steps:</w:t>
      </w:r>
      <w:r>
        <w:rPr>
          <w:sz w:val="19"/>
        </w:rPr>
        <w:t xml:space="preserve"> Open assigned monitoring workspace → select exam → review Student/attempt/device/sync status → assist only within policy → record warning/violation with type/detail/severity → confirm event status.</w:t>
      </w:r>
    </w:p>
    <w:p>
      <w:pPr>
        <w:spacing w:after="80" w:line="240" w:lineRule="auto"/>
      </w:pPr>
      <w:r>
        <w:rPr>
          <w:b/>
          <w:i w:val="0"/>
          <w:sz w:val="19"/>
        </w:rPr>
        <w:t>Expected result:</w:t>
      </w:r>
      <w:r>
        <w:rPr>
          <w:sz w:val="19"/>
        </w:rPr>
        <w:t xml:space="preserve"> Proctor sees assigned data and records a traceable event. Practice policy warnings/audit do not automatically invalidate an attempt unless the fixed policy says so.</w:t>
      </w:r>
    </w:p>
    <w:p>
      <w:pPr>
        <w:spacing w:after="80" w:line="240" w:lineRule="auto"/>
      </w:pPr>
      <w:r>
        <w:rPr>
          <w:b/>
          <w:i w:val="0"/>
          <w:sz w:val="19"/>
        </w:rPr>
        <w:t>Error/recovery:</w:t>
      </w:r>
      <w:r>
        <w:rPr>
          <w:sz w:val="19"/>
        </w:rPr>
        <w:t xml:space="preserve"> Unassigned exam is denied. If event synchronization is pending/error, do not claim delivery; retain the visible event reference and escalate under </w:t>
      </w:r>
      <w:r>
        <w:rPr>
          <w:rFonts w:ascii="Consolas" w:hAnsi="Consolas"/>
          <w:b w:val="0"/>
          <w:i w:val="0"/>
          <w:sz w:val="17"/>
        </w:rPr>
        <w:t>TBD-PROCTOR-001</w:t>
      </w:r>
      <w:r>
        <w:rPr>
          <w:sz w:val="19"/>
        </w:rPr>
        <w:t>.</w:t>
      </w:r>
    </w:p>
    <w:p>
      <w:pPr>
        <w:spacing w:after="80" w:line="240" w:lineRule="auto"/>
      </w:pPr>
      <w:r>
        <w:rPr>
          <w:b/>
          <w:i w:val="0"/>
          <w:sz w:val="19"/>
        </w:rPr>
        <w:t>Visibility/audit:</w:t>
      </w:r>
      <w:r>
        <w:rPr>
          <w:sz w:val="19"/>
        </w:rPr>
        <w:t xml:space="preserve"> Host can review organization policy/event state; Student sees only what policy allows; Examiner does not receive unrelated Proctor details. Assignment, assistance, violation, and intervention actions are audited.</w:t>
      </w:r>
    </w:p>
    <w:p>
      <w:pPr>
        <w:spacing w:after="80" w:line="240" w:lineRule="auto"/>
      </w:pPr>
      <w:r>
        <w:rPr>
          <w:b/>
          <w:i w:val="0"/>
          <w:sz w:val="19"/>
        </w:rPr>
        <w:t>Traceability:</w:t>
      </w:r>
      <w:r>
        <w:rPr>
          <w:sz w:val="19"/>
        </w:rPr>
        <w:t xml:space="preserve"> </w:t>
      </w:r>
      <w:r>
        <w:rPr>
          <w:rFonts w:ascii="Consolas" w:hAnsi="Consolas"/>
          <w:b w:val="0"/>
          <w:i w:val="0"/>
          <w:sz w:val="17"/>
        </w:rPr>
        <w:t>WF-PROCTOR-MONITOR-001</w:t>
      </w:r>
      <w:r>
        <w:rPr>
          <w:sz w:val="19"/>
        </w:rPr>
        <w:t xml:space="preserve">, </w:t>
      </w:r>
      <w:r>
        <w:rPr>
          <w:rFonts w:ascii="Consolas" w:hAnsi="Consolas"/>
          <w:b w:val="0"/>
          <w:i w:val="0"/>
          <w:sz w:val="17"/>
        </w:rPr>
        <w:t>FR-INTEGRITY-001</w:t>
      </w:r>
      <w:r>
        <w:rPr>
          <w:sz w:val="19"/>
        </w:rPr>
        <w:t>–</w:t>
      </w:r>
      <w:r>
        <w:rPr>
          <w:rFonts w:ascii="Consolas" w:hAnsi="Consolas"/>
          <w:b w:val="0"/>
          <w:i w:val="0"/>
          <w:sz w:val="17"/>
        </w:rPr>
        <w:t>FR-INTEGRITY-005</w:t>
      </w:r>
      <w:r>
        <w:rPr>
          <w:sz w:val="19"/>
        </w:rPr>
        <w:t xml:space="preserve">, </w:t>
      </w:r>
      <w:r>
        <w:rPr>
          <w:rFonts w:ascii="Consolas" w:hAnsi="Consolas"/>
          <w:b w:val="0"/>
          <w:i w:val="0"/>
          <w:sz w:val="17"/>
        </w:rPr>
        <w:t>SEQ-PROCTOR-AUDIT</w:t>
      </w:r>
      <w:r>
        <w:rPr>
          <w:sz w:val="19"/>
        </w:rPr>
        <w:t xml:space="preserve">, </w:t>
      </w:r>
      <w:r>
        <w:rPr>
          <w:rFonts w:ascii="Consolas" w:hAnsi="Consolas"/>
          <w:b w:val="0"/>
          <w:i w:val="0"/>
          <w:sz w:val="17"/>
        </w:rPr>
        <w:t>TC-PROCTOR-001</w:t>
      </w:r>
      <w:r>
        <w:rPr>
          <w:sz w:val="19"/>
        </w:rPr>
        <w:t xml:space="preserve">, </w:t>
      </w:r>
      <w:r>
        <w:rPr>
          <w:rFonts w:ascii="Consolas" w:hAnsi="Consolas"/>
          <w:b w:val="0"/>
          <w:i w:val="0"/>
          <w:sz w:val="17"/>
        </w:rPr>
        <w:t>NFR-10</w:t>
      </w:r>
      <w:r>
        <w:rPr>
          <w:sz w:val="19"/>
        </w:rPr>
        <w:t>.</w:t>
      </w:r>
    </w:p>
    <w:p>
      <w:pPr>
        <w:pStyle w:val="Heading3"/>
        <w:keepNext/>
        <w:pageBreakBefore w:val="0"/>
      </w:pPr>
      <w:r>
        <w:t>3.6 Examiner workflows</w:t>
      </w:r>
    </w:p>
    <w:p>
      <w:pPr>
        <w:pStyle w:val="Heading4"/>
        <w:keepNext/>
        <w:pageBreakBefore w:val="0"/>
      </w:pPr>
      <w:r>
        <w:t>`WF-EXAMINER-SCORE-001` — Score assigned answers</w:t>
      </w:r>
    </w:p>
    <w:p>
      <w:pPr>
        <w:spacing w:after="80" w:line="240" w:lineRule="auto"/>
      </w:pPr>
      <w:r>
        <w:rPr>
          <w:b/>
          <w:i w:val="0"/>
          <w:sz w:val="19"/>
        </w:rPr>
        <w:t>Prerequisites:</w:t>
      </w:r>
      <w:r>
        <w:rPr>
          <w:sz w:val="19"/>
        </w:rPr>
        <w:t xml:space="preserve"> Examiner account is active; Host assigned answer/attempt; rubric and prompt/media revision are available.</w:t>
      </w:r>
    </w:p>
    <w:p>
      <w:pPr>
        <w:spacing w:after="80" w:line="240" w:lineRule="auto"/>
      </w:pPr>
      <w:r>
        <w:rPr>
          <w:b/>
          <w:i w:val="0"/>
          <w:sz w:val="19"/>
        </w:rPr>
        <w:t>Steps:</w:t>
      </w:r>
      <w:r>
        <w:rPr>
          <w:sz w:val="19"/>
        </w:rPr>
        <w:t xml:space="preserve"> Open assigned queue → select work item → review prompt/response/rubric → enter criterion/score/note → save draft if allowed → submit score → confirm submitted/read-only state.</w:t>
      </w:r>
    </w:p>
    <w:p>
      <w:pPr>
        <w:spacing w:after="80" w:line="240" w:lineRule="auto"/>
      </w:pPr>
      <w:r>
        <w:rPr>
          <w:b/>
          <w:i w:val="0"/>
          <w:sz w:val="19"/>
        </w:rPr>
        <w:t>Expected result:</w:t>
      </w:r>
      <w:r>
        <w:rPr>
          <w:sz w:val="19"/>
        </w:rPr>
        <w:t xml:space="preserve"> Score source identifies Examiner, time, rubric/revision, and status. Host can review; Examiner cannot publish the report.</w:t>
      </w:r>
    </w:p>
    <w:p>
      <w:pPr>
        <w:spacing w:after="80" w:line="240" w:lineRule="auto"/>
      </w:pPr>
      <w:r>
        <w:rPr>
          <w:b/>
          <w:i w:val="0"/>
          <w:sz w:val="19"/>
        </w:rPr>
        <w:t>Error/recovery:</w:t>
      </w:r>
      <w:r>
        <w:rPr>
          <w:sz w:val="19"/>
        </w:rPr>
        <w:t xml:space="preserve"> Unassigned work is denied. Invalid score range or incomplete rubric remains unsaved/submitted with a correction message. If an answer cannot be evaluated, use the permitted review/reassignment path instead of inventing a score.</w:t>
      </w:r>
    </w:p>
    <w:p>
      <w:pPr>
        <w:spacing w:after="80" w:line="240" w:lineRule="auto"/>
      </w:pPr>
      <w:r>
        <w:rPr>
          <w:b/>
          <w:i w:val="0"/>
          <w:sz w:val="19"/>
        </w:rPr>
        <w:t>Visibility/audit:</w:t>
      </w:r>
      <w:r>
        <w:rPr>
          <w:sz w:val="19"/>
        </w:rPr>
        <w:t xml:space="preserve"> Examiner sees assigned work only; Host sees score source; Student sees no unpublished Examiner detail unless policy explicitly permits. Score submission is audited.</w:t>
      </w:r>
    </w:p>
    <w:p>
      <w:pPr>
        <w:spacing w:after="80" w:line="240" w:lineRule="auto"/>
      </w:pPr>
      <w:r>
        <w:rPr>
          <w:b/>
          <w:i w:val="0"/>
          <w:sz w:val="19"/>
        </w:rPr>
        <w:t>Traceability:</w:t>
      </w:r>
      <w:r>
        <w:rPr>
          <w:sz w:val="19"/>
        </w:rPr>
        <w:t xml:space="preserve"> </w:t>
      </w:r>
      <w:r>
        <w:rPr>
          <w:rFonts w:ascii="Consolas" w:hAnsi="Consolas"/>
          <w:b w:val="0"/>
          <w:i w:val="0"/>
          <w:sz w:val="17"/>
        </w:rPr>
        <w:t>WF-EXAMINER-SCORE-001</w:t>
      </w:r>
      <w:r>
        <w:rPr>
          <w:sz w:val="19"/>
        </w:rPr>
        <w:t xml:space="preserve">, </w:t>
      </w:r>
      <w:r>
        <w:rPr>
          <w:rFonts w:ascii="Consolas" w:hAnsi="Consolas"/>
          <w:b w:val="0"/>
          <w:i w:val="0"/>
          <w:sz w:val="17"/>
        </w:rPr>
        <w:t>FR-SCORE-001</w:t>
      </w:r>
      <w:r>
        <w:rPr>
          <w:sz w:val="19"/>
        </w:rPr>
        <w:t>–</w:t>
      </w:r>
      <w:r>
        <w:rPr>
          <w:rFonts w:ascii="Consolas" w:hAnsi="Consolas"/>
          <w:b w:val="0"/>
          <w:i w:val="0"/>
          <w:sz w:val="17"/>
        </w:rPr>
        <w:t>FR-SCORE-003</w:t>
      </w:r>
      <w:r>
        <w:rPr>
          <w:sz w:val="19"/>
        </w:rPr>
        <w:t xml:space="preserve">, </w:t>
      </w:r>
      <w:r>
        <w:rPr>
          <w:rFonts w:ascii="Consolas" w:hAnsi="Consolas"/>
          <w:b w:val="0"/>
          <w:i w:val="0"/>
          <w:sz w:val="17"/>
        </w:rPr>
        <w:t>BR-SCORE-036</w:t>
      </w:r>
      <w:r>
        <w:rPr>
          <w:sz w:val="19"/>
        </w:rPr>
        <w:t xml:space="preserve">, </w:t>
      </w:r>
      <w:r>
        <w:rPr>
          <w:rFonts w:ascii="Consolas" w:hAnsi="Consolas"/>
          <w:b w:val="0"/>
          <w:i w:val="0"/>
          <w:sz w:val="17"/>
        </w:rPr>
        <w:t>TC-SCORE-001</w:t>
      </w:r>
      <w:r>
        <w:rPr>
          <w:sz w:val="19"/>
        </w:rPr>
        <w:t>–</w:t>
      </w:r>
      <w:r>
        <w:rPr>
          <w:rFonts w:ascii="Consolas" w:hAnsi="Consolas"/>
          <w:b w:val="0"/>
          <w:i w:val="0"/>
          <w:sz w:val="17"/>
        </w:rPr>
        <w:t>TC-SCORE-002</w:t>
      </w:r>
      <w:r>
        <w:rPr>
          <w:sz w:val="19"/>
        </w:rPr>
        <w:t>.</w:t>
      </w:r>
    </w:p>
    <w:p>
      <w:pPr>
        <w:pStyle w:val="Heading3"/>
        <w:keepNext/>
        <w:pageBreakBefore w:val="0"/>
      </w:pPr>
      <w:r>
        <w:t>3.7 Student workflows</w:t>
      </w:r>
    </w:p>
    <w:p>
      <w:pPr>
        <w:pStyle w:val="Heading4"/>
        <w:keepNext/>
        <w:pageBreakBefore w:val="0"/>
      </w:pPr>
      <w:r>
        <w:t>`WF-STUDENT-TAKE-001` — Take an assigned timed exam</w:t>
      </w:r>
    </w:p>
    <w:p>
      <w:pPr>
        <w:spacing w:after="80" w:line="240" w:lineRule="auto"/>
      </w:pPr>
      <w:r>
        <w:rPr>
          <w:b/>
          <w:i w:val="0"/>
          <w:sz w:val="19"/>
        </w:rPr>
        <w:t>Prerequisites:</w:t>
      </w:r>
      <w:r>
        <w:rPr>
          <w:sz w:val="19"/>
        </w:rPr>
        <w:t xml:space="preserve"> Student account is active; exam is published/open; Student is in the frozen audience; Windows client is installed.</w:t>
      </w:r>
    </w:p>
    <w:p>
      <w:pPr>
        <w:spacing w:after="80" w:line="240" w:lineRule="auto"/>
      </w:pPr>
      <w:r>
        <w:rPr>
          <w:b/>
          <w:i w:val="0"/>
          <w:sz w:val="19"/>
        </w:rPr>
        <w:t>Steps</w:t>
      </w:r>
    </w:p>
    <w:p>
      <w:pPr>
        <w:pStyle w:val="ListParagraph"/>
        <w:numPr>
          <w:ilvl w:val="0"/>
          <w:numId w:val="18"/>
        </w:numPr>
        <w:spacing w:after="40"/>
      </w:pPr>
      <w:r>
        <w:rPr>
          <w:sz w:val="18"/>
        </w:rPr>
        <w:t>Sign in through the approved client.</w:t>
      </w:r>
    </w:p>
    <w:p>
      <w:pPr>
        <w:pStyle w:val="ListParagraph"/>
        <w:numPr>
          <w:ilvl w:val="0"/>
          <w:numId w:val="18"/>
        </w:numPr>
        <w:spacing w:after="40"/>
      </w:pPr>
      <w:r>
        <w:rPr>
          <w:sz w:val="18"/>
        </w:rPr>
        <w:t>Open the assigned exam and review exam/mode instructions.</w:t>
      </w:r>
    </w:p>
    <w:p>
      <w:pPr>
        <w:pStyle w:val="ListParagraph"/>
        <w:numPr>
          <w:ilvl w:val="0"/>
          <w:numId w:val="18"/>
        </w:numPr>
        <w:spacing w:after="40"/>
      </w:pPr>
      <w:r>
        <w:rPr>
          <w:sz w:val="18"/>
        </w:rPr>
        <w:t>Complete microphone/audio/device/network check.</w:t>
      </w:r>
    </w:p>
    <w:p>
      <w:pPr>
        <w:pStyle w:val="ListParagraph"/>
        <w:numPr>
          <w:ilvl w:val="0"/>
          <w:numId w:val="18"/>
        </w:numPr>
        <w:spacing w:after="40"/>
      </w:pPr>
      <w:r>
        <w:rPr>
          <w:sz w:val="18"/>
        </w:rPr>
        <w:t>Start the fixed task sequence when the client indicates readiness.</w:t>
      </w:r>
    </w:p>
    <w:p>
      <w:pPr>
        <w:pStyle w:val="ListParagraph"/>
        <w:numPr>
          <w:ilvl w:val="0"/>
          <w:numId w:val="18"/>
        </w:numPr>
        <w:spacing w:after="40"/>
      </w:pPr>
      <w:r>
        <w:rPr>
          <w:sz w:val="18"/>
        </w:rPr>
        <w:t>Read/listen/respond within the displayed preparation/response timer.</w:t>
      </w:r>
    </w:p>
    <w:p>
      <w:pPr>
        <w:pStyle w:val="ListParagraph"/>
        <w:numPr>
          <w:ilvl w:val="0"/>
          <w:numId w:val="18"/>
        </w:numPr>
        <w:spacing w:after="40"/>
      </w:pPr>
      <w:r>
        <w:rPr>
          <w:sz w:val="18"/>
        </w:rPr>
        <w:t>Confirm each answer shows local saved/sync status.</w:t>
      </w:r>
    </w:p>
    <w:p>
      <w:pPr>
        <w:pStyle w:val="ListParagraph"/>
        <w:numPr>
          <w:ilvl w:val="0"/>
          <w:numId w:val="18"/>
        </w:numPr>
        <w:spacing w:after="40"/>
      </w:pPr>
      <w:r>
        <w:rPr>
          <w:sz w:val="18"/>
        </w:rPr>
        <w:t>If connectivity is interrupted, continue only when the client policy allows and watch the retry queue.</w:t>
      </w:r>
    </w:p>
    <w:p>
      <w:pPr>
        <w:pStyle w:val="ListParagraph"/>
        <w:numPr>
          <w:ilvl w:val="0"/>
          <w:numId w:val="18"/>
        </w:numPr>
        <w:spacing w:after="40"/>
      </w:pPr>
      <w:r>
        <w:rPr>
          <w:sz w:val="18"/>
        </w:rPr>
        <w:t>Submit once when the client indicates required work is complete.</w:t>
      </w:r>
    </w:p>
    <w:p>
      <w:pPr>
        <w:spacing w:after="80" w:line="240" w:lineRule="auto"/>
      </w:pPr>
      <w:r>
        <w:rPr>
          <w:b/>
          <w:i w:val="0"/>
          <w:sz w:val="19"/>
        </w:rPr>
        <w:t>Expected result:</w:t>
      </w:r>
      <w:r>
        <w:rPr>
          <w:sz w:val="19"/>
        </w:rPr>
        <w:t xml:space="preserve"> The client renders the fixed content, saves responses locally before sync, shows retry state when needed, and acknowledges final submission only after accepted/safe final state.</w:t>
      </w:r>
    </w:p>
    <w:p>
      <w:pPr>
        <w:spacing w:after="80" w:line="240" w:lineRule="auto"/>
      </w:pPr>
      <w:r>
        <w:rPr>
          <w:b/>
          <w:i w:val="0"/>
          <w:sz w:val="19"/>
        </w:rPr>
        <w:t>Error/recovery:</w:t>
      </w:r>
      <w:r>
        <w:rPr>
          <w:sz w:val="19"/>
        </w:rPr>
        <w:t xml:space="preserve"> Device check failure stops or warns before timed work according to policy. A queued answer remains visible; do not close/delete local data before support confirms recovery. A submitted attempt cannot be restarted without an approved retake policy.</w:t>
      </w:r>
    </w:p>
    <w:p>
      <w:pPr>
        <w:spacing w:after="80" w:line="240" w:lineRule="auto"/>
      </w:pPr>
      <w:r>
        <w:rPr>
          <w:b/>
          <w:i w:val="0"/>
          <w:sz w:val="19"/>
        </w:rPr>
        <w:t>Visibility/audit:</w:t>
      </w:r>
      <w:r>
        <w:rPr>
          <w:sz w:val="19"/>
        </w:rPr>
        <w:t xml:space="preserve"> Student sees own attempt state; Proctor sees permitted monitoring state; Host sees submission/scoring state. Device/security/submission events are auditable; raw answers/audio are not placed in ordinary logs.</w:t>
      </w:r>
    </w:p>
    <w:p>
      <w:pPr>
        <w:spacing w:after="80" w:line="240" w:lineRule="auto"/>
      </w:pPr>
      <w:r>
        <w:rPr>
          <w:b/>
          <w:i w:val="0"/>
          <w:sz w:val="19"/>
        </w:rPr>
        <w:t>Traceability:</w:t>
      </w:r>
      <w:r>
        <w:rPr>
          <w:sz w:val="19"/>
        </w:rPr>
        <w:t xml:space="preserve"> </w:t>
      </w:r>
      <w:r>
        <w:rPr>
          <w:rFonts w:ascii="Consolas" w:hAnsi="Consolas"/>
          <w:b w:val="0"/>
          <w:i w:val="0"/>
          <w:sz w:val="17"/>
        </w:rPr>
        <w:t>WF-STUDENT-TAKE-001</w:t>
      </w:r>
      <w:r>
        <w:rPr>
          <w:sz w:val="19"/>
        </w:rPr>
        <w:t xml:space="preserve">, </w:t>
      </w:r>
      <w:r>
        <w:rPr>
          <w:rFonts w:ascii="Consolas" w:hAnsi="Consolas"/>
          <w:b w:val="0"/>
          <w:i w:val="0"/>
          <w:sz w:val="17"/>
        </w:rPr>
        <w:t>FR-DELIVERY-001</w:t>
      </w:r>
      <w:r>
        <w:rPr>
          <w:sz w:val="19"/>
        </w:rPr>
        <w:t>–</w:t>
      </w:r>
      <w:r>
        <w:rPr>
          <w:rFonts w:ascii="Consolas" w:hAnsi="Consolas"/>
          <w:b w:val="0"/>
          <w:i w:val="0"/>
          <w:sz w:val="17"/>
        </w:rPr>
        <w:t>FR-DELIVERY-009</w:t>
      </w:r>
      <w:r>
        <w:rPr>
          <w:sz w:val="19"/>
        </w:rPr>
        <w:t xml:space="preserve">, </w:t>
      </w:r>
      <w:r>
        <w:rPr>
          <w:rFonts w:ascii="Consolas" w:hAnsi="Consolas"/>
          <w:b w:val="0"/>
          <w:i w:val="0"/>
          <w:sz w:val="17"/>
        </w:rPr>
        <w:t>SEQ-ANSWER-SYNC</w:t>
      </w:r>
      <w:r>
        <w:rPr>
          <w:sz w:val="19"/>
        </w:rPr>
        <w:t xml:space="preserve">, </w:t>
      </w:r>
      <w:r>
        <w:rPr>
          <w:rFonts w:ascii="Consolas" w:hAnsi="Consolas"/>
          <w:b w:val="0"/>
          <w:i w:val="0"/>
          <w:sz w:val="17"/>
        </w:rPr>
        <w:t>TC-DELIVERY-001</w:t>
      </w:r>
      <w:r>
        <w:rPr>
          <w:sz w:val="19"/>
        </w:rPr>
        <w:t>–</w:t>
      </w:r>
      <w:r>
        <w:rPr>
          <w:rFonts w:ascii="Consolas" w:hAnsi="Consolas"/>
          <w:b w:val="0"/>
          <w:i w:val="0"/>
          <w:sz w:val="17"/>
        </w:rPr>
        <w:t>TC-DELIVERY-005</w:t>
      </w:r>
      <w:r>
        <w:rPr>
          <w:sz w:val="19"/>
        </w:rPr>
        <w:t xml:space="preserve">, </w:t>
      </w:r>
      <w:r>
        <w:rPr>
          <w:rFonts w:ascii="Consolas" w:hAnsi="Consolas"/>
          <w:b w:val="0"/>
          <w:i w:val="0"/>
          <w:sz w:val="17"/>
        </w:rPr>
        <w:t>NFR-12</w:t>
      </w:r>
      <w:r>
        <w:rPr>
          <w:sz w:val="19"/>
        </w:rPr>
        <w:t xml:space="preserve">, </w:t>
      </w:r>
      <w:r>
        <w:rPr>
          <w:rFonts w:ascii="Consolas" w:hAnsi="Consolas"/>
          <w:b w:val="0"/>
          <w:i w:val="0"/>
          <w:sz w:val="17"/>
        </w:rPr>
        <w:t>TBD-CLIENT-001</w:t>
      </w:r>
      <w:r>
        <w:rPr>
          <w:sz w:val="19"/>
        </w:rPr>
        <w:t>.</w:t>
      </w:r>
    </w:p>
    <w:p>
      <w:pPr>
        <w:pStyle w:val="Heading4"/>
        <w:keepNext/>
        <w:pageBreakBefore w:val="0"/>
      </w:pPr>
      <w:r>
        <w:t>`WF-STUDENT-VIEW-001` — View a published result</w:t>
      </w:r>
    </w:p>
    <w:p>
      <w:pPr>
        <w:spacing w:after="80" w:line="240" w:lineRule="auto"/>
      </w:pPr>
      <w:r>
        <w:rPr>
          <w:b/>
          <w:i w:val="0"/>
          <w:sz w:val="19"/>
        </w:rPr>
        <w:t>Prerequisites:</w:t>
      </w:r>
      <w:r>
        <w:rPr>
          <w:sz w:val="19"/>
        </w:rPr>
        <w:t xml:space="preserve"> Host has published the report; Student is signed in to the same organization assignment.</w:t>
      </w:r>
    </w:p>
    <w:p>
      <w:pPr>
        <w:spacing w:after="80" w:line="240" w:lineRule="auto"/>
      </w:pPr>
      <w:r>
        <w:rPr>
          <w:b/>
          <w:i w:val="0"/>
          <w:sz w:val="19"/>
        </w:rPr>
        <w:t>Steps:</w:t>
      </w:r>
      <w:r>
        <w:rPr>
          <w:sz w:val="19"/>
        </w:rPr>
        <w:t xml:space="preserve"> Open results → select own published attempt → review task/section/Overall values that the Score Template permits → read publication time/source status shown by policy.</w:t>
      </w:r>
    </w:p>
    <w:p>
      <w:pPr>
        <w:spacing w:after="80" w:line="240" w:lineRule="auto"/>
      </w:pPr>
      <w:r>
        <w:rPr>
          <w:b/>
          <w:i w:val="0"/>
          <w:sz w:val="19"/>
        </w:rPr>
        <w:t>Expected result:</w:t>
      </w:r>
      <w:r>
        <w:rPr>
          <w:sz w:val="19"/>
        </w:rPr>
        <w:t xml:space="preserve"> Student sees only the own report after publication. A missing or unpublished report is not replaced with a partial/fake result.</w:t>
      </w:r>
    </w:p>
    <w:p>
      <w:pPr>
        <w:spacing w:after="80" w:line="240" w:lineRule="auto"/>
      </w:pPr>
      <w:r>
        <w:rPr>
          <w:b/>
          <w:i w:val="0"/>
          <w:sz w:val="19"/>
        </w:rPr>
        <w:t>Error/recovery:</w:t>
      </w:r>
      <w:r>
        <w:rPr>
          <w:sz w:val="19"/>
        </w:rPr>
        <w:t xml:space="preserve"> If report is not visible, the message explains whether scoring is pending or Host publication is incomplete. Contact Host; do not attempt to access another Student’s report.</w:t>
      </w:r>
    </w:p>
    <w:p>
      <w:pPr>
        <w:spacing w:after="80" w:line="240" w:lineRule="auto"/>
      </w:pPr>
      <w:r>
        <w:rPr>
          <w:b/>
          <w:i w:val="0"/>
          <w:sz w:val="19"/>
        </w:rPr>
        <w:t>Visibility/audit:</w:t>
      </w:r>
      <w:r>
        <w:rPr>
          <w:sz w:val="19"/>
        </w:rPr>
        <w:t xml:space="preserve"> Student view is own-scope; Host publication and Student access are traceable.</w:t>
      </w:r>
    </w:p>
    <w:p>
      <w:pPr>
        <w:spacing w:after="80" w:line="240" w:lineRule="auto"/>
      </w:pPr>
      <w:r>
        <w:rPr>
          <w:b/>
          <w:i w:val="0"/>
          <w:sz w:val="19"/>
        </w:rPr>
        <w:t>Traceability:</w:t>
      </w:r>
      <w:r>
        <w:rPr>
          <w:sz w:val="19"/>
        </w:rPr>
        <w:t xml:space="preserve"> </w:t>
      </w:r>
      <w:r>
        <w:rPr>
          <w:rFonts w:ascii="Consolas" w:hAnsi="Consolas"/>
          <w:b w:val="0"/>
          <w:i w:val="0"/>
          <w:sz w:val="17"/>
        </w:rPr>
        <w:t>WF-STUDENT-VIEW-001</w:t>
      </w:r>
      <w:r>
        <w:rPr>
          <w:sz w:val="19"/>
        </w:rPr>
        <w:t xml:space="preserve">, </w:t>
      </w:r>
      <w:r>
        <w:rPr>
          <w:rFonts w:ascii="Consolas" w:hAnsi="Consolas"/>
          <w:b w:val="0"/>
          <w:i w:val="0"/>
          <w:sz w:val="17"/>
        </w:rPr>
        <w:t>FR-REPORT-002</w:t>
      </w:r>
      <w:r>
        <w:rPr>
          <w:sz w:val="19"/>
        </w:rPr>
        <w:t>–</w:t>
      </w:r>
      <w:r>
        <w:rPr>
          <w:rFonts w:ascii="Consolas" w:hAnsi="Consolas"/>
          <w:b w:val="0"/>
          <w:i w:val="0"/>
          <w:sz w:val="17"/>
        </w:rPr>
        <w:t>FR-REPORT-004</w:t>
      </w:r>
      <w:r>
        <w:rPr>
          <w:sz w:val="19"/>
        </w:rPr>
        <w:t xml:space="preserve">, </w:t>
      </w:r>
      <w:r>
        <w:rPr>
          <w:rFonts w:ascii="Consolas" w:hAnsi="Consolas"/>
          <w:b w:val="0"/>
          <w:i w:val="0"/>
          <w:sz w:val="17"/>
        </w:rPr>
        <w:t>BR-REPORT-040</w:t>
      </w:r>
      <w:r>
        <w:rPr>
          <w:sz w:val="19"/>
        </w:rPr>
        <w:t>–</w:t>
      </w:r>
      <w:r>
        <w:rPr>
          <w:rFonts w:ascii="Consolas" w:hAnsi="Consolas"/>
          <w:b w:val="0"/>
          <w:i w:val="0"/>
          <w:sz w:val="17"/>
        </w:rPr>
        <w:t>BR-REPORT-041</w:t>
      </w:r>
      <w:r>
        <w:rPr>
          <w:sz w:val="19"/>
        </w:rPr>
        <w:t xml:space="preserve">, </w:t>
      </w:r>
      <w:r>
        <w:rPr>
          <w:rFonts w:ascii="Consolas" w:hAnsi="Consolas"/>
          <w:b w:val="0"/>
          <w:i w:val="0"/>
          <w:sz w:val="17"/>
        </w:rPr>
        <w:t>TC-REPORT-001</w:t>
      </w:r>
      <w:r>
        <w:rPr>
          <w:sz w:val="19"/>
        </w:rPr>
        <w:t>.</w:t>
      </w:r>
    </w:p>
    <w:p>
      <w:pPr>
        <w:pStyle w:val="Heading3"/>
        <w:keepNext/>
        <w:pageBreakBefore w:val="0"/>
      </w:pPr>
      <w:r>
        <w:t>3.8 External Integration Services boundary</w:t>
      </w:r>
    </w:p>
    <w:p>
      <w:pPr>
        <w:spacing w:after="80" w:line="240" w:lineRule="auto"/>
      </w:pPr>
      <w:r>
        <w:rPr>
          <w:sz w:val="19"/>
        </w:rPr>
        <w:t>External Integration Services has no user manual login. Its operational contract is documented through provider adapters and support runbooks:</w:t>
      </w:r>
    </w:p>
    <w:p>
      <w:pPr>
        <w:pStyle w:val="ListParagraph"/>
        <w:numPr>
          <w:ilvl w:val="0"/>
          <w:numId w:val="17"/>
        </w:numPr>
        <w:spacing w:after="40"/>
      </w:pPr>
      <w:r>
        <w:rPr>
          <w:sz w:val="18"/>
        </w:rPr>
        <w:t>Payment: verify callback/correlation, process once, expose pending/error, and never treat browser return as proof.</w:t>
      </w:r>
    </w:p>
    <w:p>
      <w:pPr>
        <w:pStyle w:val="ListParagraph"/>
        <w:numPr>
          <w:ilvl w:val="0"/>
          <w:numId w:val="17"/>
        </w:numPr>
        <w:spacing w:after="40"/>
      </w:pPr>
      <w:r>
        <w:rPr>
          <w:sz w:val="18"/>
        </w:rPr>
        <w:t>Media: use signed access/upload, validate completion, renew expired link, and preserve revision identity.</w:t>
      </w:r>
    </w:p>
    <w:p>
      <w:pPr>
        <w:pStyle w:val="ListParagraph"/>
        <w:numPr>
          <w:ilvl w:val="0"/>
          <w:numId w:val="17"/>
        </w:numPr>
        <w:spacing w:after="40"/>
      </w:pPr>
      <w:r>
        <w:rPr>
          <w:sz w:val="18"/>
        </w:rPr>
        <w:t>AI scoring: expose pending/success/failure/retry/review state; provider and threshold remain TBD.</w:t>
      </w:r>
    </w:p>
    <w:p>
      <w:pPr>
        <w:pStyle w:val="ListParagraph"/>
        <w:numPr>
          <w:ilvl w:val="0"/>
          <w:numId w:val="17"/>
        </w:numPr>
        <w:spacing w:after="40"/>
      </w:pPr>
      <w:r>
        <w:rPr>
          <w:sz w:val="18"/>
        </w:rPr>
        <w:t>Notification: retry bounded delivery and do not roll back the originating business result.</w:t>
      </w:r>
    </w:p>
    <w:p>
      <w:pPr>
        <w:spacing w:after="80" w:line="240" w:lineRule="auto"/>
      </w:pPr>
      <w:r>
        <w:rPr>
          <w:b/>
          <w:i w:val="0"/>
          <w:sz w:val="19"/>
        </w:rPr>
        <w:t>Traceability:</w:t>
      </w:r>
      <w:r>
        <w:rPr>
          <w:sz w:val="19"/>
        </w:rPr>
        <w:t xml:space="preserve"> </w:t>
      </w:r>
      <w:r>
        <w:rPr>
          <w:rFonts w:ascii="Consolas" w:hAnsi="Consolas"/>
          <w:b w:val="0"/>
          <w:i w:val="0"/>
          <w:sz w:val="17"/>
        </w:rPr>
        <w:t>FR-INTEGRATION-001</w:t>
      </w:r>
      <w:r>
        <w:rPr>
          <w:sz w:val="19"/>
        </w:rPr>
        <w:t>–</w:t>
      </w:r>
      <w:r>
        <w:rPr>
          <w:rFonts w:ascii="Consolas" w:hAnsi="Consolas"/>
          <w:b w:val="0"/>
          <w:i w:val="0"/>
          <w:sz w:val="17"/>
        </w:rPr>
        <w:t>FR-INTEGRATION-006</w:t>
      </w:r>
      <w:r>
        <w:rPr>
          <w:sz w:val="19"/>
        </w:rPr>
        <w:t xml:space="preserve">, </w:t>
      </w:r>
      <w:r>
        <w:rPr>
          <w:rFonts w:ascii="Consolas" w:hAnsi="Consolas"/>
          <w:b w:val="0"/>
          <w:i w:val="0"/>
          <w:sz w:val="17"/>
        </w:rPr>
        <w:t>BR-INTEGRATION-044</w:t>
      </w:r>
      <w:r>
        <w:rPr>
          <w:sz w:val="19"/>
        </w:rPr>
        <w:t>–</w:t>
      </w:r>
      <w:r>
        <w:rPr>
          <w:rFonts w:ascii="Consolas" w:hAnsi="Consolas"/>
          <w:b w:val="0"/>
          <w:i w:val="0"/>
          <w:sz w:val="17"/>
        </w:rPr>
        <w:t>BR-INTEGRATION-048</w:t>
      </w:r>
      <w:r>
        <w:rPr>
          <w:sz w:val="19"/>
        </w:rPr>
        <w:t xml:space="preserve">, </w:t>
      </w:r>
      <w:r>
        <w:rPr>
          <w:rFonts w:ascii="Consolas" w:hAnsi="Consolas"/>
          <w:b w:val="0"/>
          <w:i w:val="0"/>
          <w:sz w:val="17"/>
        </w:rPr>
        <w:t>NFR-19</w:t>
      </w:r>
      <w:r>
        <w:rPr>
          <w:sz w:val="19"/>
        </w:rPr>
        <w:t xml:space="preserve">, </w:t>
      </w:r>
      <w:r>
        <w:rPr>
          <w:rFonts w:ascii="Consolas" w:hAnsi="Consolas"/>
          <w:b w:val="0"/>
          <w:i w:val="0"/>
          <w:sz w:val="17"/>
        </w:rPr>
        <w:t>TC-INTEGRATION-001</w:t>
      </w:r>
      <w:r>
        <w:rPr>
          <w:sz w:val="19"/>
        </w:rPr>
        <w:t>.</w:t>
      </w:r>
    </w:p>
    <w:p>
      <w:pPr>
        <w:pStyle w:val="Heading3"/>
        <w:keepNext/>
        <w:pageBreakBefore w:val="0"/>
      </w:pPr>
      <w:r>
        <w:t>3.9 Troubleshooting and FAQ</w:t>
      </w:r>
    </w:p>
    <w:p>
      <w:pPr>
        <w:pStyle w:val="Heading4"/>
        <w:keepNext/>
        <w:pageBreakBefore w:val="0"/>
      </w:pPr>
      <w:r>
        <w:t>Login or session problem</w:t>
      </w:r>
    </w:p>
    <w:p>
      <w:pPr>
        <w:spacing w:after="80" w:line="240" w:lineRule="auto"/>
      </w:pPr>
      <w:r>
        <w:rPr>
          <w:sz w:val="19"/>
        </w:rPr>
        <w:t>Check account status, organization approval, role/scope, and session expiry. Sign out/sign in or follow controlled reset. Platform Admin handles administrator-assisted recovery. Never share passwords or tokens in a support message.</w:t>
      </w:r>
    </w:p>
    <w:p>
      <w:pPr>
        <w:pStyle w:val="Heading4"/>
        <w:keepNext/>
        <w:pageBreakBefore w:val="0"/>
      </w:pPr>
      <w:r>
        <w:t>Package/capacity problem</w:t>
      </w:r>
    </w:p>
    <w:p>
      <w:pPr>
        <w:spacing w:after="80" w:line="240" w:lineRule="auto"/>
      </w:pPr>
      <w:r>
        <w:rPr>
          <w:sz w:val="19"/>
        </w:rPr>
        <w:t>Check subscription/license status, effective dates, Student capacity, and exam overlap. Registration approval does not prove package activation. Host contacts Platform Admin with the order/license correlation.</w:t>
      </w:r>
    </w:p>
    <w:p>
      <w:pPr>
        <w:pStyle w:val="Heading4"/>
        <w:keepNext/>
        <w:pageBreakBefore w:val="0"/>
      </w:pPr>
      <w:r>
        <w:t>Missing question/media or template</w:t>
      </w:r>
    </w:p>
    <w:p>
      <w:pPr>
        <w:spacing w:after="80" w:line="240" w:lineRule="auto"/>
      </w:pPr>
      <w:r>
        <w:rPr>
          <w:sz w:val="19"/>
        </w:rPr>
        <w:t>Check content revision status, required media completion, active Score Template, and approval state. Academic Staff corrects the draft; Academic Manager reviews/activates under policy, while Platform Admin handles platform governance. Host cannot bypass the shared content gate.</w:t>
      </w:r>
    </w:p>
    <w:p>
      <w:pPr>
        <w:pStyle w:val="Heading4"/>
        <w:keepNext/>
        <w:pageBreakBefore w:val="0"/>
      </w:pPr>
      <w:r>
        <w:t>Exam conflict or generation error</w:t>
      </w:r>
    </w:p>
    <w:p>
      <w:pPr>
        <w:spacing w:after="80" w:line="240" w:lineRule="auto"/>
      </w:pPr>
      <w:r>
        <w:rPr>
          <w:sz w:val="19"/>
        </w:rPr>
        <w:t>Review duplicate/conflicting candidates, package window, content completeness, assignments, and generation state. Use safe retry/cancel when available. Do not publish a pending/error or partial form. Escalate with exam draft/version reference.</w:t>
      </w:r>
    </w:p>
    <w:p>
      <w:pPr>
        <w:pStyle w:val="Heading4"/>
        <w:keepNext/>
        <w:pageBreakBefore w:val="0"/>
      </w:pPr>
      <w:r>
        <w:t>Microphone/audio/device check failure</w:t>
      </w:r>
    </w:p>
    <w:p>
      <w:pPr>
        <w:spacing w:after="80" w:line="240" w:lineRule="auto"/>
      </w:pPr>
      <w:r>
        <w:rPr>
          <w:sz w:val="19"/>
        </w:rPr>
        <w:t>Confirm Windows permissions, selected device, microphone input, audio playback, network, and client build. Re-run the check before the timer. If still blocked, contact Host/Proctor support and preserve the error reference.</w:t>
      </w:r>
    </w:p>
    <w:p>
      <w:pPr>
        <w:pStyle w:val="Heading4"/>
        <w:keepNext/>
        <w:pageBreakBefore w:val="0"/>
      </w:pPr>
      <w:r>
        <w:t>Offline answer synchronization</w:t>
      </w:r>
    </w:p>
    <w:p>
      <w:pPr>
        <w:spacing w:after="80" w:line="240" w:lineRule="auto"/>
      </w:pPr>
      <w:r>
        <w:rPr>
          <w:sz w:val="19"/>
        </w:rPr>
        <w:t xml:space="preserve">Look for </w:t>
      </w:r>
      <w:r>
        <w:rPr>
          <w:b/>
          <w:i w:val="0"/>
          <w:sz w:val="19"/>
        </w:rPr>
        <w:t>locally saved</w:t>
      </w:r>
      <w:r>
        <w:rPr>
          <w:sz w:val="19"/>
        </w:rPr>
        <w:t xml:space="preserve">, </w:t>
      </w:r>
      <w:r>
        <w:rPr>
          <w:b/>
          <w:i w:val="0"/>
          <w:sz w:val="19"/>
        </w:rPr>
        <w:t>queued</w:t>
      </w:r>
      <w:r>
        <w:rPr>
          <w:sz w:val="19"/>
        </w:rPr>
        <w:t xml:space="preserve">, </w:t>
      </w:r>
      <w:r>
        <w:rPr>
          <w:b/>
          <w:i w:val="0"/>
          <w:sz w:val="19"/>
        </w:rPr>
        <w:t>retrying</w:t>
      </w:r>
      <w:r>
        <w:rPr>
          <w:sz w:val="19"/>
        </w:rPr>
        <w:t xml:space="preserve">, </w:t>
      </w:r>
      <w:r>
        <w:rPr>
          <w:b/>
          <w:i w:val="0"/>
          <w:sz w:val="19"/>
        </w:rPr>
        <w:t>synchronized</w:t>
      </w:r>
      <w:r>
        <w:rPr>
          <w:sz w:val="19"/>
        </w:rPr>
        <w:t xml:space="preserve">, or </w:t>
      </w:r>
      <w:r>
        <w:rPr>
          <w:b/>
          <w:i w:val="0"/>
          <w:sz w:val="19"/>
        </w:rPr>
        <w:t>rejected</w:t>
      </w:r>
      <w:r>
        <w:rPr>
          <w:sz w:val="19"/>
        </w:rPr>
        <w:t xml:space="preserve"> state. Keep the client open and follow the approved retry path. Do not claim submission or delete local data before support confirms recovery. </w:t>
      </w:r>
      <w:r>
        <w:rPr>
          <w:rFonts w:ascii="Consolas" w:hAnsi="Consolas"/>
          <w:b w:val="0"/>
          <w:i w:val="0"/>
          <w:sz w:val="17"/>
        </w:rPr>
        <w:t>SEQ-ANSWER-SYNC</w:t>
      </w:r>
      <w:r>
        <w:rPr>
          <w:sz w:val="19"/>
        </w:rPr>
        <w:t xml:space="preserve"> and </w:t>
      </w:r>
      <w:r>
        <w:rPr>
          <w:rFonts w:ascii="Consolas" w:hAnsi="Consolas"/>
          <w:b w:val="0"/>
          <w:i w:val="0"/>
          <w:sz w:val="17"/>
        </w:rPr>
        <w:t>TC-DELIVERY-003</w:t>
      </w:r>
      <w:r>
        <w:rPr>
          <w:sz w:val="19"/>
        </w:rPr>
        <w:t xml:space="preserve"> define the evidence expected.</w:t>
      </w:r>
    </w:p>
    <w:p>
      <w:pPr>
        <w:pStyle w:val="Heading4"/>
        <w:keepNext/>
        <w:pageBreakBefore w:val="0"/>
      </w:pPr>
      <w:r>
        <w:t>Proctoring/violation question</w:t>
      </w:r>
    </w:p>
    <w:p>
      <w:pPr>
        <w:spacing w:after="80" w:line="240" w:lineRule="auto"/>
      </w:pPr>
      <w:r>
        <w:rPr>
          <w:sz w:val="19"/>
        </w:rPr>
        <w:t xml:space="preserve">The Proctor follows the fixed exam policy. A Practice warning/audit does not automatically invalidate the attempt in the initial policy. Unassigned actions are denied. If event state is pending/error, record the reference and escalate under </w:t>
      </w:r>
      <w:r>
        <w:rPr>
          <w:rFonts w:ascii="Consolas" w:hAnsi="Consolas"/>
          <w:b w:val="0"/>
          <w:i w:val="0"/>
          <w:sz w:val="17"/>
        </w:rPr>
        <w:t>TBD-PROCTOR-001</w:t>
      </w:r>
      <w:r>
        <w:rPr>
          <w:sz w:val="19"/>
        </w:rPr>
        <w:t>.</w:t>
      </w:r>
    </w:p>
    <w:p>
      <w:pPr>
        <w:pStyle w:val="Heading4"/>
        <w:keepNext/>
        <w:pageBreakBefore w:val="0"/>
      </w:pPr>
      <w:r>
        <w:t>AI or Examiner score pending/failed</w:t>
      </w:r>
    </w:p>
    <w:p>
      <w:pPr>
        <w:spacing w:after="80" w:line="240" w:lineRule="auto"/>
      </w:pPr>
      <w:r>
        <w:rPr>
          <w:sz w:val="19"/>
        </w:rPr>
        <w:t>Host checks source status, assignment, rubric, provider correlation, and retry/review policy. Do not substitute a placeholder as a valid final score. Publication remains blocked when required scores are incomplete.</w:t>
      </w:r>
    </w:p>
    <w:p>
      <w:pPr>
        <w:pStyle w:val="Heading4"/>
        <w:keepNext/>
        <w:pageBreakBefore w:val="0"/>
      </w:pPr>
      <w:r>
        <w:t>Report not visible after scoring</w:t>
      </w:r>
    </w:p>
    <w:p>
      <w:pPr>
        <w:spacing w:after="80" w:line="240" w:lineRule="auto"/>
      </w:pPr>
      <w:r>
        <w:rPr>
          <w:sz w:val="19"/>
        </w:rPr>
        <w:t>Check report readiness, Host source selection, publication state, Student ownership, and notification status. Notification failure does not necessarily mean publication failed; Host verifies the report state directly.</w:t>
      </w:r>
    </w:p>
    <w:p>
      <w:pPr>
        <w:pStyle w:val="Heading4"/>
        <w:keepNext/>
        <w:pageBreakBefore w:val="0"/>
      </w:pPr>
      <w:r>
        <w:t>External service outage</w:t>
      </w:r>
    </w:p>
    <w:p>
      <w:pPr>
        <w:spacing w:after="80" w:line="240" w:lineRule="auto"/>
      </w:pPr>
      <w:r>
        <w:rPr>
          <w:sz w:val="19"/>
        </w:rPr>
        <w:t>Record provider/correlation/status, wait for bounded retry if appropriate, and escalate to the integration owner. Do not repeat a payment/license/exam/publication action blindly.</w:t>
      </w:r>
    </w:p>
    <w:p>
      <w:pPr>
        <w:pStyle w:val="Heading3"/>
        <w:keepNext/>
        <w:pageBreakBefore w:val="0"/>
      </w:pPr>
      <w:r>
        <w:t>3.10 Screenshot and guide asset inventory</w:t>
      </w:r>
    </w:p>
    <w:p>
      <w:pPr>
        <w:spacing w:after="80" w:line="240" w:lineRule="auto"/>
      </w:pPr>
      <w:r>
        <w:rPr>
          <w:sz w:val="19"/>
        </w:rPr>
        <w:t>The current baseline does not embed screenshots because routes/client states and real data must be verified and masked first. Future assets use this inventory:</w:t>
      </w:r>
    </w:p>
    <w:tbl>
      <w:tblPr>
        <w:tblW w:type="auto" w:w="0"/>
        <w:jc w:val="center"/>
        <w:tblLayout w:type="fixed"/>
        <w:tblLook w:firstColumn="1" w:firstRow="1" w:lastColumn="0" w:lastRow="0" w:noHBand="0" w:noVBand="1" w:val="04A0"/>
      </w:tblPr>
      <w:tblGrid>
        <w:gridCol w:w="2262"/>
        <w:gridCol w:w="2262"/>
        <w:gridCol w:w="2262"/>
        <w:gridCol w:w="2262"/>
      </w:tblGrid>
      <w:tr>
        <w:trPr>
          <w:tblHeader w:val="true"/>
          <w:cantSplit/>
        </w:trPr>
        <w:tc>
          <w:tcPr>
            <w:tcW w:type="dxa" w:w="2096"/>
            <w:vAlign w:val="top"/>
            <w:tcMar>
              <w:top w:w="70" w:type="dxa"/>
              <w:start w:w="90" w:type="dxa"/>
              <w:bottom w:w="70" w:type="dxa"/>
              <w:end w:w="90" w:type="dxa"/>
            </w:tcMar>
            <w:shd w:val="clear" w:color="auto" w:fill="FFE8E1"/>
          </w:tcPr>
          <w:p>
            <w:pPr>
              <w:spacing w:after="0" w:line="240" w:lineRule="auto"/>
            </w:pPr>
            <w:r>
              <w:rPr>
                <w:b/>
              </w:rPr>
            </w:r>
            <w:r>
              <w:rPr>
                <w:b/>
                <w:sz w:val="17"/>
              </w:rPr>
              <w:t>Asset ID</w:t>
            </w:r>
          </w:p>
        </w:tc>
        <w:tc>
          <w:tcPr>
            <w:tcW w:type="dxa" w:w="3049"/>
            <w:vAlign w:val="top"/>
            <w:tcMar>
              <w:top w:w="70" w:type="dxa"/>
              <w:start w:w="90" w:type="dxa"/>
              <w:bottom w:w="70" w:type="dxa"/>
              <w:end w:w="90" w:type="dxa"/>
            </w:tcMar>
            <w:shd w:val="clear" w:color="auto" w:fill="FFE8E1"/>
          </w:tcPr>
          <w:p>
            <w:pPr>
              <w:spacing w:after="0" w:line="240" w:lineRule="auto"/>
            </w:pPr>
            <w:r>
              <w:rPr>
                <w:b/>
              </w:rPr>
            </w:r>
            <w:r>
              <w:rPr>
                <w:b/>
                <w:sz w:val="17"/>
              </w:rPr>
              <w:t>Intended capture</w:t>
            </w:r>
          </w:p>
        </w:tc>
        <w:tc>
          <w:tcPr>
            <w:tcW w:type="dxa" w:w="2478"/>
            <w:vAlign w:val="top"/>
            <w:tcMar>
              <w:top w:w="70" w:type="dxa"/>
              <w:start w:w="90" w:type="dxa"/>
              <w:bottom w:w="70" w:type="dxa"/>
              <w:end w:w="90" w:type="dxa"/>
            </w:tcMar>
            <w:shd w:val="clear" w:color="auto" w:fill="FFE8E1"/>
          </w:tcPr>
          <w:p>
            <w:pPr>
              <w:spacing w:after="0" w:line="240" w:lineRule="auto"/>
            </w:pPr>
            <w:r>
              <w:rPr>
                <w:b/>
              </w:rPr>
            </w:r>
            <w:r>
              <w:rPr>
                <w:b/>
                <w:sz w:val="17"/>
              </w:rPr>
              <w:t>Status/source</w:t>
            </w:r>
          </w:p>
        </w:tc>
        <w:tc>
          <w:tcPr>
            <w:tcW w:type="dxa" w:w="2096"/>
            <w:vAlign w:val="top"/>
            <w:tcMar>
              <w:top w:w="70" w:type="dxa"/>
              <w:start w:w="90" w:type="dxa"/>
              <w:bottom w:w="70" w:type="dxa"/>
              <w:end w:w="90" w:type="dxa"/>
            </w:tcMar>
            <w:shd w:val="clear" w:color="auto" w:fill="FFE8E1"/>
          </w:tcPr>
          <w:p>
            <w:pPr>
              <w:spacing w:after="0" w:line="240" w:lineRule="auto"/>
            </w:pPr>
            <w:r>
              <w:rPr>
                <w:b/>
              </w:rPr>
            </w:r>
            <w:r>
              <w:rPr>
                <w:b/>
                <w:sz w:val="17"/>
              </w:rPr>
              <w:t>Related IDs</w:t>
            </w:r>
          </w:p>
        </w:tc>
      </w:tr>
      <w:tr>
        <w:trPr>
          <w:cantSplit/>
        </w:trPr>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IMG-ADMIN-ONBOARD-001</w:t>
            </w:r>
          </w:p>
        </w:tc>
        <w:tc>
          <w:tcPr>
            <w:tcW w:type="dxa" w:w="3049"/>
            <w:vAlign w:val="top"/>
            <w:tcMar>
              <w:top w:w="70" w:type="dxa"/>
              <w:start w:w="90" w:type="dxa"/>
              <w:bottom w:w="70" w:type="dxa"/>
              <w:end w:w="90" w:type="dxa"/>
            </w:tcMar>
          </w:tcPr>
          <w:p>
            <w:pPr>
              <w:spacing w:after="0" w:line="240" w:lineRule="auto"/>
            </w:pPr>
            <w:r>
              <w:rPr/>
            </w:r>
            <w:r>
              <w:rPr>
                <w:sz w:val="17"/>
              </w:rPr>
              <w:t>Platform Admin registration review with synthetic organization</w:t>
            </w:r>
          </w:p>
        </w:tc>
        <w:tc>
          <w:tcPr>
            <w:tcW w:type="dxa" w:w="2478"/>
            <w:vAlign w:val="top"/>
            <w:tcMar>
              <w:top w:w="70" w:type="dxa"/>
              <w:start w:w="90" w:type="dxa"/>
              <w:bottom w:w="70" w:type="dxa"/>
              <w:end w:w="90" w:type="dxa"/>
            </w:tcMar>
          </w:tcPr>
          <w:p>
            <w:pPr>
              <w:spacing w:after="0" w:line="240" w:lineRule="auto"/>
            </w:pPr>
            <w:r>
              <w:rPr/>
            </w:r>
            <w:r>
              <w:rPr>
                <w:sz w:val="17"/>
              </w:rPr>
              <w:t>TBD — capture after route/evidence verification</w:t>
            </w:r>
          </w:p>
        </w:tc>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WF-ADMIN-ONBOARD-001</w:t>
            </w:r>
            <w:r>
              <w:rPr>
                <w:sz w:val="17"/>
              </w:rPr>
              <w:t xml:space="preserve">, </w:t>
            </w:r>
            <w:r>
              <w:rPr>
                <w:rFonts w:ascii="Consolas" w:hAnsi="Consolas"/>
                <w:b w:val="0"/>
                <w:i w:val="0"/>
                <w:sz w:val="17"/>
              </w:rPr>
              <w:t>FR-ONBOARD-002</w:t>
            </w:r>
          </w:p>
        </w:tc>
      </w:tr>
      <w:tr>
        <w:trPr>
          <w:cantSplit/>
        </w:trPr>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IMG-HOST-EXAM-001</w:t>
            </w:r>
          </w:p>
        </w:tc>
        <w:tc>
          <w:tcPr>
            <w:tcW w:type="dxa" w:w="3049"/>
            <w:vAlign w:val="top"/>
            <w:tcMar>
              <w:top w:w="70" w:type="dxa"/>
              <w:start w:w="90" w:type="dxa"/>
              <w:bottom w:w="70" w:type="dxa"/>
              <w:end w:w="90" w:type="dxa"/>
            </w:tcMar>
          </w:tcPr>
          <w:p>
            <w:pPr>
              <w:spacing w:after="0" w:line="240" w:lineRule="auto"/>
            </w:pPr>
            <w:r>
              <w:rPr/>
            </w:r>
            <w:r>
              <w:rPr>
                <w:sz w:val="17"/>
              </w:rPr>
              <w:t>Host exam validation/candidate preview</w:t>
            </w:r>
          </w:p>
        </w:tc>
        <w:tc>
          <w:tcPr>
            <w:tcW w:type="dxa" w:w="2478"/>
            <w:vAlign w:val="top"/>
            <w:tcMar>
              <w:top w:w="70" w:type="dxa"/>
              <w:start w:w="90" w:type="dxa"/>
              <w:bottom w:w="70" w:type="dxa"/>
              <w:end w:w="90" w:type="dxa"/>
            </w:tcMar>
          </w:tcPr>
          <w:p>
            <w:pPr>
              <w:spacing w:after="0" w:line="240" w:lineRule="auto"/>
            </w:pPr>
            <w:r>
              <w:rPr/>
            </w:r>
            <w:r>
              <w:rPr>
                <w:sz w:val="17"/>
              </w:rPr>
              <w:t>TBD — capture after UI verification</w:t>
            </w:r>
          </w:p>
        </w:tc>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WF-HOST-CREATE-EXAM</w:t>
            </w:r>
            <w:r>
              <w:rPr>
                <w:sz w:val="17"/>
              </w:rPr>
              <w:t xml:space="preserve">, </w:t>
            </w:r>
            <w:r>
              <w:rPr>
                <w:rFonts w:ascii="Consolas" w:hAnsi="Consolas"/>
                <w:b w:val="0"/>
                <w:i w:val="0"/>
                <w:sz w:val="17"/>
              </w:rPr>
              <w:t>FR-EXAM-003</w:t>
            </w:r>
          </w:p>
        </w:tc>
      </w:tr>
      <w:tr>
        <w:trPr>
          <w:cantSplit/>
        </w:trPr>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IMG-STUDENT-CHECK-001</w:t>
            </w:r>
          </w:p>
        </w:tc>
        <w:tc>
          <w:tcPr>
            <w:tcW w:type="dxa" w:w="3049"/>
            <w:vAlign w:val="top"/>
            <w:tcMar>
              <w:top w:w="70" w:type="dxa"/>
              <w:start w:w="90" w:type="dxa"/>
              <w:bottom w:w="70" w:type="dxa"/>
              <w:end w:w="90" w:type="dxa"/>
            </w:tcMar>
          </w:tcPr>
          <w:p>
            <w:pPr>
              <w:spacing w:after="0" w:line="240" w:lineRule="auto"/>
            </w:pPr>
            <w:r>
              <w:rPr/>
            </w:r>
            <w:r>
              <w:rPr>
                <w:sz w:val="17"/>
              </w:rPr>
              <w:t>Windows client device check and save/sync status</w:t>
            </w:r>
          </w:p>
        </w:tc>
        <w:tc>
          <w:tcPr>
            <w:tcW w:type="dxa" w:w="2478"/>
            <w:vAlign w:val="top"/>
            <w:tcMar>
              <w:top w:w="70" w:type="dxa"/>
              <w:start w:w="90" w:type="dxa"/>
              <w:bottom w:w="70" w:type="dxa"/>
              <w:end w:w="90" w:type="dxa"/>
            </w:tcMar>
          </w:tcPr>
          <w:p>
            <w:pPr>
              <w:spacing w:after="0" w:line="240" w:lineRule="auto"/>
            </w:pPr>
            <w:r>
              <w:rPr/>
            </w:r>
            <w:r>
              <w:rPr>
                <w:sz w:val="17"/>
              </w:rPr>
              <w:t xml:space="preserve">TBD — </w:t>
            </w:r>
            <w:r>
              <w:rPr>
                <w:rFonts w:ascii="Consolas" w:hAnsi="Consolas"/>
                <w:b w:val="0"/>
                <w:i w:val="0"/>
                <w:sz w:val="17"/>
              </w:rPr>
              <w:t>TBD-CLIENT-001</w:t>
            </w:r>
          </w:p>
        </w:tc>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WF-STUDENT-TAKE-001</w:t>
            </w:r>
            <w:r>
              <w:rPr>
                <w:sz w:val="17"/>
              </w:rPr>
              <w:t xml:space="preserve">, </w:t>
            </w:r>
            <w:r>
              <w:rPr>
                <w:rFonts w:ascii="Consolas" w:hAnsi="Consolas"/>
                <w:b w:val="0"/>
                <w:i w:val="0"/>
                <w:sz w:val="17"/>
              </w:rPr>
              <w:t>TC-DELIVERY-002</w:t>
            </w:r>
            <w:r>
              <w:rPr>
                <w:sz w:val="17"/>
              </w:rPr>
              <w:t>–</w:t>
            </w:r>
            <w:r>
              <w:rPr>
                <w:rFonts w:ascii="Consolas" w:hAnsi="Consolas"/>
                <w:b w:val="0"/>
                <w:i w:val="0"/>
                <w:sz w:val="17"/>
              </w:rPr>
              <w:t>TC-DELIVERY-003</w:t>
            </w:r>
          </w:p>
        </w:tc>
      </w:tr>
      <w:tr>
        <w:trPr>
          <w:cantSplit/>
        </w:trPr>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IMG-PROCTOR-EVENT-001</w:t>
            </w:r>
          </w:p>
        </w:tc>
        <w:tc>
          <w:tcPr>
            <w:tcW w:type="dxa" w:w="3049"/>
            <w:vAlign w:val="top"/>
            <w:tcMar>
              <w:top w:w="70" w:type="dxa"/>
              <w:start w:w="90" w:type="dxa"/>
              <w:bottom w:w="70" w:type="dxa"/>
              <w:end w:w="90" w:type="dxa"/>
            </w:tcMar>
          </w:tcPr>
          <w:p>
            <w:pPr>
              <w:spacing w:after="0" w:line="240" w:lineRule="auto"/>
            </w:pPr>
            <w:r>
              <w:rPr/>
            </w:r>
            <w:r>
              <w:rPr>
                <w:sz w:val="17"/>
              </w:rPr>
              <w:t>Proctor assigned monitoring/violation record</w:t>
            </w:r>
          </w:p>
        </w:tc>
        <w:tc>
          <w:tcPr>
            <w:tcW w:type="dxa" w:w="2478"/>
            <w:vAlign w:val="top"/>
            <w:tcMar>
              <w:top w:w="70" w:type="dxa"/>
              <w:start w:w="90" w:type="dxa"/>
              <w:bottom w:w="70" w:type="dxa"/>
              <w:end w:w="90" w:type="dxa"/>
            </w:tcMar>
          </w:tcPr>
          <w:p>
            <w:pPr>
              <w:spacing w:after="0" w:line="240" w:lineRule="auto"/>
            </w:pPr>
            <w:r>
              <w:rPr/>
            </w:r>
            <w:r>
              <w:rPr>
                <w:sz w:val="17"/>
              </w:rPr>
              <w:t xml:space="preserve">TBD — </w:t>
            </w:r>
            <w:r>
              <w:rPr>
                <w:rFonts w:ascii="Consolas" w:hAnsi="Consolas"/>
                <w:b w:val="0"/>
                <w:i w:val="0"/>
                <w:sz w:val="17"/>
              </w:rPr>
              <w:t>TBD-PROCTOR-001</w:t>
            </w:r>
          </w:p>
        </w:tc>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WF-PROCTOR-MONITOR-001</w:t>
            </w:r>
            <w:r>
              <w:rPr>
                <w:sz w:val="17"/>
              </w:rPr>
              <w:t xml:space="preserve">, </w:t>
            </w:r>
            <w:r>
              <w:rPr>
                <w:rFonts w:ascii="Consolas" w:hAnsi="Consolas"/>
                <w:b w:val="0"/>
                <w:i w:val="0"/>
                <w:sz w:val="17"/>
              </w:rPr>
              <w:t>FR-INTEGRITY-003</w:t>
            </w:r>
          </w:p>
        </w:tc>
      </w:tr>
      <w:tr>
        <w:trPr>
          <w:cantSplit/>
        </w:trPr>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IMG-REPORT-PUBLISH-001</w:t>
            </w:r>
          </w:p>
        </w:tc>
        <w:tc>
          <w:tcPr>
            <w:tcW w:type="dxa" w:w="3049"/>
            <w:vAlign w:val="top"/>
            <w:tcMar>
              <w:top w:w="70" w:type="dxa"/>
              <w:start w:w="90" w:type="dxa"/>
              <w:bottom w:w="70" w:type="dxa"/>
              <w:end w:w="90" w:type="dxa"/>
            </w:tcMar>
          </w:tcPr>
          <w:p>
            <w:pPr>
              <w:spacing w:after="0" w:line="240" w:lineRule="auto"/>
            </w:pPr>
            <w:r>
              <w:rPr/>
            </w:r>
            <w:r>
              <w:rPr>
                <w:sz w:val="17"/>
              </w:rPr>
              <w:t>Host readiness/source selection/publication</w:t>
            </w:r>
          </w:p>
        </w:tc>
        <w:tc>
          <w:tcPr>
            <w:tcW w:type="dxa" w:w="2478"/>
            <w:vAlign w:val="top"/>
            <w:tcMar>
              <w:top w:w="70" w:type="dxa"/>
              <w:start w:w="90" w:type="dxa"/>
              <w:bottom w:w="70" w:type="dxa"/>
              <w:end w:w="90" w:type="dxa"/>
            </w:tcMar>
          </w:tcPr>
          <w:p>
            <w:pPr>
              <w:spacing w:after="0" w:line="240" w:lineRule="auto"/>
            </w:pPr>
            <w:r>
              <w:rPr/>
            </w:r>
            <w:r>
              <w:rPr>
                <w:sz w:val="17"/>
              </w:rPr>
              <w:t>TBD — verify score/report UI</w:t>
            </w:r>
          </w:p>
        </w:tc>
        <w:tc>
          <w:tcPr>
            <w:tcW w:type="dxa" w:w="2096"/>
            <w:vAlign w:val="top"/>
            <w:tcMar>
              <w:top w:w="70" w:type="dxa"/>
              <w:start w:w="90" w:type="dxa"/>
              <w:bottom w:w="70" w:type="dxa"/>
              <w:end w:w="90" w:type="dxa"/>
            </w:tcMar>
          </w:tcPr>
          <w:p>
            <w:pPr>
              <w:spacing w:after="0" w:line="240" w:lineRule="auto"/>
            </w:pPr>
            <w:r>
              <w:rPr/>
            </w:r>
            <w:r>
              <w:rPr>
                <w:rFonts w:ascii="Consolas" w:hAnsi="Consolas"/>
                <w:b w:val="0"/>
                <w:i w:val="0"/>
                <w:sz w:val="17"/>
              </w:rPr>
              <w:t>WF-HOST-PUBLISH-REPORT</w:t>
            </w:r>
            <w:r>
              <w:rPr>
                <w:sz w:val="17"/>
              </w:rPr>
              <w:t xml:space="preserve">, </w:t>
            </w:r>
            <w:r>
              <w:rPr>
                <w:rFonts w:ascii="Consolas" w:hAnsi="Consolas"/>
                <w:b w:val="0"/>
                <w:i w:val="0"/>
                <w:sz w:val="17"/>
              </w:rPr>
              <w:t>FR-REPORT-003</w:t>
            </w:r>
            <w:r>
              <w:rPr>
                <w:sz w:val="17"/>
              </w:rPr>
              <w:t xml:space="preserve">, </w:t>
            </w:r>
            <w:r>
              <w:rPr>
                <w:rFonts w:ascii="Consolas" w:hAnsi="Consolas"/>
                <w:b w:val="0"/>
                <w:i w:val="0"/>
                <w:sz w:val="17"/>
              </w:rPr>
              <w:t>TC-REPORT-001</w:t>
            </w:r>
          </w:p>
        </w:tc>
      </w:tr>
    </w:tbl>
    <w:p>
      <w:pPr>
        <w:spacing w:after="20"/>
      </w:pPr>
    </w:p>
    <w:p>
      <w:pPr>
        <w:spacing w:after="80" w:line="240" w:lineRule="auto"/>
      </w:pPr>
      <w:r>
        <w:rPr>
          <w:sz w:val="19"/>
        </w:rPr>
        <w:t>Every image must use synthetic/masked data and include status, source/capture date, and related workflow/requirement/test IDs. Missing screenshots remain TBD rather than fabricated.</w:t>
      </w:r>
    </w:p>
    <w:p>
      <w:pPr>
        <w:pStyle w:val="Heading3"/>
        <w:keepNext/>
        <w:pageBreakBefore w:val="0"/>
      </w:pPr>
      <w:r>
        <w:t>3.11 Guide review checklist</w:t>
      </w:r>
    </w:p>
    <w:p>
      <w:pPr>
        <w:pStyle w:val="ListParagraph"/>
        <w:numPr>
          <w:ilvl w:val="0"/>
          <w:numId w:val="17"/>
        </w:numPr>
        <w:spacing w:after="40"/>
      </w:pPr>
      <w:r>
        <w:rPr>
          <w:sz w:val="18"/>
        </w:rPr>
        <w:t>Product is named PTEPrep; PTE Academic independence boundary is visible.</w:t>
      </w:r>
    </w:p>
    <w:p>
      <w:pPr>
        <w:pStyle w:val="ListParagraph"/>
        <w:numPr>
          <w:ilvl w:val="0"/>
          <w:numId w:val="17"/>
        </w:numPr>
        <w:spacing w:after="40"/>
      </w:pPr>
      <w:r>
        <w:rPr>
          <w:sz w:val="18"/>
        </w:rPr>
        <w:t>Only Platform Admin, Platform Manager, Academic Manager, Academic Staff, Host, Proctor, Examiner, Student, and External Integration Services appear as product actors.</w:t>
      </w:r>
    </w:p>
    <w:p>
      <w:pPr>
        <w:pStyle w:val="ListParagraph"/>
        <w:numPr>
          <w:ilvl w:val="0"/>
          <w:numId w:val="17"/>
        </w:numPr>
        <w:spacing w:after="40"/>
      </w:pPr>
      <w:r>
        <w:rPr>
          <w:sz w:val="18"/>
        </w:rPr>
        <w:t>Registration and package activation are separate instructions.</w:t>
      </w:r>
    </w:p>
    <w:p>
      <w:pPr>
        <w:pStyle w:val="ListParagraph"/>
        <w:numPr>
          <w:ilvl w:val="0"/>
          <w:numId w:val="17"/>
        </w:numPr>
        <w:spacing w:after="40"/>
      </w:pPr>
      <w:r>
        <w:rPr>
          <w:sz w:val="18"/>
        </w:rPr>
        <w:t>Windows-first client and device/offline limitations are explicit.</w:t>
      </w:r>
    </w:p>
    <w:p>
      <w:pPr>
        <w:pStyle w:val="ListParagraph"/>
        <w:numPr>
          <w:ilvl w:val="0"/>
          <w:numId w:val="17"/>
        </w:numPr>
        <w:spacing w:after="40"/>
      </w:pPr>
      <w:r>
        <w:rPr>
          <w:sz w:val="18"/>
        </w:rPr>
        <w:t>Every role workflow has prerequisites, steps, expected result, error/recovery, visibility, audit, and traceability.</w:t>
      </w:r>
    </w:p>
    <w:p>
      <w:pPr>
        <w:pStyle w:val="ListParagraph"/>
        <w:numPr>
          <w:ilvl w:val="0"/>
          <w:numId w:val="17"/>
        </w:numPr>
        <w:spacing w:after="40"/>
      </w:pPr>
      <w:r>
        <w:rPr>
          <w:sz w:val="18"/>
        </w:rPr>
        <w:t>Planned/Partial/TBD behavior is not written as a guaranteed Current workflow.</w:t>
      </w:r>
    </w:p>
    <w:p>
      <w:pPr>
        <w:pStyle w:val="ListParagraph"/>
        <w:numPr>
          <w:ilvl w:val="0"/>
          <w:numId w:val="17"/>
        </w:numPr>
        <w:spacing w:after="40"/>
      </w:pPr>
      <w:r>
        <w:rPr>
          <w:sz w:val="18"/>
        </w:rPr>
        <w:t>Internal service ports and secret values are not presented to end users.</w:t>
      </w:r>
    </w:p>
    <w:p>
      <w:pPr>
        <w:pStyle w:val="ListParagraph"/>
        <w:numPr>
          <w:ilvl w:val="0"/>
          <w:numId w:val="17"/>
        </w:numPr>
        <w:spacing w:after="40"/>
      </w:pPr>
      <w:r>
        <w:rPr>
          <w:sz w:val="18"/>
        </w:rPr>
        <w:t>Retention remains contract-based/TBD.</w:t>
      </w:r>
    </w:p>
    <w:p>
      <w:pPr>
        <w:pStyle w:val="ListParagraph"/>
        <w:numPr>
          <w:ilvl w:val="0"/>
          <w:numId w:val="17"/>
        </w:numPr>
        <w:spacing w:after="40"/>
      </w:pPr>
      <w:r>
        <w:rPr>
          <w:sz w:val="18"/>
        </w:rPr>
        <w:t>Screenshots/assets are masked or explicitly TBD.</w:t>
      </w:r>
    </w:p>
    <w:p>
      <w:pPr>
        <w:pStyle w:val="Heading3"/>
        <w:keepNext/>
        <w:pageBreakBefore w:val="0"/>
      </w:pPr>
      <w:r>
        <w:t>3.12 Scope revision workflows</w:t>
      </w:r>
    </w:p>
    <w:p>
      <w:pPr>
        <w:pStyle w:val="Heading4"/>
        <w:keepNext/>
        <w:pageBreakBefore w:val="0"/>
      </w:pPr>
      <w:r>
        <w:t>3.12.1 Platform Manager - operational review</w:t>
      </w:r>
    </w:p>
    <w:p>
      <w:pPr>
        <w:spacing w:after="80" w:line="240" w:lineRule="auto"/>
      </w:pPr>
      <w:r>
        <w:rPr>
          <w:b/>
          <w:i w:val="0"/>
          <w:sz w:val="19"/>
        </w:rPr>
        <w:t>Workflow ID:</w:t>
      </w:r>
      <w:r>
        <w:rPr>
          <w:sz w:val="19"/>
        </w:rPr>
        <w:t xml:space="preserve"> </w:t>
      </w:r>
      <w:r>
        <w:rPr>
          <w:rFonts w:ascii="Consolas" w:hAnsi="Consolas"/>
          <w:b w:val="0"/>
          <w:i w:val="0"/>
          <w:sz w:val="17"/>
        </w:rPr>
        <w:t>WF-PLATFORM-MANAGER-001</w:t>
      </w:r>
      <w:r>
        <w:rPr>
          <w:sz w:val="19"/>
        </w:rPr>
        <w:t xml:space="preserve"> </w:t>
      </w:r>
      <w:r>
        <w:rPr>
          <w:b/>
          <w:i w:val="0"/>
          <w:sz w:val="19"/>
        </w:rPr>
        <w:t>Status:</w:t>
      </w:r>
      <w:r>
        <w:rPr>
          <w:sz w:val="19"/>
        </w:rPr>
        <w:t xml:space="preserve"> Current/Partial depending on the reviewed route.</w:t>
      </w:r>
    </w:p>
    <w:p>
      <w:pPr>
        <w:pStyle w:val="ListParagraph"/>
        <w:numPr>
          <w:ilvl w:val="0"/>
          <w:numId w:val="18"/>
        </w:numPr>
        <w:spacing w:after="40"/>
      </w:pPr>
      <w:r>
        <w:rPr>
          <w:sz w:val="18"/>
        </w:rPr>
        <w:t>Sign in to the platform administration web.</w:t>
      </w:r>
    </w:p>
    <w:p>
      <w:pPr>
        <w:pStyle w:val="ListParagraph"/>
        <w:numPr>
          <w:ilvl w:val="0"/>
          <w:numId w:val="18"/>
        </w:numPr>
        <w:spacing w:after="40"/>
      </w:pPr>
      <w:r>
        <w:rPr>
          <w:sz w:val="18"/>
        </w:rPr>
        <w:t>Open the organization or operational case assigned to the Platform Manager.</w:t>
      </w:r>
    </w:p>
    <w:p>
      <w:pPr>
        <w:pStyle w:val="ListParagraph"/>
        <w:numPr>
          <w:ilvl w:val="0"/>
          <w:numId w:val="18"/>
        </w:numPr>
        <w:spacing w:after="40"/>
      </w:pPr>
      <w:r>
        <w:rPr>
          <w:sz w:val="18"/>
        </w:rPr>
        <w:t>Review status, package/support information and the allowed action.</w:t>
      </w:r>
    </w:p>
    <w:p>
      <w:pPr>
        <w:pStyle w:val="ListParagraph"/>
        <w:numPr>
          <w:ilvl w:val="0"/>
          <w:numId w:val="18"/>
        </w:numPr>
        <w:spacing w:after="40"/>
      </w:pPr>
      <w:r>
        <w:rPr>
          <w:sz w:val="18"/>
        </w:rPr>
        <w:t>Apply the operational action or escalate it to Platform Admin.</w:t>
      </w:r>
    </w:p>
    <w:p>
      <w:pPr>
        <w:pStyle w:val="ListParagraph"/>
        <w:numPr>
          <w:ilvl w:val="0"/>
          <w:numId w:val="18"/>
        </w:numPr>
        <w:spacing w:after="40"/>
      </w:pPr>
      <w:r>
        <w:rPr>
          <w:sz w:val="18"/>
        </w:rPr>
        <w:t>Confirm that the resulting status and audit reference are visible.</w:t>
      </w:r>
    </w:p>
    <w:p>
      <w:pPr>
        <w:spacing w:after="80" w:line="240" w:lineRule="auto"/>
      </w:pPr>
      <w:r>
        <w:rPr>
          <w:sz w:val="19"/>
        </w:rPr>
        <w:t>The Platform Manager cannot approve academic content, publish a question revision, or read unrelated Student answers.</w:t>
      </w:r>
    </w:p>
    <w:p>
      <w:pPr>
        <w:pStyle w:val="Heading4"/>
        <w:keepNext/>
        <w:pageBreakBefore w:val="0"/>
      </w:pPr>
      <w:r>
        <w:t>3.12.2 Academic Staff - draft and submit</w:t>
      </w:r>
    </w:p>
    <w:p>
      <w:pPr>
        <w:spacing w:after="80" w:line="240" w:lineRule="auto"/>
      </w:pPr>
      <w:r>
        <w:rPr>
          <w:b/>
          <w:i w:val="0"/>
          <w:sz w:val="19"/>
        </w:rPr>
        <w:t>Workflow ID:</w:t>
      </w:r>
      <w:r>
        <w:rPr>
          <w:sz w:val="19"/>
        </w:rPr>
        <w:t xml:space="preserve"> </w:t>
      </w:r>
      <w:r>
        <w:rPr>
          <w:rFonts w:ascii="Consolas" w:hAnsi="Consolas"/>
          <w:b w:val="0"/>
          <w:i w:val="0"/>
          <w:sz w:val="17"/>
        </w:rPr>
        <w:t>WF-ACADEMIC-STAFF-001</w:t>
      </w:r>
      <w:r>
        <w:rPr>
          <w:sz w:val="19"/>
        </w:rPr>
        <w:t xml:space="preserve"> </w:t>
      </w:r>
      <w:r>
        <w:rPr>
          <w:b/>
          <w:i w:val="0"/>
          <w:sz w:val="19"/>
        </w:rPr>
        <w:t>Status:</w:t>
      </w:r>
      <w:r>
        <w:rPr>
          <w:sz w:val="19"/>
        </w:rPr>
        <w:t xml:space="preserve"> Partial/Planned until the complete authoring and review route is evidenced.</w:t>
      </w:r>
    </w:p>
    <w:p>
      <w:pPr>
        <w:pStyle w:val="ListParagraph"/>
        <w:numPr>
          <w:ilvl w:val="0"/>
          <w:numId w:val="18"/>
        </w:numPr>
        <w:spacing w:after="40"/>
      </w:pPr>
      <w:r>
        <w:rPr>
          <w:sz w:val="18"/>
        </w:rPr>
        <w:t>Open the content authoring area.</w:t>
      </w:r>
    </w:p>
    <w:p>
      <w:pPr>
        <w:pStyle w:val="ListParagraph"/>
        <w:numPr>
          <w:ilvl w:val="0"/>
          <w:numId w:val="18"/>
        </w:numPr>
        <w:spacing w:after="40"/>
      </w:pPr>
      <w:r>
        <w:rPr>
          <w:sz w:val="18"/>
        </w:rPr>
        <w:t>Create or revise the question, prompt/media, rubric and task metadata.</w:t>
      </w:r>
    </w:p>
    <w:p>
      <w:pPr>
        <w:pStyle w:val="ListParagraph"/>
        <w:numPr>
          <w:ilvl w:val="0"/>
          <w:numId w:val="18"/>
        </w:numPr>
        <w:spacing w:after="40"/>
      </w:pPr>
      <w:r>
        <w:rPr>
          <w:sz w:val="18"/>
        </w:rPr>
        <w:t xml:space="preserve">Choose the intended </w:t>
      </w:r>
      <w:r>
        <w:rPr>
          <w:rFonts w:ascii="Consolas" w:hAnsi="Consolas"/>
          <w:b w:val="0"/>
          <w:i w:val="0"/>
          <w:sz w:val="17"/>
        </w:rPr>
        <w:t>available_for_practice</w:t>
      </w:r>
      <w:r>
        <w:rPr>
          <w:sz w:val="18"/>
        </w:rPr>
        <w:t xml:space="preserve"> and </w:t>
      </w:r>
      <w:r>
        <w:rPr>
          <w:rFonts w:ascii="Consolas" w:hAnsi="Consolas"/>
          <w:b w:val="0"/>
          <w:i w:val="0"/>
          <w:sz w:val="17"/>
        </w:rPr>
        <w:t>available_for_exam</w:t>
      </w:r>
      <w:r>
        <w:rPr>
          <w:sz w:val="18"/>
        </w:rPr>
        <w:t xml:space="preserve"> flags.</w:t>
      </w:r>
    </w:p>
    <w:p>
      <w:pPr>
        <w:pStyle w:val="ListParagraph"/>
        <w:numPr>
          <w:ilvl w:val="0"/>
          <w:numId w:val="18"/>
        </w:numPr>
        <w:spacing w:after="40"/>
      </w:pPr>
      <w:r>
        <w:rPr>
          <w:sz w:val="18"/>
        </w:rPr>
        <w:t>Run the visible content/readiness checks.</w:t>
      </w:r>
    </w:p>
    <w:p>
      <w:pPr>
        <w:pStyle w:val="ListParagraph"/>
        <w:numPr>
          <w:ilvl w:val="0"/>
          <w:numId w:val="18"/>
        </w:numPr>
        <w:spacing w:after="40"/>
      </w:pPr>
      <w:r>
        <w:rPr>
          <w:sz w:val="18"/>
        </w:rPr>
        <w:t>Submit the revision to Academic Manager with a version and review note.</w:t>
      </w:r>
    </w:p>
    <w:p>
      <w:pPr>
        <w:pStyle w:val="ListParagraph"/>
        <w:numPr>
          <w:ilvl w:val="0"/>
          <w:numId w:val="18"/>
        </w:numPr>
        <w:spacing w:after="40"/>
      </w:pPr>
      <w:r>
        <w:rPr>
          <w:sz w:val="18"/>
        </w:rPr>
        <w:t>If rejected, address the recorded findings in a new revision; do not edit a locked exam or practice item.</w:t>
      </w:r>
    </w:p>
    <w:p>
      <w:pPr>
        <w:spacing w:after="80" w:line="240" w:lineRule="auto"/>
      </w:pPr>
      <w:r>
        <w:rPr>
          <w:sz w:val="19"/>
        </w:rPr>
        <w:t>Academic Staff must not publish or activate its own submitted content.</w:t>
      </w:r>
    </w:p>
    <w:p>
      <w:pPr>
        <w:pStyle w:val="Heading4"/>
        <w:keepNext/>
        <w:pageBreakBefore w:val="0"/>
      </w:pPr>
      <w:r>
        <w:t>3.12.3 Academic Manager - review and activate</w:t>
      </w:r>
    </w:p>
    <w:p>
      <w:pPr>
        <w:spacing w:after="80" w:line="240" w:lineRule="auto"/>
      </w:pPr>
      <w:r>
        <w:rPr>
          <w:b/>
          <w:i w:val="0"/>
          <w:sz w:val="19"/>
        </w:rPr>
        <w:t>Workflow ID:</w:t>
      </w:r>
      <w:r>
        <w:rPr>
          <w:sz w:val="19"/>
        </w:rPr>
        <w:t xml:space="preserve"> </w:t>
      </w:r>
      <w:r>
        <w:rPr>
          <w:rFonts w:ascii="Consolas" w:hAnsi="Consolas"/>
          <w:b w:val="0"/>
          <w:i w:val="0"/>
          <w:sz w:val="17"/>
        </w:rPr>
        <w:t>WF-ACADEMIC-MANAGER-001</w:t>
      </w:r>
      <w:r>
        <w:rPr>
          <w:sz w:val="19"/>
        </w:rPr>
        <w:t xml:space="preserve"> </w:t>
      </w:r>
      <w:r>
        <w:rPr>
          <w:b/>
          <w:i w:val="0"/>
          <w:sz w:val="19"/>
        </w:rPr>
        <w:t>Status:</w:t>
      </w:r>
      <w:r>
        <w:rPr>
          <w:sz w:val="19"/>
        </w:rPr>
        <w:t xml:space="preserve"> Planned/Future where the reviewed source does not show the complete workflow.</w:t>
      </w:r>
    </w:p>
    <w:p>
      <w:pPr>
        <w:pStyle w:val="ListParagraph"/>
        <w:numPr>
          <w:ilvl w:val="0"/>
          <w:numId w:val="18"/>
        </w:numPr>
        <w:spacing w:after="40"/>
      </w:pPr>
      <w:r>
        <w:rPr>
          <w:sz w:val="18"/>
        </w:rPr>
        <w:t>Open the submitted revision and inspect task structure, media, rubric, answer policy and channel flags.</w:t>
      </w:r>
    </w:p>
    <w:p>
      <w:pPr>
        <w:pStyle w:val="ListParagraph"/>
        <w:numPr>
          <w:ilvl w:val="0"/>
          <w:numId w:val="18"/>
        </w:numPr>
        <w:spacing w:after="40"/>
      </w:pPr>
      <w:r>
        <w:rPr>
          <w:sz w:val="18"/>
        </w:rPr>
        <w:t>Approve or reject with a reason.</w:t>
      </w:r>
    </w:p>
    <w:p>
      <w:pPr>
        <w:pStyle w:val="ListParagraph"/>
        <w:numPr>
          <w:ilvl w:val="0"/>
          <w:numId w:val="18"/>
        </w:numPr>
        <w:spacing w:after="40"/>
      </w:pPr>
      <w:r>
        <w:rPr>
          <w:sz w:val="18"/>
        </w:rPr>
        <w:t>Publish/activate only after all required content and policy checks pass.</w:t>
      </w:r>
    </w:p>
    <w:p>
      <w:pPr>
        <w:pStyle w:val="ListParagraph"/>
        <w:numPr>
          <w:ilvl w:val="0"/>
          <w:numId w:val="18"/>
        </w:numPr>
        <w:spacing w:after="40"/>
      </w:pPr>
      <w:r>
        <w:rPr>
          <w:sz w:val="18"/>
        </w:rPr>
        <w:t>Confirm the revision status and audit record.</w:t>
      </w:r>
    </w:p>
    <w:p>
      <w:pPr>
        <w:pStyle w:val="ListParagraph"/>
        <w:numPr>
          <w:ilvl w:val="0"/>
          <w:numId w:val="18"/>
        </w:numPr>
        <w:spacing w:after="40"/>
      </w:pPr>
      <w:r>
        <w:rPr>
          <w:sz w:val="18"/>
        </w:rPr>
        <w:t>Retire or suspend unsafe content without rewriting an existing frozen session or exam.</w:t>
      </w:r>
    </w:p>
    <w:p>
      <w:pPr>
        <w:pStyle w:val="Heading4"/>
        <w:keepNext/>
        <w:pageBreakBefore w:val="0"/>
      </w:pPr>
      <w:r>
        <w:t>3.12.4 Student - self-practice</w:t>
      </w:r>
    </w:p>
    <w:p>
      <w:pPr>
        <w:spacing w:after="80" w:line="240" w:lineRule="auto"/>
      </w:pPr>
      <w:r>
        <w:rPr>
          <w:b/>
          <w:i w:val="0"/>
          <w:sz w:val="19"/>
        </w:rPr>
        <w:t>Workflow ID:</w:t>
      </w:r>
      <w:r>
        <w:rPr>
          <w:sz w:val="19"/>
        </w:rPr>
        <w:t xml:space="preserve"> </w:t>
      </w:r>
      <w:r>
        <w:rPr>
          <w:rFonts w:ascii="Consolas" w:hAnsi="Consolas"/>
          <w:b w:val="0"/>
          <w:i w:val="0"/>
          <w:sz w:val="17"/>
        </w:rPr>
        <w:t>WF-STUDENT-PRACTICE-001</w:t>
      </w:r>
      <w:r>
        <w:rPr>
          <w:sz w:val="19"/>
        </w:rPr>
        <w:t xml:space="preserve"> </w:t>
      </w:r>
      <w:r>
        <w:rPr>
          <w:b/>
          <w:i w:val="0"/>
          <w:sz w:val="19"/>
        </w:rPr>
        <w:t>Status:</w:t>
      </w:r>
      <w:r>
        <w:rPr>
          <w:sz w:val="19"/>
        </w:rPr>
        <w:t xml:space="preserve"> Partial for current catalog/session/progress slices; AI explanation is Planned/Future.</w:t>
      </w:r>
    </w:p>
    <w:p>
      <w:pPr>
        <w:pStyle w:val="ListParagraph"/>
        <w:numPr>
          <w:ilvl w:val="0"/>
          <w:numId w:val="18"/>
        </w:numPr>
        <w:spacing w:after="40"/>
      </w:pPr>
      <w:r>
        <w:rPr>
          <w:sz w:val="18"/>
        </w:rPr>
        <w:t xml:space="preserve">Open </w:t>
      </w:r>
      <w:r>
        <w:rPr>
          <w:rFonts w:ascii="Consolas" w:hAnsi="Consolas"/>
          <w:b w:val="0"/>
          <w:i w:val="0"/>
          <w:sz w:val="17"/>
        </w:rPr>
        <w:t>pte-practice</w:t>
      </w:r>
      <w:r>
        <w:rPr>
          <w:sz w:val="18"/>
        </w:rPr>
        <w:t xml:space="preserve"> and request the email sign-in code.</w:t>
      </w:r>
    </w:p>
    <w:p>
      <w:pPr>
        <w:pStyle w:val="ListParagraph"/>
        <w:numPr>
          <w:ilvl w:val="0"/>
          <w:numId w:val="18"/>
        </w:numPr>
        <w:spacing w:after="40"/>
      </w:pPr>
      <w:r>
        <w:rPr>
          <w:sz w:val="18"/>
        </w:rPr>
        <w:t>Submit the valid code. If it is expired or reused, request a safe resend.</w:t>
      </w:r>
    </w:p>
    <w:p>
      <w:pPr>
        <w:pStyle w:val="ListParagraph"/>
        <w:numPr>
          <w:ilvl w:val="0"/>
          <w:numId w:val="18"/>
        </w:numPr>
        <w:spacing w:after="40"/>
      </w:pPr>
      <w:r>
        <w:rPr>
          <w:sz w:val="18"/>
        </w:rPr>
        <w:t>Select an authorized organization/context when the product asks for one and confirm that practice entitlement is available.</w:t>
      </w:r>
    </w:p>
    <w:p>
      <w:pPr>
        <w:pStyle w:val="ListParagraph"/>
        <w:numPr>
          <w:ilvl w:val="0"/>
          <w:numId w:val="18"/>
        </w:numPr>
        <w:spacing w:after="40"/>
      </w:pPr>
      <w:r>
        <w:rPr>
          <w:sz w:val="18"/>
        </w:rPr>
        <w:t>Browse a task group. A visible but unavailable group must explain the missing content, entitlement or readiness condition.</w:t>
      </w:r>
    </w:p>
    <w:p>
      <w:pPr>
        <w:pStyle w:val="ListParagraph"/>
        <w:numPr>
          <w:ilvl w:val="0"/>
          <w:numId w:val="18"/>
        </w:numPr>
        <w:spacing w:after="40"/>
      </w:pPr>
      <w:r>
        <w:rPr>
          <w:sz w:val="18"/>
        </w:rPr>
        <w:t>Start or resume a practice session. Read the task, timing and save state before answering.</w:t>
      </w:r>
    </w:p>
    <w:p>
      <w:pPr>
        <w:pStyle w:val="ListParagraph"/>
        <w:numPr>
          <w:ilvl w:val="0"/>
          <w:numId w:val="18"/>
        </w:numPr>
        <w:spacing w:after="40"/>
      </w:pPr>
      <w:r>
        <w:rPr>
          <w:sz w:val="18"/>
        </w:rPr>
        <w:t>Answer, optionally record confidence, and wait for the saved/pending indicator. For speaking/media work, complete the approved grant/upload flow.</w:t>
      </w:r>
    </w:p>
    <w:p>
      <w:pPr>
        <w:pStyle w:val="ListParagraph"/>
        <w:numPr>
          <w:ilvl w:val="0"/>
          <w:numId w:val="18"/>
        </w:numPr>
        <w:spacing w:after="40"/>
      </w:pPr>
      <w:r>
        <w:rPr>
          <w:sz w:val="18"/>
        </w:rPr>
        <w:t>Use Save and Exit when permitted. Resume the same session rather than starting a duplicate.</w:t>
      </w:r>
    </w:p>
    <w:p>
      <w:pPr>
        <w:pStyle w:val="ListParagraph"/>
        <w:numPr>
          <w:ilvl w:val="0"/>
          <w:numId w:val="18"/>
        </w:numPr>
        <w:spacing w:after="40"/>
      </w:pPr>
      <w:r>
        <w:rPr>
          <w:sz w:val="18"/>
        </w:rPr>
        <w:t>Submit, skip or discard according to the session policy. Repeated commands should return the existing state.</w:t>
      </w:r>
    </w:p>
    <w:p>
      <w:pPr>
        <w:pStyle w:val="ListParagraph"/>
        <w:numPr>
          <w:ilvl w:val="0"/>
          <w:numId w:val="18"/>
        </w:numPr>
        <w:spacing w:after="40"/>
      </w:pPr>
      <w:r>
        <w:rPr>
          <w:sz w:val="18"/>
        </w:rPr>
        <w:t>Open Progress/History. Activity and pending feedback are not presented as a final score.</w:t>
      </w:r>
    </w:p>
    <w:p>
      <w:pPr>
        <w:pStyle w:val="Heading4"/>
        <w:keepNext/>
        <w:pageBreakBefore w:val="0"/>
      </w:pPr>
      <w:r>
        <w:t>3.12.5 Student - AI explanation</w:t>
      </w:r>
    </w:p>
    <w:p>
      <w:pPr>
        <w:spacing w:after="80" w:line="240" w:lineRule="auto"/>
      </w:pPr>
      <w:r>
        <w:rPr>
          <w:b/>
          <w:i w:val="0"/>
          <w:sz w:val="19"/>
        </w:rPr>
        <w:t>Workflow ID:</w:t>
      </w:r>
      <w:r>
        <w:rPr>
          <w:sz w:val="19"/>
        </w:rPr>
        <w:t xml:space="preserve"> </w:t>
      </w:r>
      <w:r>
        <w:rPr>
          <w:rFonts w:ascii="Consolas" w:hAnsi="Consolas"/>
          <w:b w:val="0"/>
          <w:i w:val="0"/>
          <w:sz w:val="17"/>
        </w:rPr>
        <w:t>WF-STUDENT-PRACTICE-002</w:t>
      </w:r>
      <w:r>
        <w:rPr>
          <w:sz w:val="19"/>
        </w:rPr>
        <w:t xml:space="preserve"> </w:t>
      </w:r>
      <w:r>
        <w:rPr>
          <w:b/>
          <w:i w:val="0"/>
          <w:sz w:val="19"/>
        </w:rPr>
        <w:t>Status:</w:t>
      </w:r>
      <w:r>
        <w:rPr>
          <w:sz w:val="19"/>
        </w:rPr>
        <w:t xml:space="preserve"> Planned/Future/TBD.</w:t>
      </w:r>
    </w:p>
    <w:p>
      <w:pPr>
        <w:spacing w:after="80" w:line="240" w:lineRule="auto"/>
      </w:pPr>
      <w:r>
        <w:rPr>
          <w:sz w:val="19"/>
        </w:rPr>
        <w:t xml:space="preserve">After a submitted answer, the Student may see </w:t>
      </w:r>
      <w:r>
        <w:rPr>
          <w:rFonts w:ascii="Consolas" w:hAnsi="Consolas"/>
          <w:b w:val="0"/>
          <w:i w:val="0"/>
          <w:sz w:val="17"/>
        </w:rPr>
        <w:t>Pending</w:t>
      </w:r>
      <w:r>
        <w:rPr>
          <w:sz w:val="19"/>
        </w:rPr>
        <w:t xml:space="preserve">, </w:t>
      </w:r>
      <w:r>
        <w:rPr>
          <w:rFonts w:ascii="Consolas" w:hAnsi="Consolas"/>
          <w:b w:val="0"/>
          <w:i w:val="0"/>
          <w:sz w:val="17"/>
        </w:rPr>
        <w:t>Available</w:t>
      </w:r>
      <w:r>
        <w:rPr>
          <w:sz w:val="19"/>
        </w:rPr>
        <w:t xml:space="preserve">, </w:t>
      </w:r>
      <w:r>
        <w:rPr>
          <w:rFonts w:ascii="Consolas" w:hAnsi="Consolas"/>
          <w:b w:val="0"/>
          <w:i w:val="0"/>
          <w:sz w:val="17"/>
        </w:rPr>
        <w:t>Unavailable</w:t>
      </w:r>
      <w:r>
        <w:rPr>
          <w:sz w:val="19"/>
        </w:rPr>
        <w:t xml:space="preserve">, or </w:t>
      </w:r>
      <w:r>
        <w:rPr>
          <w:rFonts w:ascii="Consolas" w:hAnsi="Consolas"/>
          <w:b w:val="0"/>
          <w:i w:val="0"/>
          <w:sz w:val="17"/>
        </w:rPr>
        <w:t>Retry</w:t>
      </w:r>
      <w:r>
        <w:rPr>
          <w:sz w:val="19"/>
        </w:rPr>
        <w:t>. When available, the explanation is labelled as generated educational feedback and identifies the relevant question/rubric context. If it fails, the Student keeps the answer and can follow the retry or support instruction. The guide must not show an invented button or claim a successful AI result until a real UI and dated evidence exist.</w:t>
      </w:r>
    </w:p>
    <w:p>
      <w:pPr>
        <w:pStyle w:val="Heading4"/>
        <w:keepNext/>
        <w:pageBreakBefore w:val="0"/>
      </w:pPr>
      <w:r>
        <w:t>3.12.6 Student - organization exam reminder</w:t>
      </w:r>
    </w:p>
    <w:p>
      <w:pPr>
        <w:spacing w:after="80" w:line="240" w:lineRule="auto"/>
      </w:pPr>
      <w:r>
        <w:rPr>
          <w:sz w:val="19"/>
        </w:rPr>
        <w:t>The self-practice workflow does not replace the Windows organization exam workflow. For an assigned exam, the Student uses the exam code/assignment, completes the device check, follows the fixed timer, saves locally, synchronizes, submits once and later views the Host-published report. Practice flags and exam flags are evaluated by their respective consumers.</w:t>
      </w:r>
    </w:p>
    <w:p>
      <w:pPr>
        <w:pStyle w:val="Heading4"/>
        <w:keepNext/>
        <w:pageBreakBefore w:val="0"/>
      </w:pPr>
      <w:r>
        <w:t>3.12.7 Scope revision traceability and unresolved feedback</w:t>
      </w:r>
    </w:p>
    <w:tbl>
      <w:tblPr>
        <w:tblW w:type="auto" w:w="0"/>
        <w:jc w:val="center"/>
        <w:tblLayout w:type="fixed"/>
        <w:tblLook w:firstColumn="1" w:firstRow="1" w:lastColumn="0" w:lastRow="0" w:noHBand="0" w:noVBand="1" w:val="04A0"/>
      </w:tblPr>
      <w:tblGrid>
        <w:gridCol w:w="3017"/>
        <w:gridCol w:w="3017"/>
        <w:gridCol w:w="3017"/>
      </w:tblGrid>
      <w:tr>
        <w:trPr>
          <w:tblHeader w:val="true"/>
          <w:cantSplit/>
        </w:trPr>
        <w:tc>
          <w:tcPr>
            <w:tcW w:type="dxa" w:w="1876"/>
            <w:vAlign w:val="top"/>
            <w:tcMar>
              <w:top w:w="70" w:type="dxa"/>
              <w:start w:w="90" w:type="dxa"/>
              <w:bottom w:w="70" w:type="dxa"/>
              <w:end w:w="90" w:type="dxa"/>
            </w:tcMar>
            <w:shd w:val="clear" w:color="auto" w:fill="FFE8E1"/>
          </w:tcPr>
          <w:p>
            <w:pPr>
              <w:spacing w:after="0" w:line="240" w:lineRule="auto"/>
            </w:pPr>
            <w:r>
              <w:rPr>
                <w:b/>
              </w:rPr>
            </w:r>
            <w:r>
              <w:rPr>
                <w:b/>
                <w:sz w:val="17"/>
              </w:rPr>
              <w:t>Guide topic</w:t>
            </w:r>
          </w:p>
        </w:tc>
        <w:tc>
          <w:tcPr>
            <w:tcW w:type="dxa" w:w="4775"/>
            <w:vAlign w:val="top"/>
            <w:tcMar>
              <w:top w:w="70" w:type="dxa"/>
              <w:start w:w="90" w:type="dxa"/>
              <w:bottom w:w="70" w:type="dxa"/>
              <w:end w:w="90" w:type="dxa"/>
            </w:tcMar>
            <w:shd w:val="clear" w:color="auto" w:fill="FFE8E1"/>
          </w:tcPr>
          <w:p>
            <w:pPr>
              <w:spacing w:after="0" w:line="240" w:lineRule="auto"/>
            </w:pPr>
            <w:r>
              <w:rPr>
                <w:b/>
              </w:rPr>
            </w:r>
            <w:r>
              <w:rPr>
                <w:b/>
                <w:sz w:val="17"/>
              </w:rPr>
              <w:t>Requirement/design/test link</w:t>
            </w:r>
          </w:p>
        </w:tc>
        <w:tc>
          <w:tcPr>
            <w:tcW w:type="dxa" w:w="3070"/>
            <w:vAlign w:val="top"/>
            <w:tcMar>
              <w:top w:w="70" w:type="dxa"/>
              <w:start w:w="90" w:type="dxa"/>
              <w:bottom w:w="70" w:type="dxa"/>
              <w:end w:w="90" w:type="dxa"/>
            </w:tcMar>
            <w:shd w:val="clear" w:color="auto" w:fill="FFE8E1"/>
          </w:tcPr>
          <w:p>
            <w:pPr>
              <w:spacing w:after="0" w:line="240" w:lineRule="auto"/>
            </w:pPr>
            <w:r>
              <w:rPr>
                <w:b/>
              </w:rPr>
            </w:r>
            <w:r>
              <w:rPr>
                <w:b/>
                <w:sz w:val="17"/>
              </w:rPr>
              <w:t>User-facing status</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Email sign-in and context</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FR-PRACTICE-001</w:t>
            </w:r>
            <w:r>
              <w:rPr>
                <w:sz w:val="17"/>
              </w:rPr>
              <w:t xml:space="preserve">, </w:t>
            </w:r>
            <w:r>
              <w:rPr>
                <w:rFonts w:ascii="Consolas" w:hAnsi="Consolas"/>
                <w:b w:val="0"/>
                <w:i w:val="0"/>
                <w:sz w:val="17"/>
              </w:rPr>
              <w:t>FR-PRACTICE-002</w:t>
            </w:r>
            <w:r>
              <w:rPr>
                <w:sz w:val="17"/>
              </w:rPr>
              <w:t xml:space="preserve">, </w:t>
            </w:r>
            <w:r>
              <w:rPr>
                <w:rFonts w:ascii="Consolas" w:hAnsi="Consolas"/>
                <w:b w:val="0"/>
                <w:i w:val="0"/>
                <w:sz w:val="17"/>
              </w:rPr>
              <w:t>SEQ-PRACTICE-LOGIN</w:t>
            </w:r>
            <w:r>
              <w:rPr>
                <w:sz w:val="17"/>
              </w:rPr>
              <w:t xml:space="preserve">, </w:t>
            </w:r>
            <w:r>
              <w:rPr>
                <w:rFonts w:ascii="Consolas" w:hAnsi="Consolas"/>
                <w:b w:val="0"/>
                <w:i w:val="0"/>
                <w:sz w:val="17"/>
              </w:rPr>
              <w:t>TC-PRACTICE-001</w:t>
            </w:r>
            <w:r>
              <w:rPr>
                <w:sz w:val="17"/>
              </w:rPr>
              <w:t xml:space="preserve">, </w:t>
            </w:r>
            <w:r>
              <w:rPr>
                <w:rFonts w:ascii="Consolas" w:hAnsi="Consolas"/>
                <w:b w:val="0"/>
                <w:i w:val="0"/>
                <w:sz w:val="17"/>
              </w:rPr>
              <w:t>TC-PRACTICE-002</w:t>
            </w:r>
          </w:p>
        </w:tc>
        <w:tc>
          <w:tcPr>
            <w:tcW w:type="dxa" w:w="3070"/>
            <w:vAlign w:val="top"/>
            <w:tcMar>
              <w:top w:w="70" w:type="dxa"/>
              <w:start w:w="90" w:type="dxa"/>
              <w:bottom w:w="70" w:type="dxa"/>
              <w:end w:w="90" w:type="dxa"/>
            </w:tcMar>
          </w:tcPr>
          <w:p>
            <w:pPr>
              <w:spacing w:after="0" w:line="240" w:lineRule="auto"/>
            </w:pPr>
            <w:r>
              <w:rPr/>
            </w:r>
            <w:r>
              <w:rPr>
                <w:sz w:val="17"/>
              </w:rPr>
              <w:t>Current/Partial or Planned depending on the verified route</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Practice catalog and usage flags</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FR-PRACTICE-003</w:t>
            </w:r>
            <w:r>
              <w:rPr>
                <w:sz w:val="17"/>
              </w:rPr>
              <w:t xml:space="preserve">, </w:t>
            </w:r>
            <w:r>
              <w:rPr>
                <w:rFonts w:ascii="Consolas" w:hAnsi="Consolas"/>
                <w:b w:val="0"/>
                <w:i w:val="0"/>
                <w:sz w:val="17"/>
              </w:rPr>
              <w:t>FR-CONTENT-006</w:t>
            </w:r>
            <w:r>
              <w:rPr>
                <w:sz w:val="17"/>
              </w:rPr>
              <w:t xml:space="preserve">, </w:t>
            </w:r>
            <w:r>
              <w:rPr>
                <w:rFonts w:ascii="Consolas" w:hAnsi="Consolas"/>
                <w:b w:val="0"/>
                <w:i w:val="0"/>
                <w:sz w:val="17"/>
              </w:rPr>
              <w:t>TC-PRACTICE-004</w:t>
            </w:r>
            <w:r>
              <w:rPr>
                <w:sz w:val="17"/>
              </w:rPr>
              <w:t xml:space="preserve">, </w:t>
            </w:r>
            <w:r>
              <w:rPr>
                <w:rFonts w:ascii="Consolas" w:hAnsi="Consolas"/>
                <w:b w:val="0"/>
                <w:i w:val="0"/>
                <w:sz w:val="17"/>
              </w:rPr>
              <w:t>TC-CONTENT-003</w:t>
            </w:r>
            <w:r>
              <w:rPr>
                <w:sz w:val="17"/>
              </w:rPr>
              <w:t>-</w:t>
            </w:r>
            <w:r>
              <w:rPr>
                <w:rFonts w:ascii="Consolas" w:hAnsi="Consolas"/>
                <w:b w:val="0"/>
                <w:i w:val="0"/>
                <w:sz w:val="17"/>
              </w:rPr>
              <w:t>006</w:t>
            </w:r>
          </w:p>
        </w:tc>
        <w:tc>
          <w:tcPr>
            <w:tcW w:type="dxa" w:w="3070"/>
            <w:vAlign w:val="top"/>
            <w:tcMar>
              <w:top w:w="70" w:type="dxa"/>
              <w:start w:w="90" w:type="dxa"/>
              <w:bottom w:w="70" w:type="dxa"/>
              <w:end w:w="90" w:type="dxa"/>
            </w:tcMar>
          </w:tcPr>
          <w:p>
            <w:pPr>
              <w:spacing w:after="0" w:line="240" w:lineRule="auto"/>
            </w:pPr>
            <w:r>
              <w:rPr/>
            </w:r>
            <w:r>
              <w:rPr>
                <w:sz w:val="17"/>
              </w:rPr>
              <w:t>Flag controls are Planned/Future until the UI is evidenced</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Session, answer and media recovery</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FR-PRACTICE-004</w:t>
            </w:r>
            <w:r>
              <w:rPr>
                <w:sz w:val="17"/>
              </w:rPr>
              <w:t xml:space="preserve">, </w:t>
            </w:r>
            <w:r>
              <w:rPr>
                <w:rFonts w:ascii="Consolas" w:hAnsi="Consolas"/>
                <w:b w:val="0"/>
                <w:i w:val="0"/>
                <w:sz w:val="17"/>
              </w:rPr>
              <w:t>FR-PRACTICE-005</w:t>
            </w:r>
            <w:r>
              <w:rPr>
                <w:sz w:val="17"/>
              </w:rPr>
              <w:t xml:space="preserve">, </w:t>
            </w:r>
            <w:r>
              <w:rPr>
                <w:rFonts w:ascii="Consolas" w:hAnsi="Consolas"/>
                <w:b w:val="0"/>
                <w:i w:val="0"/>
                <w:sz w:val="17"/>
              </w:rPr>
              <w:t>FR-PRACTICE-006</w:t>
            </w:r>
            <w:r>
              <w:rPr>
                <w:sz w:val="17"/>
              </w:rPr>
              <w:t xml:space="preserve">, </w:t>
            </w:r>
            <w:r>
              <w:rPr>
                <w:rFonts w:ascii="Consolas" w:hAnsi="Consolas"/>
                <w:b w:val="0"/>
                <w:i w:val="0"/>
                <w:sz w:val="17"/>
              </w:rPr>
              <w:t>SEQ-PRACTICE-SESSION</w:t>
            </w:r>
            <w:r>
              <w:rPr>
                <w:sz w:val="17"/>
              </w:rPr>
              <w:t xml:space="preserve">, </w:t>
            </w:r>
            <w:r>
              <w:rPr>
                <w:rFonts w:ascii="Consolas" w:hAnsi="Consolas"/>
                <w:b w:val="0"/>
                <w:i w:val="0"/>
                <w:sz w:val="17"/>
              </w:rPr>
              <w:t>TC-PRACTICE-005</w:t>
            </w:r>
            <w:r>
              <w:rPr>
                <w:sz w:val="17"/>
              </w:rPr>
              <w:t xml:space="preserve"> through </w:t>
            </w:r>
            <w:r>
              <w:rPr>
                <w:rFonts w:ascii="Consolas" w:hAnsi="Consolas"/>
                <w:b w:val="0"/>
                <w:i w:val="0"/>
                <w:sz w:val="17"/>
              </w:rPr>
              <w:t>TC-PRACTICE-009</w:t>
            </w:r>
          </w:p>
        </w:tc>
        <w:tc>
          <w:tcPr>
            <w:tcW w:type="dxa" w:w="3070"/>
            <w:vAlign w:val="top"/>
            <w:tcMar>
              <w:top w:w="70" w:type="dxa"/>
              <w:start w:w="90" w:type="dxa"/>
              <w:bottom w:w="70" w:type="dxa"/>
              <w:end w:w="90" w:type="dxa"/>
            </w:tcMar>
          </w:tcPr>
          <w:p>
            <w:pPr>
              <w:spacing w:after="0" w:line="240" w:lineRule="auto"/>
            </w:pPr>
            <w:r>
              <w:rPr/>
            </w:r>
            <w:r>
              <w:rPr>
                <w:sz w:val="17"/>
              </w:rPr>
              <w:t>Current slices and later implementation steps are separated</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AI explanation</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FR-PRACTICE-007</w:t>
            </w:r>
            <w:r>
              <w:rPr>
                <w:sz w:val="17"/>
              </w:rPr>
              <w:t xml:space="preserve">, </w:t>
            </w:r>
            <w:r>
              <w:rPr>
                <w:rFonts w:ascii="Consolas" w:hAnsi="Consolas"/>
                <w:b w:val="0"/>
                <w:i w:val="0"/>
                <w:sz w:val="17"/>
              </w:rPr>
              <w:t>NFR-AI-001</w:t>
            </w:r>
            <w:r>
              <w:rPr>
                <w:sz w:val="17"/>
              </w:rPr>
              <w:t xml:space="preserve">, </w:t>
            </w:r>
            <w:r>
              <w:rPr>
                <w:rFonts w:ascii="Consolas" w:hAnsi="Consolas"/>
                <w:b w:val="0"/>
                <w:i w:val="0"/>
                <w:sz w:val="17"/>
              </w:rPr>
              <w:t>NFR-AI-002</w:t>
            </w:r>
            <w:r>
              <w:rPr>
                <w:sz w:val="17"/>
              </w:rPr>
              <w:t xml:space="preserve">, </w:t>
            </w:r>
            <w:r>
              <w:rPr>
                <w:rFonts w:ascii="Consolas" w:hAnsi="Consolas"/>
                <w:b w:val="0"/>
                <w:i w:val="0"/>
                <w:sz w:val="17"/>
              </w:rPr>
              <w:t>SEQ-AI-FEEDBACK</w:t>
            </w:r>
            <w:r>
              <w:rPr>
                <w:sz w:val="17"/>
              </w:rPr>
              <w:t xml:space="preserve">, </w:t>
            </w:r>
            <w:r>
              <w:rPr>
                <w:rFonts w:ascii="Consolas" w:hAnsi="Consolas"/>
                <w:b w:val="0"/>
                <w:i w:val="0"/>
                <w:sz w:val="17"/>
              </w:rPr>
              <w:t>TC-PRACTICE-010</w:t>
            </w:r>
            <w:r>
              <w:rPr>
                <w:sz w:val="17"/>
              </w:rPr>
              <w:t xml:space="preserve">, </w:t>
            </w:r>
            <w:r>
              <w:rPr>
                <w:rFonts w:ascii="Consolas" w:hAnsi="Consolas"/>
                <w:b w:val="0"/>
                <w:i w:val="0"/>
                <w:sz w:val="17"/>
              </w:rPr>
              <w:t>TC-PRACTICE-011</w:t>
            </w:r>
          </w:p>
        </w:tc>
        <w:tc>
          <w:tcPr>
            <w:tcW w:type="dxa" w:w="3070"/>
            <w:vAlign w:val="top"/>
            <w:tcMar>
              <w:top w:w="70" w:type="dxa"/>
              <w:start w:w="90" w:type="dxa"/>
              <w:bottom w:w="70" w:type="dxa"/>
              <w:end w:w="90" w:type="dxa"/>
            </w:tcMar>
          </w:tcPr>
          <w:p>
            <w:pPr>
              <w:spacing w:after="0" w:line="240" w:lineRule="auto"/>
            </w:pPr>
            <w:r>
              <w:rPr/>
            </w:r>
            <w:r>
              <w:rPr>
                <w:sz w:val="17"/>
              </w:rPr>
              <w:t>Planned/Future/TBD; no invented successful screen</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Progress and history</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FR-PRACTICE-008</w:t>
            </w:r>
            <w:r>
              <w:rPr>
                <w:sz w:val="17"/>
              </w:rPr>
              <w:t xml:space="preserve">, </w:t>
            </w:r>
            <w:r>
              <w:rPr>
                <w:rFonts w:ascii="Consolas" w:hAnsi="Consolas"/>
                <w:b w:val="0"/>
                <w:i w:val="0"/>
                <w:sz w:val="17"/>
              </w:rPr>
              <w:t>TC-PRACTICE-008</w:t>
            </w:r>
            <w:r>
              <w:rPr>
                <w:sz w:val="17"/>
              </w:rPr>
              <w:t>/</w:t>
            </w:r>
            <w:r>
              <w:rPr>
                <w:rFonts w:ascii="Consolas" w:hAnsi="Consolas"/>
                <w:b w:val="0"/>
                <w:i w:val="0"/>
                <w:sz w:val="17"/>
              </w:rPr>
              <w:t>012</w:t>
            </w:r>
          </w:p>
        </w:tc>
        <w:tc>
          <w:tcPr>
            <w:tcW w:type="dxa" w:w="3070"/>
            <w:vAlign w:val="top"/>
            <w:tcMar>
              <w:top w:w="70" w:type="dxa"/>
              <w:start w:w="90" w:type="dxa"/>
              <w:bottom w:w="70" w:type="dxa"/>
              <w:end w:w="90" w:type="dxa"/>
            </w:tcMar>
          </w:tcPr>
          <w:p>
            <w:pPr>
              <w:spacing w:after="0" w:line="240" w:lineRule="auto"/>
            </w:pPr>
            <w:r>
              <w:rPr/>
            </w:r>
            <w:r>
              <w:rPr>
                <w:sz w:val="17"/>
              </w:rPr>
              <w:t>Activity/progress is distinct from a final score</w:t>
            </w:r>
          </w:p>
        </w:tc>
      </w:tr>
      <w:tr>
        <w:trPr>
          <w:cantSplit/>
        </w:trPr>
        <w:tc>
          <w:tcPr>
            <w:tcW w:type="dxa" w:w="1876"/>
            <w:vAlign w:val="top"/>
            <w:tcMar>
              <w:top w:w="70" w:type="dxa"/>
              <w:start w:w="90" w:type="dxa"/>
              <w:bottom w:w="70" w:type="dxa"/>
              <w:end w:w="90" w:type="dxa"/>
            </w:tcMar>
          </w:tcPr>
          <w:p>
            <w:pPr>
              <w:spacing w:after="0" w:line="240" w:lineRule="auto"/>
            </w:pPr>
            <w:r>
              <w:rPr/>
            </w:r>
            <w:r>
              <w:rPr>
                <w:sz w:val="17"/>
              </w:rPr>
              <w:t>Content feedback</w:t>
            </w:r>
          </w:p>
        </w:tc>
        <w:tc>
          <w:tcPr>
            <w:tcW w:type="dxa" w:w="4775"/>
            <w:vAlign w:val="top"/>
            <w:tcMar>
              <w:top w:w="70" w:type="dxa"/>
              <w:start w:w="90" w:type="dxa"/>
              <w:bottom w:w="70" w:type="dxa"/>
              <w:end w:w="90" w:type="dxa"/>
            </w:tcMar>
          </w:tcPr>
          <w:p>
            <w:pPr>
              <w:spacing w:after="0" w:line="240" w:lineRule="auto"/>
            </w:pPr>
            <w:r>
              <w:rPr/>
            </w:r>
            <w:r>
              <w:rPr>
                <w:rFonts w:ascii="Consolas" w:hAnsi="Consolas"/>
                <w:b w:val="0"/>
                <w:i w:val="0"/>
                <w:sz w:val="17"/>
              </w:rPr>
              <w:t>FR-PRACTICE-009</w:t>
            </w:r>
            <w:r>
              <w:rPr>
                <w:sz w:val="17"/>
              </w:rPr>
              <w:t xml:space="preserve">, </w:t>
            </w:r>
            <w:r>
              <w:rPr>
                <w:rFonts w:ascii="Consolas" w:hAnsi="Consolas"/>
                <w:b w:val="0"/>
                <w:i w:val="0"/>
                <w:sz w:val="17"/>
              </w:rPr>
              <w:t>TBD-FEEDBACK-001</w:t>
            </w:r>
            <w:r>
              <w:rPr>
                <w:sz w:val="17"/>
              </w:rPr>
              <w:t xml:space="preserve">, </w:t>
            </w:r>
            <w:r>
              <w:rPr>
                <w:rFonts w:ascii="Consolas" w:hAnsi="Consolas"/>
                <w:b w:val="0"/>
                <w:i w:val="0"/>
                <w:sz w:val="17"/>
              </w:rPr>
              <w:t>TC-PRACTICE-013</w:t>
            </w:r>
          </w:p>
        </w:tc>
        <w:tc>
          <w:tcPr>
            <w:tcW w:type="dxa" w:w="3070"/>
            <w:vAlign w:val="top"/>
            <w:tcMar>
              <w:top w:w="70" w:type="dxa"/>
              <w:start w:w="90" w:type="dxa"/>
              <w:bottom w:w="70" w:type="dxa"/>
              <w:end w:w="90" w:type="dxa"/>
            </w:tcMar>
          </w:tcPr>
          <w:p>
            <w:pPr>
              <w:spacing w:after="0" w:line="240" w:lineRule="auto"/>
            </w:pPr>
            <w:r>
              <w:rPr/>
            </w:r>
            <w:r>
              <w:rPr>
                <w:sz w:val="17"/>
              </w:rPr>
              <w:t>Escalation only until reporter, target, handler and visibility are approved</w:t>
            </w:r>
          </w:p>
        </w:tc>
      </w:tr>
    </w:tbl>
    <w:p>
      <w:pPr>
        <w:spacing w:after="20"/>
      </w:pPr>
    </w:p>
    <w:p>
      <w:pPr>
        <w:spacing w:after="80" w:line="240" w:lineRule="auto"/>
      </w:pPr>
      <w:r>
        <w:rPr>
          <w:sz w:val="19"/>
        </w:rPr>
        <w:t>These references allow a reviewer to move from the user instruction to the requirement, design and planned test without treating a planned step as an available feature.</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6"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84244"/>
    <w:rsid w:val="000B4EA5"/>
    <w:rsid w:val="000C287A"/>
    <w:rsid w:val="00105B35"/>
    <w:rsid w:val="00110F65"/>
    <w:rsid w:val="0015305A"/>
    <w:rsid w:val="00155E22"/>
    <w:rsid w:val="00192319"/>
    <w:rsid w:val="00192564"/>
    <w:rsid w:val="001C5421"/>
    <w:rsid w:val="001D0411"/>
    <w:rsid w:val="0023711D"/>
    <w:rsid w:val="00242AE1"/>
    <w:rsid w:val="00252176"/>
    <w:rsid w:val="00294C2B"/>
    <w:rsid w:val="002A022C"/>
    <w:rsid w:val="002A545F"/>
    <w:rsid w:val="002B1CB5"/>
    <w:rsid w:val="002B6EBD"/>
    <w:rsid w:val="002E0C5F"/>
    <w:rsid w:val="002E2423"/>
    <w:rsid w:val="00312D34"/>
    <w:rsid w:val="00350175"/>
    <w:rsid w:val="003B5DB2"/>
    <w:rsid w:val="003C1112"/>
    <w:rsid w:val="003E62DE"/>
    <w:rsid w:val="003F79EA"/>
    <w:rsid w:val="00410588"/>
    <w:rsid w:val="00440339"/>
    <w:rsid w:val="00461A1E"/>
    <w:rsid w:val="004B043A"/>
    <w:rsid w:val="004C7F8F"/>
    <w:rsid w:val="004E28A4"/>
    <w:rsid w:val="004E2BD0"/>
    <w:rsid w:val="005538C3"/>
    <w:rsid w:val="00570232"/>
    <w:rsid w:val="00570587"/>
    <w:rsid w:val="005922B2"/>
    <w:rsid w:val="00593E6F"/>
    <w:rsid w:val="005F490F"/>
    <w:rsid w:val="00623625"/>
    <w:rsid w:val="0065251E"/>
    <w:rsid w:val="00681920"/>
    <w:rsid w:val="006967F2"/>
    <w:rsid w:val="006C61C6"/>
    <w:rsid w:val="006D4C3E"/>
    <w:rsid w:val="007061E6"/>
    <w:rsid w:val="00713953"/>
    <w:rsid w:val="00724329"/>
    <w:rsid w:val="00792236"/>
    <w:rsid w:val="00794A14"/>
    <w:rsid w:val="00795EF6"/>
    <w:rsid w:val="007B7829"/>
    <w:rsid w:val="007B7BC4"/>
    <w:rsid w:val="007D73E6"/>
    <w:rsid w:val="00810D51"/>
    <w:rsid w:val="0081541F"/>
    <w:rsid w:val="008312FF"/>
    <w:rsid w:val="00832C26"/>
    <w:rsid w:val="00851703"/>
    <w:rsid w:val="008E2DD2"/>
    <w:rsid w:val="008F19EB"/>
    <w:rsid w:val="008F69DA"/>
    <w:rsid w:val="00906B62"/>
    <w:rsid w:val="00907D64"/>
    <w:rsid w:val="00914AE2"/>
    <w:rsid w:val="00922652"/>
    <w:rsid w:val="00922A14"/>
    <w:rsid w:val="00934074"/>
    <w:rsid w:val="0093643B"/>
    <w:rsid w:val="00937399"/>
    <w:rsid w:val="0097089C"/>
    <w:rsid w:val="00977EAE"/>
    <w:rsid w:val="00994D46"/>
    <w:rsid w:val="009B7085"/>
    <w:rsid w:val="009D51A2"/>
    <w:rsid w:val="00A0058F"/>
    <w:rsid w:val="00A63022"/>
    <w:rsid w:val="00A95B3E"/>
    <w:rsid w:val="00AB056F"/>
    <w:rsid w:val="00AB14C9"/>
    <w:rsid w:val="00AC7B82"/>
    <w:rsid w:val="00AD7DB1"/>
    <w:rsid w:val="00B20576"/>
    <w:rsid w:val="00B44E27"/>
    <w:rsid w:val="00B54F88"/>
    <w:rsid w:val="00B70E7B"/>
    <w:rsid w:val="00BC5D68"/>
    <w:rsid w:val="00C819A9"/>
    <w:rsid w:val="00C87F08"/>
    <w:rsid w:val="00C9298A"/>
    <w:rsid w:val="00C9405C"/>
    <w:rsid w:val="00CB5C1D"/>
    <w:rsid w:val="00CC0EC6"/>
    <w:rsid w:val="00D01441"/>
    <w:rsid w:val="00D15760"/>
    <w:rsid w:val="00D33E5D"/>
    <w:rsid w:val="00D77EDC"/>
    <w:rsid w:val="00DA394D"/>
    <w:rsid w:val="00DA4C4C"/>
    <w:rsid w:val="00DA653C"/>
    <w:rsid w:val="00DD74C0"/>
    <w:rsid w:val="00E57032"/>
    <w:rsid w:val="00E6342E"/>
    <w:rsid w:val="00E64B93"/>
    <w:rsid w:val="00EB7367"/>
    <w:rsid w:val="00ED1C1D"/>
    <w:rsid w:val="00EE3FE0"/>
    <w:rsid w:val="00EF03B2"/>
    <w:rsid w:val="00F01FF0"/>
    <w:rsid w:val="00F0214B"/>
    <w:rsid w:val="00F07421"/>
    <w:rsid w:val="00F17628"/>
    <w:rsid w:val="00F26556"/>
    <w:rsid w:val="00F37798"/>
    <w:rsid w:val="00F57E8D"/>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2D7D"/>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BodyText">
    <w:name w:val="Body Text"/>
    <w:basedOn w:val="Normal"/>
    <w:next w:val="Normal"/>
    <w:link w:val="BodyTextChar"/>
    <w:rsid w:val="005F490F"/>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5F490F"/>
    <w:rPr>
      <w:rFonts w:ascii="Arial" w:eastAsia="Times New Roman" w:hAnsi="Arial" w:cs="Tahoma"/>
      <w:sz w:val="20"/>
      <w:szCs w:val="20"/>
      <w:lang w:val="en-AU" w:eastAsia="ar-SA"/>
    </w:rPr>
  </w:style>
  <w:style w:type="paragraph" w:styleId="TOCHeading">
    <w:name w:val="TOC Heading"/>
    <w:basedOn w:val="Heading1"/>
    <w:next w:val="Normal"/>
    <w:uiPriority w:val="39"/>
    <w:unhideWhenUsed/>
    <w:qFormat/>
    <w:rsid w:val="00907D64"/>
    <w:pPr>
      <w:outlineLvl w:val="9"/>
    </w:pPr>
    <w:rPr>
      <w:b w:val="0"/>
      <w:color w:val="2E74B5" w:themeColor="accent1" w:themeShade="BF"/>
      <w:lang w:val="en-US"/>
    </w:rPr>
  </w:style>
  <w:style w:type="paragraph" w:styleId="TOC1">
    <w:name w:val="toc 1"/>
    <w:basedOn w:val="Normal"/>
    <w:next w:val="Normal"/>
    <w:autoRedefine/>
    <w:uiPriority w:val="39"/>
    <w:unhideWhenUsed/>
    <w:rsid w:val="00907D64"/>
    <w:pPr>
      <w:spacing w:after="100"/>
    </w:pPr>
  </w:style>
  <w:style w:type="paragraph" w:styleId="TOC2">
    <w:name w:val="toc 2"/>
    <w:basedOn w:val="Normal"/>
    <w:next w:val="Normal"/>
    <w:autoRedefine/>
    <w:uiPriority w:val="39"/>
    <w:unhideWhenUsed/>
    <w:rsid w:val="00907D64"/>
    <w:pPr>
      <w:spacing w:after="100"/>
      <w:ind w:left="220"/>
    </w:pPr>
  </w:style>
  <w:style w:type="paragraph" w:styleId="TOC3">
    <w:name w:val="toc 3"/>
    <w:basedOn w:val="Normal"/>
    <w:next w:val="Normal"/>
    <w:autoRedefine/>
    <w:uiPriority w:val="39"/>
    <w:unhideWhenUsed/>
    <w:rsid w:val="00907D64"/>
    <w:pPr>
      <w:spacing w:after="100"/>
      <w:ind w:left="440"/>
    </w:pPr>
  </w:style>
  <w:style w:type="paragraph" w:customStyle="1" w:styleId="Bang0">
    <w:name w:val="Bang"/>
    <w:basedOn w:val="Normal"/>
    <w:autoRedefine/>
    <w:rsid w:val="007061E6"/>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7061E6"/>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1BF8A-35FB-4AE9-B9B1-6C10D2B95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4</Pages>
  <Words>358</Words>
  <Characters>2046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PTEPrep — Report 6 — Software User Guides</dc:title>
  <dc:subject>FA26SE182 Capstone Project — PTEPrep</dc:subject>
  <dc:creator>Ngô Đăng Quang — Project Leader</dc:creator>
  <cp:keywords/>
  <dc:description>Generated from the current PTEPrep Markdown report bundle using the supplied DOCX template.</dc:description>
  <cp:lastModifiedBy>Ngô Đăng Quang — Project Leader</cp:lastModifiedBy>
  <cp:revision>1</cp:revision>
  <dcterms:created xsi:type="dcterms:W3CDTF">2026-10-22T00:00:00Z</dcterms:created>
  <dcterms:modified xsi:type="dcterms:W3CDTF">2026-10-22T00:00:00Z</dcterms:modified>
</cp:coreProperties>
</file>