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C3F27" w14:textId="77777777" w:rsidR="007E4E05" w:rsidRDefault="007E4E05" w:rsidP="007E4E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A8F6F3F" w14:textId="1CBEB272" w:rsidR="007E4E05" w:rsidRDefault="007E4E05" w:rsidP="007E4E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AD09342" w14:textId="77777777" w:rsidR="007E4E05" w:rsidRDefault="007E4E05" w:rsidP="007E4E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2D6669" w14:textId="77777777" w:rsidR="007E4E05" w:rsidRPr="00D646EB" w:rsidRDefault="007E4E05" w:rsidP="007E4E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E05">
        <w:rPr>
          <w:rFonts w:ascii="Times New Roman" w:hAnsi="Times New Roman" w:cs="Times New Roman"/>
          <w:sz w:val="32"/>
          <w:szCs w:val="32"/>
        </w:rPr>
        <w:t>Кафедра інженерії програмного забезпечення в енергетиці</w:t>
      </w:r>
    </w:p>
    <w:p w14:paraId="41CCCE72" w14:textId="77777777" w:rsidR="007E4E05" w:rsidRPr="007E4E05" w:rsidRDefault="007E4E05" w:rsidP="007E4E05">
      <w:pPr>
        <w:jc w:val="center"/>
        <w:rPr>
          <w:color w:val="000000"/>
        </w:rPr>
      </w:pPr>
    </w:p>
    <w:p w14:paraId="2E19E799" w14:textId="77777777" w:rsidR="007E4E05" w:rsidRDefault="007E4E05" w:rsidP="007E4E05">
      <w:pPr>
        <w:rPr>
          <w:color w:val="000000"/>
        </w:rPr>
      </w:pPr>
    </w:p>
    <w:p w14:paraId="32D69367" w14:textId="77777777" w:rsidR="007E4E05" w:rsidRDefault="007E4E05" w:rsidP="007E4E05">
      <w:pPr>
        <w:jc w:val="center"/>
        <w:rPr>
          <w:color w:val="000000"/>
        </w:rPr>
      </w:pPr>
    </w:p>
    <w:p w14:paraId="6CE1A072" w14:textId="77777777" w:rsidR="007E4E05" w:rsidRDefault="007E4E05" w:rsidP="007E4E05">
      <w:pPr>
        <w:jc w:val="center"/>
        <w:rPr>
          <w:color w:val="000000"/>
          <w:sz w:val="24"/>
          <w:szCs w:val="24"/>
        </w:rPr>
      </w:pPr>
    </w:p>
    <w:p w14:paraId="26D520F0" w14:textId="732A6B77" w:rsidR="007E4E05" w:rsidRPr="00B02641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2641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14:paraId="595D63D7" w14:textId="77777777" w:rsidR="007E4E05" w:rsidRDefault="007E4E05" w:rsidP="007E4E05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CC01F9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2374A99E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D9BC520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BE63556" w14:textId="77777777" w:rsidR="007E4E05" w:rsidRDefault="007E4E05" w:rsidP="007E4E05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926D7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73F707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D870D5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6D5214" w14:textId="77777777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F293AB" w14:textId="780D4602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ТВ-32</w:t>
      </w:r>
    </w:p>
    <w:p w14:paraId="3517EF1F" w14:textId="3E086BBE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Гаврилюк Тетяна Олександрівна</w:t>
      </w:r>
    </w:p>
    <w:p w14:paraId="641A1BAF" w14:textId="469D9BEF" w:rsidR="00985BC4" w:rsidRDefault="00286C08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="005A3585" w:rsidRPr="00CF6057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https://github.com/pterodaCh/web</w:t>
        </w:r>
      </w:hyperlink>
    </w:p>
    <w:p w14:paraId="6A85BDCF" w14:textId="7AF11849" w:rsidR="005A3585" w:rsidRDefault="005A358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 w:rsidR="00245E33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697E06E0" w14:textId="3A092D7D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D22F90B" w14:textId="11B8CC4D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2DB616" w14:textId="16AF28C9" w:rsidR="007E4E05" w:rsidRDefault="007E4E05" w:rsidP="005A358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BC62BC" w14:textId="4E24BD95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89DD8F" w14:textId="2E05AE63" w:rsidR="007E4E05" w:rsidRDefault="007E4E05" w:rsidP="007E4E0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DAB204" w14:textId="11330E4D" w:rsidR="007E4E05" w:rsidRDefault="007E4E05" w:rsidP="007E4E05">
      <w:pPr>
        <w:tabs>
          <w:tab w:val="left" w:pos="1260"/>
          <w:tab w:val="left" w:pos="8550"/>
        </w:tabs>
      </w:pPr>
    </w:p>
    <w:p w14:paraId="3AEC19D9" w14:textId="7C9B60E7" w:rsidR="007E4E05" w:rsidRDefault="007E4E05" w:rsidP="007E4E0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2025</w:t>
      </w:r>
    </w:p>
    <w:p w14:paraId="0C4EF09E" w14:textId="759DFC1D" w:rsidR="007E4E05" w:rsidRDefault="007E4E05" w:rsidP="007E4E0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Теоретичний матеріал</w:t>
      </w:r>
    </w:p>
    <w:p w14:paraId="19417BD5" w14:textId="77777777" w:rsidR="00A0714E" w:rsidRDefault="00A0714E" w:rsidP="00A0714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Валовий викид забруднювальної речовини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т, що надходить в атмосферу з димовими газами енергетичної установки, визначається за формулою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0385CB2" w14:textId="77777777" w:rsidR="00A0714E" w:rsidRPr="00F03FA9" w:rsidRDefault="00286C08" w:rsidP="00A071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0D48C2A1" w14:textId="77777777" w:rsidR="00A0714E" w:rsidRDefault="00A0714E" w:rsidP="00A0714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B5F432D" w14:textId="77777777" w:rsidR="00A0714E" w:rsidRPr="005D1014" w:rsidRDefault="00286C08" w:rsidP="00A0714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="00A0714E" w:rsidRPr="005D1014">
        <w:rPr>
          <w:rFonts w:ascii="Times New Roman" w:eastAsiaTheme="minorEastAsia" w:hAnsi="Times New Roman" w:cs="Times New Roman"/>
          <w:sz w:val="28"/>
          <w:szCs w:val="28"/>
        </w:rPr>
        <w:t xml:space="preserve"> – показник емісії забруднювальної речовини для палива, г/ГДж;</w:t>
      </w:r>
    </w:p>
    <w:p w14:paraId="50A0EF67" w14:textId="77777777" w:rsidR="00A0714E" w:rsidRPr="005D1014" w:rsidRDefault="00A0714E" w:rsidP="00A0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витрата i-го палива за проміжок часу P, т;</w:t>
      </w:r>
    </w:p>
    <w:p w14:paraId="490D19B6" w14:textId="77777777" w:rsidR="00A0714E" w:rsidRPr="005D1014" w:rsidRDefault="00286C08" w:rsidP="00A0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0714E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i-го палива, МДж/кг.</w:t>
      </w:r>
    </w:p>
    <w:p w14:paraId="16A0260C" w14:textId="77777777" w:rsidR="00A0714E" w:rsidRDefault="00A0714E" w:rsidP="00A071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0666A" w14:textId="77777777" w:rsidR="00A0714E" w:rsidRDefault="00A0714E" w:rsidP="00A071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Показник Емісії речовини у вигляді суспендованих твердих частинок визначається за формулою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5B1FE" w14:textId="77777777" w:rsidR="00A0714E" w:rsidRPr="005D1014" w:rsidRDefault="00286C08" w:rsidP="00A0714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вин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</m:oMath>
      </m:oMathPara>
    </w:p>
    <w:p w14:paraId="024A540A" w14:textId="77777777" w:rsidR="00A0714E" w:rsidRDefault="00A0714E" w:rsidP="00A071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86B35C" w14:textId="77777777" w:rsidR="00A0714E" w:rsidRPr="005D1014" w:rsidRDefault="00286C08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0714E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палива, МДж/кг;</w:t>
      </w:r>
    </w:p>
    <w:p w14:paraId="629BC550" w14:textId="77777777" w:rsidR="00A0714E" w:rsidRPr="005D1014" w:rsidRDefault="00A0714E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А</w:t>
      </w:r>
      <w:r w:rsidRPr="005D101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r</w:t>
      </w:r>
      <w:r w:rsidRPr="005D1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– масовий вміст золи в паливі на робочу масу, %;</w:t>
      </w:r>
    </w:p>
    <w:p w14:paraId="0CED6668" w14:textId="77777777" w:rsidR="00A0714E" w:rsidRPr="005D1014" w:rsidRDefault="00A0714E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a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0A7E5D2E" w14:textId="77777777" w:rsidR="00A0714E" w:rsidRPr="005D1014" w:rsidRDefault="00A0714E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η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зу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ефективність очищення димових газів від твердих частинок;</w:t>
      </w:r>
    </w:p>
    <w:p w14:paraId="2CC9666F" w14:textId="77777777" w:rsidR="00A0714E" w:rsidRPr="005D1014" w:rsidRDefault="00A0714E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Г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масовий вміст горючих речовин у викидах твердих частинок, %;</w:t>
      </w:r>
    </w:p>
    <w:p w14:paraId="456B770E" w14:textId="77777777" w:rsidR="00A0714E" w:rsidRPr="005D1014" w:rsidRDefault="00A0714E" w:rsidP="00A0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k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показник емісії твердих продуктів взаємодії сорбенту та оксидів сірки і твердих</w:t>
      </w:r>
      <w:r w:rsidRPr="005D1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частинок сорбенту, г/ГДж.</w:t>
      </w:r>
    </w:p>
    <w:p w14:paraId="46C33FE8" w14:textId="77777777" w:rsidR="00A0714E" w:rsidRDefault="00A0714E" w:rsidP="00A071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778FBB" w14:textId="77777777" w:rsidR="00A0714E" w:rsidRDefault="00A0714E" w:rsidP="00A071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золи в паливі визначається при проведенні технічного аналізу за </w:t>
      </w:r>
      <w:r>
        <w:rPr>
          <w:rFonts w:ascii="Times New Roman" w:hAnsi="Times New Roman" w:cs="Times New Roman"/>
          <w:sz w:val="28"/>
          <w:szCs w:val="28"/>
        </w:rPr>
        <w:br/>
        <w:t xml:space="preserve">ГОСТ 11022-95 палива і леткої золи. </w:t>
      </w:r>
    </w:p>
    <w:p w14:paraId="44D1DAB7" w14:textId="77777777" w:rsidR="00A0714E" w:rsidRDefault="00A0714E" w:rsidP="00A071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ефективності очищення димових газів від твердих частинок визначається за результатами останніх випробувань золоуловлювальної установки або за її паспортними даними.</w:t>
      </w:r>
    </w:p>
    <w:p w14:paraId="41C079E5" w14:textId="77777777" w:rsidR="00A0714E" w:rsidRDefault="00A0714E" w:rsidP="00A071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1B1">
        <w:rPr>
          <w:rFonts w:ascii="Times New Roman" w:hAnsi="Times New Roman" w:cs="Times New Roman"/>
          <w:sz w:val="28"/>
          <w:szCs w:val="28"/>
        </w:rPr>
        <w:t>Показник емісії твердих частинок невикористаного в енергетичній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установці сорбенту та утворених сульфатів і сульфітів k</w:t>
      </w:r>
      <w:r w:rsidRPr="00A201B1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r w:rsidRPr="00A201B1">
        <w:rPr>
          <w:rFonts w:ascii="Times New Roman" w:hAnsi="Times New Roman" w:cs="Times New Roman"/>
          <w:sz w:val="28"/>
          <w:szCs w:val="28"/>
        </w:rPr>
        <w:t>, г/ГДж, розраховується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формулою:</w:t>
      </w:r>
    </w:p>
    <w:p w14:paraId="101110C0" w14:textId="77777777" w:rsidR="00A0714E" w:rsidRPr="00A201B1" w:rsidRDefault="00286C08" w:rsidP="00A0714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прод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сорб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вин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</m:oMath>
      </m:oMathPara>
    </w:p>
    <w:p w14:paraId="79BC3EF5" w14:textId="77777777" w:rsidR="00A0714E" w:rsidRDefault="00A0714E" w:rsidP="00A0714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C83976" w14:textId="77777777" w:rsidR="00A0714E" w:rsidRDefault="00A0714E" w:rsidP="00A0714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де:</w:t>
      </w:r>
    </w:p>
    <w:p w14:paraId="2D513278" w14:textId="77777777" w:rsidR="00A0714E" w:rsidRPr="00A201B1" w:rsidRDefault="00286C08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0714E"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A0714E" w:rsidRPr="00A201B1">
        <w:rPr>
          <w:rFonts w:ascii="Times New Roman" w:eastAsiaTheme="minorEastAsia" w:hAnsi="Times New Roman" w:cs="Times New Roman"/>
          <w:sz w:val="28"/>
          <w:szCs w:val="28"/>
        </w:rPr>
        <w:t>масовий вміст сірки в паливі на робочу масу, %;</w:t>
      </w:r>
    </w:p>
    <w:p w14:paraId="1F09EDD4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вин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5AF59563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прод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твердого продукту взаємодії сорбенту та оксидів сірки,</w:t>
      </w:r>
      <w:r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кг/кмоль;</w:t>
      </w:r>
    </w:p>
    <w:p w14:paraId="1A70D9B9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сорб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сорбенту, кг/кмоль;</w:t>
      </w:r>
    </w:p>
    <w:p w14:paraId="765D511D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сірки, яка дорівнює 32 кг/кмоль;</w:t>
      </w:r>
    </w:p>
    <w:p w14:paraId="74FDCD9A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m – мольне відношення активного хімічного елементу сорбенту та сірки (табличне значення)</w:t>
      </w:r>
      <w:r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7C587C1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зв’язування сірки сорбентом у топці або при застосуванні сухих та</w:t>
      </w:r>
      <w:r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напівсухих методів десульфуризації димових газів</w:t>
      </w:r>
      <w:r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(табличне значення)</w:t>
      </w:r>
      <w:r w:rsidRPr="00A201B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FF5C5DC" w14:textId="77777777" w:rsidR="00A0714E" w:rsidRPr="00A201B1" w:rsidRDefault="00A0714E" w:rsidP="00A0714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зу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очистки димових газів від твердих частинок.</w:t>
      </w:r>
    </w:p>
    <w:p w14:paraId="27540E6E" w14:textId="77777777" w:rsidR="00F237BB" w:rsidRPr="00F237BB" w:rsidRDefault="00F237BB" w:rsidP="00F23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DDD441" w14:textId="77777777" w:rsidR="007E4E05" w:rsidRPr="007E4E05" w:rsidRDefault="007E4E05" w:rsidP="007E4E0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18FBCE" w14:textId="1C9283CE" w:rsidR="00B02641" w:rsidRPr="00B02641" w:rsidRDefault="007E4E05" w:rsidP="00B0264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4E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Лабораторна робота № </w:t>
      </w:r>
      <w:r w:rsidR="00B0264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79D8EA4" w14:textId="77777777" w:rsidR="00B02641" w:rsidRPr="00B02641" w:rsidRDefault="00B02641" w:rsidP="00B02641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Написати програмний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6275E9F1" w14:textId="77777777" w:rsidR="00B02641" w:rsidRPr="00B02641" w:rsidRDefault="00B02641" w:rsidP="00B02641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</w:t>
      </w:r>
    </w:p>
    <w:p w14:paraId="609C9D83" w14:textId="77777777" w:rsidR="00B02641" w:rsidRPr="00B02641" w:rsidRDefault="00B02641" w:rsidP="00B02641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7353980F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За звітний період використовувалось таке паливо:</w:t>
      </w:r>
    </w:p>
    <w:p w14:paraId="68FD5FBF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lastRenderedPageBreak/>
        <w:t>- донецьке газове вугілля марки ГР – 1 096 363 т;</w:t>
      </w:r>
    </w:p>
    <w:p w14:paraId="5B4F1C98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високосірчистий мазут марки 40 – 70 945 т;</w:t>
      </w:r>
    </w:p>
    <w:p w14:paraId="0508D6E1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природний газ із газопроводу Уренгой-Ужгород – 84 762 тис. м3.</w:t>
      </w:r>
    </w:p>
    <w:p w14:paraId="3F28192E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5AD055" w14:textId="77777777" w:rsidR="00B02641" w:rsidRPr="00B02641" w:rsidRDefault="00B02641" w:rsidP="00B02641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36F6FF75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вуглець (Cr) – 52,49;</w:t>
      </w:r>
    </w:p>
    <w:p w14:paraId="3CB2F649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водень (Hr) – 3,50;</w:t>
      </w:r>
    </w:p>
    <w:p w14:paraId="389F1B06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кисень (Or) – 4,99;</w:t>
      </w:r>
    </w:p>
    <w:p w14:paraId="4ADC7A1D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азот (Nr) – 0,97;</w:t>
      </w:r>
    </w:p>
    <w:p w14:paraId="07458893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сірка (Sr) – 2,85;</w:t>
      </w:r>
    </w:p>
    <w:p w14:paraId="1195214F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зола (Ar) – 25,20;</w:t>
      </w:r>
    </w:p>
    <w:p w14:paraId="212B8621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волога (Wr) – 10,00;</w:t>
      </w:r>
    </w:p>
    <w:p w14:paraId="1DC55CD5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леткі речовини (Vr) – 25,92.</w:t>
      </w:r>
    </w:p>
    <w:p w14:paraId="0F94FE46" w14:textId="26743DF5" w:rsidR="00B02641" w:rsidRPr="00B02641" w:rsidRDefault="00B02641" w:rsidP="00B02641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Нижча теплота згоряння робочої маси вугілля становить 20,47 МДж/кг. Технічний аналіз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641">
        <w:rPr>
          <w:rFonts w:ascii="Times New Roman" w:eastAsia="Times New Roman" w:hAnsi="Times New Roman" w:cs="Times New Roman"/>
          <w:sz w:val="28"/>
          <w:szCs w:val="28"/>
        </w:rPr>
        <w:t>уловленої золи та шлаку показав, що масовий вміст горючих речовин у леткій золі Гвин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641">
        <w:rPr>
          <w:rFonts w:ascii="Times New Roman" w:eastAsia="Times New Roman" w:hAnsi="Times New Roman" w:cs="Times New Roman"/>
          <w:sz w:val="28"/>
          <w:szCs w:val="28"/>
        </w:rPr>
        <w:t>дорівнює 1,5 %, а в шлаці Гшл – 0,5 %.</w:t>
      </w:r>
    </w:p>
    <w:p w14:paraId="61EB7CF9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За даними таблиці А.3 (додаток А) склад горючої маси мазуту наступний, %:</w:t>
      </w:r>
    </w:p>
    <w:p w14:paraId="2226497B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вуглець – 85,50;</w:t>
      </w:r>
    </w:p>
    <w:p w14:paraId="31DDB22D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водень – 11,20;</w:t>
      </w:r>
    </w:p>
    <w:p w14:paraId="21092E8F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кисень та азот – 0,80;</w:t>
      </w:r>
    </w:p>
    <w:p w14:paraId="784BDEFD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сірка – 2,50;</w:t>
      </w:r>
    </w:p>
    <w:p w14:paraId="11B69536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нижча теплота згоряння горючої маси мазуту дорівнює 40,40 МДж/кг;</w:t>
      </w:r>
    </w:p>
    <w:p w14:paraId="2486F17D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вологість робочої маси палива – 2,00 %;</w:t>
      </w:r>
    </w:p>
    <w:p w14:paraId="67EB1D14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зольність сухої маси – 0,15 %;</w:t>
      </w:r>
    </w:p>
    <w:p w14:paraId="41C76BD8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lastRenderedPageBreak/>
        <w:t>- вміст ванадію (V) – 333,3 мг/кг (= 2222*0,15).</w:t>
      </w:r>
    </w:p>
    <w:p w14:paraId="1A8126AC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67B548DB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становить, %:</w:t>
      </w:r>
    </w:p>
    <w:p w14:paraId="30B8F87D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метан (CH4) – 98,90;</w:t>
      </w:r>
    </w:p>
    <w:p w14:paraId="4321A1B6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етан (C2H6) – 0,12;</w:t>
      </w:r>
    </w:p>
    <w:p w14:paraId="7C4595D6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пропан (C3H8) – 0,011;</w:t>
      </w:r>
    </w:p>
    <w:p w14:paraId="149220F7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бутан (C4H10) – 0,01;</w:t>
      </w:r>
    </w:p>
    <w:p w14:paraId="45075EB3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вуглекислий газ (CO2) – 0,06;</w:t>
      </w:r>
    </w:p>
    <w:p w14:paraId="46C8D0FE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азот (N2) – 0,90;</w:t>
      </w:r>
    </w:p>
    <w:p w14:paraId="2106838E" w14:textId="77777777" w:rsidR="00B02641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об’ємна нижча теплота згоряння газу дорівнює 33,08 МДж/м3;</w:t>
      </w:r>
    </w:p>
    <w:p w14:paraId="72A4ED4D" w14:textId="11F1ABEA" w:rsidR="009A6C22" w:rsidRPr="00B02641" w:rsidRDefault="00B02641" w:rsidP="00B0264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2641">
        <w:rPr>
          <w:rFonts w:ascii="Times New Roman" w:eastAsia="Times New Roman" w:hAnsi="Times New Roman" w:cs="Times New Roman"/>
          <w:sz w:val="28"/>
          <w:szCs w:val="28"/>
        </w:rPr>
        <w:t>- густина – 0,723 кг/м3 при нормальних умовах.</w:t>
      </w:r>
    </w:p>
    <w:p w14:paraId="5BF56F7C" w14:textId="77777777" w:rsidR="00B02641" w:rsidRDefault="00B02641" w:rsidP="009A6C2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5C4987" w14:textId="71C2D836" w:rsidR="009A6C22" w:rsidRPr="009A6C22" w:rsidRDefault="009A6C22" w:rsidP="009A6C2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6C22">
        <w:rPr>
          <w:rFonts w:ascii="Times New Roman" w:eastAsia="Times New Roman" w:hAnsi="Times New Roman" w:cs="Times New Roman"/>
          <w:b/>
          <w:bCs/>
          <w:sz w:val="32"/>
          <w:szCs w:val="32"/>
        </w:rPr>
        <w:t>Опис програмної реалізації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094E8DE" w14:textId="05FE608C" w:rsidR="00F237BB" w:rsidRDefault="009A6C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3585">
        <w:rPr>
          <w:rFonts w:ascii="Times New Roman" w:hAnsi="Times New Roman" w:cs="Times New Roman"/>
          <w:sz w:val="28"/>
          <w:szCs w:val="28"/>
        </w:rPr>
        <w:t xml:space="preserve">Перш за все </w:t>
      </w:r>
      <w:r w:rsidR="005A3585" w:rsidRPr="005A3585">
        <w:rPr>
          <w:rFonts w:ascii="Times New Roman" w:hAnsi="Times New Roman" w:cs="Times New Roman"/>
          <w:sz w:val="28"/>
          <w:szCs w:val="28"/>
        </w:rPr>
        <w:t>був створений візуальний інтерфейс із використанням HTML та CSS. Загалом HTML-код можна розділити на два основні блоки: блок для введення параметрів і блок для відображення результатів. Реалізація здійснювалася шляхом поєднання тегів label та input.</w:t>
      </w:r>
    </w:p>
    <w:p w14:paraId="2872E42A" w14:textId="77777777" w:rsidR="00F237BB" w:rsidRDefault="00F237BB">
      <w:pPr>
        <w:rPr>
          <w:rFonts w:ascii="Times New Roman" w:hAnsi="Times New Roman" w:cs="Times New Roman"/>
          <w:sz w:val="28"/>
          <w:szCs w:val="28"/>
        </w:rPr>
      </w:pPr>
    </w:p>
    <w:p w14:paraId="592C5A37" w14:textId="3361794E" w:rsidR="00F237BB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78625" wp14:editId="2D6206FE">
            <wp:extent cx="5395428" cy="73920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E40C" w14:textId="766B6403" w:rsidR="00F237BB" w:rsidRDefault="00F237BB" w:rsidP="00F23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Код, що відповідальний за виведення результатів.</w:t>
      </w:r>
    </w:p>
    <w:p w14:paraId="268BB85C" w14:textId="77777777" w:rsidR="00F237BB" w:rsidRPr="00F237BB" w:rsidRDefault="00F237BB">
      <w:pPr>
        <w:rPr>
          <w:rFonts w:ascii="Times New Roman" w:hAnsi="Times New Roman" w:cs="Times New Roman"/>
          <w:sz w:val="28"/>
          <w:szCs w:val="28"/>
        </w:rPr>
      </w:pPr>
    </w:p>
    <w:p w14:paraId="62060FA2" w14:textId="286BC945" w:rsidR="009A6C22" w:rsidRDefault="005A3585" w:rsidP="009A6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5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151D07" wp14:editId="33AD4C28">
            <wp:extent cx="4828085" cy="3621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142" cy="36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BCF" w14:textId="5F125A78" w:rsidR="00F237BB" w:rsidRDefault="00F237BB" w:rsidP="009A6C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752F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D752F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од, що відповідальний за параметри вводу для розрахунків калькулятора</w:t>
      </w:r>
      <w:r w:rsidR="00D752F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D8B669B" w14:textId="27EC2AD7" w:rsidR="00FB0F67" w:rsidRDefault="00FB0F67" w:rsidP="009A6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44E7A" w14:textId="3D01AEB5" w:rsidR="00FB0F67" w:rsidRPr="00FB0F67" w:rsidRDefault="00FB0F67" w:rsidP="00FB0F6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було створено приємний у використанні та сучасний на вигляд інтерфейс з ефектами на ведення кнопки, додатковими ефектами на фоні</w:t>
      </w:r>
      <w:r w:rsidR="005A3585">
        <w:rPr>
          <w:rFonts w:ascii="Times New Roman" w:hAnsi="Times New Roman" w:cs="Times New Roman"/>
          <w:sz w:val="28"/>
          <w:szCs w:val="28"/>
        </w:rPr>
        <w:t>.</w:t>
      </w:r>
    </w:p>
    <w:p w14:paraId="2D3BC9C1" w14:textId="001E54BA" w:rsidR="00F237BB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52210" wp14:editId="00BF5173">
            <wp:extent cx="3701143" cy="2937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210" cy="29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71A" w14:textId="5D2D17BE" w:rsidR="00F237BB" w:rsidRDefault="00FB0F67" w:rsidP="00F23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Візуальний інтерфейс калькулятора</w:t>
      </w:r>
    </w:p>
    <w:p w14:paraId="4C5B0434" w14:textId="40EA851C" w:rsidR="005A3585" w:rsidRPr="005A3585" w:rsidRDefault="005A3585" w:rsidP="005A35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5A3585">
        <w:rPr>
          <w:rFonts w:ascii="Times New Roman" w:hAnsi="Times New Roman" w:cs="Times New Roman"/>
          <w:sz w:val="28"/>
          <w:szCs w:val="28"/>
        </w:rPr>
        <w:t xml:space="preserve">творено функцію calculate(),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5A3585">
        <w:rPr>
          <w:rFonts w:ascii="Times New Roman" w:hAnsi="Times New Roman" w:cs="Times New Roman"/>
          <w:sz w:val="28"/>
          <w:szCs w:val="28"/>
        </w:rPr>
        <w:t xml:space="preserve"> виконує розрахунок питомих і загальних викидів твердих частинок (золи) під час спалювання трьох видів палива: донецького газового вугілля марки ГР, високосірчистого мазуту марки 40 та природного газу з газопроводу Уренгой-Ужгород.</w:t>
      </w:r>
    </w:p>
    <w:p w14:paraId="18E07A92" w14:textId="7A3A029D" w:rsidR="005A3585" w:rsidRPr="005A3585" w:rsidRDefault="005A3585" w:rsidP="005A35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5A3585">
        <w:rPr>
          <w:rFonts w:ascii="Times New Roman" w:hAnsi="Times New Roman" w:cs="Times New Roman"/>
          <w:sz w:val="28"/>
          <w:szCs w:val="28"/>
        </w:rPr>
        <w:t>читуються значення маси кожного виду палива, введені користувачем у відповідні поля форми на веб-сторінці. Далі задаються константи для кожного палива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3585">
        <w:rPr>
          <w:rFonts w:ascii="Times New Roman" w:hAnsi="Times New Roman" w:cs="Times New Roman"/>
          <w:sz w:val="28"/>
          <w:szCs w:val="28"/>
        </w:rPr>
        <w:t>Розрахунок питомих викидів Kтв (г/ГДж) для кожного виду палива виконується за заданою формулою, яка враховує теплоту згоряння, зольність, втрати при спалюванні та ефективність очищення.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3585">
        <w:rPr>
          <w:rFonts w:ascii="Times New Roman" w:hAnsi="Times New Roman" w:cs="Times New Roman"/>
          <w:sz w:val="28"/>
          <w:szCs w:val="28"/>
        </w:rPr>
        <w:t>Окремо для природного газу передбачено, що викиди твердих частинок дорівнюють нулю через повне згоряння без утворення золи.</w:t>
      </w:r>
    </w:p>
    <w:p w14:paraId="25F4CB29" w14:textId="1E833F37" w:rsidR="00FB0F67" w:rsidRDefault="00D752FB" w:rsidP="005A35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52FB">
        <w:rPr>
          <w:rFonts w:ascii="Times New Roman" w:hAnsi="Times New Roman" w:cs="Times New Roman"/>
          <w:sz w:val="28"/>
          <w:szCs w:val="28"/>
        </w:rPr>
        <w:t>Результати обчислень виводяться на екран або в зазначений блок інтерфейсу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19785" w14:textId="6ECE99C9" w:rsidR="00FB0F67" w:rsidRDefault="00FB0F67" w:rsidP="00F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ED5E55" w14:textId="3C579291" w:rsidR="00FB0F67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EA258" wp14:editId="7B0E3356">
            <wp:extent cx="4590268" cy="305525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267" cy="30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37E" w14:textId="63F004B7" w:rsidR="00FB0F67" w:rsidRPr="005A3585" w:rsidRDefault="00FB0F67" w:rsidP="00FB0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5A3585"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00B857F8" w14:textId="1A4F6E9A" w:rsidR="00FB0F67" w:rsidRDefault="00FB0F67" w:rsidP="00F237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2DC24" w14:textId="29D434E2" w:rsidR="005A3585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D99D8" w14:textId="3803C1D8" w:rsidR="005A3585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5529" w14:textId="77777777" w:rsidR="005A3585" w:rsidRDefault="005A3585" w:rsidP="00F237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15AEA" w14:textId="4EC4419E" w:rsidR="00F237BB" w:rsidRPr="005A3585" w:rsidRDefault="00FB0F67" w:rsidP="005A35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67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Результати перевірки на контрольному прикладі</w:t>
      </w:r>
    </w:p>
    <w:p w14:paraId="082FF830" w14:textId="77777777" w:rsidR="00D752FB" w:rsidRDefault="00D752FB" w:rsidP="009A6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463EE" w14:textId="5855A0A4" w:rsidR="00D752FB" w:rsidRDefault="005A3585" w:rsidP="009A6C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0A983" wp14:editId="6F4CCDDC">
            <wp:extent cx="4200763" cy="37156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244" cy="37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842F" w14:textId="399E418A" w:rsidR="001E65C3" w:rsidRDefault="00D752FB" w:rsidP="00286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A358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- Результати перевірки на контрольному прикладі</w:t>
      </w:r>
    </w:p>
    <w:p w14:paraId="668B2E1E" w14:textId="0475151C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1AB78F58" w14:textId="747403FD" w:rsidR="005A3585" w:rsidRDefault="008E76F5" w:rsidP="008E76F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76F5">
        <w:rPr>
          <w:rFonts w:ascii="Times New Roman" w:hAnsi="Times New Roman" w:cs="Times New Roman"/>
          <w:sz w:val="28"/>
          <w:szCs w:val="28"/>
        </w:rPr>
        <w:t>Результат 0 пов’язаний з тим, що природний газ не має золи, через що значення показника емісії твердих частинок є нульовим, тому і валовий викид дорівнює 0.</w:t>
      </w:r>
    </w:p>
    <w:p w14:paraId="7A17CE86" w14:textId="7E5AE45C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7FF79D05" w14:textId="594FD5E8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66CE0051" w14:textId="07EF17DE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7A735D76" w14:textId="36D57273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359485E9" w14:textId="1DE21736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05A124C0" w14:textId="120B7AB9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5D6FBBAF" w14:textId="2280166C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26E8EBA7" w14:textId="77777777" w:rsidR="005A3585" w:rsidRDefault="005A3585" w:rsidP="005A3585">
      <w:pPr>
        <w:rPr>
          <w:rFonts w:ascii="Times New Roman" w:hAnsi="Times New Roman" w:cs="Times New Roman"/>
          <w:sz w:val="28"/>
          <w:szCs w:val="28"/>
        </w:rPr>
      </w:pPr>
    </w:p>
    <w:p w14:paraId="2A5671A1" w14:textId="2809AFFC" w:rsidR="00D752FB" w:rsidRDefault="00D752FB" w:rsidP="009A6C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0F67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Результати </w:t>
      </w:r>
      <w:r w:rsidR="001E65C3">
        <w:rPr>
          <w:rFonts w:ascii="Times New Roman" w:hAnsi="Times New Roman" w:cs="Times New Roman"/>
          <w:b/>
          <w:bCs/>
          <w:sz w:val="32"/>
          <w:szCs w:val="32"/>
        </w:rPr>
        <w:t>отримані відповідно до варіанту</w:t>
      </w:r>
    </w:p>
    <w:p w14:paraId="16B1273F" w14:textId="10CED6F8" w:rsidR="001E65C3" w:rsidRDefault="001E65C3" w:rsidP="009A6C22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5C3">
        <w:rPr>
          <w:rFonts w:ascii="Times New Roman" w:hAnsi="Times New Roman" w:cs="Times New Roman"/>
          <w:sz w:val="32"/>
          <w:szCs w:val="32"/>
        </w:rPr>
        <w:t>Варіант</w:t>
      </w:r>
      <w:r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6A19A65B" w14:textId="7103F67F" w:rsidR="001E65C3" w:rsidRDefault="005A3585" w:rsidP="009A6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D6CAC" wp14:editId="3297FD27">
            <wp:extent cx="4093028" cy="3873894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599" cy="39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77C" w14:textId="0241BA20" w:rsidR="005A3585" w:rsidRDefault="005A3585" w:rsidP="005A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 Результати перевірки на контрольному прикладі</w:t>
      </w:r>
    </w:p>
    <w:p w14:paraId="40146777" w14:textId="77777777" w:rsidR="005A3585" w:rsidRDefault="005A3585" w:rsidP="009A6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E6729" w14:textId="71C8471D" w:rsidR="001E320A" w:rsidRDefault="001E320A" w:rsidP="009A6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D1EB8" w14:textId="1377C441" w:rsidR="001E320A" w:rsidRDefault="001E320A" w:rsidP="009A6C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20A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74B0BDAA" w14:textId="2D6BC533" w:rsidR="001E320A" w:rsidRPr="001E320A" w:rsidRDefault="005A3585" w:rsidP="005A35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виконання цього завдання було створено вуб-калькулятор, який обчислює п</w:t>
      </w:r>
      <w:r w:rsidRPr="003854C3">
        <w:rPr>
          <w:rFonts w:ascii="Times New Roman" w:hAnsi="Times New Roman" w:cs="Times New Roman"/>
          <w:sz w:val="28"/>
          <w:szCs w:val="28"/>
        </w:rPr>
        <w:t>оказник емісії твердих частинок</w:t>
      </w:r>
      <w:r>
        <w:rPr>
          <w:rFonts w:ascii="Times New Roman" w:hAnsi="Times New Roman" w:cs="Times New Roman"/>
          <w:sz w:val="28"/>
          <w:szCs w:val="28"/>
        </w:rPr>
        <w:t xml:space="preserve"> та валовий викид </w:t>
      </w:r>
      <w:r w:rsidRPr="003854C3">
        <w:rPr>
          <w:rFonts w:ascii="Times New Roman" w:hAnsi="Times New Roman" w:cs="Times New Roman"/>
          <w:sz w:val="28"/>
          <w:szCs w:val="28"/>
        </w:rPr>
        <w:t>забруднювальної речовини під час спалювання палива</w:t>
      </w:r>
      <w:r>
        <w:rPr>
          <w:rFonts w:ascii="Times New Roman" w:hAnsi="Times New Roman" w:cs="Times New Roman"/>
          <w:sz w:val="28"/>
          <w:szCs w:val="28"/>
        </w:rPr>
        <w:t xml:space="preserve"> з врахуванням обмежень на введення даних. Було покращено навички роботи 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а саме взаємодія з елементами сторінки та зміна властивостей цих елементів. Було створено візуальний інтерфейс, який спрощує взаємодію з калькулятором. </w:t>
      </w:r>
    </w:p>
    <w:sectPr w:rsidR="001E320A" w:rsidRPr="001E320A" w:rsidSect="00706872">
      <w:pgSz w:w="11906" w:h="16838"/>
      <w:pgMar w:top="1418" w:right="850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5"/>
    <w:rsid w:val="001577FD"/>
    <w:rsid w:val="001E320A"/>
    <w:rsid w:val="001E65C3"/>
    <w:rsid w:val="00245E33"/>
    <w:rsid w:val="00286C08"/>
    <w:rsid w:val="005A3585"/>
    <w:rsid w:val="00706872"/>
    <w:rsid w:val="007A6E3F"/>
    <w:rsid w:val="007E4E05"/>
    <w:rsid w:val="008E76F5"/>
    <w:rsid w:val="00985BC4"/>
    <w:rsid w:val="009A6C22"/>
    <w:rsid w:val="00A0714E"/>
    <w:rsid w:val="00AE189D"/>
    <w:rsid w:val="00B02641"/>
    <w:rsid w:val="00D67EC6"/>
    <w:rsid w:val="00D752FB"/>
    <w:rsid w:val="00F237BB"/>
    <w:rsid w:val="00FB0F67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382"/>
  <w15:chartTrackingRefBased/>
  <w15:docId w15:val="{1A74B248-C2F1-4741-9B69-1708F974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4E05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3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terodaCh/w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2025-03-24T14:11:00Z</dcterms:created>
  <dcterms:modified xsi:type="dcterms:W3CDTF">2025-03-25T11:47:00Z</dcterms:modified>
</cp:coreProperties>
</file>