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КурсТитул"/>
      </w:pPr>
      <w:r>
        <w:t>Практическое задание (разбор кейса)</w:t>
      </w:r>
    </w:p>
    <w:p>
      <w:pPr>
        <w:pStyle w:val="КурсПодзаголовок"/>
      </w:pPr>
      <w:r>
        <w:t>МДК.04.02 «Оценка эффективности и контроль логистических систем»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Занятие №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Тема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Виды логистических систем. Границы системы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Группа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ДЛ 301-2024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Время на выполнение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30 мин (из 34 мин практического блока)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Форма работы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индивидуально</w:t>
            </w:r>
          </w:p>
        </w:tc>
      </w:tr>
    </w:tbl>
    <w:p>
      <w:pPr>
        <w:spacing w:after="40"/>
      </w:pPr>
    </w:p>
    <w:p>
      <w:pPr>
        <w:pStyle w:val="Heading1"/>
      </w:pPr>
      <w:r>
        <w:t>Цель работы</w:t>
      </w:r>
    </w:p>
    <w:p>
      <w:r>
        <w:rPr>
          <w:b w:val="0"/>
          <w:i w:val="0"/>
        </w:rPr>
        <w:t>Научиться определять вид логистической системы по описанию, обосновывать отнесение ссылкой на признак, указывать границу системы и сравнивать прямую и эшелонированную схемы расчётом.</w:t>
      </w:r>
    </w:p>
    <w:p>
      <w:pPr>
        <w:pStyle w:val="Heading1"/>
      </w:pPr>
      <w:r>
        <w:t>Проверяемые компетенции</w:t>
      </w:r>
    </w:p>
    <w:p>
      <w:r>
        <w:rPr>
          <w:b w:val="0"/>
          <w:i w:val="0"/>
        </w:rPr>
        <w:t>ПК 4.4, ПК 4.3, ПК 3.1, ОК 2, ОК 3, ОК 4</w:t>
      </w:r>
    </w:p>
    <w:p>
      <w:pPr>
        <w:pStyle w:val="Heading1"/>
      </w:pPr>
      <w:r>
        <w:t>Условие</w:t>
      </w:r>
    </w:p>
    <w:p>
      <w:r>
        <w:rPr>
          <w:b w:val="0"/>
          <w:i/>
          <w:sz w:val="20"/>
        </w:rPr>
        <w:t>Все числовые данные условные, используются в учебных целях.</w:t>
      </w:r>
    </w:p>
    <w:p>
      <w:r>
        <w:rPr>
          <w:b w:val="0"/>
          <w:i w:val="0"/>
        </w:rPr>
        <w:t>Ниже приведены три описания. Все предприятия и числовые данные условные. По каждому кейсу определите вид логистической системы по двум классификациям и обоснуйте отнесение. По кейсу 3 дополнительно выполните расчёт.</w:t>
      </w:r>
    </w:p>
    <w:p>
      <w:pPr>
        <w:spacing w:after="60"/>
      </w:pPr>
      <w:r>
        <w:rPr>
          <w:b/>
          <w:i w:val="0"/>
        </w:rPr>
        <w:t>Кейс 1. Завод железобетонных изделий «Монолит»</w:t>
      </w:r>
    </w:p>
    <w:p>
      <w:r>
        <w:rPr>
          <w:b w:val="0"/>
          <w:i w:val="0"/>
        </w:rPr>
        <w:t>Завод изготавливает плиты перекрытий и отгружает их четырём крупным строительным организациям области. Плиты вывозят машинами заказчиков прямо с площадки завода. Посредников между заводом и строителями нет. Складов готовой продукции за пределами завода предприятие не имеет. Логистикой на заводе занимается свой отдел отгрузки.</w:t>
      </w:r>
    </w:p>
    <w:p>
      <w:pPr>
        <w:spacing w:after="60"/>
      </w:pPr>
      <w:r>
        <w:rPr>
          <w:b/>
          <w:i w:val="0"/>
        </w:rPr>
        <w:t>Кейс 2. Транспортно-логистический узел области</w:t>
      </w:r>
    </w:p>
    <w:p>
      <w:r>
        <w:rPr>
          <w:b w:val="0"/>
          <w:i w:val="0"/>
        </w:rPr>
        <w:t>В области действует программа развития грузовых перевозок. В неё входят два железнодорожных грузовых терминала, речной порт, четырнадцать транспортных компаний и шесть складских комплексов разных владельцев. Программу координирует областное министерство транспорта: согласует режим работы терминалов и очерёдность подачи вагонов, но собственником компаний не является.</w:t>
      </w:r>
    </w:p>
    <w:p>
      <w:pPr>
        <w:spacing w:after="60"/>
      </w:pPr>
      <w:r>
        <w:rPr>
          <w:b/>
          <w:i w:val="0"/>
        </w:rPr>
        <w:t>Кейс 3. Торговая сеть «Пятый сезон»</w:t>
      </w:r>
    </w:p>
    <w:p>
      <w:r>
        <w:rPr>
          <w:b w:val="0"/>
          <w:i w:val="0"/>
        </w:rPr>
        <w:t>Сеть закупает бытовую химию у 5 производителей и продаёт её в 8 своих магазинах города. Крупные партии сеть везёт от производителей на собственный распределительный центр, а оттуда развозит по магазинам. Небольшие партии срочного ассортимента производители по договору отвозят прямо в магазины, минуя распределительный центр.</w:t>
      </w:r>
    </w:p>
    <w:p>
      <w:pPr>
        <w:spacing w:after="60"/>
      </w:pPr>
      <w:r>
        <w:rPr>
          <w:b/>
          <w:i w:val="0"/>
        </w:rPr>
        <w:t>Данные для расчёта по кейсу 3 (условные)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Показатель</w:t>
            </w:r>
          </w:p>
        </w:tc>
        <w:tc>
          <w:tcPr>
            <w:tcW w:type="dxa" w:w="4677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5800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Число производителей, ед.</w:t>
            </w:r>
          </w:p>
        </w:tc>
        <w:tc>
          <w:tcPr>
            <w:tcW w:type="dxa" w:w="3555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5800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Число магазинов сети, ед.</w:t>
            </w:r>
          </w:p>
        </w:tc>
        <w:tc>
          <w:tcPr>
            <w:tcW w:type="dxa" w:w="3555"/>
            <w:shd w:val="clear" w:color="auto" w:fill="F2F5FA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5800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Стоимость одного маршрута, руб.</w:t>
            </w:r>
          </w:p>
        </w:tc>
        <w:tc>
          <w:tcPr>
            <w:tcW w:type="dxa" w:w="3555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i w:val="0"/>
                <w:sz w:val="20"/>
              </w:rPr>
              <w:t>9 000</w:t>
            </w:r>
          </w:p>
        </w:tc>
      </w:tr>
      <w:tr>
        <w:tc>
          <w:tcPr>
            <w:tcW w:type="dxa" w:w="5800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Обработка на распределительном центре, руб./т</w:t>
            </w:r>
          </w:p>
        </w:tc>
        <w:tc>
          <w:tcPr>
            <w:tcW w:type="dxa" w:w="3555"/>
            <w:shd w:val="clear" w:color="auto" w:fill="F2F5FA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i w:val="0"/>
                <w:sz w:val="20"/>
              </w:rPr>
              <w:t>250</w:t>
            </w:r>
          </w:p>
        </w:tc>
      </w:tr>
      <w:tr>
        <w:tc>
          <w:tcPr>
            <w:tcW w:type="dxa" w:w="5800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Объём партии, т</w:t>
            </w:r>
          </w:p>
        </w:tc>
        <w:tc>
          <w:tcPr>
            <w:tcW w:type="dxa" w:w="3555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i w:val="0"/>
                <w:sz w:val="20"/>
              </w:rPr>
              <w:t>24</w:t>
            </w:r>
          </w:p>
        </w:tc>
      </w:tr>
    </w:tbl>
    <w:p>
      <w:pPr>
        <w:spacing w:after="40"/>
      </w:pPr>
    </w:p>
    <w:p>
      <w:pPr>
        <w:pStyle w:val="КурсПодпись"/>
      </w:pPr>
      <w:r>
        <w:rPr>
          <w:b w:val="0"/>
          <w:i/>
        </w:rPr>
        <w:t>Данные условные, используются в учебных целях.</w:t>
      </w:r>
    </w:p>
    <w:p>
      <w:pPr>
        <w:spacing w:after="60"/>
      </w:pPr>
      <w:r>
        <w:rPr>
          <w:b/>
          <w:i w:val="0"/>
        </w:rPr>
        <w:t>Бланк ответа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</w:trPr>
        <w:tc>
          <w:tcPr>
            <w:tcW w:type="dxa" w:w="1871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Кейс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Вид по масштабу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Вид по числу посредников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Признак-обоснование</w:t>
            </w:r>
          </w:p>
        </w:tc>
        <w:tc>
          <w:tcPr>
            <w:tcW w:type="dxa" w:w="1871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Граница системы</w:t>
            </w:r>
          </w:p>
        </w:tc>
      </w:tr>
      <w:tr>
        <w:tc>
          <w:tcPr>
            <w:tcW w:type="dxa" w:w="7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87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24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61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87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748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245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619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871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7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87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245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61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187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Что требуется определить</w:t>
      </w:r>
    </w:p>
    <w:p>
      <w:pPr>
        <w:pStyle w:val="ListNumber"/>
        <w:spacing w:after="60"/>
      </w:pPr>
      <w:r>
        <w:t>К какому виду по масштабу относится каждая из трёх систем?</w:t>
      </w:r>
    </w:p>
    <w:p>
      <w:pPr>
        <w:pStyle w:val="ListNumber"/>
        <w:spacing w:after="60"/>
      </w:pPr>
      <w:r>
        <w:t>К какому виду по числу посредников относится каждая система?</w:t>
      </w:r>
    </w:p>
    <w:p>
      <w:pPr>
        <w:pStyle w:val="ListNumber"/>
        <w:spacing w:after="60"/>
      </w:pPr>
      <w:r>
        <w:t>Какой признак послужил основанием для отнесения в каждом случае?</w:t>
      </w:r>
    </w:p>
    <w:p>
      <w:pPr>
        <w:pStyle w:val="ListNumber"/>
        <w:spacing w:after="60"/>
      </w:pPr>
      <w:r>
        <w:t>Где проходит граница системы в каждом кейсе?</w:t>
      </w:r>
    </w:p>
    <w:p>
      <w:pPr>
        <w:pStyle w:val="ListNumber"/>
        <w:spacing w:after="60"/>
      </w:pPr>
      <w:r>
        <w:t>Кейс 3: сколько маршрутов даёт прямая доставка и сколько — доставка через распределительный центр? На сколько процентов сокращается число маршрутов?</w:t>
      </w:r>
    </w:p>
    <w:p>
      <w:pPr>
        <w:pStyle w:val="ListNumber"/>
        <w:spacing w:after="60"/>
      </w:pPr>
      <w:r>
        <w:t>Кейс 3: во сколько обойдётся каждый вариант и какой из них дешевле?</w:t>
      </w:r>
    </w:p>
    <w:p>
      <w:pPr>
        <w:pStyle w:val="Heading1"/>
      </w:pPr>
      <w:r>
        <w:t>Порядок выполнения</w:t>
      </w:r>
    </w:p>
    <w:p>
      <w:pPr>
        <w:pStyle w:val="ListNumber"/>
        <w:spacing w:after="60"/>
      </w:pPr>
      <w:r>
        <w:t>Прочитайте кейс 1. Найдите в тексте, есть ли между изготовителем и потребителем посредник, и кто управляет системой.</w:t>
      </w:r>
    </w:p>
    <w:p>
      <w:pPr>
        <w:pStyle w:val="ListNumber"/>
        <w:spacing w:after="60"/>
      </w:pPr>
      <w:r>
        <w:t>Заполните первую строку бланка: вид по масштабу, вид по числу посредников, признак-обоснование, граница системы.</w:t>
      </w:r>
    </w:p>
    <w:p>
      <w:pPr>
        <w:pStyle w:val="ListNumber"/>
        <w:spacing w:after="60"/>
      </w:pPr>
      <w:r>
        <w:t>Повторите то же для кейсов 2 и 3.</w:t>
      </w:r>
    </w:p>
    <w:p>
      <w:pPr>
        <w:pStyle w:val="ListNumber"/>
        <w:spacing w:after="60"/>
      </w:pPr>
      <w:r>
        <w:t>В обосновании пишите признак, а не пересказ кейса: например «посредников между заводом и потребителями нет».</w:t>
      </w:r>
    </w:p>
    <w:p>
      <w:pPr>
        <w:pStyle w:val="ListNumber"/>
        <w:spacing w:after="60"/>
      </w:pPr>
      <w:r>
        <w:t>По кейсу 3 посчитайте число прямых маршрутов: число производителей умножьте на число магазинов.</w:t>
      </w:r>
    </w:p>
    <w:p>
      <w:pPr>
        <w:pStyle w:val="ListNumber"/>
        <w:spacing w:after="60"/>
      </w:pPr>
      <w:r>
        <w:t>Посчитайте число маршрутов через распределительный центр: число производителей сложите с числом магазинов.</w:t>
      </w:r>
    </w:p>
    <w:p>
      <w:pPr>
        <w:pStyle w:val="ListNumber"/>
        <w:spacing w:after="60"/>
      </w:pPr>
      <w:r>
        <w:t>Найдите сокращение числа маршрутов в процентах.</w:t>
      </w:r>
    </w:p>
    <w:p>
      <w:pPr>
        <w:pStyle w:val="ListNumber"/>
        <w:spacing w:after="60"/>
      </w:pPr>
      <w:r>
        <w:t>Посчитайте затраты по обоим вариантам и определите, какой дешевле.</w:t>
      </w:r>
    </w:p>
    <w:p>
      <w:pPr>
        <w:pStyle w:val="ListNumber"/>
        <w:spacing w:after="60"/>
      </w:pPr>
      <w:r>
        <w:t>Одним предложением запишите, чем сеть платит за экономию.</w:t>
      </w:r>
    </w:p>
    <w:p>
      <w:pPr>
        <w:pStyle w:val="Heading1"/>
      </w:pPr>
      <w:r>
        <w:t>Формулы для расчёта</w:t>
      </w:r>
    </w:p>
    <w:p>
      <w:pPr>
        <w:spacing w:after="40"/>
      </w:pPr>
      <w:r>
        <w:rPr>
          <w:b/>
          <w:i w:val="0"/>
        </w:rPr>
        <w:t>Число маршрутов при прямой доставке</w:t>
      </w:r>
    </w:p>
    <w:p>
      <w:pPr>
        <w:pStyle w:val="КурсФормула"/>
      </w:pPr>
      <w:r>
        <w:rPr>
          <w:rFonts w:ascii="Consolas" w:hAnsi="Consolas"/>
        </w:rPr>
        <w:t>Мпр = П × М</w:t>
      </w:r>
    </w:p>
    <w:p>
      <w:pPr>
        <w:spacing w:after="40"/>
      </w:pPr>
      <w:r>
        <w:rPr>
          <w:b w:val="0"/>
          <w:i/>
          <w:sz w:val="20"/>
        </w:rPr>
        <w:t>где:</w:t>
      </w:r>
    </w:p>
    <w:p>
      <w:pPr>
        <w:spacing w:after="20"/>
        <w:ind w:left="567"/>
      </w:pPr>
      <w:r>
        <w:rPr>
          <w:sz w:val="20"/>
        </w:rPr>
        <w:t>Мпр — число маршрутов при прямой доставке, ед.</w:t>
      </w:r>
    </w:p>
    <w:p>
      <w:pPr>
        <w:spacing w:after="20"/>
        <w:ind w:left="567"/>
      </w:pPr>
      <w:r>
        <w:rPr>
          <w:sz w:val="20"/>
        </w:rPr>
        <w:t>П — число производителей (поставщиков), ед.</w:t>
      </w:r>
    </w:p>
    <w:p>
      <w:pPr>
        <w:spacing w:after="20"/>
        <w:ind w:left="567"/>
      </w:pPr>
      <w:r>
        <w:rPr>
          <w:sz w:val="20"/>
        </w:rPr>
        <w:t>М — число магазинов (потребителей), ед.</w:t>
      </w:r>
    </w:p>
    <w:p>
      <w:pPr>
        <w:pStyle w:val="КурсПодпись"/>
      </w:pPr>
      <w:r>
        <w:rPr>
          <w:b w:val="0"/>
          <w:i/>
        </w:rPr>
        <w:t>Единица измерения: единицы</w:t>
      </w:r>
    </w:p>
    <w:p>
      <w:pPr>
        <w:spacing w:after="40"/>
      </w:pPr>
      <w:r>
        <w:rPr>
          <w:b/>
          <w:i w:val="0"/>
        </w:rPr>
        <w:t>Число маршрутов через распределительный центр</w:t>
      </w:r>
    </w:p>
    <w:p>
      <w:pPr>
        <w:pStyle w:val="КурсФормула"/>
      </w:pPr>
      <w:r>
        <w:rPr>
          <w:rFonts w:ascii="Consolas" w:hAnsi="Consolas"/>
        </w:rPr>
        <w:t>Мрц = П + М</w:t>
      </w:r>
    </w:p>
    <w:p>
      <w:pPr>
        <w:spacing w:after="40"/>
      </w:pPr>
      <w:r>
        <w:rPr>
          <w:b w:val="0"/>
          <w:i/>
          <w:sz w:val="20"/>
        </w:rPr>
        <w:t>где:</w:t>
      </w:r>
    </w:p>
    <w:p>
      <w:pPr>
        <w:spacing w:after="20"/>
        <w:ind w:left="567"/>
      </w:pPr>
      <w:r>
        <w:rPr>
          <w:sz w:val="20"/>
        </w:rPr>
        <w:t>Мрц — число маршрутов через распределительный центр, ед.</w:t>
      </w:r>
    </w:p>
    <w:p>
      <w:pPr>
        <w:spacing w:after="20"/>
        <w:ind w:left="567"/>
      </w:pPr>
      <w:r>
        <w:rPr>
          <w:sz w:val="20"/>
        </w:rPr>
        <w:t>П — число производителей, ед.</w:t>
      </w:r>
    </w:p>
    <w:p>
      <w:pPr>
        <w:spacing w:after="20"/>
        <w:ind w:left="567"/>
      </w:pPr>
      <w:r>
        <w:rPr>
          <w:sz w:val="20"/>
        </w:rPr>
        <w:t>М — число магазинов, ед.</w:t>
      </w:r>
    </w:p>
    <w:p>
      <w:pPr>
        <w:pStyle w:val="КурсПодпись"/>
      </w:pPr>
      <w:r>
        <w:rPr>
          <w:b w:val="0"/>
          <w:i/>
        </w:rPr>
        <w:t>Единица измерения: единицы</w:t>
      </w:r>
    </w:p>
    <w:p>
      <w:pPr>
        <w:spacing w:after="40"/>
      </w:pPr>
      <w:r>
        <w:rPr>
          <w:b/>
          <w:i w:val="0"/>
        </w:rPr>
        <w:t>Сокращение числа маршрутов</w:t>
      </w:r>
    </w:p>
    <w:p>
      <w:pPr>
        <w:pStyle w:val="КурсФормула"/>
      </w:pPr>
      <w:r>
        <w:rPr>
          <w:rFonts w:ascii="Consolas" w:hAnsi="Consolas"/>
        </w:rPr>
        <w:t>ΔМ = (Мпр − Мрц) / Мпр × 100 %</w:t>
      </w:r>
    </w:p>
    <w:p>
      <w:pPr>
        <w:spacing w:after="40"/>
      </w:pPr>
      <w:r>
        <w:rPr>
          <w:b w:val="0"/>
          <w:i/>
          <w:sz w:val="20"/>
        </w:rPr>
        <w:t>где:</w:t>
      </w:r>
    </w:p>
    <w:p>
      <w:pPr>
        <w:spacing w:after="20"/>
        <w:ind w:left="567"/>
      </w:pPr>
      <w:r>
        <w:rPr>
          <w:sz w:val="20"/>
        </w:rPr>
        <w:t>ΔМ — сокращение числа маршрутов, %</w:t>
      </w:r>
    </w:p>
    <w:p>
      <w:pPr>
        <w:spacing w:after="20"/>
        <w:ind w:left="567"/>
      </w:pPr>
      <w:r>
        <w:rPr>
          <w:sz w:val="20"/>
        </w:rPr>
        <w:t>Мпр — число маршрутов при прямой доставке, ед.</w:t>
      </w:r>
    </w:p>
    <w:p>
      <w:pPr>
        <w:spacing w:after="20"/>
        <w:ind w:left="567"/>
      </w:pPr>
      <w:r>
        <w:rPr>
          <w:sz w:val="20"/>
        </w:rPr>
        <w:t>Мрц — число маршрутов через распределительный центр, ед.</w:t>
      </w:r>
    </w:p>
    <w:p>
      <w:pPr>
        <w:pStyle w:val="КурсПодпись"/>
      </w:pPr>
      <w:r>
        <w:rPr>
          <w:b w:val="0"/>
          <w:i/>
        </w:rPr>
        <w:t>Единица измерения: проценты</w:t>
      </w:r>
    </w:p>
    <w:p>
      <w:pPr>
        <w:spacing w:after="40"/>
      </w:pPr>
      <w:r>
        <w:rPr>
          <w:b/>
          <w:i w:val="0"/>
        </w:rPr>
        <w:t>Затраты по варианту через распределительный центр</w:t>
      </w:r>
    </w:p>
    <w:p>
      <w:pPr>
        <w:pStyle w:val="КурсФормула"/>
      </w:pPr>
      <w:r>
        <w:rPr>
          <w:rFonts w:ascii="Consolas" w:hAnsi="Consolas"/>
        </w:rPr>
        <w:t>Зрц = Мрц × Цм + Q × Соб</w:t>
      </w:r>
    </w:p>
    <w:p>
      <w:pPr>
        <w:spacing w:after="40"/>
      </w:pPr>
      <w:r>
        <w:rPr>
          <w:b w:val="0"/>
          <w:i/>
          <w:sz w:val="20"/>
        </w:rPr>
        <w:t>где:</w:t>
      </w:r>
    </w:p>
    <w:p>
      <w:pPr>
        <w:spacing w:after="20"/>
        <w:ind w:left="567"/>
      </w:pPr>
      <w:r>
        <w:rPr>
          <w:sz w:val="20"/>
        </w:rPr>
        <w:t>Зрц — затраты по варианту через распределительный центр, руб.</w:t>
      </w:r>
    </w:p>
    <w:p>
      <w:pPr>
        <w:spacing w:after="20"/>
        <w:ind w:left="567"/>
      </w:pPr>
      <w:r>
        <w:rPr>
          <w:sz w:val="20"/>
        </w:rPr>
        <w:t>Мрц — число маршрутов, ед.</w:t>
      </w:r>
    </w:p>
    <w:p>
      <w:pPr>
        <w:spacing w:after="20"/>
        <w:ind w:left="567"/>
      </w:pPr>
      <w:r>
        <w:rPr>
          <w:sz w:val="20"/>
        </w:rPr>
        <w:t>Цм — стоимость одного маршрута, руб.</w:t>
      </w:r>
    </w:p>
    <w:p>
      <w:pPr>
        <w:spacing w:after="20"/>
        <w:ind w:left="567"/>
      </w:pPr>
      <w:r>
        <w:rPr>
          <w:sz w:val="20"/>
        </w:rPr>
        <w:t>Q — объём партии, т</w:t>
      </w:r>
    </w:p>
    <w:p>
      <w:pPr>
        <w:spacing w:after="20"/>
        <w:ind w:left="567"/>
      </w:pPr>
      <w:r>
        <w:rPr>
          <w:sz w:val="20"/>
        </w:rPr>
        <w:t>Соб — стоимость обработки на распределительном центре, руб./т</w:t>
      </w:r>
    </w:p>
    <w:p>
      <w:pPr>
        <w:pStyle w:val="КурсПодпись"/>
      </w:pPr>
      <w:r>
        <w:rPr>
          <w:b w:val="0"/>
          <w:i/>
        </w:rPr>
        <w:t>Единица измерения: рубли</w:t>
      </w:r>
    </w:p>
    <w:p>
      <w:pPr>
        <w:pStyle w:val="Heading1"/>
      </w:pPr>
      <w:r>
        <w:t>Критерии оценки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Оценка</w:t>
            </w:r>
          </w:p>
        </w:tc>
        <w:tc>
          <w:tcPr>
            <w:tcW w:type="dxa" w:w="4677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Критерий</w:t>
            </w:r>
          </w:p>
        </w:tc>
      </w:tr>
      <w:tr>
        <w:tc>
          <w:tcPr>
            <w:tcW w:type="dxa" w:w="1684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i w:val="0"/>
                <w:sz w:val="20"/>
              </w:rPr>
              <w:t>«5»</w:t>
            </w:r>
          </w:p>
        </w:tc>
        <w:tc>
          <w:tcPr>
            <w:tcW w:type="dxa" w:w="767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Все три вида определены верно по двум классификациям; обоснования опираются на признак; границы указаны верно; расчёт по кейсу 3 выполнен без ошибок; вывод о плате за экономию сформулирован</w:t>
            </w:r>
          </w:p>
        </w:tc>
      </w:tr>
      <w:tr>
        <w:tc>
          <w:tcPr>
            <w:tcW w:type="dxa" w:w="1684"/>
            <w:shd w:val="clear" w:color="auto" w:fill="F2F5FA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i w:val="0"/>
                <w:sz w:val="20"/>
              </w:rPr>
              <w:t>«4»</w:t>
            </w:r>
          </w:p>
        </w:tc>
        <w:tc>
          <w:tcPr>
            <w:tcW w:type="dxa" w:w="7671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Все три вида определены верно; в обоснованиях или границах 1 неточность; расчёт верен; вывод сформулирован</w:t>
            </w:r>
          </w:p>
        </w:tc>
      </w:tr>
      <w:tr>
        <w:tc>
          <w:tcPr>
            <w:tcW w:type="dxa" w:w="1684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i w:val="0"/>
                <w:sz w:val="20"/>
              </w:rPr>
              <w:t>«3»</w:t>
            </w:r>
          </w:p>
        </w:tc>
        <w:tc>
          <w:tcPr>
            <w:tcW w:type="dxa" w:w="767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Верно определены 2 кейса из 3; в расчёте 1 арифметическая ошибка; обоснования подменены пересказом кейса</w:t>
            </w:r>
          </w:p>
        </w:tc>
      </w:tr>
      <w:tr>
        <w:tc>
          <w:tcPr>
            <w:tcW w:type="dxa" w:w="1684"/>
            <w:shd w:val="clear" w:color="auto" w:fill="F2F5FA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i w:val="0"/>
                <w:sz w:val="20"/>
              </w:rPr>
              <w:t>«2»</w:t>
            </w:r>
          </w:p>
        </w:tc>
        <w:tc>
          <w:tcPr>
            <w:tcW w:type="dxa" w:w="7671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Верно определён 1 кейс или ни один; расчёт не выполнен либо выполнен неверно; обоснований нет</w:t>
            </w:r>
          </w:p>
        </w:tc>
      </w:tr>
    </w:tbl>
    <w:p>
      <w:pPr>
        <w:spacing w:after="40"/>
      </w:pPr>
    </w:p>
    <w:p>
      <w:pPr>
        <w:pStyle w:val="КурсПодпись"/>
      </w:pPr>
      <w:r>
        <w:rPr>
          <w:b w:val="0"/>
          <w:i/>
        </w:rPr>
        <w:t>Обоснованием считается ссылка на признак вида системы. Пересказ условия кейса обоснованием не является.</w:t>
      </w:r>
    </w:p>
    <w:p>
      <w:pPr>
        <w:pStyle w:val="Heading1"/>
      </w:pPr>
      <w:r>
        <w:t>Типичные ошибки</w:t>
      </w:r>
    </w:p>
    <w:p>
      <w:pPr>
        <w:pStyle w:val="ListBullet"/>
        <w:spacing w:after="60"/>
      </w:pPr>
      <w:r>
        <w:rPr>
          <w:sz w:val="20"/>
        </w:rPr>
        <w:t>Кейс 2 относят к микрологистической системе: смущает, что есть координатор. Признак макросистемы — независимые предприятия, а министерство не собственник.</w:t>
      </w:r>
    </w:p>
    <w:p>
      <w:pPr>
        <w:pStyle w:val="ListBullet"/>
        <w:spacing w:after="60"/>
      </w:pPr>
      <w:r>
        <w:rPr>
          <w:sz w:val="20"/>
        </w:rPr>
        <w:t>Кейс 3 относят к эшелонированной, не замечая прямых поставок срочного ассортимента: сочетание двух схем — это гибкая система.</w:t>
      </w:r>
    </w:p>
    <w:p>
      <w:pPr>
        <w:pStyle w:val="ListBullet"/>
        <w:spacing w:after="60"/>
      </w:pPr>
      <w:r>
        <w:rPr>
          <w:sz w:val="20"/>
        </w:rPr>
        <w:t>Число маршрутов через центр считают умножением, а не сложением.</w:t>
      </w:r>
    </w:p>
    <w:p>
      <w:pPr>
        <w:pStyle w:val="ListBullet"/>
        <w:spacing w:after="60"/>
      </w:pPr>
      <w:r>
        <w:rPr>
          <w:sz w:val="20"/>
        </w:rPr>
        <w:t>В затратах по варианту через центр забывают прибавить обработку на тонну.</w:t>
      </w:r>
    </w:p>
    <w:p>
      <w:r>
        <w:br w:type="page"/>
      </w:r>
    </w:p>
    <w:p>
      <w:pPr>
        <w:pStyle w:val="Heading1"/>
      </w:pPr>
      <w:r>
        <w:t>Эталон решения</w:t>
      </w:r>
    </w:p>
    <w:p>
      <w:pPr>
        <w:pStyle w:val="КурсПодпись"/>
      </w:pPr>
      <w:r>
        <w:rPr>
          <w:b w:val="0"/>
          <w:i/>
        </w:rPr>
        <w:t>Раздел для преподавателя. При выдаче студентам страницу не печатать.</w:t>
      </w:r>
    </w:p>
    <w:p>
      <w:pPr>
        <w:spacing w:after="40"/>
      </w:pPr>
      <w:r>
        <w:rPr>
          <w:b/>
          <w:i w:val="0"/>
        </w:rPr>
        <w:t>Кейс 1. Завод «Монолит»</w:t>
      </w:r>
    </w:p>
    <w:p>
      <w:r>
        <w:rPr>
          <w:b w:val="0"/>
          <w:i/>
          <w:sz w:val="20"/>
        </w:rPr>
        <w:t>Микрологистическая (масштаб — одно предприятие, управляет свой отдел отгрузки). Прямая (признак: посредников между заводом и строительными организациями нет). Граница: от площадки завода до момента передачи плит заказчику; машины заказчиков — за границей.</w:t>
      </w:r>
    </w:p>
    <w:p>
      <w:pPr>
        <w:spacing w:after="40"/>
      </w:pPr>
      <w:r>
        <w:rPr>
          <w:b/>
          <w:i w:val="0"/>
        </w:rPr>
        <w:t>Кейс 2. Транспортно-логистический узел области</w:t>
      </w:r>
    </w:p>
    <w:p>
      <w:r>
        <w:rPr>
          <w:b w:val="0"/>
          <w:i/>
          <w:sz w:val="20"/>
        </w:rPr>
        <w:t>Макрологистическая (масштаб — область, участники — независимые предприятия разных владельцев, координатор не собственник). Эшелонированная (признак: между грузоотправителем и получателем есть терминалы, порт и складские комплексы). Граница: территория области и входящие в программу объекты.</w:t>
      </w:r>
    </w:p>
    <w:p>
      <w:pPr>
        <w:spacing w:after="40"/>
      </w:pPr>
      <w:r>
        <w:rPr>
          <w:b/>
          <w:i w:val="0"/>
        </w:rPr>
        <w:t>Кейс 3. Сеть «Пятый сезон»</w:t>
      </w:r>
    </w:p>
    <w:p>
      <w:r>
        <w:rPr>
          <w:b w:val="0"/>
          <w:i/>
          <w:sz w:val="20"/>
        </w:rPr>
        <w:t>Микрологистическая (одно предприятие — торговая сеть). Гибкая (признак: крупные партии идут через распределительный центр, срочный ассортимент — напрямую в магазины). Граница: от приёмки товара у производителей до передачи товара в магазины сети; сами производители — за границей.</w:t>
      </w:r>
    </w:p>
    <w:p>
      <w:pPr>
        <w:spacing w:after="40"/>
      </w:pPr>
      <w:r>
        <w:rPr>
          <w:b/>
          <w:i w:val="0"/>
        </w:rPr>
        <w:t>Действие 1. Число маршрутов при прямой доставке</w:t>
      </w:r>
    </w:p>
    <w:p>
      <w:pPr>
        <w:pStyle w:val="КурсФормула"/>
      </w:pPr>
      <w:r>
        <w:rPr>
          <w:rFonts w:ascii="Consolas" w:hAnsi="Consolas"/>
        </w:rPr>
        <w:t>Мпр = 5 × 8 = 40 маршрутов</w:t>
      </w:r>
    </w:p>
    <w:p>
      <w:pPr>
        <w:spacing w:after="40"/>
      </w:pPr>
      <w:r>
        <w:rPr>
          <w:b/>
          <w:i w:val="0"/>
        </w:rPr>
        <w:t>Действие 2. Число маршрутов через распределительный центр</w:t>
      </w:r>
    </w:p>
    <w:p>
      <w:pPr>
        <w:pStyle w:val="КурсФормула"/>
      </w:pPr>
      <w:r>
        <w:rPr>
          <w:rFonts w:ascii="Consolas" w:hAnsi="Consolas"/>
        </w:rPr>
        <w:t>Мрц = 5 + 8 = 13 маршрутов</w:t>
      </w:r>
    </w:p>
    <w:p>
      <w:pPr>
        <w:spacing w:after="40"/>
      </w:pPr>
      <w:r>
        <w:rPr>
          <w:b/>
          <w:i w:val="0"/>
        </w:rPr>
        <w:t>Действие 3. Сокращение числа маршрутов</w:t>
      </w:r>
    </w:p>
    <w:p>
      <w:pPr>
        <w:pStyle w:val="КурсФормула"/>
      </w:pPr>
      <w:r>
        <w:rPr>
          <w:rFonts w:ascii="Consolas" w:hAnsi="Consolas"/>
        </w:rPr>
        <w:t>ΔМ = (40 − 13) / 40 × 100 % = 27 / 40 × 100 % = 67,5 %</w:t>
      </w:r>
    </w:p>
    <w:p>
      <w:pPr>
        <w:spacing w:after="40"/>
      </w:pPr>
      <w:r>
        <w:rPr>
          <w:b/>
          <w:i w:val="0"/>
        </w:rPr>
        <w:t>Действие 4. Затраты при прямой доставке</w:t>
      </w:r>
    </w:p>
    <w:p>
      <w:pPr>
        <w:pStyle w:val="КурсФормула"/>
      </w:pPr>
      <w:r>
        <w:rPr>
          <w:rFonts w:ascii="Consolas" w:hAnsi="Consolas"/>
        </w:rPr>
        <w:t>Зпр = 40 × 9 000 = 360 000 руб.</w:t>
      </w:r>
    </w:p>
    <w:p>
      <w:pPr>
        <w:spacing w:after="40"/>
      </w:pPr>
      <w:r>
        <w:rPr>
          <w:b/>
          <w:i w:val="0"/>
        </w:rPr>
        <w:t>Действие 5. Затраты через распределительный центр</w:t>
      </w:r>
    </w:p>
    <w:p>
      <w:pPr>
        <w:pStyle w:val="КурсФормула"/>
      </w:pPr>
      <w:r>
        <w:rPr>
          <w:rFonts w:ascii="Consolas" w:hAnsi="Consolas"/>
        </w:rPr>
        <w:t>Зрц = 13 × 9 000 + 24 × 250 = 117 000 + 6 000 = 123 000 руб.</w:t>
      </w:r>
    </w:p>
    <w:p>
      <w:pPr>
        <w:spacing w:after="40"/>
      </w:pPr>
      <w:r>
        <w:rPr>
          <w:b/>
          <w:i w:val="0"/>
        </w:rPr>
        <w:t>Действие 6. Экономия</w:t>
      </w:r>
    </w:p>
    <w:p>
      <w:pPr>
        <w:pStyle w:val="КурсФормула"/>
      </w:pPr>
      <w:r>
        <w:rPr>
          <w:rFonts w:ascii="Consolas" w:hAnsi="Consolas"/>
        </w:rPr>
        <w:t>Э = 360 000 − 123 000 = 237 000 руб.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Показатель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Прямая доставка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Через центр</w:t>
            </w:r>
          </w:p>
        </w:tc>
      </w:tr>
      <w:tr>
        <w:tc>
          <w:tcPr>
            <w:tcW w:type="dxa" w:w="4303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Число маршрутов, ед.</w:t>
            </w:r>
          </w:p>
        </w:tc>
        <w:tc>
          <w:tcPr>
            <w:tcW w:type="dxa" w:w="2526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i w:val="0"/>
                <w:sz w:val="20"/>
              </w:rPr>
              <w:t>40</w:t>
            </w:r>
          </w:p>
        </w:tc>
        <w:tc>
          <w:tcPr>
            <w:tcW w:type="dxa" w:w="2526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i w:val="0"/>
                <w:sz w:val="20"/>
              </w:rPr>
              <w:t>13</w:t>
            </w:r>
          </w:p>
        </w:tc>
      </w:tr>
      <w:tr>
        <w:tc>
          <w:tcPr>
            <w:tcW w:type="dxa" w:w="4303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Затраты на маршруты, руб.</w:t>
            </w:r>
          </w:p>
        </w:tc>
        <w:tc>
          <w:tcPr>
            <w:tcW w:type="dxa" w:w="2526"/>
            <w:shd w:val="clear" w:color="auto" w:fill="F2F5FA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i w:val="0"/>
                <w:sz w:val="20"/>
              </w:rPr>
              <w:t>360 000</w:t>
            </w:r>
          </w:p>
        </w:tc>
        <w:tc>
          <w:tcPr>
            <w:tcW w:type="dxa" w:w="2526"/>
            <w:shd w:val="clear" w:color="auto" w:fill="F2F5FA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i w:val="0"/>
                <w:sz w:val="20"/>
              </w:rPr>
              <w:t>117 000</w:t>
            </w:r>
          </w:p>
        </w:tc>
      </w:tr>
      <w:tr>
        <w:tc>
          <w:tcPr>
            <w:tcW w:type="dxa" w:w="4303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Обработка на центре, руб.</w:t>
            </w:r>
          </w:p>
        </w:tc>
        <w:tc>
          <w:tcPr>
            <w:tcW w:type="dxa" w:w="2526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2526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i w:val="0"/>
                <w:sz w:val="20"/>
              </w:rPr>
              <w:t>6 000</w:t>
            </w:r>
          </w:p>
        </w:tc>
      </w:tr>
      <w:tr>
        <w:tc>
          <w:tcPr>
            <w:tcW w:type="dxa" w:w="4303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Итого затрат, руб.</w:t>
            </w:r>
          </w:p>
        </w:tc>
        <w:tc>
          <w:tcPr>
            <w:tcW w:type="dxa" w:w="2526"/>
            <w:shd w:val="clear" w:color="auto" w:fill="F2F5FA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i w:val="0"/>
                <w:sz w:val="20"/>
              </w:rPr>
              <w:t>360 000</w:t>
            </w:r>
          </w:p>
        </w:tc>
        <w:tc>
          <w:tcPr>
            <w:tcW w:type="dxa" w:w="2526"/>
            <w:shd w:val="clear" w:color="auto" w:fill="F2F5FA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i w:val="0"/>
                <w:sz w:val="20"/>
              </w:rPr>
              <w:t>123 000</w:t>
            </w:r>
          </w:p>
        </w:tc>
      </w:tr>
    </w:tbl>
    <w:p>
      <w:pPr>
        <w:spacing w:after="40"/>
      </w:pPr>
    </w:p>
    <w:p>
      <w:pPr>
        <w:spacing w:after="120"/>
        <w:pBdr>
          <w:bottom w:val="single" w:sz="6" w:color="2E75B6"/>
        </w:pBdr>
      </w:pPr>
    </w:p>
    <w:p>
      <w:pPr>
        <w:pStyle w:val="КурсОтвет"/>
      </w:pPr>
      <w:r>
        <w:t>Ответ: кейс 1 — микрологистическая прямая; кейс 2 — макрологистическая эшелонированная; кейс 3 — микрологистическая гибкая. По кейсу 3: маршрутов 40 против 13, сокращение 67,5 %; затраты 360 000 руб. против 123 000 руб., экономия 237 000 руб.</w:t>
      </w:r>
    </w:p>
    <w:p>
      <w:pPr>
        <w:spacing w:after="40"/>
      </w:pPr>
      <w:r>
        <w:rPr>
          <w:b/>
          <w:i w:val="0"/>
        </w:rPr>
        <w:t>Вывод для проверки формулировки студента:</w:t>
      </w:r>
    </w:p>
    <w:p>
      <w:r>
        <w:rPr>
          <w:b w:val="0"/>
          <w:i w:val="0"/>
        </w:rPr>
        <w:t>Сеть платит за экономию появлением дополнительного звена — распределительного центра. Товар проходит лишнюю обработку, срок доставки до магазина увеличивается, а сам центр требует площади, персонала и техники. Именно поэтому срочный ассортимент сеть сознательно везёт напрямую, сохраняя гибкую схему.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472"/>
        <w:sz w:val="18"/>
      </w:rPr>
      <w:t>МДК.04.02 «Оценка эффективности и контроль логистических систем» · Занятие 3 · ДЛ 301-2024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cs="Times New Roman" w:eastAsia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1F386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КурсТитул">
    <w:name w:val="Курс Титул"/>
    <w:basedOn w:val="Normal"/>
    <w:pPr>
      <w:spacing w:after="120"/>
      <w:jc w:val="center"/>
    </w:pPr>
    <w:rPr>
      <w:rFonts w:ascii="Times New Roman" w:hAnsi="Times New Roman" w:cs="Times New Roman" w:eastAsia="Times New Roman"/>
      <w:b/>
      <w:color w:val="1F3864"/>
      <w:sz w:val="36"/>
    </w:rPr>
  </w:style>
  <w:style w:type="paragraph" w:customStyle="1" w:styleId="КурсПодзаголовок">
    <w:name w:val="Курс Подзаголовок"/>
    <w:basedOn w:val="Normal"/>
    <w:pPr>
      <w:spacing w:after="120"/>
      <w:jc w:val="center"/>
    </w:pPr>
    <w:rPr>
      <w:rFonts w:ascii="Times New Roman" w:hAnsi="Times New Roman" w:cs="Times New Roman" w:eastAsia="Times New Roman"/>
      <w:b w:val="0"/>
      <w:color w:val="5A6472"/>
      <w:sz w:val="26"/>
    </w:rPr>
  </w:style>
  <w:style w:type="paragraph" w:customStyle="1" w:styleId="КурсПодпись">
    <w:name w:val="Курс Подпись"/>
    <w:basedOn w:val="Normal"/>
    <w:pPr>
      <w:spacing w:after="120"/>
      <w:jc w:val="left"/>
    </w:pPr>
    <w:rPr>
      <w:rFonts w:ascii="Times New Roman" w:hAnsi="Times New Roman" w:cs="Times New Roman" w:eastAsia="Times New Roman"/>
      <w:b w:val="0"/>
      <w:color w:val="5A6472"/>
      <w:sz w:val="20"/>
    </w:rPr>
  </w:style>
  <w:style w:type="paragraph" w:customStyle="1" w:styleId="КурсФормула">
    <w:name w:val="Курс Формула"/>
    <w:basedOn w:val="Normal"/>
    <w:pPr>
      <w:spacing w:after="120"/>
      <w:jc w:val="center"/>
    </w:pPr>
    <w:rPr>
      <w:rFonts w:ascii="Times New Roman" w:hAnsi="Times New Roman" w:cs="Times New Roman" w:eastAsia="Times New Roman"/>
      <w:b/>
      <w:color w:val="1F3864"/>
      <w:sz w:val="26"/>
    </w:rPr>
  </w:style>
  <w:style w:type="paragraph" w:customStyle="1" w:styleId="КурсОтвет">
    <w:name w:val="Курс Ответ"/>
    <w:basedOn w:val="Normal"/>
    <w:pPr>
      <w:spacing w:after="120"/>
      <w:jc w:val="left"/>
    </w:pPr>
    <w:rPr>
      <w:rFonts w:ascii="Times New Roman" w:hAnsi="Times New Roman" w:cs="Times New Roman" w:eastAsia="Times New Roman"/>
      <w:b/>
      <w:color w:val="2E7D32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