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DC&amp;E Billing Audit — Report Reference</w:t>
      </w:r>
    </w:p>
    <w:p>
      <w:r>
        <w:rPr>
          <w:b/>
        </w:rPr>
        <w:t xml:space="preserve">Prepared by: </w:t>
      </w:r>
      <w:r>
        <w:rPr>
          <w:b w:val="0"/>
        </w:rPr>
        <w:t xml:space="preserve">Poojan Thaker    </w:t>
      </w:r>
      <w:r>
        <w:rPr>
          <w:b/>
        </w:rPr>
        <w:t xml:space="preserve">Date: </w:t>
      </w:r>
      <w:r>
        <w:rPr>
          <w:b w:val="0"/>
        </w:rPr>
        <w:t xml:space="preserve">2026-06-01    </w:t>
      </w:r>
      <w:r>
        <w:rPr>
          <w:b/>
        </w:rPr>
        <w:t xml:space="preserve">Version: </w:t>
      </w:r>
      <w:r>
        <w:rPr>
          <w:b w:val="0"/>
        </w:rPr>
        <w:t>Dashboard v36</w:t>
      </w:r>
    </w:p>
    <w:p>
      <w:r>
        <w:t>This document supports the DC&amp;E Billing Audit automation project. The dashboard (billing_audit_v36.html) is a self-contained HTML/JS tool that processes exports from the SSRS reports below. The companion Python script (edw_pull.py) replaces the manual SSRS export step by pulling equivalent data directly from the EDW.</w:t>
      </w:r>
    </w:p>
    <w:p>
      <w:pPr>
        <w:pStyle w:val="Heading1"/>
      </w:pPr>
      <w:r>
        <w:t>SSRS Reports</w:t>
      </w:r>
    </w:p>
    <w:p>
      <w:r>
        <w:t>All reports live on sqlreporting01. Use the same date range across all reports for a given audit period (typically one billing week, Monday–Sunday).</w:t>
      </w:r>
    </w:p>
    <w:p>
      <w:pPr>
        <w:pStyle w:val="Heading2"/>
      </w:pPr>
      <w:r>
        <w:t>1. HJ - HighJump Revenue by Chargeback  (Required)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http://sqlreporting01/Reports/report/Reporting/Billing/Audit%20Reports/HJ%20-%20HighJump%20Revenue%20by%20Chargeback</w:t>
      </w:r>
    </w:p>
    <w:p>
      <w:r>
        <w:rPr>
          <w:b/>
        </w:rPr>
        <w:t xml:space="preserve">Pulled by: </w:t>
      </w:r>
      <w:r>
        <w:rPr>
          <w:b w:val="0"/>
        </w:rPr>
        <w:t xml:space="preserve">Sarah Crisp (weekly, with her pivot table)    </w:t>
      </w:r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Invoice close date (inclusive)</w:t>
            </w:r>
          </w:p>
        </w:tc>
        <w:tc>
          <w:tcPr>
            <w:tcW w:type="dxa" w:w="2880"/>
          </w:tcPr>
          <w:p>
            <w:r>
              <w:t>e.g. 2026-05-11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Invoice close date (inclusive)</w:t>
            </w:r>
          </w:p>
        </w:tc>
        <w:tc>
          <w:tcPr>
            <w:tcW w:type="dxa" w:w="2880"/>
          </w:tcPr>
          <w:p>
            <w:r>
              <w:t>e.g. 2026-05-17</w:t>
            </w:r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 WH IDs</w:t>
            </w:r>
          </w:p>
        </w:tc>
        <w:tc>
          <w:tcPr>
            <w:tcW w:type="dxa" w:w="2880"/>
          </w:tcPr>
          <w:p>
            <w:r>
              <w:t>Select all DC&amp;E warehouses</w:t>
            </w:r>
          </w:p>
        </w:tc>
      </w:tr>
    </w:tbl>
    <w:p/>
    <w:p>
      <w:r>
        <w:rPr>
          <w:b/>
        </w:rPr>
        <w:t xml:space="preserve">Key columns: </w:t>
      </w:r>
      <w:r>
        <w:rPr>
          <w:b w:val="0"/>
        </w:rPr>
        <w:t>WH ID, Customer Code, Customer Name, Chargeback Code, Charge Description, Rate, Per, Charge Amount, Charge Date, Order Number, Invoice Number, Invoice Date, Description 2, Qty</w:t>
      </w:r>
    </w:p>
    <w:p>
      <w:r>
        <w:rPr>
          <w:b/>
        </w:rPr>
        <w:t xml:space="preserve">Benchmark: </w:t>
      </w:r>
      <w:r>
        <w:rPr>
          <w:b w:val="0"/>
        </w:rPr>
        <w:t>~9,400 rows / ~$2.4M for a typical week (validated week of 5/11: 9,392 rows, $2,390,495.42)</w:t>
      </w:r>
    </w:p>
    <w:p>
      <w:pPr>
        <w:pStyle w:val="Heading2"/>
      </w:pPr>
      <w:r>
        <w:t>2. HJ - Lost Revenue  (Required)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http://sqlreporting01/Reports/report/Reporting01/Packaging/Operations/HJ%20-%20Lost%20Revenue</w:t>
      </w:r>
    </w:p>
    <w:p>
      <w:r>
        <w:rPr>
          <w:b/>
        </w:rPr>
        <w:t xml:space="preserve">Format: </w:t>
      </w:r>
      <w:r>
        <w:rPr>
          <w:b w:val="0"/>
        </w:rPr>
        <w:t>.xlsx — multi-sheet, one sheet per warehouse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Actual ship date (inclusive)</w:t>
            </w:r>
          </w:p>
        </w:tc>
        <w:tc>
          <w:tcPr>
            <w:tcW w:type="dxa" w:w="2880"/>
          </w:tcPr>
          <w:p>
            <w:r>
              <w:t>Match to billing week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Actual ship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>
              <w:t>Select all DC&amp;E warehouses</w:t>
            </w:r>
          </w:p>
        </w:tc>
      </w:tr>
    </w:tbl>
    <w:p/>
    <w:p>
      <w:r>
        <w:rPr>
          <w:b/>
        </w:rPr>
        <w:t xml:space="preserve">Key columns: </w:t>
      </w:r>
      <w:r>
        <w:rPr>
          <w:b w:val="0"/>
        </w:rPr>
        <w:t>WH ID, Name, Client Code, Order Number, Amount Billed, Ship Date, BOL Number, Order Type, Carrier Name, Comment, Source Vessel, Dest Vessel, Our Supplies, Billing Link</w:t>
      </w:r>
    </w:p>
    <w:p>
      <w:r>
        <w:rPr>
          <w:b/>
        </w:rPr>
        <w:t xml:space="preserve">Notes: </w:t>
      </w:r>
      <w:r>
        <w:rPr>
          <w:b w:val="0"/>
        </w:rPr>
        <w:t>Multi-sheet — one sheet per warehouse. "Billing Link" and "Our Supplies" drive several audit checks.</w:t>
      </w:r>
    </w:p>
    <w:p>
      <w:pPr>
        <w:pStyle w:val="Heading2"/>
      </w:pPr>
      <w:r>
        <w:t>3. Billable Activity with No Charges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http://sqlreporting01/Reports/report/Reporting01/Packaging/Operations/HJ%20-%20Billable%20Activity%20with%20No%20Charges</w:t>
      </w:r>
    </w:p>
    <w:p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Event/activity date (inclusive)</w:t>
            </w:r>
          </w:p>
        </w:tc>
        <w:tc>
          <w:tcPr>
            <w:tcW w:type="dxa" w:w="2880"/>
          </w:tcPr>
          <w:p>
            <w:r>
              <w:t>Match to billing week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Event/activity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Used for: </w:t>
      </w:r>
      <w:r>
        <w:rPr>
          <w:b w:val="0"/>
        </w:rPr>
        <w:t>"No Charges" check — identifies orders with billable WMS events but no invoice charge.</w:t>
      </w:r>
    </w:p>
    <w:p>
      <w:r>
        <w:rPr>
          <w:b/>
        </w:rPr>
        <w:t xml:space="preserve">EDW status: </w:t>
      </w:r>
      <w:r>
        <w:rPr>
          <w:b w:val="0"/>
        </w:rPr>
        <w:t>Not yet replicated in edw_pull.py — requires t_bmm_param_wms_event validation. Use SSRS export for now.</w:t>
      </w:r>
    </w:p>
    <w:p>
      <w:pPr>
        <w:pStyle w:val="Heading2"/>
      </w:pPr>
      <w:r>
        <w:t>4. Railcar Arrival Report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http://sqlreporting01/Reports/report/Reporting/WMS/Railcar%20Arrival%20Report</w:t>
      </w:r>
    </w:p>
    <w:p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Railcar arrival/delivery date (inclusive)</w:t>
            </w:r>
          </w:p>
        </w:tc>
        <w:tc>
          <w:tcPr>
            <w:tcW w:type="dxa" w:w="2880"/>
          </w:tcPr>
          <w:p>
            <w:r>
              <w:t>Pull slightly wider range — arrivals may precede billing week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Railcar arrival/delivery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Used for: </w:t>
      </w:r>
      <w:r>
        <w:rPr>
          <w:b w:val="0"/>
        </w:rPr>
        <w:t>Railcar Switch (Weekend Miss), Missing Switch Fee, Railcar Storage checks.</w:t>
      </w:r>
    </w:p>
    <w:p>
      <w:r>
        <w:rPr>
          <w:b/>
        </w:rPr>
        <w:t xml:space="preserve">Key columns: </w:t>
      </w:r>
      <w:r>
        <w:rPr>
          <w:b w:val="0"/>
        </w:rPr>
        <w:t>WH ID, Client Code, Client Name, Railcar (hu_id), Arrived Date</w:t>
      </w:r>
    </w:p>
    <w:p>
      <w:r>
        <w:rPr>
          <w:b/>
        </w:rPr>
        <w:t xml:space="preserve">Notes: </w:t>
      </w:r>
      <w:r>
        <w:rPr>
          <w:b w:val="0"/>
        </w:rPr>
        <w:t>No depart date — pair with the Railcar Dwell Report (Report 7) for dwell day / storage tier calculations.</w:t>
      </w:r>
    </w:p>
    <w:p>
      <w:pPr>
        <w:pStyle w:val="Heading2"/>
      </w:pPr>
      <w:r>
        <w:t>5. Qry-HJ-Boxing Materials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http://sqlreporting01/Reports/report/Reporting/Billing/Audit%20Reports/Qry-HJ-Boxing%20Materials</w:t>
      </w:r>
    </w:p>
    <w:p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Invoice closed date (inclusive)</w:t>
            </w:r>
          </w:p>
        </w:tc>
        <w:tc>
          <w:tcPr>
            <w:tcW w:type="dxa" w:w="2880"/>
          </w:tcPr>
          <w:p>
            <w:r>
              <w:t>Match to billing week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Invoice closed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Used for: </w:t>
      </w:r>
      <w:r>
        <w:rPr>
          <w:b w:val="0"/>
        </w:rPr>
        <w:t>Boxing Material Audit — cross-references PW orders against expected material charges.</w:t>
      </w:r>
    </w:p>
    <w:p>
      <w:r>
        <w:rPr>
          <w:b/>
        </w:rPr>
        <w:t xml:space="preserve">File structure: </w:t>
      </w:r>
      <w:r>
        <w:rPr>
          <w:b w:val="0"/>
        </w:rPr>
        <w:t>Row 0 = title, Row 1 = column headers, data from row 2.</w:t>
      </w:r>
    </w:p>
    <w:p>
      <w:r>
        <w:rPr>
          <w:b/>
        </w:rPr>
        <w:t xml:space="preserve">EDW status: </w:t>
      </w:r>
      <w:r>
        <w:rPr>
          <w:b w:val="0"/>
        </w:rPr>
        <w:t>No EDW equivalent — SSRS export required.</w:t>
      </w:r>
    </w:p>
    <w:p>
      <w:pPr>
        <w:pStyle w:val="Heading2"/>
      </w:pPr>
      <w:r>
        <w:t>6. HJ - Revenue Audit Packaging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http://sqlreporting01/Reports/report/Reporting/Billing/Audit%20Reports/HJ%20-%20Revenue%20Audit%20Packaging</w:t>
      </w:r>
    </w:p>
    <w:p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Actual ship date (inclusive)</w:t>
            </w:r>
          </w:p>
        </w:tc>
        <w:tc>
          <w:tcPr>
            <w:tcW w:type="dxa" w:w="2880"/>
          </w:tcPr>
          <w:p>
            <w:r>
              <w:t>Match to billing week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Actual ship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Used for: </w:t>
      </w:r>
      <w:r>
        <w:rPr>
          <w:b w:val="0"/>
        </w:rPr>
        <w:t>Packaging Audit (blank invoice numbers), Repack + Handling Out, Near-Zero Loose Loading, Sample Minimum Rate checks.</w:t>
      </w:r>
    </w:p>
    <w:p>
      <w:r>
        <w:rPr>
          <w:b/>
        </w:rPr>
        <w:t xml:space="preserve">File structure: </w:t>
      </w:r>
      <w:r>
        <w:rPr>
          <w:b w:val="0"/>
        </w:rPr>
        <w:t>4-row preamble (rows 0-2 empty/title, row 3 = headers, data from row 4). Parser handles automatically.</w:t>
      </w:r>
    </w:p>
    <w:p>
      <w:pPr>
        <w:pStyle w:val="Heading2"/>
      </w:pPr>
      <w:r>
        <w:t>7. HJ - Revenue Audit Bulk Orders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http://sqlreporting01/Reports/report/Reporting/Billing/Audit%20Reports/HJ%20-%20Revenue%20Audit%20Bulk%20Orders</w:t>
      </w:r>
    </w:p>
    <w:p>
      <w:r>
        <w:rPr>
          <w:b/>
        </w:rPr>
        <w:t xml:space="preserve">Source: </w:t>
      </w:r>
      <w:r>
        <w:rPr>
          <w:b w:val="0"/>
        </w:rPr>
        <w:t xml:space="preserve">Le'Shea McDarment, Senior Manager Billing — Whse, Pkg, Export &amp; 3PL    </w:t>
      </w:r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Bulk order / ship date (inclusive)</w:t>
            </w:r>
          </w:p>
        </w:tc>
        <w:tc>
          <w:tcPr>
            <w:tcW w:type="dxa" w:w="2880"/>
          </w:tcPr>
          <w:p>
            <w:r>
              <w:t>Match to billing period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Bulk order / ship date (inclusive)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Audit rule (Le'Shea): </w:t>
      </w:r>
      <w:r>
        <w:rPr>
          <w:b w:val="0"/>
        </w:rPr>
        <w:t>If invoice number is blank, flag the order to confirm whether a Terminal Transfer Fee or Outside Carrier Fee needs to be added.</w:t>
      </w:r>
    </w:p>
    <w:p>
      <w:r>
        <w:rPr>
          <w:b/>
        </w:rPr>
        <w:t xml:space="preserve">Dashboard status: </w:t>
      </w:r>
      <w:r>
        <w:rPr>
          <w:b w:val="0"/>
        </w:rPr>
        <w:t>Not yet wired in. Planned check: bulk orders with no invoice number → flag for Terminal Transfer Fee / Outside Carrier Fee review.</w:t>
      </w:r>
    </w:p>
    <w:p>
      <w:pPr>
        <w:pStyle w:val="Heading2"/>
      </w:pPr>
      <w:r>
        <w:t>8. HJ - Revenue Audit Recurring Storage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http://sqlreporting01/Reports/report/Reporting/Billing/Audit%20Reports/HJ%20-%20Revenue%20Audit%20Recurring%20Storage</w:t>
      </w:r>
    </w:p>
    <w:p>
      <w:r>
        <w:rPr>
          <w:b/>
        </w:rPr>
        <w:t xml:space="preserve">Source: </w:t>
      </w:r>
      <w:r>
        <w:rPr>
          <w:b w:val="0"/>
        </w:rPr>
        <w:t xml:space="preserve">Le'Shea McDarment    </w:t>
      </w:r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Storage billing period start</w:t>
            </w:r>
          </w:p>
        </w:tc>
        <w:tc>
          <w:tcPr>
            <w:tcW w:type="dxa" w:w="2880"/>
          </w:tcPr>
          <w:p>
            <w:r>
              <w:t>Match to billing period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Storage billing period 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Audit rule (Le'Shea): </w:t>
      </w:r>
      <w:r>
        <w:rPr>
          <w:b w:val="0"/>
        </w:rPr>
        <w:t>If weight variance &gt; 100 LBS OR qty variance &gt;= 10 units, flag to review inventory snapshot and bill additional if needed.</w:t>
      </w:r>
    </w:p>
    <w:p>
      <w:r>
        <w:rPr>
          <w:b/>
        </w:rPr>
        <w:t xml:space="preserve">Dashboard status: </w:t>
      </w:r>
      <w:r>
        <w:rPr>
          <w:b w:val="0"/>
        </w:rPr>
        <w:t>Not yet wired in. Planned check: recurring storage lines where weight or qty variance exceeds threshold → flag for inventory snapshot pull.</w:t>
      </w:r>
    </w:p>
    <w:p>
      <w:pPr>
        <w:pStyle w:val="Heading2"/>
      </w:pPr>
      <w:r>
        <w:t>9. HJ - RailCar Dwell Report  (Optional)</w:t>
      </w:r>
    </w:p>
    <w:p>
      <w:r>
        <w:rPr>
          <w:b/>
        </w:rPr>
        <w:t xml:space="preserve">URL: </w:t>
      </w:r>
      <w:r>
        <w:rPr>
          <w:rFonts w:ascii="Courier New" w:hAnsi="Courier New"/>
          <w:b w:val="0"/>
          <w:sz w:val="19"/>
        </w:rPr>
        <w:t>http://sqlreporting01/Reports/report/Reporting01/Packaging/Customer%20Service/HJ%20-%20RailCar%20Dwell%20Report</w:t>
      </w:r>
    </w:p>
    <w:p>
      <w:r>
        <w:rPr>
          <w:b/>
        </w:rPr>
        <w:t xml:space="preserve">Source: </w:t>
      </w:r>
      <w:r>
        <w:rPr>
          <w:b w:val="0"/>
        </w:rPr>
        <w:t xml:space="preserve">Le'Shea McDarment (shared for railcar storage audit team call)    </w:t>
      </w:r>
      <w:r>
        <w:rPr>
          <w:b/>
        </w:rPr>
        <w:t xml:space="preserve">Format: </w:t>
      </w:r>
      <w:r>
        <w:rPr>
          <w:b w:val="0"/>
        </w:rPr>
        <w:t>.xlsx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Start Date</w:t>
            </w:r>
          </w:p>
        </w:tc>
        <w:tc>
          <w:tcPr>
            <w:tcW w:type="dxa" w:w="2880"/>
          </w:tcPr>
          <w:p>
            <w:r>
              <w:t>Railcar arrival/dwell period start</w:t>
            </w:r>
          </w:p>
        </w:tc>
        <w:tc>
          <w:tcPr>
            <w:tcW w:type="dxa" w:w="2880"/>
          </w:tcPr>
          <w:p>
            <w:r>
              <w:t>Match to billing month</w:t>
            </w:r>
          </w:p>
        </w:tc>
      </w:tr>
      <w:tr>
        <w:tc>
          <w:tcPr>
            <w:tcW w:type="dxa" w:w="2880"/>
          </w:tcPr>
          <w:p>
            <w:r>
              <w:t>End Date</w:t>
            </w:r>
          </w:p>
        </w:tc>
        <w:tc>
          <w:tcPr>
            <w:tcW w:type="dxa" w:w="2880"/>
          </w:tcPr>
          <w:p>
            <w:r>
              <w:t>Railcar arrival/dwell period end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Warehouse</w:t>
            </w:r>
          </w:p>
        </w:tc>
        <w:tc>
          <w:tcPr>
            <w:tcW w:type="dxa" w:w="2880"/>
          </w:tcPr>
          <w:p>
            <w:r>
              <w:t>Multi-select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rPr>
          <w:b/>
        </w:rPr>
        <w:t xml:space="preserve">Used for: </w:t>
      </w:r>
      <w:r>
        <w:rPr>
          <w:b w:val="0"/>
        </w:rPr>
        <w:t>Railcar Storage audit — provides tiered dwell day breakdown used to verify BULKSTOR/RAILSTOR charges.</w:t>
      </w:r>
    </w:p>
    <w:p>
      <w:r>
        <w:rPr>
          <w:b/>
        </w:rPr>
        <w:t xml:space="preserve">Tiered billing structure (from May 2026 audit spreadsheet):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Column Group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Fields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Tier 1 (Rate 1)</w:t>
            </w:r>
          </w:p>
        </w:tc>
        <w:tc>
          <w:tcPr>
            <w:tcW w:type="dxa" w:w="2880"/>
          </w:tcPr>
          <w:p>
            <w:r>
              <w:t>Days | Rate 1 | Total</w:t>
            </w:r>
          </w:p>
        </w:tc>
        <w:tc>
          <w:tcPr>
            <w:tcW w:type="dxa" w:w="2880"/>
          </w:tcPr>
          <w:p>
            <w:r>
              <w:t>Days at Rate 1 × Rate 1 = Tier 1 Total</w:t>
            </w:r>
          </w:p>
        </w:tc>
      </w:tr>
      <w:tr>
        <w:tc>
          <w:tcPr>
            <w:tcW w:type="dxa" w:w="2880"/>
          </w:tcPr>
          <w:p>
            <w:r>
              <w:t>Tier 2 (Rate 2)</w:t>
            </w:r>
          </w:p>
        </w:tc>
        <w:tc>
          <w:tcPr>
            <w:tcW w:type="dxa" w:w="2880"/>
          </w:tcPr>
          <w:p>
            <w:r>
              <w:t>Days | Rate 2 | Total</w:t>
            </w:r>
          </w:p>
        </w:tc>
        <w:tc>
          <w:tcPr>
            <w:tcW w:type="dxa" w:w="2880"/>
          </w:tcPr>
          <w:p>
            <w:r>
              <w:t>Days at Rate 2 × Rate 2 = Tier 2 Total</w:t>
            </w:r>
          </w:p>
        </w:tc>
      </w:tr>
      <w:tr>
        <w:tc>
          <w:tcPr>
            <w:tcW w:type="dxa" w:w="2880"/>
          </w:tcPr>
          <w:p>
            <w:r>
              <w:t>Tier 3 (Rate 3)</w:t>
            </w:r>
          </w:p>
        </w:tc>
        <w:tc>
          <w:tcPr>
            <w:tcW w:type="dxa" w:w="2880"/>
          </w:tcPr>
          <w:p>
            <w:r>
              <w:t>Days | Rate 3 | Total</w:t>
            </w:r>
          </w:p>
        </w:tc>
        <w:tc>
          <w:tcPr>
            <w:tcW w:type="dxa" w:w="2880"/>
          </w:tcPr>
          <w:p>
            <w:r>
              <w:t>Days at Rate 3 × Rate 3 = Tier 3 Total</w:t>
            </w:r>
          </w:p>
        </w:tc>
      </w:tr>
      <w:tr>
        <w:tc>
          <w:tcPr>
            <w:tcW w:type="dxa" w:w="2880"/>
          </w:tcPr>
          <w:p>
            <w:r>
              <w:t>Tier 4 (Rate 4)</w:t>
            </w:r>
          </w:p>
        </w:tc>
        <w:tc>
          <w:tcPr>
            <w:tcW w:type="dxa" w:w="2880"/>
          </w:tcPr>
          <w:p>
            <w:r>
              <w:t>Days | Rate 4 | Total</w:t>
            </w:r>
          </w:p>
        </w:tc>
        <w:tc>
          <w:tcPr>
            <w:tcW w:type="dxa" w:w="2880"/>
          </w:tcPr>
          <w:p>
            <w:r>
              <w:t>Days at Rate 4 × Rate 4 = Tier 4 Total</w:t>
            </w:r>
          </w:p>
        </w:tc>
      </w:tr>
      <w:tr>
        <w:tc>
          <w:tcPr>
            <w:tcW w:type="dxa" w:w="2880"/>
          </w:tcPr>
          <w:p>
            <w:r>
              <w:t>Total Billed</w:t>
            </w:r>
          </w:p>
        </w:tc>
        <w:tc>
          <w:tcPr>
            <w:tcW w:type="dxa" w:w="2880"/>
          </w:tcPr>
          <w:p>
            <w:r>
              <w:t>AA column</w:t>
            </w:r>
          </w:p>
        </w:tc>
        <w:tc>
          <w:tcPr>
            <w:tcW w:type="dxa" w:w="2880"/>
          </w:tcPr>
          <w:p>
            <w:r>
              <w:t>Sum of all 4 tier totals</w:t>
            </w:r>
          </w:p>
        </w:tc>
      </w:tr>
    </w:tbl>
    <w:p/>
    <w:p>
      <w:r>
        <w:rPr>
          <w:b/>
        </w:rPr>
        <w:t xml:space="preserve">Dashboard status: </w:t>
      </w:r>
      <w:r>
        <w:rPr>
          <w:b w:val="0"/>
        </w:rPr>
        <w:t>Railcar Storage check currently flags missing BULKSTOR/RAILSTOR charges but does not validate tier amounts. Dwell Report upload is the missing input needed to validate billed amount vs calculated amount by tier.</w:t>
      </w:r>
    </w:p>
    <w:p>
      <w:r>
        <w:rPr>
          <w:b/>
        </w:rPr>
        <w:t xml:space="preserve">Exclusions (existing): </w:t>
      </w:r>
      <w:r>
        <w:rPr>
          <w:b w:val="0"/>
        </w:rPr>
        <w:t>Jeffersonville (43-538), Baytown/Houston, Wilmington, Santa Fe Springs, Highlands, Pasadena, Intech. Charleston/Savannah: Axcens only. BP Lubricants: flat per-day rate, no tier structure.</w:t>
      </w:r>
    </w:p>
    <w:p>
      <w:pPr>
        <w:pStyle w:val="Heading1"/>
      </w:pPr>
      <w:r>
        <w:t>WMS Rate Table  (EDW — not SSRS)</w:t>
      </w:r>
    </w:p>
    <w:p>
      <w:r>
        <w:rPr>
          <w:b/>
        </w:rPr>
        <w:t xml:space="preserve">Source: </w:t>
      </w:r>
      <w:r>
        <w:rPr>
          <w:b w:val="0"/>
        </w:rPr>
        <w:t xml:space="preserve">EDW Dev — CORE.Core_Rates    </w:t>
      </w:r>
      <w:r>
        <w:rPr>
          <w:b/>
        </w:rPr>
        <w:t xml:space="preserve">Server: </w:t>
      </w:r>
      <w:r>
        <w:rPr>
          <w:b w:val="0"/>
        </w:rPr>
        <w:t>dev-quantix-useast-sql.database.windows.net / database: EDW_Dev</w:t>
      </w:r>
    </w:p>
    <w:p>
      <w:r>
        <w:rPr>
          <w:b/>
        </w:rPr>
        <w:t xml:space="preserve">Parameters: </w:t>
      </w:r>
      <w:r>
        <w:rPr>
          <w:b w:val="0"/>
        </w:rPr>
        <w:t>None — full table, not date-filtered. Re-pull only when contract rates change.</w:t>
      </w:r>
    </w:p>
    <w:p>
      <w:r>
        <w:rPr>
          <w:b/>
        </w:rPr>
        <w:t xml:space="preserve">Embedded version: </w:t>
      </w:r>
      <w:r>
        <w:rPr>
          <w:b w:val="0"/>
        </w:rPr>
        <w:t>69,721 rows as of 2026-06-01 (base64 in dashboard HTML — no upload needed at runtime)</w:t>
      </w:r>
    </w:p>
    <w:p>
      <w:r>
        <w:rPr>
          <w:b/>
        </w:rPr>
        <w:t xml:space="preserve">Key columns: </w:t>
      </w:r>
      <w:r>
        <w:rPr>
          <w:b w:val="0"/>
        </w:rPr>
        <w:t>customer_code, contract_wh_id, chargeback_code, description, rate, per_text, order_type, container_type, precedence</w:t>
      </w:r>
    </w:p>
    <w:p>
      <w:r>
        <w:rPr>
          <w:b/>
        </w:rPr>
        <w:t xml:space="preserve">Notes: </w:t>
      </w:r>
      <w:r>
        <w:rPr>
          <w:b w:val="0"/>
        </w:rPr>
        <w:t>container_type encodes tier labels for SAMPLE charges (e.g. "TIER4 (1001-2000)") — used by the Sample Minimum Rate check to identify the applicable rate tier by LBS qty.</w:t>
      </w:r>
    </w:p>
    <w:p>
      <w:pPr>
        <w:pStyle w:val="Heading1"/>
      </w:pPr>
      <w:r>
        <w:t>edw_pull.py — Quick Reference</w:t>
      </w:r>
    </w:p>
    <w:p>
      <w:r>
        <w:t>Standalone Python script that replaces the manual SSRS export step. Connects to EDW via Azure AD service principal and produces Excel/CSV files matching the dashboard's expected column structure.</w:t>
      </w:r>
    </w:p>
    <w:p>
      <w:pPr>
        <w:pStyle w:val="Heading2"/>
      </w:pPr>
      <w:r>
        <w:t>Usage</w:t>
      </w:r>
    </w:p>
    <w:p>
      <w:pPr>
        <w:ind w:left="432"/>
      </w:pPr>
      <w:r>
        <w:rPr>
          <w:rFonts w:ascii="Courier New" w:hAnsi="Courier New"/>
          <w:color w:val="1F3B6E"/>
          <w:sz w:val="18"/>
        </w:rPr>
        <w:t>python edw_pull.py --start 2026-05-11 --end 2026-05-18 --output-dir ./output</w:t>
      </w:r>
    </w:p>
    <w:p>
      <w:pPr>
        <w:pStyle w:val="Heading2"/>
      </w:pPr>
      <w:r>
        <w:t>Dependencies</w:t>
      </w:r>
    </w:p>
    <w:p>
      <w:pPr>
        <w:ind w:left="432"/>
      </w:pPr>
      <w:r>
        <w:rPr>
          <w:rFonts w:ascii="Courier New" w:hAnsi="Courier New"/>
          <w:color w:val="1F3B6E"/>
          <w:sz w:val="18"/>
        </w:rPr>
        <w:t>pip install pyodbc pandas openpyxl azure-identity</w:t>
      </w:r>
    </w:p>
    <w:p>
      <w:pPr>
        <w:pStyle w:val="Heading2"/>
      </w:pPr>
      <w:r>
        <w:t>Auth</w:t>
      </w:r>
    </w:p>
    <w:p>
      <w:r>
        <w:t>Azure AD service principal. Tenant ID, Client ID, and Client Secret are set in the script header. Token exchange via MSAL into ODBC attribute 1256. NOTE: CLIENT_SECRET in the shared copy is redacted ("***") — contact Poojan for the credential.</w:t>
      </w:r>
    </w:p>
    <w:p>
      <w:pPr>
        <w:pStyle w:val="Heading2"/>
      </w:pPr>
      <w:r>
        <w:t>Output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Output File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Maps to Report</w:t>
            </w:r>
          </w:p>
        </w:tc>
        <w:tc>
          <w:tcPr>
            <w:tcW w:type="dxa" w:w="2880"/>
            <w:shd w:val="clear" w:color="auto" w:fill="D9E1F2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880"/>
          </w:tcPr>
          <w:p>
            <w:r>
              <w:t>HJ - HighJump Revenue by Chargeback.xlsx</w:t>
            </w:r>
          </w:p>
        </w:tc>
        <w:tc>
          <w:tcPr>
            <w:tcW w:type="dxa" w:w="2880"/>
          </w:tcPr>
          <w:p>
            <w:r>
              <w:t>Report 1 (Invoice)</w:t>
            </w:r>
          </w:p>
        </w:tc>
        <w:tc>
          <w:tcPr>
            <w:tcW w:type="dxa" w:w="2880"/>
          </w:tcPr>
          <w:p>
            <w:r>
              <w:t>Validated — 9,392 rows / $2.39M match</w:t>
            </w:r>
          </w:p>
        </w:tc>
      </w:tr>
      <w:tr>
        <w:tc>
          <w:tcPr>
            <w:tcW w:type="dxa" w:w="2880"/>
          </w:tcPr>
          <w:p>
            <w:r>
              <w:t>HJ - Lost Revenue.xlsx</w:t>
            </w:r>
          </w:p>
        </w:tc>
        <w:tc>
          <w:tcPr>
            <w:tcW w:type="dxa" w:w="2880"/>
          </w:tcPr>
          <w:p>
            <w:r>
              <w:t>Report 2 (Lost Revenue)</w:t>
            </w:r>
          </w:p>
        </w:tc>
        <w:tc>
          <w:tcPr>
            <w:tcW w:type="dxa" w:w="2880"/>
          </w:tcPr>
          <w:p>
            <w:r>
              <w:t>Validated — multi-sheet format matches</w:t>
            </w:r>
          </w:p>
        </w:tc>
      </w:tr>
      <w:tr>
        <w:tc>
          <w:tcPr>
            <w:tcW w:type="dxa" w:w="2880"/>
          </w:tcPr>
          <w:p>
            <w:r>
              <w:t>WMS Rates From EDW(CORE core_rates).csv</w:t>
            </w:r>
          </w:p>
        </w:tc>
        <w:tc>
          <w:tcPr>
            <w:tcW w:type="dxa" w:w="2880"/>
          </w:tcPr>
          <w:p>
            <w:r>
              <w:t>Rate table</w:t>
            </w:r>
          </w:p>
        </w:tc>
        <w:tc>
          <w:tcPr>
            <w:tcW w:type="dxa" w:w="2880"/>
          </w:tcPr>
          <w:p>
            <w:r>
              <w:t>Validated — 69,721 rows</w:t>
            </w:r>
          </w:p>
        </w:tc>
      </w:tr>
      <w:tr>
        <w:tc>
          <w:tcPr>
            <w:tcW w:type="dxa" w:w="2880"/>
          </w:tcPr>
          <w:p>
            <w:r>
              <w:t>HJ - Railcar Arrival Report.xlsx</w:t>
            </w:r>
          </w:p>
        </w:tc>
        <w:tc>
          <w:tcPr>
            <w:tcW w:type="dxa" w:w="2880"/>
          </w:tcPr>
          <w:p>
            <w:r>
              <w:t>Report 4 (Railcar)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</w:tr>
      <w:tr>
        <w:tc>
          <w:tcPr>
            <w:tcW w:type="dxa" w:w="2880"/>
          </w:tcPr>
          <w:p>
            <w:r>
              <w:t>HJ - Revenue Audit Packaging.xlsx</w:t>
            </w:r>
          </w:p>
        </w:tc>
        <w:tc>
          <w:tcPr>
            <w:tcW w:type="dxa" w:w="2880"/>
          </w:tcPr>
          <w:p>
            <w:r>
              <w:t>Report 6 (Packaging)</w:t>
            </w:r>
          </w:p>
        </w:tc>
        <w:tc>
          <w:tcPr>
            <w:tcW w:type="dxa" w:w="2880"/>
          </w:tcPr>
          <w:p>
            <w:r>
              <w:t>Functional</w:t>
            </w:r>
          </w:p>
        </w:tc>
      </w:tr>
      <w:tr>
        <w:tc>
          <w:tcPr>
            <w:tcW w:type="dxa" w:w="2880"/>
          </w:tcPr>
          <w:p>
            <w:r>
              <w:t>No Charges</w:t>
            </w:r>
          </w:p>
        </w:tc>
        <w:tc>
          <w:tcPr>
            <w:tcW w:type="dxa" w:w="2880"/>
          </w:tcPr>
          <w:p>
            <w:r>
              <w:t>Report 3</w:t>
            </w:r>
          </w:p>
        </w:tc>
        <w:tc>
          <w:tcPr>
            <w:tcW w:type="dxa" w:w="2880"/>
          </w:tcPr>
          <w:p>
            <w:r>
              <w:t>TODO — needs t_bmm_param_wms_event</w:t>
            </w:r>
          </w:p>
        </w:tc>
      </w:tr>
      <w:tr>
        <w:tc>
          <w:tcPr>
            <w:tcW w:type="dxa" w:w="2880"/>
          </w:tcPr>
          <w:p>
            <w:r>
              <w:t>Boxing Materials</w:t>
            </w:r>
          </w:p>
        </w:tc>
        <w:tc>
          <w:tcPr>
            <w:tcW w:type="dxa" w:w="2880"/>
          </w:tcPr>
          <w:p>
            <w:r>
              <w:t>Report 5</w:t>
            </w:r>
          </w:p>
        </w:tc>
        <w:tc>
          <w:tcPr>
            <w:tcW w:type="dxa" w:w="2880"/>
          </w:tcPr>
          <w:p>
            <w:r>
              <w:t>No EDW equivalent — SSRS only</w:t>
            </w:r>
          </w:p>
        </w:tc>
      </w:tr>
      <w:tr>
        <w:tc>
          <w:tcPr>
            <w:tcW w:type="dxa" w:w="2880"/>
          </w:tcPr>
          <w:p>
            <w:r>
              <w:t>Bulk Orders</w:t>
            </w:r>
          </w:p>
        </w:tc>
        <w:tc>
          <w:tcPr>
            <w:tcW w:type="dxa" w:w="2880"/>
          </w:tcPr>
          <w:p>
            <w:r>
              <w:t>Report 7</w:t>
            </w:r>
          </w:p>
        </w:tc>
        <w:tc>
          <w:tcPr>
            <w:tcW w:type="dxa" w:w="2880"/>
          </w:tcPr>
          <w:p>
            <w:r>
              <w:t>TODO — planned check</w:t>
            </w:r>
          </w:p>
        </w:tc>
      </w:tr>
      <w:tr>
        <w:tc>
          <w:tcPr>
            <w:tcW w:type="dxa" w:w="2880"/>
          </w:tcPr>
          <w:p>
            <w:r>
              <w:t>Recurring Storage</w:t>
            </w:r>
          </w:p>
        </w:tc>
        <w:tc>
          <w:tcPr>
            <w:tcW w:type="dxa" w:w="2880"/>
          </w:tcPr>
          <w:p>
            <w:r>
              <w:t>Report 8</w:t>
            </w:r>
          </w:p>
        </w:tc>
        <w:tc>
          <w:tcPr>
            <w:tcW w:type="dxa" w:w="2880"/>
          </w:tcPr>
          <w:p>
            <w:r>
              <w:t>TODO — planned check</w:t>
            </w:r>
          </w:p>
        </w:tc>
      </w:tr>
      <w:tr>
        <w:tc>
          <w:tcPr>
            <w:tcW w:type="dxa" w:w="2880"/>
          </w:tcPr>
          <w:p>
            <w:r>
              <w:t>Railcar Dwell</w:t>
            </w:r>
          </w:p>
        </w:tc>
        <w:tc>
          <w:tcPr>
            <w:tcW w:type="dxa" w:w="2880"/>
          </w:tcPr>
          <w:p>
            <w:r>
              <w:t>Report 9</w:t>
            </w:r>
          </w:p>
        </w:tc>
        <w:tc>
          <w:tcPr>
            <w:tcW w:type="dxa" w:w="2880"/>
          </w:tcPr>
          <w:p>
            <w:r>
              <w:t>TODO — needed for storage tier validation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Date parameters are the same for all reports: --start (inclusive) and --end (exclusive).</w:t>
      </w:r>
    </w:p>
    <w:p>
      <w:pPr>
        <w:pStyle w:val="ListBullet"/>
      </w:pPr>
      <w:r>
        <w:t>Lost Revenue output is multi-sheet, matching the SSRS format exactly (section marker rows per warehouse).</w:t>
      </w:r>
    </w:p>
    <w:p>
      <w:pPr>
        <w:pStyle w:val="ListBullet"/>
      </w:pPr>
      <w:r>
        <w:t>Revenue Audit Packaging includes a 4-row preamble to match SSRS file structure.</w:t>
      </w:r>
    </w:p>
    <w:p>
      <w:pPr>
        <w:pStyle w:val="ListBullet"/>
      </w:pPr>
      <w:r>
        <w:t>Lost Revenue uses t_bmm_event_log for Billing Link / Our Supplies counts — validated row for row against SSRS.</w:t>
      </w:r>
    </w:p>
    <w:p>
      <w:pPr>
        <w:pStyle w:val="ListBullet"/>
      </w:pPr>
      <w:r>
        <w:t>No Charges, Bulk Orders, Recurring Storage, and Railcar Dwell are not yet in edw_pull.py.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