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1DBDAB2F" w:rsidR="003C2E23" w:rsidRDefault="00000000" w:rsidP="00DB07E0">
      <w:pPr>
        <w:jc w:val="center"/>
        <w:rPr>
          <w:rFonts w:ascii="Times New Roman" w:eastAsia="Times New Roman" w:hAnsi="Times New Roman" w:cs="Times New Roman"/>
        </w:rPr>
      </w:pPr>
      <w:r>
        <w:rPr>
          <w:rFonts w:ascii="Times New Roman" w:eastAsia="Times New Roman" w:hAnsi="Times New Roman" w:cs="Times New Roman"/>
          <w:b/>
          <w:bCs/>
        </w:rPr>
        <w:t>Which Spanish morphosyntactic structures are acquired earliest by heritage and L2 children in two-way immersion?</w:t>
      </w:r>
    </w:p>
    <w:p w14:paraId="00000004" w14:textId="77777777" w:rsidR="003C2E23" w:rsidRDefault="003C2E23">
      <w:pPr>
        <w:rPr>
          <w:rFonts w:ascii="Times New Roman" w:eastAsia="Times New Roman" w:hAnsi="Times New Roman" w:cs="Times New Roman"/>
        </w:rPr>
      </w:pPr>
    </w:p>
    <w:p w14:paraId="00000005" w14:textId="717C66F5" w:rsidR="003C2E2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The U.S. has seen a significant rise in two-way immersion (TWI) programs that serve children who are heritage speakers (HSs) as well as second language learners (L2Ls) of a language other than English, such as Spanish. While some studies have reported similar performance in Spanish across HSs and L2Ls in TWI (e.g.,</w:t>
      </w:r>
      <w:r w:rsidR="007C65F6">
        <w:rPr>
          <w:rFonts w:ascii="Times New Roman" w:eastAsia="Times New Roman" w:hAnsi="Times New Roman" w:cs="Times New Roman"/>
        </w:rPr>
        <w:t xml:space="preserve">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{"citationID":"ux8eSolk","properties":{"formattedCitation":"(Austin et al., 2024)","plainCitation":"(Austin et al., 2024)","noteIndex":0},"citationItems":[{"id":1430,"uris":["http://zotero.org/users/8848410/items/4SB86PYX"],"itemData":{"id":1430,"type":"article-journal","container-title":"Frontiers in Language Sciences","DOI":"https://doi.org/10.3389/flang.2024.1334269","issue":"1334269","license":"All rights reserved","page":"1-15","title":"The comprehension of clitic gender in child heritage and second language Spanish: evidence from a dual language program","volume":"3","author":[{"family":"Austin","given":"Jennifer"},{"family":"Thane","given":"Patrick D."},{"family":"Rodríguez","given":"Stephanie A."},{"family":"Goldin","given":"Michele"}],"issued":{"date-parts":[["2024"]]}}}],"schema":"https://github.com/citation-style-language/schema/raw/master/csl-citation.json"}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Austin et al., 2024</w:t>
      </w:r>
      <w:r w:rsidR="007C65F6">
        <w:rPr>
          <w:rFonts w:ascii="Times New Roman" w:eastAsia="Times New Roman" w:hAnsi="Times New Roman" w:cs="Times New Roman"/>
        </w:rPr>
        <w:fldChar w:fldCharType="end"/>
      </w:r>
      <w:r>
        <w:rPr>
          <w:rFonts w:ascii="Times New Roman" w:eastAsia="Times New Roman" w:hAnsi="Times New Roman" w:cs="Times New Roman"/>
        </w:rPr>
        <w:t>;</w:t>
      </w:r>
      <w:r w:rsidR="007C65F6">
        <w:rPr>
          <w:rFonts w:ascii="Times New Roman" w:eastAsia="Times New Roman" w:hAnsi="Times New Roman" w:cs="Times New Roman"/>
        </w:rPr>
        <w:t xml:space="preserve">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{"citationID":"1ELip9Ny","properties":{"formattedCitation":"(Goldin, 2022)","plainCitation":"(Goldin, 2022)","noteIndex":0},"citationItems":[{"id":3605,"uris":["http://zotero.org/groups/5416152/items/XH6B4CSD"],"itemData":{"id":3605,"type":"chapter","container-title":"Proceedings of the 46th annual Boston University Conference on Language Development","event-place":"Somerville, MA","page":"230-241","publisher":"Cascadilla Proceedings Project","publisher-place":"Somerville, MA","title":"Comprehension-production asymmetry in bilingual children’s acquisition of subject-verb agreement","author":[{"family":"Goldin","given":"Michele"}],"editor":[{"family":"Gong","given":"Ying"},{"family":"Kpogo","given":"Felix"}],"issued":{"date-parts":[["2022"]]}}}],"schema":"https://github.com/citation-style-language/schema/raw/master/csl-citation.json"}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Goldin, 2022</w:t>
      </w:r>
      <w:r w:rsidR="007C65F6">
        <w:rPr>
          <w:rFonts w:ascii="Times New Roman" w:eastAsia="Times New Roman" w:hAnsi="Times New Roman" w:cs="Times New Roman"/>
        </w:rPr>
        <w:fldChar w:fldCharType="end"/>
      </w:r>
      <w:r>
        <w:rPr>
          <w:rFonts w:ascii="Times New Roman" w:eastAsia="Times New Roman" w:hAnsi="Times New Roman" w:cs="Times New Roman"/>
        </w:rPr>
        <w:t>), others have noted advantages for HSs given their earlier and more extensive exposure to Spanish outside of school (e.g.,</w:t>
      </w:r>
      <w:r w:rsidR="007C65F6">
        <w:rPr>
          <w:rFonts w:ascii="Times New Roman" w:eastAsia="Times New Roman" w:hAnsi="Times New Roman" w:cs="Times New Roman"/>
        </w:rPr>
        <w:t xml:space="preserve">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{"citationID":"t3GNtvx4","properties":{"formattedCitation":"(Fern\\uc0\\u225{}ndez-Dobao et al., 2025)","plainCitation":"(Fernández-Dobao et al., 2025)","noteIndex":0},"citationItems":[{"id":3809,"uris":["http://zotero.org/users/8848410/items/EGZFV2TV"],"itemData":{"id":3809,"type":"article-journal","abstract":"Abstract\n            \n              This study examines number and gender concord in the nominal domain by heritage (\n              HL\n              ) and second language (L2) children in Spanish-English dual language immersion (\n              DLI\n              ). Participants were 36\n              HL\n              and 90 L2 children in their 5th and 6th year of\n              DLI\n              and 55 age-matched control children from a Spanish-majority environment. All children completed the same spontaneous written production task. Results indicate that Spanish\n              HL\n              children retained their crib-learned nominal concord, as demonstrated in ceiling scores for number agreement and noun-adjective gender matching. However, some gender instability in determiner selection persisted. L2 children showed mastery of number agreement but significantly lower accuracy than control children in gender assignment and agreement measures.\n              HL\n              and L2 children had difficulties with both masculine and feminine nouns, and canonical and non-canonical ending nouns. Despite differences between groups, overall accuracy levels above chance confirm the benefits of\n              DLI\n              for L2 acquisition and\n              HL\n              maintenance and development.","container-title":"Heritage Language Journal","DOI":"10.1163/15507076-bja10043","ISSN":"1550-7076","issue":"1","journalAbbreviation":"Herit. Lang. J.","language":"en","page":"1-37","source":"DOI.org (Crossref)","title":"Gender and number agreement by Spanish heritage and second language children in dual immersion","volume":"22","author":[{"family":"Fernández-Dobao","given":"Ana"},{"family":"Herschensohn","given":"Julia"},{"family":"Vukadinovich","given":"Stefana"},{"family":"Zhang","given":"Wenjing T."}],"issued":{"date-parts":[["2025",6,17]]}}}],"schema":"https://github.com/citation-style-language/schema/raw/master/csl-citation.json"} </w:instrText>
      </w:r>
      <w:r w:rsidR="007C65F6">
        <w:rPr>
          <w:rFonts w:ascii="Times New Roman" w:eastAsia="Times New Roman" w:hAnsi="Times New Roman" w:cs="Times New Roman"/>
        </w:rPr>
        <w:fldChar w:fldCharType="separate"/>
      </w:r>
      <w:r w:rsidR="007C65F6" w:rsidRPr="007C65F6">
        <w:rPr>
          <w:rFonts w:ascii="Times New Roman" w:hAnsi="Times New Roman" w:cs="Times New Roman"/>
          <w:lang w:val="en-US"/>
        </w:rPr>
        <w:t>Fernández-Dobao et al., 2025</w:t>
      </w:r>
      <w:r w:rsidR="007C65F6">
        <w:rPr>
          <w:rFonts w:ascii="Times New Roman" w:eastAsia="Times New Roman" w:hAnsi="Times New Roman" w:cs="Times New Roman"/>
        </w:rPr>
        <w:fldChar w:fldCharType="end"/>
      </w:r>
      <w:r>
        <w:rPr>
          <w:rFonts w:ascii="Times New Roman" w:eastAsia="Times New Roman" w:hAnsi="Times New Roman" w:cs="Times New Roman"/>
        </w:rPr>
        <w:t>;</w:t>
      </w:r>
      <w:r w:rsidR="007C65F6">
        <w:rPr>
          <w:rFonts w:ascii="Times New Roman" w:eastAsia="Times New Roman" w:hAnsi="Times New Roman" w:cs="Times New Roman"/>
        </w:rPr>
        <w:t xml:space="preserve">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{"citationID":"10qMjuDz","properties":{"formattedCitation":"(Thane et al., 2025)","plainCitation":"(Thane et al., 2025)","noteIndex":0},"citationItems":[{"id":63,"uris":["http://zotero.org/users/8848410/items/J9LVDRBY"],"itemData":{"id":63,"type":"article-journal","abstract":"Few studies have investigated the developing grammars of school-aged\nchildren acquiring Spanish as a heritage or second language (L2) in dual language\nimmersion programs. The present project evaluated 57 English-dominant Spanish\nheritage speakers (HS) and L2 learners enrolled in a dual language immersion school on\ntheir production and recognition of subjunctive mood in volitional clauses. Older chil-\ndren (12–14 year olds) produced more subjunctive mood and selected it more frequently\non a forced choice task than younger participants (9–11 year-olds). Speci cally, the older\nHSs produced and selected more subjunctive than age-matched L2 learners. However,\nHSs’ earlier age of acquisition of Spanish provided this group with a modest advantage\nover L2 learners in their command of subjunctive across tasks. Participants were more\nlikely to produce and select subjunctive mood with irregular verbs. Finally, participants\nwere more likely to select the subjunctive than to produce it. Implications for bilin-\ngualism theory and pedagogy in dual language immersion programs are discussed.","container-title":"Studies in Hispanic and Lusophone Linguistics","DOI":"https://doi.org/10.1515/shll-2025-2007","issue":"1","language":"English","license":"All rights reserved","page":"193-223","title":"The acquisition of the Spanish subjunctive by child heritage and L2 learners: evidence from a dual language program","volume":"18","author":[{"family":"Thane","given":"Patrick D."},{"family":"Austin","given":"Jennifer"},{"family":"Rodríguez","given":"Stephanie A."},{"family":"Goldin","given":"Michele"}],"issued":{"date-parts":[["2025",4,30]]}}}],"schema":"https://github.com/citation-style-language/schema/raw/master/csl-citation.json"}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Thane et al., 2025</w:t>
      </w:r>
      <w:r w:rsidR="007C65F6">
        <w:rPr>
          <w:rFonts w:ascii="Times New Roman" w:eastAsia="Times New Roman" w:hAnsi="Times New Roman" w:cs="Times New Roman"/>
        </w:rPr>
        <w:fldChar w:fldCharType="end"/>
      </w:r>
      <w:r>
        <w:rPr>
          <w:rFonts w:ascii="Times New Roman" w:eastAsia="Times New Roman" w:hAnsi="Times New Roman" w:cs="Times New Roman"/>
        </w:rPr>
        <w:t xml:space="preserve">). However, it remains unclear which areas of morphosyntax may be easiest to acquire and most responsive to instruction within each group.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{"citationID":"Uzw55njk","properties":{"formattedCitation":"(Rinke et al., 2023)","plainCitation":"(Rinke et al., 2023)","noteIndex":0},"citationItems":[{"id":1444,"uris":["http://zotero.org/users/8848410/items/UJKYZ346"],"itemData":{"id":1444,"type":"chapter","container-title":"Formal Approaches to Complexity in Heritage Language Grammars","event-place":"Berlin","page":"1-17","publisher":"Language Sciences Press","publisher-place":"Berlin","title":"How different types of complexity can account for difficult structures in bilingual and monolingual language acquisition","editor":[{"family":"Putnam","given":"Michael"},{"family":"Polinsky","given":"Maria"}],"author":[{"family":"Rinke","given":"Esther"},{"family":"Flores","given":"Cristina"},{"family":"Torregrossa","given":"Jacopo"}],"issued":{"date-parts":[["2023"]]}}}],"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Rinke et al. (2023)</w:t>
      </w:r>
      <w:r w:rsidR="007C65F6">
        <w:rPr>
          <w:rFonts w:ascii="Times New Roman" w:eastAsia="Times New Roman" w:hAnsi="Times New Roman" w:cs="Times New Roman"/>
        </w:rPr>
        <w:fldChar w:fldCharType="end"/>
      </w:r>
      <w:r w:rsidR="007C65F6">
        <w:rPr>
          <w:rFonts w:ascii="Times New Roman" w:eastAsia="Times New Roman" w:hAnsi="Times New Roman" w:cs="Times New Roman"/>
        </w:rPr>
        <w:t xml:space="preserve"> </w:t>
      </w:r>
      <w:r>
        <w:rPr>
          <w:rFonts w:ascii="Times New Roman" w:eastAsia="Times New Roman" w:hAnsi="Times New Roman" w:cs="Times New Roman"/>
        </w:rPr>
        <w:t xml:space="preserve">propose that multiple factors can determine the difficulty in acquiring morphosyntax: structures involving the syntax-semantics or syntax-pragmatics interfaces, derivational complexity, context dependency, low structure frequency, and/or non-linear form-function mappings can be most challenging to master. </w:t>
      </w:r>
      <w:bookmarkStart w:id="0" w:name="_Hlk232255807"/>
      <w:r w:rsidR="002E4AC2">
        <w:rPr>
          <w:rFonts w:ascii="Times New Roman" w:eastAsia="Times New Roman" w:hAnsi="Times New Roman" w:cs="Times New Roman"/>
        </w:rPr>
        <w:fldChar w:fldCharType="begin"/>
      </w:r>
      <w:r w:rsidR="0045062F">
        <w:rPr>
          <w:rFonts w:ascii="Times New Roman" w:eastAsia="Times New Roman" w:hAnsi="Times New Roman" w:cs="Times New Roman"/>
        </w:rPr>
        <w:instrText xml:space="preserve"> ADDIN ZOTERO_ITEM CSL_CITATION {"citationID":"pzJF4RK8","properties":{"formattedCitation":"(Torregrossa et al., 2023)","plainCitation":"(Torregrossa et al., 2023)","dontUpdate":true,"noteIndex":0},"citationItems":[{"id":32,"uris":["http://zotero.org/users/8848410/items/WKV4U4BB"],"itemData":{"id":32,"type":"article-journal","abstract":"Most studies on bilingual children’s metalinguistic awareness assess metalinguistic awareness using monolingual tasks. This may not reﬂect how a bilingual’s languages dynamically interact with each other in creating metalinguistic representations. We tested 33 Greek–Italian bilingual children (8–11 years) for metalinguistic awareness using acceptability-rating tasks in which they had to judge and explain grammatical errors. The tasks were in monolingual and bilingual modes in order to show how far metalinguistic awareness in Italian beneﬁted from the activation of Greek. The participants exhibited better metalinguistic awareness abilities in Italian in the bilingual acceptability-rating task in which Greek was activated. The beneﬁts of the bilingual mode were visible in the judgment and explanation of errors and were modulated by syntactic processing abilities in Italian, length of exposure to Italian, type of structure, and age. The results show that metalinguistic awareness can be shared across languages. We discuss the pedagogical implications of our ﬁndings.","container-title":"Language Learning","DOI":"10.1111/lang.12552","ISSN":"0023-8333, 1467-9922","issue":"3","journalAbbreviation":"Language Learning","language":"en","page":"683-722","source":"DOI.org (Crossref)","title":"Boosting bilingual metalinguistic awareness under dual language activation: Some implications for bilingual education","title-short":"Boosting Bilingual Metalinguistic Awareness Under Dual Language Activation","volume":"73","author":[{"family":"Torregrossa","given":"Jacopo"},{"family":"Eisenbeiß","given":"Sonja"},{"family":"Bongartz","given":"Christiane"}],"issued":{"date-parts":[["2023",9]]}}}],"schema":"https://github.com/citation-style-language/schema/raw/master/csl-citation.json"} </w:instrText>
      </w:r>
      <w:r w:rsidR="002E4AC2">
        <w:rPr>
          <w:rFonts w:ascii="Times New Roman" w:eastAsia="Times New Roman" w:hAnsi="Times New Roman" w:cs="Times New Roman"/>
        </w:rPr>
        <w:fldChar w:fldCharType="separate"/>
      </w:r>
      <w:r w:rsidR="002E4AC2">
        <w:rPr>
          <w:rFonts w:ascii="Times New Roman" w:eastAsia="Times New Roman" w:hAnsi="Times New Roman" w:cs="Times New Roman"/>
          <w:noProof/>
        </w:rPr>
        <w:t>Torregrossa et al. (2023)</w:t>
      </w:r>
      <w:r w:rsidR="002E4AC2">
        <w:rPr>
          <w:rFonts w:ascii="Times New Roman" w:eastAsia="Times New Roman" w:hAnsi="Times New Roman" w:cs="Times New Roman"/>
        </w:rPr>
        <w:fldChar w:fldCharType="end"/>
      </w:r>
      <w:bookmarkEnd w:id="0"/>
      <w:r w:rsidR="002E4AC2">
        <w:rPr>
          <w:rFonts w:ascii="Times New Roman" w:eastAsia="Times New Roman" w:hAnsi="Times New Roman" w:cs="Times New Roman"/>
        </w:rPr>
        <w:t xml:space="preserve"> </w:t>
      </w:r>
      <w:r>
        <w:rPr>
          <w:rFonts w:ascii="Times New Roman" w:eastAsia="Times New Roman" w:hAnsi="Times New Roman" w:cs="Times New Roman"/>
        </w:rPr>
        <w:t>found that structures that meet multiple of these criteria are the most influenced by bilingual instruction in child HSs.</w:t>
      </w:r>
    </w:p>
    <w:p w14:paraId="00000006" w14:textId="7D6BD93F" w:rsidR="003C2E2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The present project expands upon these findings by comparing the impact of TWI on HSs’ and L2Ls’ elicited production of four structures in Spanish: definite article gender/number agreement, third person direct object clitic gender/number agreement, differential object marking (DOM), and volitional subjunctive mood. While all structures are context-dependent (determined by the properties of verbs or nouns), they differ in three ways described by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{"citationID":"Uzw55njk","properties":{"formattedCitation":"(Rinke et al., 2023)","plainCitation":"(Rinke et al., 2023)","noteIndex":0},"citationItems":[{"id":1444,"uris":["http://zotero.org/users/8848410/items/UJKYZ346"],"itemData":{"id":1444,"type":"chapter","container-title":"Formal Approaches to Complexity in Heritage Language Grammars","event-place":"Berlin","page":"1-17","publisher":"Language Sciences Press","publisher-place":"Berlin","title":"How different types of complexity can account for difficult structures in bilingual and monolingual language acquisition","editor":[{"family":"Putnam","given":"Michael"},{"family":"Polinsky","given":"Maria"}],"author":[{"family":"Rinke","given":"Esther"},{"family":"Flores","given":"Cristina"},{"family":"Torregrossa","given":"Jacopo"}],"issued":{"date-parts":[["2023"]]}}}],"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Rinke et al. (2023)</w:t>
      </w:r>
      <w:r w:rsidR="007C65F6">
        <w:rPr>
          <w:rFonts w:ascii="Times New Roman" w:eastAsia="Times New Roman" w:hAnsi="Times New Roman" w:cs="Times New Roman"/>
        </w:rPr>
        <w:fldChar w:fldCharType="end"/>
      </w:r>
      <w:r>
        <w:rPr>
          <w:rFonts w:ascii="Times New Roman" w:eastAsia="Times New Roman" w:hAnsi="Times New Roman" w:cs="Times New Roman"/>
        </w:rPr>
        <w:t xml:space="preserve">, as summarized in Table 1: degree of interface involvement, structure frequency, and the linearity of form-function mappings. Based upon these characteristics, and following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{"citationID":"Uzw55njk","properties":{"formattedCitation":"(Rinke et al., 2023)","plainCitation":"(Rinke et al., 2023)","noteIndex":0},"citationItems":[{"id":1444,"uris":["http://zotero.org/users/8848410/items/UJKYZ346"],"itemData":{"id":1444,"type":"chapter","container-title":"Formal Approaches to Complexity in Heritage Language Grammars","event-place":"Berlin","page":"1-17","publisher":"Language Sciences Press","publisher-place":"Berlin","title":"How different types of complexity can account for difficult structures in bilingual and monolingual language acquisition","editor":[{"family":"Putnam","given":"Michael"},{"family":"Polinsky","given":"Maria"}],"author":[{"family":"Rinke","given":"Esther"},{"family":"Flores","given":"Cristina"},{"family":"Torregrossa","given":"Jacopo"}],"issued":{"date-parts":[["2023"]]}}}],"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Rinke et al. (2023)</w:t>
      </w:r>
      <w:r w:rsidR="007C65F6">
        <w:rPr>
          <w:rFonts w:ascii="Times New Roman" w:eastAsia="Times New Roman" w:hAnsi="Times New Roman" w:cs="Times New Roman"/>
        </w:rPr>
        <w:fldChar w:fldCharType="end"/>
      </w:r>
      <w:r>
        <w:rPr>
          <w:rFonts w:ascii="Times New Roman" w:eastAsia="Times New Roman" w:hAnsi="Times New Roman" w:cs="Times New Roman"/>
        </w:rPr>
        <w:t>, article gender should be the earliest-acquired/mastered, clitic gender would follow, then DOM and lastly volitional subjunctive</w:t>
      </w:r>
      <w:r w:rsidR="00462A2D">
        <w:rPr>
          <w:rFonts w:ascii="Times New Roman" w:eastAsia="Times New Roman" w:hAnsi="Times New Roman" w:cs="Times New Roman"/>
        </w:rPr>
        <w:t>, which</w:t>
      </w:r>
      <w:r>
        <w:rPr>
          <w:rFonts w:ascii="Times New Roman" w:eastAsia="Times New Roman" w:hAnsi="Times New Roman" w:cs="Times New Roman"/>
        </w:rPr>
        <w:t xml:space="preserve"> would be most challenging</w:t>
      </w:r>
      <w:r w:rsidR="003F5905">
        <w:rPr>
          <w:rFonts w:ascii="Times New Roman" w:eastAsia="Times New Roman" w:hAnsi="Times New Roman" w:cs="Times New Roman"/>
        </w:rPr>
        <w:t xml:space="preserve"> to master</w:t>
      </w:r>
      <w:r>
        <w:rPr>
          <w:rFonts w:ascii="Times New Roman" w:eastAsia="Times New Roman" w:hAnsi="Times New Roman" w:cs="Times New Roman"/>
        </w:rPr>
        <w:t>. To explore this possibility, 37 HSs and 83 L2Ls (ages 7-14) in a TWI program offering between 50% and 90% of instruction in Spanish carried out an image-based oral elicited production task.</w:t>
      </w:r>
    </w:p>
    <w:p w14:paraId="31D3E035" w14:textId="05B5442A" w:rsidR="001203BF" w:rsidRDefault="00000000">
      <w:pPr>
        <w:ind w:firstLine="720"/>
        <w:jc w:val="both"/>
        <w:rPr>
          <w:rFonts w:ascii="Times New Roman" w:eastAsia="Times New Roman" w:hAnsi="Times New Roman" w:cs="Times New Roman"/>
        </w:rPr>
      </w:pPr>
      <w:r>
        <w:rPr>
          <w:rFonts w:ascii="Times New Roman" w:eastAsia="Times New Roman" w:hAnsi="Times New Roman" w:cs="Times New Roman"/>
          <w:color w:val="000000"/>
        </w:rPr>
        <w:t>Results</w:t>
      </w:r>
      <w:r>
        <w:rPr>
          <w:rFonts w:ascii="Times New Roman" w:eastAsia="Times New Roman" w:hAnsi="Times New Roman" w:cs="Times New Roman"/>
        </w:rPr>
        <w:t xml:space="preserve"> are </w:t>
      </w:r>
      <w:r>
        <w:rPr>
          <w:rFonts w:ascii="Times New Roman" w:eastAsia="Times New Roman" w:hAnsi="Times New Roman" w:cs="Times New Roman"/>
          <w:color w:val="000000"/>
        </w:rPr>
        <w:t>summarized in Figure 1</w:t>
      </w:r>
      <w:r>
        <w:rPr>
          <w:rFonts w:ascii="Times New Roman" w:eastAsia="Times New Roman" w:hAnsi="Times New Roman" w:cs="Times New Roman"/>
        </w:rPr>
        <w:t xml:space="preserve">. A binomial logistic regression revealed that </w:t>
      </w:r>
      <w:r>
        <w:rPr>
          <w:rFonts w:ascii="Times New Roman" w:eastAsia="Times New Roman" w:hAnsi="Times New Roman" w:cs="Times New Roman"/>
          <w:color w:val="000000"/>
        </w:rPr>
        <w:t>L2Ls did not differ significantly</w:t>
      </w:r>
      <w:r>
        <w:rPr>
          <w:rFonts w:ascii="Times New Roman" w:eastAsia="Times New Roman" w:hAnsi="Times New Roman" w:cs="Times New Roman"/>
        </w:rPr>
        <w:t xml:space="preserve"> from HSs (</w:t>
      </w:r>
      <w:r>
        <w:rPr>
          <w:rFonts w:ascii="Times New Roman" w:eastAsia="Times New Roman" w:hAnsi="Times New Roman" w:cs="Times New Roman"/>
          <w:i/>
          <w:iCs/>
        </w:rPr>
        <w:t>β</w:t>
      </w:r>
      <w:r>
        <w:rPr>
          <w:rFonts w:ascii="Times New Roman" w:eastAsia="Times New Roman" w:hAnsi="Times New Roman" w:cs="Times New Roman"/>
        </w:rPr>
        <w:t xml:space="preserve"> = 0.01, </w:t>
      </w:r>
      <w:r>
        <w:rPr>
          <w:rFonts w:ascii="Times New Roman" w:eastAsia="Times New Roman" w:hAnsi="Times New Roman" w:cs="Times New Roman"/>
          <w:i/>
          <w:iCs/>
        </w:rPr>
        <w:t>p</w:t>
      </w:r>
      <w:r>
        <w:rPr>
          <w:rFonts w:ascii="Times New Roman" w:eastAsia="Times New Roman" w:hAnsi="Times New Roman" w:cs="Times New Roman"/>
        </w:rPr>
        <w:t xml:space="preserve"> = .989). Like </w:t>
      </w:r>
      <w:r w:rsidR="002E4AC2">
        <w:rPr>
          <w:rFonts w:ascii="Times New Roman" w:eastAsia="Times New Roman" w:hAnsi="Times New Roman" w:cs="Times New Roman"/>
        </w:rPr>
        <w:fldChar w:fldCharType="begin"/>
      </w:r>
      <w:r w:rsidR="0045062F">
        <w:rPr>
          <w:rFonts w:ascii="Times New Roman" w:eastAsia="Times New Roman" w:hAnsi="Times New Roman" w:cs="Times New Roman"/>
        </w:rPr>
        <w:instrText xml:space="preserve"> ADDIN ZOTERO_ITEM CSL_CITATION {"citationID":"2IPMNhu8","properties":{"formattedCitation":"(Torregrossa et al., 2023)","plainCitation":"(Torregrossa et al., 2023)","dontUpdate":true,"noteIndex":0},"citationItems":[{"id":32,"uris":["http://zotero.org/users/8848410/items/WKV4U4BB"],"itemData":{"id":32,"type":"article-journal","abstract":"Most studies on bilingual children’s metalinguistic awareness assess metalinguistic awareness using monolingual tasks. This may not reﬂect how a bilingual’s languages dynamically interact with each other in creating metalinguistic representations. We tested 33 Greek–Italian bilingual children (8–11 years) for metalinguistic awareness using acceptability-rating tasks in which they had to judge and explain grammatical errors. The tasks were in monolingual and bilingual modes in order to show how far metalinguistic awareness in Italian beneﬁted from the activation of Greek. The participants exhibited better metalinguistic awareness abilities in Italian in the bilingual acceptability-rating task in which Greek was activated. The beneﬁts of the bilingual mode were visible in the judgment and explanation of errors and were modulated by syntactic processing abilities in Italian, length of exposure to Italian, type of structure, and age. The results show that metalinguistic awareness can be shared across languages. We discuss the pedagogical implications of our ﬁndings.","container-title":"Language Learning","DOI":"10.1111/lang.12552","ISSN":"0023-8333, 1467-9922","issue":"3","journalAbbreviation":"Language Learning","language":"en","page":"683-722","source":"DOI.org (Crossref)","title":"Boosting bilingual metalinguistic awareness under dual language activation: Some implications for bilingual education","title-short":"Boosting Bilingual Metalinguistic Awareness Under Dual Language Activation","volume":"73","author":[{"family":"Torregrossa","given":"Jacopo"},{"family":"Eisenbeiß","given":"Sonja"},{"family":"Bongartz","given":"Christiane"}],"issued":{"date-parts":[["2023",9]]}}}],"schema":"https://github.com/citation-style-language/schema/raw/master/csl-citation.json"} </w:instrText>
      </w:r>
      <w:r w:rsidR="002E4AC2">
        <w:rPr>
          <w:rFonts w:ascii="Times New Roman" w:eastAsia="Times New Roman" w:hAnsi="Times New Roman" w:cs="Times New Roman"/>
        </w:rPr>
        <w:fldChar w:fldCharType="separate"/>
      </w:r>
      <w:r w:rsidR="002E4AC2">
        <w:rPr>
          <w:rFonts w:ascii="Times New Roman" w:eastAsia="Times New Roman" w:hAnsi="Times New Roman" w:cs="Times New Roman"/>
          <w:noProof/>
        </w:rPr>
        <w:t>Torregrossa et al. (2023)</w:t>
      </w:r>
      <w:r w:rsidR="002E4AC2">
        <w:rPr>
          <w:rFonts w:ascii="Times New Roman" w:eastAsia="Times New Roman" w:hAnsi="Times New Roman" w:cs="Times New Roman"/>
        </w:rPr>
        <w:fldChar w:fldCharType="end"/>
      </w:r>
      <w:r>
        <w:rPr>
          <w:rFonts w:ascii="Times New Roman" w:eastAsia="Times New Roman" w:hAnsi="Times New Roman" w:cs="Times New Roman"/>
        </w:rPr>
        <w:t>, we found that older children (as measured by</w:t>
      </w:r>
      <w:r w:rsidR="002C5575">
        <w:rPr>
          <w:rFonts w:ascii="Times New Roman" w:eastAsia="Times New Roman" w:hAnsi="Times New Roman" w:cs="Times New Roman"/>
        </w:rPr>
        <w:t xml:space="preserve"> centered</w:t>
      </w:r>
      <w:r>
        <w:rPr>
          <w:rFonts w:ascii="Times New Roman" w:eastAsia="Times New Roman" w:hAnsi="Times New Roman" w:cs="Times New Roman"/>
        </w:rPr>
        <w:t xml:space="preserve"> age in months) demonstrated more </w:t>
      </w:r>
      <w:sdt>
        <w:sdtPr>
          <w:tag w:val="goog_rdk_0"/>
          <w:id w:val="1197480171"/>
        </w:sdtPr>
        <w:sdtContent/>
      </w:sdt>
      <w:r w:rsidR="00861B64">
        <w:rPr>
          <w:rFonts w:ascii="Times New Roman" w:eastAsia="Times New Roman" w:hAnsi="Times New Roman" w:cs="Times New Roman"/>
        </w:rPr>
        <w:t>target-like</w:t>
      </w:r>
      <w:r>
        <w:rPr>
          <w:rFonts w:ascii="Times New Roman" w:eastAsia="Times New Roman" w:hAnsi="Times New Roman" w:cs="Times New Roman"/>
        </w:rPr>
        <w:t xml:space="preserve"> production of the structures tested (</w:t>
      </w:r>
      <w:r>
        <w:rPr>
          <w:rFonts w:ascii="Times New Roman" w:eastAsia="Times New Roman" w:hAnsi="Times New Roman" w:cs="Times New Roman"/>
          <w:i/>
          <w:iCs/>
        </w:rPr>
        <w:t>β</w:t>
      </w:r>
      <w:r>
        <w:rPr>
          <w:rFonts w:ascii="Times New Roman" w:eastAsia="Times New Roman" w:hAnsi="Times New Roman" w:cs="Times New Roman"/>
        </w:rPr>
        <w:t xml:space="preserve"> = 0.</w:t>
      </w:r>
      <w:r w:rsidR="00FC3CCF">
        <w:rPr>
          <w:rFonts w:ascii="Times New Roman" w:eastAsia="Times New Roman" w:hAnsi="Times New Roman" w:cs="Times New Roman"/>
        </w:rPr>
        <w:t>28</w:t>
      </w:r>
      <w:r>
        <w:rPr>
          <w:rFonts w:ascii="Times New Roman" w:eastAsia="Times New Roman" w:hAnsi="Times New Roman" w:cs="Times New Roman"/>
        </w:rPr>
        <w:t xml:space="preserve">, </w:t>
      </w:r>
      <w:r>
        <w:rPr>
          <w:rFonts w:ascii="Times New Roman" w:eastAsia="Times New Roman" w:hAnsi="Times New Roman" w:cs="Times New Roman"/>
          <w:i/>
          <w:iCs/>
        </w:rPr>
        <w:t>p</w:t>
      </w:r>
      <w:r>
        <w:rPr>
          <w:rFonts w:ascii="Times New Roman" w:eastAsia="Times New Roman" w:hAnsi="Times New Roman" w:cs="Times New Roman"/>
        </w:rPr>
        <w:t xml:space="preserve"> = .03). Post-hoc comparisons for structure revealed the strongest mastery of article agreement, followed by equal production rates of clitic agreement and DOM, and lastly the subjunctive. This hierarchy of difficulty is consistent with </w:t>
      </w:r>
      <w:r w:rsidR="007C65F6">
        <w:rPr>
          <w:rFonts w:ascii="Times New Roman" w:eastAsia="Times New Roman" w:hAnsi="Times New Roman" w:cs="Times New Roman"/>
        </w:rPr>
        <w:fldChar w:fldCharType="begin"/>
      </w:r>
      <w:r w:rsidR="007C65F6">
        <w:rPr>
          <w:rFonts w:ascii="Times New Roman" w:eastAsia="Times New Roman" w:hAnsi="Times New Roman" w:cs="Times New Roman"/>
        </w:rPr>
        <w:instrText xml:space="preserve"> ADDIN ZOTERO_ITEM CSL_CITATION {"citationID":"Uzw55njk","properties":{"formattedCitation":"(Rinke et al., 2023)","plainCitation":"(Rinke et al., 2023)","noteIndex":0},"citationItems":[{"id":1444,"uris":["http://zotero.org/users/8848410/items/UJKYZ346"],"itemData":{"id":1444,"type":"chapter","container-title":"Formal Approaches to Complexity in Heritage Language Grammars","event-place":"Berlin","page":"1-17","publisher":"Language Sciences Press","publisher-place":"Berlin","title":"How different types of complexity can account for difficult structures in bilingual and monolingual language acquisition","editor":[{"family":"Putnam","given":"Michael"},{"family":"Polinsky","given":"Maria"}],"author":[{"family":"Rinke","given":"Esther"},{"family":"Flores","given":"Cristina"},{"family":"Torregrossa","given":"Jacopo"}],"issued":{"date-parts":[["2023"]]}}}],"schema":"https://github.com/citation-style-language/schema/raw/master/csl-citation.json"} </w:instrText>
      </w:r>
      <w:r w:rsidR="007C65F6">
        <w:rPr>
          <w:rFonts w:ascii="Times New Roman" w:eastAsia="Times New Roman" w:hAnsi="Times New Roman" w:cs="Times New Roman"/>
        </w:rPr>
        <w:fldChar w:fldCharType="separate"/>
      </w:r>
      <w:r w:rsidR="007C65F6">
        <w:rPr>
          <w:rFonts w:ascii="Times New Roman" w:eastAsia="Times New Roman" w:hAnsi="Times New Roman" w:cs="Times New Roman"/>
          <w:noProof/>
        </w:rPr>
        <w:t>Rinke et al. (2023)</w:t>
      </w:r>
      <w:r w:rsidR="007C65F6">
        <w:rPr>
          <w:rFonts w:ascii="Times New Roman" w:eastAsia="Times New Roman" w:hAnsi="Times New Roman" w:cs="Times New Roman"/>
        </w:rPr>
        <w:fldChar w:fldCharType="end"/>
      </w:r>
      <w:r>
        <w:rPr>
          <w:rFonts w:ascii="Times New Roman" w:eastAsia="Times New Roman" w:hAnsi="Times New Roman" w:cs="Times New Roman"/>
        </w:rPr>
        <w:t>, which supports the usefulness of this framework not only for child HSs but also for L2Ls in instructional contexts. Findings suggest that children may benefit from sustained 90% exposure to Spanish and form-focused instruction to ensure mastery of structures with greater complexity such as the subjunctive.</w:t>
      </w:r>
    </w:p>
    <w:p w14:paraId="32D730C3" w14:textId="77777777" w:rsidR="001203BF" w:rsidRDefault="001203BF" w:rsidP="001203BF">
      <w:pPr>
        <w:jc w:val="both"/>
      </w:pPr>
    </w:p>
    <w:p w14:paraId="5223F783" w14:textId="77777777" w:rsidR="001203BF" w:rsidRDefault="001203BF" w:rsidP="001203BF">
      <w:pPr>
        <w:jc w:val="both"/>
      </w:pPr>
    </w:p>
    <w:p w14:paraId="48DB3142" w14:textId="77777777" w:rsidR="001203BF" w:rsidRDefault="001203BF" w:rsidP="001203BF">
      <w:pPr>
        <w:rPr>
          <w:rFonts w:ascii="Times New Roman" w:eastAsia="Times New Roman" w:hAnsi="Times New Roman" w:cs="Times New Roman"/>
        </w:rPr>
      </w:pPr>
      <w:r w:rsidRPr="001203BF">
        <w:rPr>
          <w:rFonts w:ascii="Times New Roman" w:eastAsia="Times New Roman" w:hAnsi="Times New Roman" w:cs="Times New Roman"/>
          <w:b/>
          <w:bCs/>
        </w:rPr>
        <w:t>Keywords:</w:t>
      </w:r>
      <w:r>
        <w:rPr>
          <w:rFonts w:ascii="Times New Roman" w:eastAsia="Times New Roman" w:hAnsi="Times New Roman" w:cs="Times New Roman"/>
        </w:rPr>
        <w:t xml:space="preserve"> Dual language bilingual education, child bilingualism, heritage speakers, second language learners, morphosyntactic development</w:t>
      </w:r>
    </w:p>
    <w:p w14:paraId="00000007" w14:textId="047686F4" w:rsidR="003C2E23" w:rsidRDefault="00000000">
      <w:pPr>
        <w:ind w:firstLine="720"/>
        <w:jc w:val="both"/>
        <w:rPr>
          <w:rFonts w:ascii="Times New Roman" w:eastAsia="Times New Roman" w:hAnsi="Times New Roman" w:cs="Times New Roman"/>
        </w:rPr>
      </w:pPr>
      <w:r>
        <w:br w:type="page"/>
      </w:r>
    </w:p>
    <w:tbl>
      <w:tblPr>
        <w:tblStyle w:val="TableGrid"/>
        <w:tblW w:w="0" w:type="auto"/>
        <w:tblLook w:val="04A0" w:firstRow="1" w:lastRow="0" w:firstColumn="1" w:lastColumn="0" w:noHBand="0" w:noVBand="1"/>
      </w:tblPr>
      <w:tblGrid>
        <w:gridCol w:w="2886"/>
        <w:gridCol w:w="1616"/>
        <w:gridCol w:w="1616"/>
        <w:gridCol w:w="1616"/>
        <w:gridCol w:w="1616"/>
      </w:tblGrid>
      <w:tr w:rsidR="00895876" w14:paraId="655E33A1" w14:textId="77777777" w:rsidTr="00FA6518">
        <w:tc>
          <w:tcPr>
            <w:tcW w:w="2886" w:type="dxa"/>
            <w:shd w:val="clear" w:color="auto" w:fill="D9D9D9" w:themeFill="background1" w:themeFillShade="D9"/>
            <w:vAlign w:val="center"/>
          </w:tcPr>
          <w:p w14:paraId="5BE3DCE5" w14:textId="2F7F07B0" w:rsidR="00895876" w:rsidRPr="00895876" w:rsidRDefault="00895876" w:rsidP="00895876">
            <w:pPr>
              <w:jc w:val="center"/>
              <w:rPr>
                <w:rFonts w:ascii="Times New Roman" w:eastAsia="Times New Roman" w:hAnsi="Times New Roman" w:cs="Times New Roman"/>
                <w:b/>
                <w:bCs/>
              </w:rPr>
            </w:pPr>
            <w:r w:rsidRPr="00895876">
              <w:rPr>
                <w:rFonts w:ascii="Times New Roman" w:eastAsia="Times New Roman" w:hAnsi="Times New Roman" w:cs="Times New Roman"/>
                <w:b/>
                <w:bCs/>
              </w:rPr>
              <w:lastRenderedPageBreak/>
              <w:t>Characteristic</w:t>
            </w:r>
          </w:p>
        </w:tc>
        <w:tc>
          <w:tcPr>
            <w:tcW w:w="1616" w:type="dxa"/>
            <w:shd w:val="clear" w:color="auto" w:fill="D9D9D9" w:themeFill="background1" w:themeFillShade="D9"/>
            <w:vAlign w:val="center"/>
          </w:tcPr>
          <w:p w14:paraId="4F9E2FAE" w14:textId="7865F7BF" w:rsidR="00895876" w:rsidRPr="00895876" w:rsidRDefault="00895876" w:rsidP="00895876">
            <w:pPr>
              <w:jc w:val="center"/>
              <w:rPr>
                <w:rFonts w:ascii="Times New Roman" w:eastAsia="Times New Roman" w:hAnsi="Times New Roman" w:cs="Times New Roman"/>
                <w:b/>
                <w:bCs/>
              </w:rPr>
            </w:pPr>
            <w:r>
              <w:rPr>
                <w:rFonts w:ascii="Times New Roman" w:eastAsia="Times New Roman" w:hAnsi="Times New Roman" w:cs="Times New Roman"/>
                <w:b/>
                <w:bCs/>
              </w:rPr>
              <w:t>Article agreement</w:t>
            </w:r>
          </w:p>
        </w:tc>
        <w:tc>
          <w:tcPr>
            <w:tcW w:w="1616" w:type="dxa"/>
            <w:shd w:val="clear" w:color="auto" w:fill="D9D9D9" w:themeFill="background1" w:themeFillShade="D9"/>
            <w:vAlign w:val="center"/>
          </w:tcPr>
          <w:p w14:paraId="02981509" w14:textId="78E2D7C1" w:rsidR="00895876" w:rsidRPr="00895876" w:rsidRDefault="00895876" w:rsidP="00895876">
            <w:pPr>
              <w:jc w:val="center"/>
              <w:rPr>
                <w:rFonts w:ascii="Times New Roman" w:eastAsia="Times New Roman" w:hAnsi="Times New Roman" w:cs="Times New Roman"/>
                <w:b/>
                <w:bCs/>
              </w:rPr>
            </w:pPr>
            <w:r>
              <w:rPr>
                <w:rFonts w:ascii="Times New Roman" w:eastAsia="Times New Roman" w:hAnsi="Times New Roman" w:cs="Times New Roman"/>
                <w:b/>
                <w:bCs/>
              </w:rPr>
              <w:t>Dir. object clitic gender</w:t>
            </w:r>
          </w:p>
        </w:tc>
        <w:tc>
          <w:tcPr>
            <w:tcW w:w="1616" w:type="dxa"/>
            <w:shd w:val="clear" w:color="auto" w:fill="D9D9D9" w:themeFill="background1" w:themeFillShade="D9"/>
            <w:vAlign w:val="center"/>
          </w:tcPr>
          <w:p w14:paraId="1F6BA030" w14:textId="79BF4785" w:rsidR="00895876" w:rsidRPr="00895876" w:rsidRDefault="00895876" w:rsidP="00895876">
            <w:pPr>
              <w:jc w:val="center"/>
              <w:rPr>
                <w:rFonts w:ascii="Times New Roman" w:eastAsia="Times New Roman" w:hAnsi="Times New Roman" w:cs="Times New Roman"/>
                <w:b/>
                <w:bCs/>
              </w:rPr>
            </w:pPr>
            <w:r>
              <w:rPr>
                <w:rFonts w:ascii="Times New Roman" w:eastAsia="Times New Roman" w:hAnsi="Times New Roman" w:cs="Times New Roman"/>
                <w:b/>
                <w:bCs/>
              </w:rPr>
              <w:t>DOM</w:t>
            </w:r>
          </w:p>
        </w:tc>
        <w:tc>
          <w:tcPr>
            <w:tcW w:w="1616" w:type="dxa"/>
            <w:shd w:val="clear" w:color="auto" w:fill="D9D9D9" w:themeFill="background1" w:themeFillShade="D9"/>
            <w:vAlign w:val="center"/>
          </w:tcPr>
          <w:p w14:paraId="7EED0177" w14:textId="5BFF4FD5" w:rsidR="00895876" w:rsidRPr="00895876" w:rsidRDefault="00895876" w:rsidP="00895876">
            <w:pPr>
              <w:jc w:val="center"/>
              <w:rPr>
                <w:rFonts w:ascii="Times New Roman" w:eastAsia="Times New Roman" w:hAnsi="Times New Roman" w:cs="Times New Roman"/>
                <w:b/>
                <w:bCs/>
              </w:rPr>
            </w:pPr>
            <w:r>
              <w:rPr>
                <w:rFonts w:ascii="Times New Roman" w:eastAsia="Times New Roman" w:hAnsi="Times New Roman" w:cs="Times New Roman"/>
                <w:b/>
                <w:bCs/>
              </w:rPr>
              <w:t>Volitional subjunctive</w:t>
            </w:r>
          </w:p>
        </w:tc>
      </w:tr>
      <w:tr w:rsidR="00895876" w14:paraId="3C5D6A77" w14:textId="77777777" w:rsidTr="00895876">
        <w:tc>
          <w:tcPr>
            <w:tcW w:w="2886" w:type="dxa"/>
            <w:vAlign w:val="center"/>
          </w:tcPr>
          <w:p w14:paraId="69EF9C00" w14:textId="594DB781"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Interface involvement with semantics or pragmatics</w:t>
            </w:r>
          </w:p>
        </w:tc>
        <w:tc>
          <w:tcPr>
            <w:tcW w:w="1616" w:type="dxa"/>
            <w:vAlign w:val="center"/>
          </w:tcPr>
          <w:p w14:paraId="28409726" w14:textId="1585C4C1"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No (local)</w:t>
            </w:r>
          </w:p>
        </w:tc>
        <w:tc>
          <w:tcPr>
            <w:tcW w:w="1616" w:type="dxa"/>
            <w:vAlign w:val="center"/>
          </w:tcPr>
          <w:p w14:paraId="50F35CE7" w14:textId="47D9E160"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Yes (discourse)</w:t>
            </w:r>
          </w:p>
        </w:tc>
        <w:tc>
          <w:tcPr>
            <w:tcW w:w="1616" w:type="dxa"/>
            <w:vAlign w:val="center"/>
          </w:tcPr>
          <w:p w14:paraId="233FEA6D" w14:textId="0CA801BC"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Yes (semantics)</w:t>
            </w:r>
          </w:p>
        </w:tc>
        <w:tc>
          <w:tcPr>
            <w:tcW w:w="1616" w:type="dxa"/>
            <w:vAlign w:val="center"/>
          </w:tcPr>
          <w:p w14:paraId="66112FA3" w14:textId="24574551"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No (considered obligatory)</w:t>
            </w:r>
          </w:p>
        </w:tc>
      </w:tr>
      <w:tr w:rsidR="00895876" w14:paraId="4623A436" w14:textId="77777777" w:rsidTr="00895876">
        <w:tc>
          <w:tcPr>
            <w:tcW w:w="2886" w:type="dxa"/>
            <w:vAlign w:val="center"/>
          </w:tcPr>
          <w:p w14:paraId="43D46931" w14:textId="605F89E0"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Frequency</w:t>
            </w:r>
          </w:p>
        </w:tc>
        <w:tc>
          <w:tcPr>
            <w:tcW w:w="1616" w:type="dxa"/>
            <w:vAlign w:val="center"/>
          </w:tcPr>
          <w:p w14:paraId="46D444E2" w14:textId="4C39438C"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Most frequent</w:t>
            </w:r>
          </w:p>
        </w:tc>
        <w:tc>
          <w:tcPr>
            <w:tcW w:w="1616" w:type="dxa"/>
            <w:vAlign w:val="center"/>
          </w:tcPr>
          <w:p w14:paraId="586361E6" w14:textId="4BE11E49"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Highly frequent</w:t>
            </w:r>
          </w:p>
        </w:tc>
        <w:tc>
          <w:tcPr>
            <w:tcW w:w="1616" w:type="dxa"/>
            <w:vAlign w:val="center"/>
          </w:tcPr>
          <w:p w14:paraId="77AF9F8D" w14:textId="1653BADA"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Less frequent than articles, clitics</w:t>
            </w:r>
          </w:p>
        </w:tc>
        <w:tc>
          <w:tcPr>
            <w:tcW w:w="1616" w:type="dxa"/>
            <w:vAlign w:val="center"/>
          </w:tcPr>
          <w:p w14:paraId="2788CCC0" w14:textId="2533F8FD"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Least frequent of all four structures</w:t>
            </w:r>
          </w:p>
        </w:tc>
      </w:tr>
      <w:tr w:rsidR="00895876" w14:paraId="1B78839B" w14:textId="77777777" w:rsidTr="00895876">
        <w:tc>
          <w:tcPr>
            <w:tcW w:w="2886" w:type="dxa"/>
            <w:vAlign w:val="center"/>
          </w:tcPr>
          <w:p w14:paraId="78CCA7D2" w14:textId="795D8754"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Transparency of form-function mapping</w:t>
            </w:r>
          </w:p>
        </w:tc>
        <w:tc>
          <w:tcPr>
            <w:tcW w:w="1616" w:type="dxa"/>
            <w:vAlign w:val="center"/>
          </w:tcPr>
          <w:p w14:paraId="5E4F2271" w14:textId="141DA04C"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Highly transparent (1 article, 1 gender and number)</w:t>
            </w:r>
          </w:p>
        </w:tc>
        <w:tc>
          <w:tcPr>
            <w:tcW w:w="1616" w:type="dxa"/>
            <w:vAlign w:val="center"/>
          </w:tcPr>
          <w:p w14:paraId="1CE92C55" w14:textId="4F9B43F9"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Highly transparent (1 clitic per gender/ number combination)</w:t>
            </w:r>
          </w:p>
        </w:tc>
        <w:tc>
          <w:tcPr>
            <w:tcW w:w="1616" w:type="dxa"/>
            <w:vAlign w:val="center"/>
          </w:tcPr>
          <w:p w14:paraId="38568635" w14:textId="128B826C"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Moderately transparent (</w:t>
            </w:r>
            <w:r>
              <w:rPr>
                <w:rFonts w:ascii="Times New Roman" w:eastAsia="Times New Roman" w:hAnsi="Times New Roman" w:cs="Times New Roman"/>
                <w:i/>
                <w:iCs/>
              </w:rPr>
              <w:t>al</w:t>
            </w:r>
            <w:r>
              <w:rPr>
                <w:rFonts w:ascii="Times New Roman" w:eastAsia="Times New Roman" w:hAnsi="Times New Roman" w:cs="Times New Roman"/>
              </w:rPr>
              <w:t xml:space="preserve"> or </w:t>
            </w:r>
            <w:r>
              <w:rPr>
                <w:rFonts w:ascii="Times New Roman" w:eastAsia="Times New Roman" w:hAnsi="Times New Roman" w:cs="Times New Roman"/>
                <w:i/>
                <w:iCs/>
              </w:rPr>
              <w:t>a la</w:t>
            </w:r>
            <w:r>
              <w:rPr>
                <w:rFonts w:ascii="Times New Roman" w:eastAsia="Times New Roman" w:hAnsi="Times New Roman" w:cs="Times New Roman"/>
              </w:rPr>
              <w:t xml:space="preserve"> can be used, depending on gender of direct object)</w:t>
            </w:r>
          </w:p>
        </w:tc>
        <w:tc>
          <w:tcPr>
            <w:tcW w:w="1616" w:type="dxa"/>
            <w:vAlign w:val="center"/>
          </w:tcPr>
          <w:p w14:paraId="6A67641C" w14:textId="0D173058" w:rsidR="00895876" w:rsidRDefault="00895876" w:rsidP="00895876">
            <w:pPr>
              <w:jc w:val="center"/>
              <w:rPr>
                <w:rFonts w:ascii="Times New Roman" w:eastAsia="Times New Roman" w:hAnsi="Times New Roman" w:cs="Times New Roman"/>
              </w:rPr>
            </w:pPr>
            <w:r>
              <w:rPr>
                <w:rFonts w:ascii="Times New Roman" w:eastAsia="Times New Roman" w:hAnsi="Times New Roman" w:cs="Times New Roman"/>
              </w:rPr>
              <w:t>Not transparent (complex syntax selected by main verbs, multiple possible inflections)</w:t>
            </w:r>
          </w:p>
        </w:tc>
      </w:tr>
    </w:tbl>
    <w:p w14:paraId="0000001D" w14:textId="68CF8F4F" w:rsidR="003C2E23" w:rsidRDefault="00000000">
      <w:pPr>
        <w:jc w:val="both"/>
        <w:rPr>
          <w:rFonts w:ascii="Times New Roman" w:eastAsia="Times New Roman" w:hAnsi="Times New Roman" w:cs="Times New Roman"/>
        </w:rPr>
      </w:pPr>
      <w:r>
        <w:rPr>
          <w:rFonts w:ascii="Times New Roman" w:eastAsia="Times New Roman" w:hAnsi="Times New Roman" w:cs="Times New Roman"/>
          <w:b/>
          <w:bCs/>
        </w:rPr>
        <w:t>Table 1.</w:t>
      </w:r>
      <w:r>
        <w:rPr>
          <w:rFonts w:ascii="Times New Roman" w:eastAsia="Times New Roman" w:hAnsi="Times New Roman" w:cs="Times New Roman"/>
        </w:rPr>
        <w:t xml:space="preserve"> Summary of acquisitional difficulty of structures tested.</w:t>
      </w:r>
    </w:p>
    <w:p w14:paraId="364F7F59" w14:textId="77777777" w:rsidR="00BC630A" w:rsidRDefault="00BC630A">
      <w:pPr>
        <w:jc w:val="both"/>
        <w:rPr>
          <w:b/>
          <w:bCs/>
        </w:rPr>
      </w:pPr>
    </w:p>
    <w:p w14:paraId="69D3D3F6" w14:textId="6EEE3DF5" w:rsidR="00BC630A" w:rsidRDefault="00BC630A">
      <w:pPr>
        <w:jc w:val="both"/>
        <w:rPr>
          <w:b/>
          <w:bCs/>
        </w:rPr>
      </w:pPr>
      <w:r>
        <w:rPr>
          <w:b/>
          <w:bCs/>
          <w:noProof/>
        </w:rPr>
        <w:drawing>
          <wp:inline distT="0" distB="0" distL="0" distR="0" wp14:anchorId="44CBCB27" wp14:editId="23AF7C36">
            <wp:extent cx="5943600" cy="3657600"/>
            <wp:effectExtent l="0" t="0" r="0" b="0"/>
            <wp:docPr id="28932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26312" name="Picture 289326312"/>
                    <pic:cNvPicPr/>
                  </pic:nvPicPr>
                  <pic:blipFill>
                    <a:blip r:embed="rId5"/>
                    <a:stretch>
                      <a:fillRect/>
                    </a:stretch>
                  </pic:blipFill>
                  <pic:spPr>
                    <a:xfrm>
                      <a:off x="0" y="0"/>
                      <a:ext cx="5943600" cy="3657600"/>
                    </a:xfrm>
                    <a:prstGeom prst="rect">
                      <a:avLst/>
                    </a:prstGeom>
                  </pic:spPr>
                </pic:pic>
              </a:graphicData>
            </a:graphic>
          </wp:inline>
        </w:drawing>
      </w:r>
    </w:p>
    <w:p w14:paraId="00000020" w14:textId="22D53EB8" w:rsidR="003C2E23" w:rsidRDefault="00000000">
      <w:pPr>
        <w:jc w:val="both"/>
        <w:rPr>
          <w:rFonts w:ascii="Times New Roman" w:eastAsia="Times New Roman" w:hAnsi="Times New Roman" w:cs="Times New Roman"/>
        </w:rPr>
      </w:pPr>
      <w:r>
        <w:rPr>
          <w:rFonts w:ascii="Times New Roman" w:eastAsia="Times New Roman" w:hAnsi="Times New Roman" w:cs="Times New Roman"/>
          <w:b/>
          <w:bCs/>
        </w:rPr>
        <w:t>Figure 1.</w:t>
      </w:r>
      <w:r>
        <w:rPr>
          <w:rFonts w:ascii="Times New Roman" w:eastAsia="Times New Roman" w:hAnsi="Times New Roman" w:cs="Times New Roman"/>
        </w:rPr>
        <w:t xml:space="preserve"> Statistical summary of production by age, speaker type, and structure.</w:t>
      </w:r>
      <w:r>
        <w:br w:type="page"/>
      </w:r>
    </w:p>
    <w:p w14:paraId="00000021" w14:textId="77777777" w:rsidR="003C2E23" w:rsidRDefault="00000000">
      <w:pPr>
        <w:jc w:val="center"/>
        <w:rPr>
          <w:rFonts w:ascii="Times New Roman" w:eastAsia="Times New Roman" w:hAnsi="Times New Roman" w:cs="Times New Roman"/>
        </w:rPr>
      </w:pPr>
      <w:sdt>
        <w:sdtPr>
          <w:tag w:val="goog_rdk_4"/>
          <w:id w:val="1161642504"/>
        </w:sdtPr>
        <w:sdtContent/>
      </w:sdt>
      <w:r>
        <w:rPr>
          <w:rFonts w:ascii="Times New Roman" w:eastAsia="Times New Roman" w:hAnsi="Times New Roman" w:cs="Times New Roman"/>
        </w:rPr>
        <w:t>References</w:t>
      </w:r>
    </w:p>
    <w:p w14:paraId="00000022" w14:textId="77777777" w:rsidR="003C2E23" w:rsidRDefault="003C2E23">
      <w:pPr>
        <w:rPr>
          <w:rFonts w:ascii="Times New Roman" w:eastAsia="Times New Roman" w:hAnsi="Times New Roman" w:cs="Times New Roman"/>
        </w:rPr>
      </w:pPr>
    </w:p>
    <w:p w14:paraId="71479EBC" w14:textId="77777777" w:rsidR="007C65F6" w:rsidRPr="007C65F6" w:rsidRDefault="0045062F" w:rsidP="00BC630A">
      <w:pPr>
        <w:pStyle w:val="Bibliography"/>
        <w:ind w:left="540" w:hanging="540"/>
        <w:rPr>
          <w:rFonts w:ascii="Times New Roman" w:hAnsi="Times New Roman" w:cs="Times New Roman"/>
          <w:lang w:val="en-US"/>
        </w:rPr>
      </w:pPr>
      <w:r>
        <w:rPr>
          <w:rFonts w:eastAsia="Times New Roman"/>
        </w:rPr>
        <w:fldChar w:fldCharType="begin"/>
      </w:r>
      <w:r>
        <w:rPr>
          <w:rFonts w:eastAsia="Times New Roman"/>
        </w:rPr>
        <w:instrText xml:space="preserve"> ADDIN ZOTERO_BIBL {"uncited":[],"omitted":[],"custom":[]} CSL_BIBLIOGRAPHY </w:instrText>
      </w:r>
      <w:r>
        <w:rPr>
          <w:rFonts w:eastAsia="Times New Roman"/>
        </w:rPr>
        <w:fldChar w:fldCharType="separate"/>
      </w:r>
      <w:r w:rsidR="007C65F6" w:rsidRPr="007C65F6">
        <w:rPr>
          <w:rFonts w:ascii="Times New Roman" w:hAnsi="Times New Roman" w:cs="Times New Roman"/>
          <w:lang w:val="en-US"/>
        </w:rPr>
        <w:t xml:space="preserve">Austin, J., Thane, P. D., Rodríguez, S. A., &amp; Goldin, M. (2024). The comprehension of clitic gender in child heritage and second language Spanish: Evidence from a dual language program. </w:t>
      </w:r>
      <w:r w:rsidR="007C65F6" w:rsidRPr="007C65F6">
        <w:rPr>
          <w:rFonts w:ascii="Times New Roman" w:hAnsi="Times New Roman" w:cs="Times New Roman"/>
          <w:i/>
          <w:iCs/>
          <w:lang w:val="en-US"/>
        </w:rPr>
        <w:t>Frontiers in Language Sciences</w:t>
      </w:r>
      <w:r w:rsidR="007C65F6" w:rsidRPr="007C65F6">
        <w:rPr>
          <w:rFonts w:ascii="Times New Roman" w:hAnsi="Times New Roman" w:cs="Times New Roman"/>
          <w:lang w:val="en-US"/>
        </w:rPr>
        <w:t xml:space="preserve">, </w:t>
      </w:r>
      <w:r w:rsidR="007C65F6" w:rsidRPr="007C65F6">
        <w:rPr>
          <w:rFonts w:ascii="Times New Roman" w:hAnsi="Times New Roman" w:cs="Times New Roman"/>
          <w:i/>
          <w:iCs/>
          <w:lang w:val="en-US"/>
        </w:rPr>
        <w:t>3</w:t>
      </w:r>
      <w:r w:rsidR="007C65F6" w:rsidRPr="007C65F6">
        <w:rPr>
          <w:rFonts w:ascii="Times New Roman" w:hAnsi="Times New Roman" w:cs="Times New Roman"/>
          <w:lang w:val="en-US"/>
        </w:rPr>
        <w:t>(1334269), 1–15. https://doi.org/10.3389/flang.2024.1334269</w:t>
      </w:r>
    </w:p>
    <w:p w14:paraId="63A18EFA" w14:textId="77777777" w:rsidR="007C65F6" w:rsidRPr="007C65F6" w:rsidRDefault="007C65F6" w:rsidP="00BC630A">
      <w:pPr>
        <w:pStyle w:val="Bibliography"/>
        <w:ind w:left="540" w:hanging="540"/>
        <w:rPr>
          <w:rFonts w:ascii="Times New Roman" w:hAnsi="Times New Roman" w:cs="Times New Roman"/>
          <w:lang w:val="en-US"/>
        </w:rPr>
      </w:pPr>
      <w:r w:rsidRPr="007C65F6">
        <w:rPr>
          <w:rFonts w:ascii="Times New Roman" w:hAnsi="Times New Roman" w:cs="Times New Roman"/>
          <w:lang w:val="en-US"/>
        </w:rPr>
        <w:t xml:space="preserve">Fernández-Dobao, A., Herschensohn, J., Vukadinovich, S., &amp; Zhang, W. T. (2025). Gender and number agreement by Spanish heritage and second language children in dual immersion. </w:t>
      </w:r>
      <w:r w:rsidRPr="007C65F6">
        <w:rPr>
          <w:rFonts w:ascii="Times New Roman" w:hAnsi="Times New Roman" w:cs="Times New Roman"/>
          <w:i/>
          <w:iCs/>
          <w:lang w:val="en-US"/>
        </w:rPr>
        <w:t>Heritage Language Journal</w:t>
      </w:r>
      <w:r w:rsidRPr="007C65F6">
        <w:rPr>
          <w:rFonts w:ascii="Times New Roman" w:hAnsi="Times New Roman" w:cs="Times New Roman"/>
          <w:lang w:val="en-US"/>
        </w:rPr>
        <w:t xml:space="preserve">, </w:t>
      </w:r>
      <w:r w:rsidRPr="007C65F6">
        <w:rPr>
          <w:rFonts w:ascii="Times New Roman" w:hAnsi="Times New Roman" w:cs="Times New Roman"/>
          <w:i/>
          <w:iCs/>
          <w:lang w:val="en-US"/>
        </w:rPr>
        <w:t>22</w:t>
      </w:r>
      <w:r w:rsidRPr="007C65F6">
        <w:rPr>
          <w:rFonts w:ascii="Times New Roman" w:hAnsi="Times New Roman" w:cs="Times New Roman"/>
          <w:lang w:val="en-US"/>
        </w:rPr>
        <w:t>(1), 1–37. https://doi.org/10.1163/15507076-bja10043</w:t>
      </w:r>
    </w:p>
    <w:p w14:paraId="47F6F040" w14:textId="77777777" w:rsidR="007C65F6" w:rsidRPr="007C65F6" w:rsidRDefault="007C65F6" w:rsidP="00BC630A">
      <w:pPr>
        <w:pStyle w:val="Bibliography"/>
        <w:ind w:left="540" w:hanging="540"/>
        <w:rPr>
          <w:rFonts w:ascii="Times New Roman" w:hAnsi="Times New Roman" w:cs="Times New Roman"/>
          <w:lang w:val="en-US"/>
        </w:rPr>
      </w:pPr>
      <w:r w:rsidRPr="007C65F6">
        <w:rPr>
          <w:rFonts w:ascii="Times New Roman" w:hAnsi="Times New Roman" w:cs="Times New Roman"/>
          <w:lang w:val="en-US"/>
        </w:rPr>
        <w:t xml:space="preserve">Goldin, M. (2022). Comprehension-production asymmetry in bilingual children’s acquisition of subject-verb agreement. In Y. Gong &amp; F. Kpogo (Eds.), </w:t>
      </w:r>
      <w:r w:rsidRPr="007C65F6">
        <w:rPr>
          <w:rFonts w:ascii="Times New Roman" w:hAnsi="Times New Roman" w:cs="Times New Roman"/>
          <w:i/>
          <w:iCs/>
          <w:lang w:val="en-US"/>
        </w:rPr>
        <w:t>Proceedings of the 46th annual Boston University Conference on Language Development</w:t>
      </w:r>
      <w:r w:rsidRPr="007C65F6">
        <w:rPr>
          <w:rFonts w:ascii="Times New Roman" w:hAnsi="Times New Roman" w:cs="Times New Roman"/>
          <w:lang w:val="en-US"/>
        </w:rPr>
        <w:t xml:space="preserve"> (pp. 230–241). Cascadilla Proceedings Project.</w:t>
      </w:r>
    </w:p>
    <w:p w14:paraId="676BA283" w14:textId="77777777" w:rsidR="007C65F6" w:rsidRPr="007C65F6" w:rsidRDefault="007C65F6" w:rsidP="00BC630A">
      <w:pPr>
        <w:pStyle w:val="Bibliography"/>
        <w:ind w:left="540" w:hanging="540"/>
        <w:rPr>
          <w:rFonts w:ascii="Times New Roman" w:hAnsi="Times New Roman" w:cs="Times New Roman"/>
          <w:lang w:val="en-US"/>
        </w:rPr>
      </w:pPr>
      <w:r w:rsidRPr="007C65F6">
        <w:rPr>
          <w:rFonts w:ascii="Times New Roman" w:hAnsi="Times New Roman" w:cs="Times New Roman"/>
          <w:lang w:val="en-US"/>
        </w:rPr>
        <w:t xml:space="preserve">Rinke, E., Flores, C., &amp; Torregrossa, J. (2023). How different types of complexity can account for difficult structures in bilingual and monolingual language acquisition. In M. Putnam &amp; M. Polinsky (Eds.), </w:t>
      </w:r>
      <w:r w:rsidRPr="007C65F6">
        <w:rPr>
          <w:rFonts w:ascii="Times New Roman" w:hAnsi="Times New Roman" w:cs="Times New Roman"/>
          <w:i/>
          <w:iCs/>
          <w:lang w:val="en-US"/>
        </w:rPr>
        <w:t>Formal Approaches to Complexity in Heritage Language Grammars</w:t>
      </w:r>
      <w:r w:rsidRPr="007C65F6">
        <w:rPr>
          <w:rFonts w:ascii="Times New Roman" w:hAnsi="Times New Roman" w:cs="Times New Roman"/>
          <w:lang w:val="en-US"/>
        </w:rPr>
        <w:t xml:space="preserve"> (pp. 1–17). Language Sciences Press.</w:t>
      </w:r>
    </w:p>
    <w:p w14:paraId="27465E92" w14:textId="77777777" w:rsidR="007C65F6" w:rsidRPr="007C65F6" w:rsidRDefault="007C65F6" w:rsidP="00BC630A">
      <w:pPr>
        <w:pStyle w:val="Bibliography"/>
        <w:ind w:left="540" w:hanging="540"/>
        <w:rPr>
          <w:rFonts w:ascii="Times New Roman" w:hAnsi="Times New Roman" w:cs="Times New Roman"/>
          <w:lang w:val="en-US"/>
        </w:rPr>
      </w:pPr>
      <w:r w:rsidRPr="007C65F6">
        <w:rPr>
          <w:rFonts w:ascii="Times New Roman" w:hAnsi="Times New Roman" w:cs="Times New Roman"/>
          <w:lang w:val="en-US"/>
        </w:rPr>
        <w:t xml:space="preserve">Thane, P. D., Austin, J., Rodríguez, S. A., &amp; Goldin, M. (2025). The acquisition of the Spanish subjunctive by child heritage and L2 learners: Evidence from a dual language program. </w:t>
      </w:r>
      <w:r w:rsidRPr="007C65F6">
        <w:rPr>
          <w:rFonts w:ascii="Times New Roman" w:hAnsi="Times New Roman" w:cs="Times New Roman"/>
          <w:i/>
          <w:iCs/>
          <w:lang w:val="en-US"/>
        </w:rPr>
        <w:t>Studies in Hispanic and Lusophone Linguistics</w:t>
      </w:r>
      <w:r w:rsidRPr="007C65F6">
        <w:rPr>
          <w:rFonts w:ascii="Times New Roman" w:hAnsi="Times New Roman" w:cs="Times New Roman"/>
          <w:lang w:val="en-US"/>
        </w:rPr>
        <w:t xml:space="preserve">, </w:t>
      </w:r>
      <w:r w:rsidRPr="007C65F6">
        <w:rPr>
          <w:rFonts w:ascii="Times New Roman" w:hAnsi="Times New Roman" w:cs="Times New Roman"/>
          <w:i/>
          <w:iCs/>
          <w:lang w:val="en-US"/>
        </w:rPr>
        <w:t>18</w:t>
      </w:r>
      <w:r w:rsidRPr="007C65F6">
        <w:rPr>
          <w:rFonts w:ascii="Times New Roman" w:hAnsi="Times New Roman" w:cs="Times New Roman"/>
          <w:lang w:val="en-US"/>
        </w:rPr>
        <w:t>(1), 193–223. https://doi.org/10.1515/shll-2025-2007</w:t>
      </w:r>
    </w:p>
    <w:p w14:paraId="51A6DEDB" w14:textId="77777777" w:rsidR="007C65F6" w:rsidRPr="007C65F6" w:rsidRDefault="007C65F6" w:rsidP="00BC630A">
      <w:pPr>
        <w:pStyle w:val="Bibliography"/>
        <w:ind w:left="540" w:hanging="540"/>
        <w:rPr>
          <w:rFonts w:ascii="Times New Roman" w:hAnsi="Times New Roman" w:cs="Times New Roman"/>
          <w:lang w:val="en-US"/>
        </w:rPr>
      </w:pPr>
      <w:r w:rsidRPr="007C65F6">
        <w:rPr>
          <w:rFonts w:ascii="Times New Roman" w:hAnsi="Times New Roman" w:cs="Times New Roman"/>
          <w:lang w:val="en-US"/>
        </w:rPr>
        <w:t xml:space="preserve">Torregrossa, J., Eisenbeiß, S., &amp; Bongartz, C. (2023). Boosting bilingual metalinguistic awareness under dual language activation: Some implications for bilingual education. </w:t>
      </w:r>
      <w:r w:rsidRPr="007C65F6">
        <w:rPr>
          <w:rFonts w:ascii="Times New Roman" w:hAnsi="Times New Roman" w:cs="Times New Roman"/>
          <w:i/>
          <w:iCs/>
          <w:lang w:val="en-US"/>
        </w:rPr>
        <w:t>Language Learning</w:t>
      </w:r>
      <w:r w:rsidRPr="007C65F6">
        <w:rPr>
          <w:rFonts w:ascii="Times New Roman" w:hAnsi="Times New Roman" w:cs="Times New Roman"/>
          <w:lang w:val="en-US"/>
        </w:rPr>
        <w:t xml:space="preserve">, </w:t>
      </w:r>
      <w:r w:rsidRPr="007C65F6">
        <w:rPr>
          <w:rFonts w:ascii="Times New Roman" w:hAnsi="Times New Roman" w:cs="Times New Roman"/>
          <w:i/>
          <w:iCs/>
          <w:lang w:val="en-US"/>
        </w:rPr>
        <w:t>73</w:t>
      </w:r>
      <w:r w:rsidRPr="007C65F6">
        <w:rPr>
          <w:rFonts w:ascii="Times New Roman" w:hAnsi="Times New Roman" w:cs="Times New Roman"/>
          <w:lang w:val="en-US"/>
        </w:rPr>
        <w:t>(3), 683–722. https://doi.org/10.1111/lang.12552</w:t>
      </w:r>
    </w:p>
    <w:p w14:paraId="19BD9778" w14:textId="09C04CE8" w:rsidR="0045062F" w:rsidRDefault="0045062F" w:rsidP="00BC630A">
      <w:pPr>
        <w:pStyle w:val="Bibliography"/>
        <w:ind w:left="540" w:hanging="540"/>
        <w:rPr>
          <w:rFonts w:ascii="Times New Roman" w:eastAsia="Times New Roman" w:hAnsi="Times New Roman" w:cs="Times New Roman"/>
        </w:rPr>
      </w:pPr>
      <w:r>
        <w:rPr>
          <w:rFonts w:ascii="Times New Roman" w:eastAsia="Times New Roman" w:hAnsi="Times New Roman" w:cs="Times New Roman"/>
        </w:rPr>
        <w:fldChar w:fldCharType="end"/>
      </w:r>
    </w:p>
    <w:p w14:paraId="00000029" w14:textId="77777777" w:rsidR="003C2E23" w:rsidRDefault="003C2E23">
      <w:pPr>
        <w:pBdr>
          <w:top w:val="nil"/>
          <w:left w:val="nil"/>
          <w:bottom w:val="nil"/>
          <w:right w:val="nil"/>
          <w:between w:val="nil"/>
        </w:pBdr>
        <w:ind w:left="720" w:hanging="720"/>
        <w:rPr>
          <w:rFonts w:ascii="Times New Roman" w:eastAsia="Times New Roman" w:hAnsi="Times New Roman" w:cs="Times New Roman"/>
          <w:color w:val="000000"/>
        </w:rPr>
      </w:pPr>
    </w:p>
    <w:sectPr w:rsidR="003C2E2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A0A4822C-2C20-9F44-8BA0-0A53C5211C97}"/>
    <w:embedBold r:id="rId2" w:fontKey="{914051FE-66F2-6B48-95E9-7EBEBA92C717}"/>
    <w:embedItalic r:id="rId3" w:fontKey="{EFC330DA-D180-4A40-95BD-F4E8447D23C0}"/>
  </w:font>
  <w:font w:name="Calibri">
    <w:panose1 w:val="020F0502020204030204"/>
    <w:charset w:val="00"/>
    <w:family w:val="swiss"/>
    <w:pitch w:val="variable"/>
    <w:sig w:usb0="E0002AFF" w:usb1="C000247B" w:usb2="00000009" w:usb3="00000000" w:csb0="000001FF" w:csb1="00000000"/>
    <w:embedRegular r:id="rId4" w:fontKey="{DEEA5439-3BBA-C54C-ABF2-CE5A5DDBEAF6}"/>
    <w:embedItalic r:id="rId5" w:fontKey="{FD32791D-36B4-B341-B144-57DB8B048532}"/>
  </w:font>
  <w:font w:name="Times New Roman">
    <w:panose1 w:val="02020603050405020304"/>
    <w:charset w:val="00"/>
    <w:family w:val="roman"/>
    <w:pitch w:val="variable"/>
    <w:sig w:usb0="E0002EFF" w:usb1="C000785B" w:usb2="00000009" w:usb3="00000000" w:csb0="000001FF" w:csb1="00000000"/>
    <w:embedRegular r:id="rId6" w:fontKey="{C8132519-1E10-5841-AD75-1C16D8A2E757}"/>
    <w:embedBold r:id="rId7" w:fontKey="{15C406BF-6315-F149-A0B6-C57038E5CF79}"/>
    <w:embedItalic r:id="rId8" w:fontKey="{3C5406D2-6CC4-7146-8D24-16F3F581845C}"/>
  </w:font>
  <w:font w:name="Cambria">
    <w:panose1 w:val="02040503050406030204"/>
    <w:charset w:val="00"/>
    <w:family w:val="roman"/>
    <w:pitch w:val="variable"/>
    <w:sig w:usb0="E00002FF" w:usb1="400004FF" w:usb2="00000000" w:usb3="00000000" w:csb0="0000019F" w:csb1="00000000"/>
    <w:embedRegular r:id="rId9" w:fontKey="{7EFEFE6D-05AB-B243-9792-B56A1931B04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23"/>
    <w:rsid w:val="000923AA"/>
    <w:rsid w:val="001203BF"/>
    <w:rsid w:val="00125F73"/>
    <w:rsid w:val="002C5575"/>
    <w:rsid w:val="002E4AC2"/>
    <w:rsid w:val="003C2E23"/>
    <w:rsid w:val="003F5905"/>
    <w:rsid w:val="0045062F"/>
    <w:rsid w:val="0045541C"/>
    <w:rsid w:val="00462A2D"/>
    <w:rsid w:val="007A7B86"/>
    <w:rsid w:val="007C65F6"/>
    <w:rsid w:val="00861B64"/>
    <w:rsid w:val="00895876"/>
    <w:rsid w:val="00BC630A"/>
    <w:rsid w:val="00D03CDC"/>
    <w:rsid w:val="00DB07E0"/>
    <w:rsid w:val="00EC6449"/>
    <w:rsid w:val="00FA6518"/>
    <w:rsid w:val="00FC3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EBAFEA"/>
  <w15:docId w15:val="{9DB34AC9-66E9-9F45-85EB-D9C5793D9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62F"/>
  </w:style>
  <w:style w:type="paragraph" w:styleId="Heading1">
    <w:name w:val="heading 1"/>
    <w:basedOn w:val="Normal"/>
    <w:next w:val="Normal"/>
    <w:uiPriority w:val="9"/>
    <w:qFormat/>
    <w:pPr>
      <w:keepNext/>
      <w:keepLines/>
      <w:spacing w:before="360" w:after="80" w:line="278" w:lineRule="auto"/>
      <w:outlineLvl w:val="0"/>
    </w:pPr>
    <w:rPr>
      <w:rFonts w:ascii="Calibri" w:eastAsia="Calibri" w:hAnsi="Calibri" w:cs="Calibri"/>
      <w:color w:val="2F5496"/>
      <w:sz w:val="40"/>
      <w:szCs w:val="40"/>
    </w:rPr>
  </w:style>
  <w:style w:type="paragraph" w:styleId="Heading2">
    <w:name w:val="heading 2"/>
    <w:basedOn w:val="Normal"/>
    <w:next w:val="Normal"/>
    <w:uiPriority w:val="9"/>
    <w:semiHidden/>
    <w:unhideWhenUsed/>
    <w:qFormat/>
    <w:pPr>
      <w:keepNext/>
      <w:keepLines/>
      <w:spacing w:before="160" w:after="80" w:line="278" w:lineRule="auto"/>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line="278" w:lineRule="auto"/>
      <w:outlineLvl w:val="2"/>
    </w:pPr>
    <w:rPr>
      <w:rFonts w:ascii="Calibri" w:eastAsia="Calibri" w:hAnsi="Calibri" w:cs="Calibri"/>
      <w:color w:val="2F5496"/>
      <w:sz w:val="28"/>
      <w:szCs w:val="28"/>
    </w:rPr>
  </w:style>
  <w:style w:type="paragraph" w:styleId="Heading4">
    <w:name w:val="heading 4"/>
    <w:basedOn w:val="Normal"/>
    <w:next w:val="Normal"/>
    <w:uiPriority w:val="9"/>
    <w:semiHidden/>
    <w:unhideWhenUsed/>
    <w:qFormat/>
    <w:pPr>
      <w:keepNext/>
      <w:keepLines/>
      <w:spacing w:before="80" w:after="40" w:line="278" w:lineRule="auto"/>
      <w:outlineLvl w:val="3"/>
    </w:pPr>
    <w:rPr>
      <w:rFonts w:ascii="Calibri" w:eastAsia="Calibri" w:hAnsi="Calibri" w:cs="Calibri"/>
      <w:i/>
      <w:iCs/>
      <w:color w:val="2F5496"/>
    </w:rPr>
  </w:style>
  <w:style w:type="paragraph" w:styleId="Heading5">
    <w:name w:val="heading 5"/>
    <w:basedOn w:val="Normal"/>
    <w:next w:val="Normal"/>
    <w:uiPriority w:val="9"/>
    <w:semiHidden/>
    <w:unhideWhenUsed/>
    <w:qFormat/>
    <w:pPr>
      <w:keepNext/>
      <w:keepLines/>
      <w:spacing w:before="80" w:after="40" w:line="278"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line="278" w:lineRule="auto"/>
      <w:outlineLvl w:val="5"/>
    </w:pPr>
    <w:rPr>
      <w:rFonts w:ascii="Calibri" w:eastAsia="Calibri" w:hAnsi="Calibri" w:cs="Calibri"/>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pPr>
      <w:spacing w:after="160" w:line="278" w:lineRule="auto"/>
    </w:pPr>
    <w:rPr>
      <w:rFonts w:ascii="Calibri" w:eastAsia="Calibri" w:hAnsi="Calibri" w:cs="Calibri"/>
      <w:color w:val="595959"/>
      <w:sz w:val="28"/>
      <w:szCs w:val="28"/>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rsid w:val="0045062F"/>
  </w:style>
  <w:style w:type="table" w:styleId="TableGrid">
    <w:name w:val="Table Grid"/>
    <w:basedOn w:val="TableNormal"/>
    <w:uiPriority w:val="39"/>
    <w:rsid w:val="008958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36qEd7/9/bg/MmOfcmpziUabg==">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3005</Words>
  <Characters>17129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Thane, Patrick D</cp:lastModifiedBy>
  <cp:revision>16</cp:revision>
  <cp:lastPrinted>2026-06-13T22:44:00Z</cp:lastPrinted>
  <dcterms:created xsi:type="dcterms:W3CDTF">2026-06-13T20:08:00Z</dcterms:created>
  <dcterms:modified xsi:type="dcterms:W3CDTF">2026-06-14T15:38:00Z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id="PhuCWsNG"/&gt;&lt;style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