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29DE7" w14:textId="09252FB9" w:rsidR="00C83FEA" w:rsidRPr="005E3CE5" w:rsidRDefault="001F5B38" w:rsidP="00C83FEA">
      <w:pPr>
        <w:jc w:val="center"/>
        <w:rPr>
          <w:rFonts w:ascii="Times New Roman" w:eastAsia="Times New Roman" w:hAnsi="Times New Roman" w:cs="Times New Roman"/>
        </w:rPr>
      </w:pPr>
      <w:r>
        <w:rPr>
          <w:rFonts w:ascii="Times New Roman" w:eastAsia="Times New Roman" w:hAnsi="Times New Roman" w:cs="Times New Roman"/>
          <w:b/>
          <w:bCs/>
        </w:rPr>
        <w:t>Can t</w:t>
      </w:r>
      <w:r w:rsidR="00C83FEA" w:rsidRPr="005E3CE5">
        <w:rPr>
          <w:rFonts w:ascii="Times New Roman" w:eastAsia="Times New Roman" w:hAnsi="Times New Roman" w:cs="Times New Roman"/>
          <w:b/>
          <w:bCs/>
        </w:rPr>
        <w:t>iming of acquisition and interface</w:t>
      </w:r>
      <w:r>
        <w:rPr>
          <w:rFonts w:ascii="Times New Roman" w:eastAsia="Times New Roman" w:hAnsi="Times New Roman" w:cs="Times New Roman"/>
          <w:b/>
          <w:bCs/>
        </w:rPr>
        <w:t xml:space="preserve">s explain the developmental timeline of morphosyntax </w:t>
      </w:r>
      <w:r w:rsidR="00C83FEA" w:rsidRPr="005E3CE5">
        <w:rPr>
          <w:rFonts w:ascii="Times New Roman" w:eastAsia="Times New Roman" w:hAnsi="Times New Roman" w:cs="Times New Roman"/>
          <w:b/>
          <w:bCs/>
        </w:rPr>
        <w:t>in heritage and L2 children</w:t>
      </w:r>
      <w:r>
        <w:rPr>
          <w:rFonts w:ascii="Times New Roman" w:eastAsia="Times New Roman" w:hAnsi="Times New Roman" w:cs="Times New Roman"/>
          <w:b/>
          <w:bCs/>
        </w:rPr>
        <w:t xml:space="preserve"> in </w:t>
      </w:r>
      <w:r w:rsidR="00CE1A63">
        <w:rPr>
          <w:rFonts w:ascii="Times New Roman" w:eastAsia="Times New Roman" w:hAnsi="Times New Roman" w:cs="Times New Roman"/>
          <w:b/>
          <w:bCs/>
        </w:rPr>
        <w:t>two-way</w:t>
      </w:r>
      <w:r>
        <w:rPr>
          <w:rFonts w:ascii="Times New Roman" w:eastAsia="Times New Roman" w:hAnsi="Times New Roman" w:cs="Times New Roman"/>
          <w:b/>
          <w:bCs/>
        </w:rPr>
        <w:t xml:space="preserve"> </w:t>
      </w:r>
      <w:r w:rsidR="00CE1A63">
        <w:rPr>
          <w:rFonts w:ascii="Times New Roman" w:eastAsia="Times New Roman" w:hAnsi="Times New Roman" w:cs="Times New Roman"/>
          <w:b/>
          <w:bCs/>
        </w:rPr>
        <w:t>immersion</w:t>
      </w:r>
      <w:r>
        <w:rPr>
          <w:rFonts w:ascii="Times New Roman" w:eastAsia="Times New Roman" w:hAnsi="Times New Roman" w:cs="Times New Roman"/>
          <w:b/>
          <w:bCs/>
        </w:rPr>
        <w:t>?</w:t>
      </w:r>
    </w:p>
    <w:p w14:paraId="39A07153" w14:textId="77777777" w:rsidR="00C83FEA" w:rsidRPr="005E3CE5" w:rsidRDefault="00C83FEA" w:rsidP="00C83FEA">
      <w:pPr>
        <w:jc w:val="both"/>
        <w:rPr>
          <w:rFonts w:ascii="Times New Roman" w:eastAsia="Times New Roman" w:hAnsi="Times New Roman" w:cs="Times New Roman"/>
        </w:rPr>
      </w:pPr>
    </w:p>
    <w:p w14:paraId="5B283ECA" w14:textId="77777777" w:rsidR="00C83FEA" w:rsidRPr="005E3CE5" w:rsidRDefault="00C83FEA" w:rsidP="00C83FEA">
      <w:pPr>
        <w:rPr>
          <w:rFonts w:ascii="Times New Roman" w:eastAsia="Times New Roman" w:hAnsi="Times New Roman" w:cs="Times New Roman"/>
        </w:rPr>
      </w:pPr>
    </w:p>
    <w:p w14:paraId="31FDA9B8" w14:textId="48256391" w:rsidR="00C83FEA" w:rsidRPr="005E3CE5" w:rsidRDefault="00C83FEA" w:rsidP="00C83FEA">
      <w:pPr>
        <w:ind w:firstLine="720"/>
        <w:jc w:val="both"/>
        <w:rPr>
          <w:rFonts w:ascii="Times New Roman" w:eastAsia="Times New Roman" w:hAnsi="Times New Roman" w:cs="Times New Roman"/>
        </w:rPr>
      </w:pPr>
      <w:r w:rsidRPr="005E3CE5">
        <w:rPr>
          <w:rFonts w:ascii="Times New Roman" w:eastAsia="Times New Roman" w:hAnsi="Times New Roman" w:cs="Times New Roman"/>
        </w:rPr>
        <w:t xml:space="preserve">The U.S. has seen a significant rise in </w:t>
      </w:r>
      <w:r w:rsidR="00CE1A63">
        <w:rPr>
          <w:rFonts w:ascii="Times New Roman" w:eastAsia="Times New Roman" w:hAnsi="Times New Roman" w:cs="Times New Roman"/>
        </w:rPr>
        <w:t xml:space="preserve">two-way immersion </w:t>
      </w:r>
      <w:r w:rsidR="00601A17">
        <w:rPr>
          <w:rFonts w:ascii="Times New Roman" w:eastAsia="Times New Roman" w:hAnsi="Times New Roman" w:cs="Times New Roman"/>
        </w:rPr>
        <w:t xml:space="preserve">(TWI) </w:t>
      </w:r>
      <w:r w:rsidR="00CE1A63">
        <w:rPr>
          <w:rFonts w:ascii="Times New Roman" w:eastAsia="Times New Roman" w:hAnsi="Times New Roman" w:cs="Times New Roman"/>
        </w:rPr>
        <w:t>programs</w:t>
      </w:r>
      <w:r w:rsidRPr="005E3CE5">
        <w:rPr>
          <w:rFonts w:ascii="Times New Roman" w:eastAsia="Times New Roman" w:hAnsi="Times New Roman" w:cs="Times New Roman"/>
        </w:rPr>
        <w:t xml:space="preserve"> </w:t>
      </w:r>
      <w:r w:rsidR="00CE1A63">
        <w:rPr>
          <w:rFonts w:ascii="Times New Roman" w:eastAsia="Times New Roman" w:hAnsi="Times New Roman" w:cs="Times New Roman"/>
        </w:rPr>
        <w:t xml:space="preserve">that </w:t>
      </w:r>
      <w:r w:rsidRPr="005E3CE5">
        <w:rPr>
          <w:rFonts w:ascii="Times New Roman" w:eastAsia="Times New Roman" w:hAnsi="Times New Roman" w:cs="Times New Roman"/>
        </w:rPr>
        <w:t>serv</w:t>
      </w:r>
      <w:r w:rsidR="00CE1A63">
        <w:rPr>
          <w:rFonts w:ascii="Times New Roman" w:eastAsia="Times New Roman" w:hAnsi="Times New Roman" w:cs="Times New Roman"/>
        </w:rPr>
        <w:t>e</w:t>
      </w:r>
      <w:r w:rsidRPr="005E3CE5">
        <w:rPr>
          <w:rFonts w:ascii="Times New Roman" w:eastAsia="Times New Roman" w:hAnsi="Times New Roman" w:cs="Times New Roman"/>
        </w:rPr>
        <w:t xml:space="preserve"> </w:t>
      </w:r>
      <w:r w:rsidR="00567067">
        <w:rPr>
          <w:rFonts w:ascii="Times New Roman" w:eastAsia="Times New Roman" w:hAnsi="Times New Roman" w:cs="Times New Roman"/>
        </w:rPr>
        <w:t xml:space="preserve">a </w:t>
      </w:r>
      <w:r w:rsidRPr="005E3CE5">
        <w:rPr>
          <w:rFonts w:ascii="Times New Roman" w:eastAsia="Times New Roman" w:hAnsi="Times New Roman" w:cs="Times New Roman"/>
        </w:rPr>
        <w:t xml:space="preserve">student population comprised of children who are heritage speakers (HSs) </w:t>
      </w:r>
      <w:r w:rsidR="00CE1A63">
        <w:rPr>
          <w:rFonts w:ascii="Times New Roman" w:eastAsia="Times New Roman" w:hAnsi="Times New Roman" w:cs="Times New Roman"/>
        </w:rPr>
        <w:t>as well as</w:t>
      </w:r>
      <w:r w:rsidRPr="005E3CE5">
        <w:rPr>
          <w:rFonts w:ascii="Times New Roman" w:eastAsia="Times New Roman" w:hAnsi="Times New Roman" w:cs="Times New Roman"/>
        </w:rPr>
        <w:t xml:space="preserve"> </w:t>
      </w:r>
      <w:r w:rsidR="00CE1A63">
        <w:rPr>
          <w:rFonts w:ascii="Times New Roman" w:eastAsia="Times New Roman" w:hAnsi="Times New Roman" w:cs="Times New Roman"/>
        </w:rPr>
        <w:t>second language learners</w:t>
      </w:r>
      <w:r w:rsidRPr="005E3CE5">
        <w:rPr>
          <w:rFonts w:ascii="Times New Roman" w:eastAsia="Times New Roman" w:hAnsi="Times New Roman" w:cs="Times New Roman"/>
        </w:rPr>
        <w:t xml:space="preserve"> (L2Ls). </w:t>
      </w:r>
      <w:r w:rsidR="00B2047F">
        <w:rPr>
          <w:rFonts w:ascii="Times New Roman" w:eastAsia="Times New Roman" w:hAnsi="Times New Roman" w:cs="Times New Roman"/>
        </w:rPr>
        <w:t>While s</w:t>
      </w:r>
      <w:r w:rsidRPr="005E3CE5">
        <w:rPr>
          <w:rFonts w:ascii="Times New Roman" w:eastAsia="Times New Roman" w:hAnsi="Times New Roman" w:cs="Times New Roman"/>
        </w:rPr>
        <w:t xml:space="preserve">ome studies have reported similar performance in Spanish across HSs and L2Ls </w:t>
      </w:r>
      <w:r w:rsidR="00601A17">
        <w:rPr>
          <w:rFonts w:ascii="Times New Roman" w:eastAsia="Times New Roman" w:hAnsi="Times New Roman" w:cs="Times New Roman"/>
        </w:rPr>
        <w:t>in TWI</w:t>
      </w:r>
      <w:r w:rsidRPr="005E3CE5">
        <w:rPr>
          <w:rFonts w:ascii="Times New Roman" w:eastAsia="Times New Roman" w:hAnsi="Times New Roman" w:cs="Times New Roman"/>
        </w:rPr>
        <w:t xml:space="preserve"> (e.g.,</w:t>
      </w:r>
      <w:r w:rsidR="00995626">
        <w:rPr>
          <w:rFonts w:ascii="Times New Roman" w:eastAsia="Times New Roman" w:hAnsi="Times New Roman" w:cs="Times New Roman"/>
        </w:rPr>
        <w:t xml:space="preserve"> </w:t>
      </w:r>
      <w:r w:rsidR="00995626">
        <w:rPr>
          <w:rFonts w:ascii="Times New Roman" w:eastAsia="Times New Roman" w:hAnsi="Times New Roman" w:cs="Times New Roman"/>
        </w:rPr>
        <w:fldChar w:fldCharType="begin"/>
      </w:r>
      <w:r w:rsidR="002403D0">
        <w:rPr>
          <w:rFonts w:ascii="Times New Roman" w:eastAsia="Times New Roman" w:hAnsi="Times New Roman" w:cs="Times New Roman"/>
        </w:rPr>
        <w:instrText xml:space="preserve"> ADDIN ZOTERO_ITEM CSL_CITATION {"citationID":"xBmwnMun","properties":{"formattedCitation":"(Austin et al., 2024)","plainCitation":"(Austin et al., 2024)","dontUpdate":true,"noteIndex":0},"citationItems":[{"id":1430,"uris":["http://zotero.org/users/8848410/items/4SB86PYX"],"itemData":{"id":1430,"type":"article-journal","container-title":"Frontiers in Language Sciences","DOI":"https://doi.org/10.3389/flang.2024.1334269","issue":"1334269","license":"All rights reserved","page":"1-15","title":"The comprehension of clitic gender in child heritage and second language Spanish: evidence from a dual language program","volume":"3","author":[{"family":"Austin","given":"Jennifer"},{"family":"Thane","given":"Patrick D."},{"family":"Rodríguez","given":"Stephanie A."},{"family":"Goldin","given":"Michele"}],"issued":{"date-parts":[["2024"]]}}}],"schema":"https://github.com/citation-style-language/schema/raw/master/csl-citation.json"} </w:instrText>
      </w:r>
      <w:r w:rsidR="00995626">
        <w:rPr>
          <w:rFonts w:ascii="Times New Roman" w:eastAsia="Times New Roman" w:hAnsi="Times New Roman" w:cs="Times New Roman"/>
        </w:rPr>
        <w:fldChar w:fldCharType="separate"/>
      </w:r>
      <w:r w:rsidR="00995626">
        <w:rPr>
          <w:rFonts w:ascii="Times New Roman" w:eastAsia="Times New Roman" w:hAnsi="Times New Roman" w:cs="Times New Roman"/>
          <w:noProof/>
        </w:rPr>
        <w:t>Austin et al., 2024</w:t>
      </w:r>
      <w:r w:rsidR="00995626">
        <w:rPr>
          <w:rFonts w:ascii="Times New Roman" w:eastAsia="Times New Roman" w:hAnsi="Times New Roman" w:cs="Times New Roman"/>
        </w:rPr>
        <w:fldChar w:fldCharType="end"/>
      </w:r>
      <w:r w:rsidRPr="005E3CE5">
        <w:rPr>
          <w:rFonts w:ascii="Times New Roman" w:eastAsia="Times New Roman" w:hAnsi="Times New Roman" w:cs="Times New Roman"/>
        </w:rPr>
        <w:t xml:space="preserve">; </w:t>
      </w:r>
      <w:r w:rsidR="00995626">
        <w:rPr>
          <w:rFonts w:ascii="Times New Roman" w:eastAsia="Times New Roman" w:hAnsi="Times New Roman" w:cs="Times New Roman"/>
        </w:rPr>
        <w:fldChar w:fldCharType="begin"/>
      </w:r>
      <w:r w:rsidR="002403D0">
        <w:rPr>
          <w:rFonts w:ascii="Times New Roman" w:eastAsia="Times New Roman" w:hAnsi="Times New Roman" w:cs="Times New Roman"/>
        </w:rPr>
        <w:instrText xml:space="preserve"> ADDIN ZOTERO_ITEM CSL_CITATION {"citationID":"J9CSZQ37","properties":{"formattedCitation":"(Goldin, 2022)","plainCitation":"(Goldin, 2022)","dontUpdate":true,"noteIndex":0},"citationItems":[{"id":1211,"uris":["http://zotero.org/users/8848410/items/6HXL9BR9"],"itemData":{"id":1211,"type":"chapter","container-title":"Proceedings of the 46th annual Boston University Conference on Language Development","event-place":"Somerville, MA","page":"230-241","publisher":"Cascadilla Proceedings Project","publisher-place":"Somerville, MA","title":"Comprehension-production asymmetry in bilingual children’s acquisition of subject-verb agreement","author":[{"family":"Goldin","given":"Michele"}],"editor":[{"family":"Gong","given":"Ying"},{"family":"Kpogo","given":"Felix"}],"issued":{"date-parts":[["2022"]]}}}],"schema":"https://github.com/citation-style-language/schema/raw/master/csl-citation.json"} </w:instrText>
      </w:r>
      <w:r w:rsidR="00995626">
        <w:rPr>
          <w:rFonts w:ascii="Times New Roman" w:eastAsia="Times New Roman" w:hAnsi="Times New Roman" w:cs="Times New Roman"/>
        </w:rPr>
        <w:fldChar w:fldCharType="separate"/>
      </w:r>
      <w:r w:rsidR="00995626">
        <w:rPr>
          <w:rFonts w:ascii="Times New Roman" w:eastAsia="Times New Roman" w:hAnsi="Times New Roman" w:cs="Times New Roman"/>
          <w:noProof/>
        </w:rPr>
        <w:t>Goldin, 2022</w:t>
      </w:r>
      <w:r w:rsidR="00995626">
        <w:rPr>
          <w:rFonts w:ascii="Times New Roman" w:eastAsia="Times New Roman" w:hAnsi="Times New Roman" w:cs="Times New Roman"/>
        </w:rPr>
        <w:fldChar w:fldCharType="end"/>
      </w:r>
      <w:r w:rsidRPr="005E3CE5">
        <w:rPr>
          <w:rFonts w:ascii="Times New Roman" w:eastAsia="Times New Roman" w:hAnsi="Times New Roman" w:cs="Times New Roman"/>
        </w:rPr>
        <w:t>), others have noted advantages for HSs (e.g.,</w:t>
      </w:r>
      <w:r w:rsidR="005E3CE5">
        <w:rPr>
          <w:rFonts w:ascii="Times New Roman" w:eastAsia="Times New Roman" w:hAnsi="Times New Roman" w:cs="Times New Roman"/>
        </w:rPr>
        <w:t xml:space="preserve"> </w:t>
      </w:r>
      <w:r w:rsidR="00995626">
        <w:rPr>
          <w:rFonts w:ascii="Times New Roman" w:eastAsia="Times New Roman" w:hAnsi="Times New Roman" w:cs="Times New Roman"/>
        </w:rPr>
        <w:fldChar w:fldCharType="begin"/>
      </w:r>
      <w:r w:rsidR="002403D0">
        <w:rPr>
          <w:rFonts w:ascii="Times New Roman" w:eastAsia="Times New Roman" w:hAnsi="Times New Roman" w:cs="Times New Roman"/>
        </w:rPr>
        <w:instrText xml:space="preserve"> ADDIN ZOTERO_ITEM CSL_CITATION {"citationID":"NQ3UDSYk","properties":{"formattedCitation":"(Fern\\uc0\\u225{}ndez-Dobao et al., 2025)","plainCitation":"(Fernández-Dobao et al., 2025)","dontUpdate":true,"noteIndex":0},"citationItems":[{"id":3809,"uris":["http://zotero.org/users/8848410/items/EGZFV2TV"],"itemData":{"id":3809,"type":"article-journal","abstract":"Abstract\n            \n              This study examines number and gender concord in the nominal domain by heritage (\n              HL\n              ) and second language (L2) children in Spanish-English dual language immersion (\n              DLI\n              ). Participants were 36\n              HL\n              and 90 L2 children in their 5th and 6th year of\n              DLI\n              and 55 age-matched control children from a Spanish-majority environment. All children completed the same spontaneous written production task. Results indicate that Spanish\n              HL\n              children retained their crib-learned nominal concord, as demonstrated in ceiling scores for number agreement and noun-adjective gender matching. However, some gender instability in determiner selection persisted. L2 children showed mastery of number agreement but significantly lower accuracy than control children in gender assignment and agreement measures.\n              HL\n              and L2 children had difficulties with both masculine and feminine nouns, and canonical and non-canonical ending nouns. Despite differences between groups, overall accuracy levels above chance confirm the benefits of\n              DLI\n              for L2 acquisition and\n              HL\n              maintenance and development.","container-title":"Heritage Language Journal","DOI":"10.1163/15507076-bja10043","ISSN":"1550-7076","issue":"1","journalAbbreviation":"Herit. Lang. J.","language":"en","page":"1-37","source":"DOI.org (Crossref)","title":"Gender and number agreement by Spanish heritage and second language children in dual immersion","volume":"22","author":[{"family":"Fernández-Dobao","given":"Ana"},{"family":"Herschensohn","given":"Julia"},{"family":"Vukadinovich","given":"Stefana"},{"family":"Zhang","given":"Wenjing T."}],"issued":{"date-parts":[["2025",6,17]]}}}],"schema":"https://github.com/citation-style-language/schema/raw/master/csl-citation.json"} </w:instrText>
      </w:r>
      <w:r w:rsidR="00995626">
        <w:rPr>
          <w:rFonts w:ascii="Times New Roman" w:eastAsia="Times New Roman" w:hAnsi="Times New Roman" w:cs="Times New Roman"/>
        </w:rPr>
        <w:fldChar w:fldCharType="separate"/>
      </w:r>
      <w:r w:rsidR="00995626" w:rsidRPr="00995626">
        <w:rPr>
          <w:rFonts w:ascii="Times New Roman" w:eastAsiaTheme="minorHAnsi" w:hAnsi="Times New Roman" w:cs="Times New Roman"/>
          <w:lang w:val="en-US"/>
          <w14:ligatures w14:val="standardContextual"/>
        </w:rPr>
        <w:t>Fernández-Dobao et al., 2025</w:t>
      </w:r>
      <w:r w:rsidR="00995626">
        <w:rPr>
          <w:rFonts w:ascii="Times New Roman" w:eastAsia="Times New Roman" w:hAnsi="Times New Roman" w:cs="Times New Roman"/>
        </w:rPr>
        <w:fldChar w:fldCharType="end"/>
      </w:r>
      <w:r w:rsidRPr="005E3CE5">
        <w:rPr>
          <w:rFonts w:ascii="Times New Roman" w:eastAsia="Times New Roman" w:hAnsi="Times New Roman" w:cs="Times New Roman"/>
        </w:rPr>
        <w:t>;</w:t>
      </w:r>
      <w:r w:rsidR="00995626">
        <w:rPr>
          <w:rFonts w:ascii="Times New Roman" w:eastAsia="Times New Roman" w:hAnsi="Times New Roman" w:cs="Times New Roman"/>
        </w:rPr>
        <w:t xml:space="preserve"> </w:t>
      </w:r>
      <w:r w:rsidR="00995626">
        <w:rPr>
          <w:rFonts w:ascii="Times New Roman" w:eastAsia="Times New Roman" w:hAnsi="Times New Roman" w:cs="Times New Roman"/>
        </w:rPr>
        <w:fldChar w:fldCharType="begin"/>
      </w:r>
      <w:r w:rsidR="002403D0">
        <w:rPr>
          <w:rFonts w:ascii="Times New Roman" w:eastAsia="Times New Roman" w:hAnsi="Times New Roman" w:cs="Times New Roman"/>
        </w:rPr>
        <w:instrText xml:space="preserve"> ADDIN ZOTERO_ITEM CSL_CITATION {"citationID":"r1R0J0z5","properties":{"formattedCitation":"(Thane et al., 2025)","plainCitation":"(Thane et al., 2025)","dontUpdate":true,"noteIndex":0},"citationItems":[{"id":63,"uris":["http://zotero.org/users/8848410/items/J9LVDRBY"],"itemData":{"id":63,"type":"article-journal","abstract":"Few studies have investigated the developing grammars of school-aged\nchildren acquiring Spanish as a heritage or second language (L2) in dual language\nimmersion programs. The present project evaluated 57 English-dominant Spanish\nheritage speakers (HS) and L2 learners enrolled in a dual language immersion school on\ntheir production and recognition of subjunctive mood in volitional clauses. Older chil-\ndren (12–14 year olds) produced more subjunctive mood and selected it more frequently\non a forced choice task than younger participants (9–11 year-olds). Speci cally, the older\nHSs produced and selected more subjunctive than age-matched L2 learners. However,\nHSs’ earlier age of acquisition of Spanish provided this group with a modest advantage\nover L2 learners in their command of subjunctive across tasks. Participants were more\nlikely to produce and select subjunctive mood with irregular verbs. Finally, participants\nwere more likely to select the subjunctive than to produce it. Implications for bilin-\ngualism theory and pedagogy in dual language immersion programs are discussed.","container-title":"Studies in Hispanic and Lusophone Linguistics","DOI":"https://doi.org/10.1515/shll-2025-2007","issue":"1","language":"English","license":"All rights reserved","page":"193-223","title":"The acquisition of the Spanish subjunctive by child heritage and L2 learners: evidence from a dual language program","volume":"18","author":[{"family":"Thane","given":"Patrick D."},{"family":"Austin","given":"Jennifer"},{"family":"Rodríguez","given":"Stephanie A."},{"family":"Goldin","given":"Michele"}],"issued":{"date-parts":[["2025",4,30]]}}}],"schema":"https://github.com/citation-style-language/schema/raw/master/csl-citation.json"} </w:instrText>
      </w:r>
      <w:r w:rsidR="00995626">
        <w:rPr>
          <w:rFonts w:ascii="Times New Roman" w:eastAsia="Times New Roman" w:hAnsi="Times New Roman" w:cs="Times New Roman"/>
        </w:rPr>
        <w:fldChar w:fldCharType="separate"/>
      </w:r>
      <w:r w:rsidR="00995626">
        <w:rPr>
          <w:rFonts w:ascii="Times New Roman" w:eastAsia="Times New Roman" w:hAnsi="Times New Roman" w:cs="Times New Roman"/>
          <w:noProof/>
        </w:rPr>
        <w:t>Thane et al., 2025</w:t>
      </w:r>
      <w:r w:rsidR="00995626">
        <w:rPr>
          <w:rFonts w:ascii="Times New Roman" w:eastAsia="Times New Roman" w:hAnsi="Times New Roman" w:cs="Times New Roman"/>
        </w:rPr>
        <w:fldChar w:fldCharType="end"/>
      </w:r>
      <w:r w:rsidRPr="005E3CE5">
        <w:rPr>
          <w:rFonts w:ascii="Times New Roman" w:eastAsia="Times New Roman" w:hAnsi="Times New Roman" w:cs="Times New Roman"/>
        </w:rPr>
        <w:t>)</w:t>
      </w:r>
      <w:r w:rsidR="00B2047F">
        <w:rPr>
          <w:rFonts w:ascii="Times New Roman" w:eastAsia="Times New Roman" w:hAnsi="Times New Roman" w:cs="Times New Roman"/>
        </w:rPr>
        <w:t xml:space="preserve"> as in adults</w:t>
      </w:r>
      <w:r w:rsidRPr="005E3CE5">
        <w:rPr>
          <w:rFonts w:ascii="Times New Roman" w:eastAsia="Times New Roman" w:hAnsi="Times New Roman" w:cs="Times New Roman"/>
        </w:rPr>
        <w:t xml:space="preserve">. </w:t>
      </w:r>
      <w:r w:rsidR="00775DF4">
        <w:rPr>
          <w:rFonts w:ascii="Times New Roman" w:eastAsia="Times New Roman" w:hAnsi="Times New Roman" w:cs="Times New Roman"/>
        </w:rPr>
        <w:t>However, it remains unclear which areas of morphosyntax may be most responsive to instruction. S</w:t>
      </w:r>
      <w:r w:rsidRPr="005E3CE5">
        <w:rPr>
          <w:rFonts w:ascii="Times New Roman" w:eastAsia="Times New Roman" w:hAnsi="Times New Roman" w:cs="Times New Roman"/>
        </w:rPr>
        <w:t xml:space="preserve">tudies on bilingual children have shown that structures mastered late by monolinguals and/or that involve the syntax-semantics or syntax-pragmatics interfaces may be most impacted by bilingual education such as </w:t>
      </w:r>
      <w:r w:rsidR="00601A17">
        <w:rPr>
          <w:rFonts w:ascii="Times New Roman" w:eastAsia="Times New Roman" w:hAnsi="Times New Roman" w:cs="Times New Roman"/>
        </w:rPr>
        <w:t>TW</w:t>
      </w:r>
      <w:r w:rsidRPr="005E3CE5">
        <w:rPr>
          <w:rFonts w:ascii="Times New Roman" w:eastAsia="Times New Roman" w:hAnsi="Times New Roman" w:cs="Times New Roman"/>
        </w:rPr>
        <w:t>I (</w:t>
      </w:r>
      <w:r w:rsidR="005E3CE5" w:rsidRPr="005E3CE5">
        <w:rPr>
          <w:rFonts w:ascii="Times New Roman" w:eastAsia="Times New Roman" w:hAnsi="Times New Roman" w:cs="Times New Roman"/>
        </w:rPr>
        <w:fldChar w:fldCharType="begin"/>
      </w:r>
      <w:r w:rsidR="005E3CE5">
        <w:rPr>
          <w:rFonts w:ascii="Times New Roman" w:eastAsia="Times New Roman" w:hAnsi="Times New Roman" w:cs="Times New Roman"/>
        </w:rPr>
        <w:instrText xml:space="preserve"> ADDIN ZOTERO_ITEM CSL_CITATION {"citationID":"vgEKafxm","properties":{"formattedCitation":"(Rinke et al., 2023, p. 202)","plainCitation":"(Rinke et al., 2023, p. 202)","dontUpdate":true,"noteIndex":0},"citationItems":[{"id":1444,"uris":["http://zotero.org/users/8848410/items/UJKYZ346"],"itemData":{"id":1444,"type":"chapter","container-title":"Formal Approaches to Complexity in Heritage Language Grammars","event-place":"Berlin","page":"1-17","publisher":"Language Sciences Press","publisher-place":"Berlin","title":"How different types of complexity can account for difficult structures in bilingual and monolingual language acquisition","editor":[{"family":"Putnam","given":"Michael"},{"family":"Polinsky","given":"Maria"}],"author":[{"family":"Rinke","given":"Esther"},{"family":"Flores","given":"Cristina"},{"family":"Torregrossa","given":"Jacopo"}],"issued":{"date-parts":[["2023"]]}},"locator":"202"}],"schema":"https://github.com/citation-style-language/schema/raw/master/csl-citation.json"} </w:instrText>
      </w:r>
      <w:r w:rsidR="005E3CE5" w:rsidRPr="005E3CE5">
        <w:rPr>
          <w:rFonts w:ascii="Times New Roman" w:eastAsia="Times New Roman" w:hAnsi="Times New Roman" w:cs="Times New Roman"/>
        </w:rPr>
        <w:fldChar w:fldCharType="separate"/>
      </w:r>
      <w:r w:rsidR="005E3CE5" w:rsidRPr="005E3CE5">
        <w:rPr>
          <w:rFonts w:ascii="Times New Roman" w:eastAsia="Times New Roman" w:hAnsi="Times New Roman" w:cs="Times New Roman"/>
          <w:noProof/>
        </w:rPr>
        <w:t>Rinke et al., 2023</w:t>
      </w:r>
      <w:r w:rsidR="005E3CE5" w:rsidRPr="005E3CE5">
        <w:rPr>
          <w:rFonts w:ascii="Times New Roman" w:eastAsia="Times New Roman" w:hAnsi="Times New Roman" w:cs="Times New Roman"/>
        </w:rPr>
        <w:fldChar w:fldCharType="end"/>
      </w:r>
      <w:r w:rsidRPr="005E3CE5">
        <w:rPr>
          <w:rFonts w:ascii="Times New Roman" w:eastAsia="Times New Roman" w:hAnsi="Times New Roman" w:cs="Times New Roman"/>
        </w:rPr>
        <w:t>;</w:t>
      </w:r>
      <w:r w:rsidR="005E3CE5" w:rsidRPr="005E3CE5">
        <w:rPr>
          <w:rFonts w:ascii="Times New Roman" w:eastAsia="Times New Roman" w:hAnsi="Times New Roman" w:cs="Times New Roman"/>
        </w:rPr>
        <w:t xml:space="preserve"> </w:t>
      </w:r>
      <w:r w:rsidR="005E3CE5" w:rsidRPr="005E3CE5">
        <w:rPr>
          <w:rFonts w:ascii="Times New Roman" w:eastAsia="Times New Roman" w:hAnsi="Times New Roman" w:cs="Times New Roman"/>
        </w:rPr>
        <w:fldChar w:fldCharType="begin"/>
      </w:r>
      <w:r w:rsidR="002403D0">
        <w:rPr>
          <w:rFonts w:ascii="Times New Roman" w:eastAsia="Times New Roman" w:hAnsi="Times New Roman" w:cs="Times New Roman"/>
        </w:rPr>
        <w:instrText xml:space="preserve"> ADDIN ZOTERO_ITEM CSL_CITATION {"citationID":"JC53PEC5","properties":{"formattedCitation":"(Torregrossa et al., 2023)","plainCitation":"(Torregrossa et al., 2023)","dontUpdate":true,"noteIndex":0},"citationItems":[{"id":1445,"uris":["http://zotero.org/users/8848410/items/HTJHC6FD"],"itemData":{"id":1445,"type":"article-journal","abstract":"Several studies on heritage language (HL) acquisition investigate a single linguistic structure, showing how language exposure or cross-linguistic effects affect its acquisition. Here, we consider HL speaking children’s mastery of several linguistic structures using a cloze-test. We examine how their language competence is affected by language exposure variables and age. We tested 180 children between the ages of 8 and 16, living in Switzerland and speaking European Portuguese as HL and French, German or Italian as their societal language. The items of the cloze-test cluster around two levels of difficulty, with the items at the second level corresponding to structures that are acquired late in Portuguese monolingual acquisition. Older age and a greater amount of formal instruction in the HL lead to better performance. The role of the amount of formal instruction varies based on the level of difficulty of the target structures. Cross-linguistic influence does not affect the results.","container-title":"Bilingualism: Language and Cognition","DOI":"10.1017/S1366728922000438","ISSN":"1366-7289, 1469-1841","issue":"1","journalAbbreviation":"Bilingualism","language":"en","page":"179-192","source":"DOI.org (Crossref)","title":"What modulates the acquisition of difficult structures in a heritage language? A study on Portuguese in contact with French, German and Italian","title-short":"What modulates the acquisition of difficult structures in a heritage language?","volume":"26","author":[{"family":"Torregrossa","given":"Jacopo"},{"family":"Flores","given":"Cristina"},{"family":"Rinke","given":"Esther"}],"issued":{"date-parts":[["2023",1]]}}}],"schema":"https://github.com/citation-style-language/schema/raw/master/csl-citation.json"} </w:instrText>
      </w:r>
      <w:r w:rsidR="005E3CE5" w:rsidRPr="005E3CE5">
        <w:rPr>
          <w:rFonts w:ascii="Times New Roman" w:eastAsia="Times New Roman" w:hAnsi="Times New Roman" w:cs="Times New Roman"/>
        </w:rPr>
        <w:fldChar w:fldCharType="separate"/>
      </w:r>
      <w:r w:rsidR="005E3CE5" w:rsidRPr="005E3CE5">
        <w:rPr>
          <w:rFonts w:ascii="Times New Roman" w:eastAsia="Times New Roman" w:hAnsi="Times New Roman" w:cs="Times New Roman"/>
          <w:noProof/>
        </w:rPr>
        <w:t>Torregrossa et al., 2023</w:t>
      </w:r>
      <w:r w:rsidR="005E3CE5" w:rsidRPr="005E3CE5">
        <w:rPr>
          <w:rFonts w:ascii="Times New Roman" w:eastAsia="Times New Roman" w:hAnsi="Times New Roman" w:cs="Times New Roman"/>
        </w:rPr>
        <w:fldChar w:fldCharType="end"/>
      </w:r>
      <w:r w:rsidRPr="005E3CE5">
        <w:rPr>
          <w:rFonts w:ascii="Times New Roman" w:eastAsia="Times New Roman" w:hAnsi="Times New Roman" w:cs="Times New Roman"/>
        </w:rPr>
        <w:t>)</w:t>
      </w:r>
      <w:r w:rsidR="003576A9">
        <w:rPr>
          <w:rFonts w:ascii="Times New Roman" w:eastAsia="Times New Roman" w:hAnsi="Times New Roman" w:cs="Times New Roman"/>
        </w:rPr>
        <w:t>, which aligns with input-oriented accounts of timing of second language acquisition (</w:t>
      </w:r>
      <w:r w:rsidR="003576A9">
        <w:rPr>
          <w:rFonts w:ascii="Times New Roman" w:eastAsia="Times New Roman" w:hAnsi="Times New Roman" w:cs="Times New Roman"/>
        </w:rPr>
        <w:fldChar w:fldCharType="begin"/>
      </w:r>
      <w:r w:rsidR="002403D0">
        <w:rPr>
          <w:rFonts w:ascii="Times New Roman" w:eastAsia="Times New Roman" w:hAnsi="Times New Roman" w:cs="Times New Roman"/>
        </w:rPr>
        <w:instrText xml:space="preserve"> ADDIN ZOTERO_ITEM CSL_CITATION {"citationID":"DtW7OfXU","properties":{"formattedCitation":"(Tsimpli, 2014)","plainCitation":"(Tsimpli, 2014)","noteIndex":0},"citationItems":[{"id":3913,"uris":["http://zotero.org/users/8848410/items/GJ2DP68H"],"itemData":{"id":3913,"type":"article-journal","abstract":"Research on child bilingualism accounts for differences in the course and the outcomes of monolingual and different types of bilingual language acquisition primarily from two perspectives: age of onset of exposure to the language(s) and the role of the input (\n              Genesee, Paradis, &amp; Crago, 2004\n              ;\n              Meisel, 2009\n              ;\n              Unsworth et al., 2014\n              ). Some findings suggest that early successive bilingual children may pattern similarly to simultaneous bilingual children, passing through different trajectories from child L2 learners due to a later age of onset in the latter group. Studies on bilingual development have also shown that input quantity in bilingual acquisition is considerably reduced, i.e., in each of their two languages, bilingual children are likely exposed to much less input than their monolingual peers (\n              Paradis &amp; Genesee, 1996\n              ;\n              Unsworth, 2013b\n              ). At the same time, simultaneous bilingual children develop and attain competence in the two languages, sometimes without even an attested age delay compared to monolingual children (\n              Paradis, Genesee &amp; Crago, 2011\n              ). The implication is that even half of the input suffices for early language development, at least with respect to ‘core’ aspects of language, in whatever way ‘core’ is defined.\n            \n            \n              My aim in this article is to consider how an additional, linguistic variable interacts with age of onset and input in bilingual development, namely, the timing in L1 development of the phenomena examined in bilingual children’s performance. Specifically, I will consider timing differences attested in the monolingual development of features and structures, distinguishing between early, late or ‘very late’ acquired phenomena. I will then argue that this three-way distinction reflects differences in the role of narrow syntax: early phenomena are core, parametric and narrowly syntactic, in contrast to late and very late phenomena, which involve syntax-external or even language-external resources too. I explore the consequences of these timing differences in monolingual development for bilingual development. I will review some findings from early (V2 in Germanic, grammatical gender in Greek), late (passives) and very late (grammatical gender in Dutch) phenomena in the bilingual literature and argue that early phenomena can differentiate between simultaneous and (early) successive bilingualism with an\n              \n              advantage for the former group, while the other two reveal similarly (high or low) performance across bilingual groups, differentiating them from monolinguals. The paper proposes that questions about the role of age of onset and language input in early bilingual development can only be meaningfully addressed when the properties and timing of the phenomena under investigation are taken into account.","container-title":"Linguistic Approaches to Bilingualism","DOI":"10.1075/lab.4.3.01tsi","ISSN":"1879-9264, 1879-9272","issue":"3","journalAbbreviation":"LAB","language":"en","page":"283-313","source":"DOI.org (Crossref)","title":"Early, late or very late?: Timing acquisition and bilingualism","title-short":"Early, late or very late?","volume":"4","author":[{"family":"Tsimpli","given":"Ianthi Maria"}],"issued":{"date-parts":[["2014",8,12]]}}}],"schema":"https://github.com/citation-style-language/schema/raw/master/csl-citation.json"} </w:instrText>
      </w:r>
      <w:r w:rsidR="003576A9">
        <w:rPr>
          <w:rFonts w:ascii="Times New Roman" w:eastAsia="Times New Roman" w:hAnsi="Times New Roman" w:cs="Times New Roman"/>
        </w:rPr>
        <w:fldChar w:fldCharType="separate"/>
      </w:r>
      <w:r w:rsidR="002403D0">
        <w:rPr>
          <w:rFonts w:ascii="Times New Roman" w:eastAsia="Times New Roman" w:hAnsi="Times New Roman" w:cs="Times New Roman"/>
          <w:noProof/>
        </w:rPr>
        <w:t>Tsimpli, 2014</w:t>
      </w:r>
      <w:r w:rsidR="003576A9">
        <w:rPr>
          <w:rFonts w:ascii="Times New Roman" w:eastAsia="Times New Roman" w:hAnsi="Times New Roman" w:cs="Times New Roman"/>
        </w:rPr>
        <w:fldChar w:fldCharType="end"/>
      </w:r>
      <w:r w:rsidR="003576A9">
        <w:rPr>
          <w:rFonts w:ascii="Times New Roman" w:eastAsia="Times New Roman" w:hAnsi="Times New Roman" w:cs="Times New Roman"/>
        </w:rPr>
        <w:t>).</w:t>
      </w:r>
    </w:p>
    <w:p w14:paraId="13413DEC" w14:textId="21A6FE94" w:rsidR="00DA73B0" w:rsidRDefault="00C83FEA" w:rsidP="00C83FEA">
      <w:pPr>
        <w:ind w:firstLine="720"/>
        <w:jc w:val="both"/>
        <w:rPr>
          <w:rFonts w:ascii="Times New Roman" w:eastAsia="Times New Roman" w:hAnsi="Times New Roman" w:cs="Times New Roman"/>
        </w:rPr>
      </w:pPr>
      <w:r w:rsidRPr="005E3CE5">
        <w:rPr>
          <w:rFonts w:ascii="Times New Roman" w:eastAsia="Times New Roman" w:hAnsi="Times New Roman" w:cs="Times New Roman"/>
        </w:rPr>
        <w:t>The present project expands upon these findings by comparing the impact of DLI on HSs’ and L2Ls’ elicited production of four structures: article gender agreement, direct object clitic gender agreement, differential object marking (DOM), and volitional subjunctive mood. These structures differ in two dimensions: timing of monolingual acquisition (early, before 4;0 versus late, after 4;0</w:t>
      </w:r>
      <w:r w:rsidR="00BE4961">
        <w:rPr>
          <w:rFonts w:ascii="Times New Roman" w:eastAsia="Times New Roman" w:hAnsi="Times New Roman" w:cs="Times New Roman"/>
        </w:rPr>
        <w:t>, at</w:t>
      </w:r>
      <w:r w:rsidRPr="005E3CE5">
        <w:rPr>
          <w:rFonts w:ascii="Times New Roman" w:eastAsia="Times New Roman" w:hAnsi="Times New Roman" w:cs="Times New Roman"/>
        </w:rPr>
        <w:t xml:space="preserve"> the start of school)</w:t>
      </w:r>
      <w:r w:rsidR="00C80C64">
        <w:rPr>
          <w:rFonts w:ascii="Times New Roman" w:eastAsia="Times New Roman" w:hAnsi="Times New Roman" w:cs="Times New Roman"/>
        </w:rPr>
        <w:t xml:space="preserve"> and </w:t>
      </w:r>
      <w:r w:rsidR="00C80C64" w:rsidRPr="005E3CE5">
        <w:rPr>
          <w:rFonts w:ascii="Times New Roman" w:eastAsia="Times New Roman" w:hAnsi="Times New Roman" w:cs="Times New Roman"/>
        </w:rPr>
        <w:t>interfaces (core syntax versus semantic or pragmatic interfaces)</w:t>
      </w:r>
      <w:r w:rsidRPr="005E3CE5">
        <w:rPr>
          <w:rFonts w:ascii="Times New Roman" w:eastAsia="Times New Roman" w:hAnsi="Times New Roman" w:cs="Times New Roman"/>
        </w:rPr>
        <w:t xml:space="preserve">. </w:t>
      </w:r>
      <w:r w:rsidR="00387FFB">
        <w:rPr>
          <w:rFonts w:ascii="Times New Roman" w:eastAsia="Times New Roman" w:hAnsi="Times New Roman" w:cs="Times New Roman"/>
        </w:rPr>
        <w:t>F</w:t>
      </w:r>
      <w:r w:rsidRPr="005E3CE5">
        <w:rPr>
          <w:rFonts w:ascii="Times New Roman" w:eastAsia="Times New Roman" w:hAnsi="Times New Roman" w:cs="Times New Roman"/>
        </w:rPr>
        <w:t xml:space="preserve">ollowing </w:t>
      </w:r>
      <w:r w:rsidR="005E3CE5" w:rsidRPr="005E3CE5">
        <w:rPr>
          <w:rFonts w:ascii="Times New Roman" w:eastAsia="Times New Roman" w:hAnsi="Times New Roman" w:cs="Times New Roman"/>
        </w:rPr>
        <w:fldChar w:fldCharType="begin"/>
      </w:r>
      <w:r w:rsidR="005E3CE5">
        <w:rPr>
          <w:rFonts w:ascii="Times New Roman" w:eastAsia="Times New Roman" w:hAnsi="Times New Roman" w:cs="Times New Roman"/>
        </w:rPr>
        <w:instrText xml:space="preserve"> ADDIN ZOTERO_ITEM CSL_CITATION {"citationID":"eIn8dFpc","properties":{"formattedCitation":"(Rinke et al., 2023, p. 202)","plainCitation":"(Rinke et al., 2023, p. 202)","dontUpdate":true,"noteIndex":0},"citationItems":[{"id":1444,"uris":["http://zotero.org/users/8848410/items/UJKYZ346"],"itemData":{"id":1444,"type":"chapter","container-title":"Formal Approaches to Complexity in Heritage Language Grammars","event-place":"Berlin","page":"1-17","publisher":"Language Sciences Press","publisher-place":"Berlin","title":"How different types of complexity can account for difficult structures in bilingual and monolingual language acquisition","editor":[{"family":"Putnam","given":"Michael"},{"family":"Polinsky","given":"Maria"}],"author":[{"family":"Rinke","given":"Esther"},{"family":"Flores","given":"Cristina"},{"family":"Torregrossa","given":"Jacopo"}],"issued":{"date-parts":[["2023"]]}},"locator":"202"}],"schema":"https://github.com/citation-style-language/schema/raw/master/csl-citation.json"} </w:instrText>
      </w:r>
      <w:r w:rsidR="005E3CE5" w:rsidRPr="005E3CE5">
        <w:rPr>
          <w:rFonts w:ascii="Times New Roman" w:eastAsia="Times New Roman" w:hAnsi="Times New Roman" w:cs="Times New Roman"/>
        </w:rPr>
        <w:fldChar w:fldCharType="separate"/>
      </w:r>
      <w:r w:rsidR="005E3CE5" w:rsidRPr="005E3CE5">
        <w:rPr>
          <w:rFonts w:ascii="Times New Roman" w:eastAsia="Times New Roman" w:hAnsi="Times New Roman" w:cs="Times New Roman"/>
          <w:noProof/>
        </w:rPr>
        <w:t>Rinke et al. (2023)</w:t>
      </w:r>
      <w:r w:rsidR="005E3CE5" w:rsidRPr="005E3CE5">
        <w:rPr>
          <w:rFonts w:ascii="Times New Roman" w:eastAsia="Times New Roman" w:hAnsi="Times New Roman" w:cs="Times New Roman"/>
        </w:rPr>
        <w:fldChar w:fldCharType="end"/>
      </w:r>
      <w:r w:rsidRPr="005E3CE5">
        <w:rPr>
          <w:rFonts w:ascii="Times New Roman" w:eastAsia="Times New Roman" w:hAnsi="Times New Roman" w:cs="Times New Roman"/>
        </w:rPr>
        <w:t xml:space="preserve">, </w:t>
      </w:r>
      <w:r w:rsidR="00BE4961">
        <w:rPr>
          <w:rFonts w:ascii="Times New Roman" w:eastAsia="Times New Roman" w:hAnsi="Times New Roman" w:cs="Times New Roman"/>
        </w:rPr>
        <w:t>TWI should have the greatest impact on late-acquired and interface structures</w:t>
      </w:r>
      <w:r w:rsidR="00B22DFB">
        <w:rPr>
          <w:rFonts w:ascii="Times New Roman" w:eastAsia="Times New Roman" w:hAnsi="Times New Roman" w:cs="Times New Roman"/>
        </w:rPr>
        <w:t>:</w:t>
      </w:r>
      <w:r w:rsidR="00CA04F6">
        <w:rPr>
          <w:rFonts w:ascii="Times New Roman" w:eastAsia="Times New Roman" w:hAnsi="Times New Roman" w:cs="Times New Roman"/>
        </w:rPr>
        <w:t xml:space="preserve"> </w:t>
      </w:r>
      <w:r w:rsidR="00B22DFB">
        <w:rPr>
          <w:rFonts w:ascii="Times New Roman" w:eastAsia="Times New Roman" w:hAnsi="Times New Roman" w:cs="Times New Roman"/>
        </w:rPr>
        <w:t>a</w:t>
      </w:r>
      <w:r w:rsidR="00CA04F6">
        <w:rPr>
          <w:rFonts w:ascii="Times New Roman" w:eastAsia="Times New Roman" w:hAnsi="Times New Roman" w:cs="Times New Roman"/>
        </w:rPr>
        <w:t>rticles should be the most resilient and earliest-acquired</w:t>
      </w:r>
      <w:r w:rsidR="006518B2">
        <w:rPr>
          <w:rFonts w:ascii="Times New Roman" w:eastAsia="Times New Roman" w:hAnsi="Times New Roman" w:cs="Times New Roman"/>
        </w:rPr>
        <w:t xml:space="preserve">, DOM and subjunctive </w:t>
      </w:r>
      <w:r w:rsidR="009109CB">
        <w:rPr>
          <w:rFonts w:ascii="Times New Roman" w:eastAsia="Times New Roman" w:hAnsi="Times New Roman" w:cs="Times New Roman"/>
        </w:rPr>
        <w:t xml:space="preserve">should </w:t>
      </w:r>
      <w:r w:rsidR="006518B2">
        <w:rPr>
          <w:rFonts w:ascii="Times New Roman" w:eastAsia="Times New Roman" w:hAnsi="Times New Roman" w:cs="Times New Roman"/>
        </w:rPr>
        <w:t>show equal</w:t>
      </w:r>
      <w:r w:rsidR="000327BB">
        <w:rPr>
          <w:rFonts w:ascii="Times New Roman" w:eastAsia="Times New Roman" w:hAnsi="Times New Roman" w:cs="Times New Roman"/>
        </w:rPr>
        <w:t xml:space="preserve"> </w:t>
      </w:r>
      <w:r w:rsidR="000D0BCA">
        <w:rPr>
          <w:rFonts w:ascii="Times New Roman" w:eastAsia="Times New Roman" w:hAnsi="Times New Roman" w:cs="Times New Roman"/>
        </w:rPr>
        <w:t>levels of acquisitional difficulty</w:t>
      </w:r>
      <w:r w:rsidR="009109CB">
        <w:rPr>
          <w:rFonts w:ascii="Times New Roman" w:eastAsia="Times New Roman" w:hAnsi="Times New Roman" w:cs="Times New Roman"/>
        </w:rPr>
        <w:t xml:space="preserve">, and </w:t>
      </w:r>
      <w:r w:rsidR="009109CB">
        <w:rPr>
          <w:rFonts w:ascii="Times New Roman" w:eastAsia="Times New Roman" w:hAnsi="Times New Roman" w:cs="Times New Roman"/>
        </w:rPr>
        <w:t xml:space="preserve">clitics </w:t>
      </w:r>
      <w:r w:rsidR="0034123E">
        <w:rPr>
          <w:rFonts w:ascii="Times New Roman" w:eastAsia="Times New Roman" w:hAnsi="Times New Roman" w:cs="Times New Roman"/>
        </w:rPr>
        <w:t>would purportedly</w:t>
      </w:r>
      <w:r w:rsidR="009109CB">
        <w:rPr>
          <w:rFonts w:ascii="Times New Roman" w:eastAsia="Times New Roman" w:hAnsi="Times New Roman" w:cs="Times New Roman"/>
        </w:rPr>
        <w:t xml:space="preserve"> result in</w:t>
      </w:r>
      <w:r w:rsidR="009109CB">
        <w:rPr>
          <w:rFonts w:ascii="Times New Roman" w:eastAsia="Times New Roman" w:hAnsi="Times New Roman" w:cs="Times New Roman"/>
        </w:rPr>
        <w:t xml:space="preserve"> the lowest target-like production because they </w:t>
      </w:r>
      <w:r w:rsidR="009109CB">
        <w:rPr>
          <w:rFonts w:ascii="Times New Roman" w:eastAsia="Times New Roman" w:hAnsi="Times New Roman" w:cs="Times New Roman"/>
        </w:rPr>
        <w:t>are both late-acquired and interface-dependent</w:t>
      </w:r>
      <w:r w:rsidR="00CA04F6">
        <w:rPr>
          <w:rFonts w:ascii="Times New Roman" w:eastAsia="Times New Roman" w:hAnsi="Times New Roman" w:cs="Times New Roman"/>
        </w:rPr>
        <w:t>.</w:t>
      </w:r>
    </w:p>
    <w:p w14:paraId="35822A6B" w14:textId="1BBCD919" w:rsidR="00CD612E" w:rsidRDefault="00C36982" w:rsidP="00FA3C64">
      <w:pPr>
        <w:ind w:firstLine="720"/>
        <w:jc w:val="both"/>
        <w:rPr>
          <w:rFonts w:ascii="Times New Roman" w:eastAsia="Times New Roman" w:hAnsi="Times New Roman" w:cs="Times New Roman"/>
        </w:rPr>
      </w:pPr>
      <w:r w:rsidRPr="005E3CE5">
        <w:rPr>
          <w:rFonts w:ascii="Times New Roman" w:eastAsia="Times New Roman" w:hAnsi="Times New Roman" w:cs="Times New Roman"/>
        </w:rPr>
        <w:t>24 HSs and 5</w:t>
      </w:r>
      <w:r w:rsidR="00B550AF">
        <w:rPr>
          <w:rFonts w:ascii="Times New Roman" w:eastAsia="Times New Roman" w:hAnsi="Times New Roman" w:cs="Times New Roman"/>
        </w:rPr>
        <w:t>4</w:t>
      </w:r>
      <w:r w:rsidRPr="005E3CE5">
        <w:rPr>
          <w:rFonts w:ascii="Times New Roman" w:eastAsia="Times New Roman" w:hAnsi="Times New Roman" w:cs="Times New Roman"/>
        </w:rPr>
        <w:t xml:space="preserve"> L2Ls</w:t>
      </w:r>
      <w:r w:rsidR="00C83FEA" w:rsidRPr="005E3CE5">
        <w:rPr>
          <w:rFonts w:ascii="Times New Roman" w:eastAsia="Times New Roman" w:hAnsi="Times New Roman" w:cs="Times New Roman"/>
        </w:rPr>
        <w:t xml:space="preserve"> </w:t>
      </w:r>
      <w:r>
        <w:rPr>
          <w:rFonts w:ascii="Times New Roman" w:eastAsia="Times New Roman" w:hAnsi="Times New Roman" w:cs="Times New Roman"/>
        </w:rPr>
        <w:t xml:space="preserve">(ages </w:t>
      </w:r>
      <w:r w:rsidR="00C83FEA" w:rsidRPr="005E3CE5">
        <w:rPr>
          <w:rFonts w:ascii="Times New Roman" w:eastAsia="Times New Roman" w:hAnsi="Times New Roman" w:cs="Times New Roman"/>
        </w:rPr>
        <w:t>7</w:t>
      </w:r>
      <w:r>
        <w:rPr>
          <w:rFonts w:ascii="Times New Roman" w:eastAsia="Times New Roman" w:hAnsi="Times New Roman" w:cs="Times New Roman"/>
        </w:rPr>
        <w:t>-14)</w:t>
      </w:r>
      <w:r w:rsidR="00C83FEA" w:rsidRPr="005E3CE5">
        <w:rPr>
          <w:rFonts w:ascii="Times New Roman" w:eastAsia="Times New Roman" w:hAnsi="Times New Roman" w:cs="Times New Roman"/>
        </w:rPr>
        <w:t xml:space="preserve"> </w:t>
      </w:r>
      <w:r w:rsidR="00DA73B0">
        <w:rPr>
          <w:rFonts w:ascii="Times New Roman" w:eastAsia="Times New Roman" w:hAnsi="Times New Roman" w:cs="Times New Roman"/>
        </w:rPr>
        <w:t>completed the experiment</w:t>
      </w:r>
      <w:r w:rsidR="00C83FEA" w:rsidRPr="005E3CE5">
        <w:rPr>
          <w:rFonts w:ascii="Times New Roman" w:eastAsia="Times New Roman" w:hAnsi="Times New Roman" w:cs="Times New Roman"/>
        </w:rPr>
        <w:t>. Children were in three age ranges: second grade (ages 7-8), fourt</w:t>
      </w:r>
      <w:r>
        <w:rPr>
          <w:rFonts w:ascii="Times New Roman" w:eastAsia="Times New Roman" w:hAnsi="Times New Roman" w:cs="Times New Roman"/>
        </w:rPr>
        <w:t>h/</w:t>
      </w:r>
      <w:r w:rsidR="00C83FEA" w:rsidRPr="005E3CE5">
        <w:rPr>
          <w:rFonts w:ascii="Times New Roman" w:eastAsia="Times New Roman" w:hAnsi="Times New Roman" w:cs="Times New Roman"/>
        </w:rPr>
        <w:t>fifth grade (ages 9-11), and seventh</w:t>
      </w:r>
      <w:r>
        <w:rPr>
          <w:rFonts w:ascii="Times New Roman" w:eastAsia="Times New Roman" w:hAnsi="Times New Roman" w:cs="Times New Roman"/>
        </w:rPr>
        <w:t>/</w:t>
      </w:r>
      <w:r w:rsidR="00C83FEA" w:rsidRPr="005E3CE5">
        <w:rPr>
          <w:rFonts w:ascii="Times New Roman" w:eastAsia="Times New Roman" w:hAnsi="Times New Roman" w:cs="Times New Roman"/>
        </w:rPr>
        <w:t>eighth grade (ages 12-14).</w:t>
      </w:r>
      <w:r w:rsidR="00DA73B0">
        <w:rPr>
          <w:rFonts w:ascii="Times New Roman" w:eastAsia="Times New Roman" w:hAnsi="Times New Roman" w:cs="Times New Roman"/>
        </w:rPr>
        <w:t xml:space="preserve"> </w:t>
      </w:r>
      <w:r w:rsidR="00C83FEA" w:rsidRPr="005E3CE5">
        <w:rPr>
          <w:rFonts w:ascii="Times New Roman" w:eastAsia="Times New Roman" w:hAnsi="Times New Roman" w:cs="Times New Roman"/>
          <w:color w:val="000000"/>
        </w:rPr>
        <w:t>Results, summarized in Figure 1 and supported through binomial logistic reg</w:t>
      </w:r>
      <w:r w:rsidR="00C83FEA" w:rsidRPr="008D1465">
        <w:rPr>
          <w:rFonts w:ascii="Times New Roman" w:eastAsia="Times New Roman" w:hAnsi="Times New Roman" w:cs="Times New Roman"/>
          <w:color w:val="000000"/>
        </w:rPr>
        <w:t xml:space="preserve">ression, </w:t>
      </w:r>
      <w:r w:rsidR="008D1465">
        <w:rPr>
          <w:rFonts w:ascii="Times New Roman" w:eastAsia="Times New Roman" w:hAnsi="Times New Roman" w:cs="Times New Roman"/>
          <w:color w:val="000000"/>
        </w:rPr>
        <w:t xml:space="preserve">did not reveal </w:t>
      </w:r>
      <w:r w:rsidR="002C6E6C">
        <w:rPr>
          <w:rFonts w:ascii="Times New Roman" w:eastAsia="Times New Roman" w:hAnsi="Times New Roman" w:cs="Times New Roman"/>
          <w:color w:val="000000"/>
        </w:rPr>
        <w:t>that L2Ls differed significantly</w:t>
      </w:r>
      <w:r w:rsidR="002C6E6C">
        <w:rPr>
          <w:rFonts w:ascii="Times New Roman" w:eastAsia="Times New Roman" w:hAnsi="Times New Roman" w:cs="Times New Roman"/>
        </w:rPr>
        <w:t xml:space="preserve"> </w:t>
      </w:r>
      <w:r w:rsidR="008D1465" w:rsidRPr="008D1465">
        <w:rPr>
          <w:rFonts w:ascii="Times New Roman" w:eastAsia="Times New Roman" w:hAnsi="Times New Roman" w:cs="Times New Roman"/>
        </w:rPr>
        <w:t>from HSs (</w:t>
      </w:r>
      <w:r w:rsidR="008D1465" w:rsidRPr="008D1465">
        <w:rPr>
          <w:rFonts w:ascii="Times New Roman" w:eastAsia="Times New Roman" w:hAnsi="Times New Roman" w:cs="Times New Roman"/>
          <w:i/>
          <w:iCs/>
        </w:rPr>
        <w:t>β</w:t>
      </w:r>
      <w:r w:rsidR="008D1465" w:rsidRPr="008D1465">
        <w:rPr>
          <w:rFonts w:ascii="Times New Roman" w:eastAsia="Times New Roman" w:hAnsi="Times New Roman" w:cs="Times New Roman"/>
        </w:rPr>
        <w:t xml:space="preserve"> = –0.</w:t>
      </w:r>
      <w:r w:rsidR="00FA3C64">
        <w:rPr>
          <w:rFonts w:ascii="Times New Roman" w:eastAsia="Times New Roman" w:hAnsi="Times New Roman" w:cs="Times New Roman"/>
        </w:rPr>
        <w:t>62,</w:t>
      </w:r>
      <w:r w:rsidR="008D1465" w:rsidRPr="008D1465">
        <w:rPr>
          <w:rFonts w:ascii="Times New Roman" w:eastAsia="Times New Roman" w:hAnsi="Times New Roman" w:cs="Times New Roman"/>
        </w:rPr>
        <w:t xml:space="preserve"> </w:t>
      </w:r>
      <w:r w:rsidR="008D1465" w:rsidRPr="008D1465">
        <w:rPr>
          <w:rFonts w:ascii="Times New Roman" w:eastAsia="Times New Roman" w:hAnsi="Times New Roman" w:cs="Times New Roman"/>
          <w:i/>
          <w:iCs/>
        </w:rPr>
        <w:t>p</w:t>
      </w:r>
      <w:r w:rsidR="008D1465" w:rsidRPr="008D1465">
        <w:rPr>
          <w:rFonts w:ascii="Times New Roman" w:eastAsia="Times New Roman" w:hAnsi="Times New Roman" w:cs="Times New Roman"/>
        </w:rPr>
        <w:t xml:space="preserve"> = .1</w:t>
      </w:r>
      <w:r w:rsidR="00FA3C64">
        <w:rPr>
          <w:rFonts w:ascii="Times New Roman" w:eastAsia="Times New Roman" w:hAnsi="Times New Roman" w:cs="Times New Roman"/>
        </w:rPr>
        <w:t>21</w:t>
      </w:r>
      <w:r w:rsidR="008D1465" w:rsidRPr="005E3CE5">
        <w:rPr>
          <w:rFonts w:ascii="Times New Roman" w:eastAsia="Times New Roman" w:hAnsi="Times New Roman" w:cs="Times New Roman"/>
        </w:rPr>
        <w:t>)</w:t>
      </w:r>
      <w:r w:rsidR="002C6E6C">
        <w:rPr>
          <w:rFonts w:ascii="Times New Roman" w:eastAsia="Times New Roman" w:hAnsi="Times New Roman" w:cs="Times New Roman"/>
        </w:rPr>
        <w:t>, although age in months predicted increased target-like production (</w:t>
      </w:r>
      <w:r w:rsidR="002C6E6C" w:rsidRPr="008D1465">
        <w:rPr>
          <w:rFonts w:ascii="Times New Roman" w:eastAsia="Times New Roman" w:hAnsi="Times New Roman" w:cs="Times New Roman"/>
          <w:i/>
          <w:iCs/>
        </w:rPr>
        <w:t>β</w:t>
      </w:r>
      <w:r w:rsidR="002C6E6C" w:rsidRPr="008D1465">
        <w:rPr>
          <w:rFonts w:ascii="Times New Roman" w:eastAsia="Times New Roman" w:hAnsi="Times New Roman" w:cs="Times New Roman"/>
        </w:rPr>
        <w:t xml:space="preserve"> =</w:t>
      </w:r>
      <w:r w:rsidR="00667A71">
        <w:rPr>
          <w:rFonts w:ascii="Times New Roman" w:eastAsia="Times New Roman" w:hAnsi="Times New Roman" w:cs="Times New Roman"/>
        </w:rPr>
        <w:t xml:space="preserve"> </w:t>
      </w:r>
      <w:r w:rsidR="00FA3C64">
        <w:rPr>
          <w:rFonts w:ascii="Times New Roman" w:eastAsia="Times New Roman" w:hAnsi="Times New Roman" w:cs="Times New Roman"/>
        </w:rPr>
        <w:t xml:space="preserve">0.39, </w:t>
      </w:r>
      <w:r w:rsidR="00FA3C64">
        <w:rPr>
          <w:rFonts w:ascii="Times New Roman" w:eastAsia="Times New Roman" w:hAnsi="Times New Roman" w:cs="Times New Roman"/>
          <w:i/>
          <w:iCs/>
        </w:rPr>
        <w:t>p</w:t>
      </w:r>
      <w:r w:rsidR="00FA3C64">
        <w:rPr>
          <w:rFonts w:ascii="Times New Roman" w:eastAsia="Times New Roman" w:hAnsi="Times New Roman" w:cs="Times New Roman"/>
        </w:rPr>
        <w:t xml:space="preserve"> = .031</w:t>
      </w:r>
      <w:r w:rsidR="002C6E6C">
        <w:rPr>
          <w:rFonts w:ascii="Times New Roman" w:eastAsia="Times New Roman" w:hAnsi="Times New Roman" w:cs="Times New Roman"/>
        </w:rPr>
        <w:t>).</w:t>
      </w:r>
      <w:r w:rsidR="00FA3C64">
        <w:rPr>
          <w:rFonts w:ascii="Times New Roman" w:eastAsia="Times New Roman" w:hAnsi="Times New Roman" w:cs="Times New Roman"/>
        </w:rPr>
        <w:t xml:space="preserve"> </w:t>
      </w:r>
      <w:r w:rsidR="00FA3C64">
        <w:rPr>
          <w:rFonts w:ascii="Times New Roman" w:eastAsia="Times New Roman" w:hAnsi="Times New Roman" w:cs="Times New Roman"/>
          <w:color w:val="000000"/>
        </w:rPr>
        <w:t>L</w:t>
      </w:r>
      <w:r w:rsidR="008D1465" w:rsidRPr="008D1465">
        <w:rPr>
          <w:rFonts w:ascii="Times New Roman" w:eastAsia="Times New Roman" w:hAnsi="Times New Roman" w:cs="Times New Roman"/>
          <w:color w:val="000000"/>
        </w:rPr>
        <w:t xml:space="preserve">ate-acquired structures resulted in significantly lower production </w:t>
      </w:r>
      <w:r w:rsidR="00C83FEA" w:rsidRPr="008D1465">
        <w:rPr>
          <w:rFonts w:ascii="Times New Roman" w:eastAsia="Times New Roman" w:hAnsi="Times New Roman" w:cs="Times New Roman"/>
          <w:color w:val="000000"/>
        </w:rPr>
        <w:t>(</w:t>
      </w:r>
      <w:r w:rsidR="00C83FEA" w:rsidRPr="008D1465">
        <w:rPr>
          <w:rFonts w:ascii="Times New Roman" w:eastAsia="Times New Roman" w:hAnsi="Times New Roman" w:cs="Times New Roman"/>
          <w:i/>
          <w:iCs/>
          <w:color w:val="000000"/>
        </w:rPr>
        <w:t>β</w:t>
      </w:r>
      <w:r w:rsidR="00C83FEA" w:rsidRPr="008D1465">
        <w:rPr>
          <w:rFonts w:ascii="Times New Roman" w:eastAsia="Times New Roman" w:hAnsi="Times New Roman" w:cs="Times New Roman"/>
          <w:color w:val="000000"/>
        </w:rPr>
        <w:t xml:space="preserve"> = </w:t>
      </w:r>
      <w:r w:rsidR="008D1465" w:rsidRPr="008D1465">
        <w:rPr>
          <w:rFonts w:ascii="Times New Roman" w:eastAsia="Times New Roman" w:hAnsi="Times New Roman" w:cs="Times New Roman"/>
          <w:color w:val="000000"/>
        </w:rPr>
        <w:t>–</w:t>
      </w:r>
      <w:r w:rsidR="006947C4" w:rsidRPr="008D1465">
        <w:rPr>
          <w:rFonts w:ascii="Times New Roman" w:eastAsia="Times New Roman" w:hAnsi="Times New Roman" w:cs="Times New Roman"/>
          <w:color w:val="000000"/>
        </w:rPr>
        <w:t>2.</w:t>
      </w:r>
      <w:r w:rsidR="003C0A6A">
        <w:rPr>
          <w:rFonts w:ascii="Times New Roman" w:eastAsia="Times New Roman" w:hAnsi="Times New Roman" w:cs="Times New Roman"/>
          <w:color w:val="000000"/>
        </w:rPr>
        <w:t>78</w:t>
      </w:r>
      <w:r w:rsidR="00C83FEA" w:rsidRPr="008D1465">
        <w:rPr>
          <w:rFonts w:ascii="Times New Roman" w:eastAsia="Times New Roman" w:hAnsi="Times New Roman" w:cs="Times New Roman"/>
        </w:rPr>
        <w:t xml:space="preserve">, </w:t>
      </w:r>
      <w:r w:rsidR="00C83FEA" w:rsidRPr="008D1465">
        <w:rPr>
          <w:rFonts w:ascii="Times New Roman" w:eastAsia="Times New Roman" w:hAnsi="Times New Roman" w:cs="Times New Roman"/>
          <w:i/>
          <w:iCs/>
        </w:rPr>
        <w:t>p</w:t>
      </w:r>
      <w:r w:rsidR="00C83FEA" w:rsidRPr="008D1465">
        <w:rPr>
          <w:rFonts w:ascii="Times New Roman" w:eastAsia="Times New Roman" w:hAnsi="Times New Roman" w:cs="Times New Roman"/>
        </w:rPr>
        <w:t xml:space="preserve"> &lt; .001</w:t>
      </w:r>
      <w:r w:rsidR="00C83FEA" w:rsidRPr="008D1465">
        <w:rPr>
          <w:rFonts w:ascii="Times New Roman" w:eastAsia="Times New Roman" w:hAnsi="Times New Roman" w:cs="Times New Roman"/>
          <w:color w:val="000000"/>
        </w:rPr>
        <w:t>)</w:t>
      </w:r>
      <w:r w:rsidR="008D1465" w:rsidRPr="008D1465">
        <w:rPr>
          <w:rFonts w:ascii="Times New Roman" w:eastAsia="Times New Roman" w:hAnsi="Times New Roman" w:cs="Times New Roman"/>
          <w:color w:val="000000"/>
        </w:rPr>
        <w:t>, but interface structures did not (</w:t>
      </w:r>
      <w:r w:rsidR="008D1465" w:rsidRPr="008D1465">
        <w:rPr>
          <w:rFonts w:ascii="Times New Roman" w:eastAsia="Times New Roman" w:hAnsi="Times New Roman" w:cs="Times New Roman"/>
          <w:i/>
          <w:iCs/>
          <w:color w:val="000000"/>
        </w:rPr>
        <w:t>β</w:t>
      </w:r>
      <w:r w:rsidR="008D1465" w:rsidRPr="008D1465">
        <w:rPr>
          <w:rFonts w:ascii="Times New Roman" w:eastAsia="Times New Roman" w:hAnsi="Times New Roman" w:cs="Times New Roman"/>
          <w:color w:val="000000"/>
        </w:rPr>
        <w:t xml:space="preserve"> =</w:t>
      </w:r>
      <w:r w:rsidR="008D1465" w:rsidRPr="008D1465">
        <w:rPr>
          <w:rFonts w:ascii="Times New Roman" w:eastAsia="Times New Roman" w:hAnsi="Times New Roman" w:cs="Times New Roman"/>
          <w:color w:val="000000"/>
        </w:rPr>
        <w:t xml:space="preserve"> –0.</w:t>
      </w:r>
      <w:r w:rsidR="003C0A6A">
        <w:rPr>
          <w:rFonts w:ascii="Times New Roman" w:eastAsia="Times New Roman" w:hAnsi="Times New Roman" w:cs="Times New Roman"/>
          <w:color w:val="000000"/>
        </w:rPr>
        <w:t>76</w:t>
      </w:r>
      <w:r w:rsidR="008D1465" w:rsidRPr="008D1465">
        <w:rPr>
          <w:rFonts w:ascii="Times New Roman" w:eastAsia="Times New Roman" w:hAnsi="Times New Roman" w:cs="Times New Roman"/>
          <w:color w:val="000000"/>
        </w:rPr>
        <w:t xml:space="preserve">, </w:t>
      </w:r>
      <w:r w:rsidR="008D1465" w:rsidRPr="008D1465">
        <w:rPr>
          <w:rFonts w:ascii="Times New Roman" w:eastAsia="Times New Roman" w:hAnsi="Times New Roman" w:cs="Times New Roman"/>
          <w:i/>
          <w:iCs/>
          <w:color w:val="000000"/>
        </w:rPr>
        <w:t>p</w:t>
      </w:r>
      <w:r w:rsidR="008D1465" w:rsidRPr="008D1465">
        <w:rPr>
          <w:rFonts w:ascii="Times New Roman" w:eastAsia="Times New Roman" w:hAnsi="Times New Roman" w:cs="Times New Roman"/>
          <w:color w:val="000000"/>
        </w:rPr>
        <w:t xml:space="preserve"> = .</w:t>
      </w:r>
      <w:r w:rsidR="003C0A6A">
        <w:rPr>
          <w:rFonts w:ascii="Times New Roman" w:eastAsia="Times New Roman" w:hAnsi="Times New Roman" w:cs="Times New Roman"/>
          <w:color w:val="000000"/>
        </w:rPr>
        <w:t>146</w:t>
      </w:r>
      <w:r w:rsidR="008D1465" w:rsidRPr="008D1465">
        <w:rPr>
          <w:rFonts w:ascii="Times New Roman" w:eastAsia="Times New Roman" w:hAnsi="Times New Roman" w:cs="Times New Roman"/>
          <w:color w:val="000000"/>
        </w:rPr>
        <w:t>)</w:t>
      </w:r>
      <w:r w:rsidR="00C83FEA" w:rsidRPr="008D1465">
        <w:rPr>
          <w:rFonts w:ascii="Times New Roman" w:eastAsia="Times New Roman" w:hAnsi="Times New Roman" w:cs="Times New Roman"/>
          <w:color w:val="000000"/>
        </w:rPr>
        <w:t xml:space="preserve">. </w:t>
      </w:r>
      <w:r w:rsidR="00C83FEA" w:rsidRPr="005E3CE5">
        <w:rPr>
          <w:rFonts w:ascii="Times New Roman" w:eastAsia="Times New Roman" w:hAnsi="Times New Roman" w:cs="Times New Roman"/>
        </w:rPr>
        <w:t xml:space="preserve">Children were strongest with articles, </w:t>
      </w:r>
      <w:r w:rsidR="00CD612E">
        <w:rPr>
          <w:rFonts w:ascii="Times New Roman" w:eastAsia="Times New Roman" w:hAnsi="Times New Roman" w:cs="Times New Roman"/>
        </w:rPr>
        <w:t xml:space="preserve">produced equal </w:t>
      </w:r>
      <w:r w:rsidR="00794509">
        <w:rPr>
          <w:rFonts w:ascii="Times New Roman" w:eastAsia="Times New Roman" w:hAnsi="Times New Roman" w:cs="Times New Roman"/>
        </w:rPr>
        <w:t xml:space="preserve">target </w:t>
      </w:r>
      <w:r w:rsidR="00CD612E">
        <w:rPr>
          <w:rFonts w:ascii="Times New Roman" w:eastAsia="Times New Roman" w:hAnsi="Times New Roman" w:cs="Times New Roman"/>
        </w:rPr>
        <w:t xml:space="preserve">rates of </w:t>
      </w:r>
      <w:r w:rsidR="00C83FEA" w:rsidRPr="005E3CE5">
        <w:rPr>
          <w:rFonts w:ascii="Times New Roman" w:eastAsia="Times New Roman" w:hAnsi="Times New Roman" w:cs="Times New Roman"/>
        </w:rPr>
        <w:t>clitics and DOM</w:t>
      </w:r>
      <w:r w:rsidR="00CD612E">
        <w:rPr>
          <w:rFonts w:ascii="Times New Roman" w:eastAsia="Times New Roman" w:hAnsi="Times New Roman" w:cs="Times New Roman"/>
        </w:rPr>
        <w:t>,</w:t>
      </w:r>
      <w:r w:rsidR="00C83FEA" w:rsidRPr="005E3CE5">
        <w:rPr>
          <w:rFonts w:ascii="Times New Roman" w:eastAsia="Times New Roman" w:hAnsi="Times New Roman" w:cs="Times New Roman"/>
        </w:rPr>
        <w:t xml:space="preserve"> and </w:t>
      </w:r>
      <w:r w:rsidR="00CD612E">
        <w:rPr>
          <w:rFonts w:ascii="Times New Roman" w:eastAsia="Times New Roman" w:hAnsi="Times New Roman" w:cs="Times New Roman"/>
        </w:rPr>
        <w:t>showed the</w:t>
      </w:r>
      <w:r w:rsidR="005A3EF7">
        <w:rPr>
          <w:rFonts w:ascii="Times New Roman" w:eastAsia="Times New Roman" w:hAnsi="Times New Roman" w:cs="Times New Roman"/>
        </w:rPr>
        <w:t xml:space="preserve"> lowest target</w:t>
      </w:r>
      <w:r w:rsidR="00CD612E">
        <w:rPr>
          <w:rFonts w:ascii="Times New Roman" w:eastAsia="Times New Roman" w:hAnsi="Times New Roman" w:cs="Times New Roman"/>
        </w:rPr>
        <w:t xml:space="preserve"> </w:t>
      </w:r>
      <w:r w:rsidR="005A3EF7">
        <w:rPr>
          <w:rFonts w:ascii="Times New Roman" w:eastAsia="Times New Roman" w:hAnsi="Times New Roman" w:cs="Times New Roman"/>
        </w:rPr>
        <w:t>production of</w:t>
      </w:r>
      <w:r w:rsidR="00C83FEA" w:rsidRPr="005E3CE5">
        <w:rPr>
          <w:rFonts w:ascii="Times New Roman" w:eastAsia="Times New Roman" w:hAnsi="Times New Roman" w:cs="Times New Roman"/>
        </w:rPr>
        <w:t xml:space="preserve"> the subjunctive.</w:t>
      </w:r>
    </w:p>
    <w:p w14:paraId="13FE2D12" w14:textId="24935DAB" w:rsidR="00C83FEA" w:rsidRPr="00DA73B0" w:rsidRDefault="00C83FEA" w:rsidP="00CD612E">
      <w:pPr>
        <w:ind w:firstLine="720"/>
        <w:jc w:val="both"/>
        <w:rPr>
          <w:rFonts w:ascii="Times New Roman" w:eastAsia="Times New Roman" w:hAnsi="Times New Roman" w:cs="Times New Roman"/>
        </w:rPr>
      </w:pPr>
      <w:r w:rsidRPr="005E3CE5">
        <w:rPr>
          <w:rFonts w:ascii="Times New Roman" w:eastAsia="Times New Roman" w:hAnsi="Times New Roman" w:cs="Times New Roman"/>
          <w:color w:val="000000"/>
        </w:rPr>
        <w:t xml:space="preserve">Our results point towards difficulties </w:t>
      </w:r>
      <w:r w:rsidRPr="005E3CE5">
        <w:rPr>
          <w:rFonts w:ascii="Times New Roman" w:eastAsia="Times New Roman" w:hAnsi="Times New Roman" w:cs="Times New Roman"/>
        </w:rPr>
        <w:t>mastering</w:t>
      </w:r>
      <w:r w:rsidRPr="005E3CE5">
        <w:rPr>
          <w:rFonts w:ascii="Times New Roman" w:eastAsia="Times New Roman" w:hAnsi="Times New Roman" w:cs="Times New Roman"/>
          <w:color w:val="000000"/>
        </w:rPr>
        <w:t xml:space="preserve"> </w:t>
      </w:r>
      <w:r w:rsidRPr="005E3CE5">
        <w:rPr>
          <w:rFonts w:ascii="Times New Roman" w:eastAsia="Times New Roman" w:hAnsi="Times New Roman" w:cs="Times New Roman"/>
        </w:rPr>
        <w:t xml:space="preserve">late-acquired structures after years of </w:t>
      </w:r>
      <w:r w:rsidR="002A3DD4">
        <w:rPr>
          <w:rFonts w:ascii="Times New Roman" w:eastAsia="Times New Roman" w:hAnsi="Times New Roman" w:cs="Times New Roman"/>
        </w:rPr>
        <w:t>TWI</w:t>
      </w:r>
      <w:r w:rsidRPr="005E3CE5">
        <w:rPr>
          <w:rFonts w:ascii="Times New Roman" w:eastAsia="Times New Roman" w:hAnsi="Times New Roman" w:cs="Times New Roman"/>
        </w:rPr>
        <w:t xml:space="preserve"> instruction.</w:t>
      </w:r>
      <w:r w:rsidR="00CD612E">
        <w:rPr>
          <w:rFonts w:ascii="Times New Roman" w:eastAsia="Times New Roman" w:hAnsi="Times New Roman" w:cs="Times New Roman"/>
        </w:rPr>
        <w:t xml:space="preserve"> </w:t>
      </w:r>
      <w:r w:rsidR="00B6421D">
        <w:rPr>
          <w:rFonts w:ascii="Times New Roman" w:eastAsia="Times New Roman" w:hAnsi="Times New Roman" w:cs="Times New Roman"/>
        </w:rPr>
        <w:t>C</w:t>
      </w:r>
      <w:r w:rsidRPr="005E3CE5">
        <w:rPr>
          <w:rFonts w:ascii="Times New Roman" w:eastAsia="Times New Roman" w:hAnsi="Times New Roman" w:cs="Times New Roman"/>
        </w:rPr>
        <w:t xml:space="preserve">hildren may </w:t>
      </w:r>
      <w:r w:rsidR="00B6421D">
        <w:rPr>
          <w:rFonts w:ascii="Times New Roman" w:eastAsia="Times New Roman" w:hAnsi="Times New Roman" w:cs="Times New Roman"/>
        </w:rPr>
        <w:t xml:space="preserve">therefore </w:t>
      </w:r>
      <w:r w:rsidRPr="005E3CE5">
        <w:rPr>
          <w:rFonts w:ascii="Times New Roman" w:eastAsia="Times New Roman" w:hAnsi="Times New Roman" w:cs="Times New Roman"/>
        </w:rPr>
        <w:t>require sustained 90% exposure to Spanish and/or explicit instruction to learn late-acquired structures</w:t>
      </w:r>
      <w:r w:rsidR="00B41294">
        <w:rPr>
          <w:rFonts w:ascii="Times New Roman" w:eastAsia="Times New Roman" w:hAnsi="Times New Roman" w:cs="Times New Roman"/>
        </w:rPr>
        <w:t xml:space="preserve">; </w:t>
      </w:r>
      <w:r w:rsidR="00B90751">
        <w:rPr>
          <w:rFonts w:ascii="Times New Roman" w:eastAsia="Times New Roman" w:hAnsi="Times New Roman" w:cs="Times New Roman"/>
        </w:rPr>
        <w:t xml:space="preserve">this </w:t>
      </w:r>
      <w:r w:rsidR="00AC7369">
        <w:rPr>
          <w:rFonts w:ascii="Times New Roman" w:eastAsia="Times New Roman" w:hAnsi="Times New Roman" w:cs="Times New Roman"/>
        </w:rPr>
        <w:t xml:space="preserve">finding </w:t>
      </w:r>
      <w:r w:rsidR="00B90751">
        <w:rPr>
          <w:rFonts w:ascii="Times New Roman" w:eastAsia="Times New Roman" w:hAnsi="Times New Roman" w:cs="Times New Roman"/>
        </w:rPr>
        <w:t xml:space="preserve">is not </w:t>
      </w:r>
      <w:r w:rsidR="00BD7313">
        <w:rPr>
          <w:rFonts w:ascii="Times New Roman" w:eastAsia="Times New Roman" w:hAnsi="Times New Roman" w:cs="Times New Roman"/>
        </w:rPr>
        <w:t>specific</w:t>
      </w:r>
      <w:r w:rsidR="00B90751">
        <w:rPr>
          <w:rFonts w:ascii="Times New Roman" w:eastAsia="Times New Roman" w:hAnsi="Times New Roman" w:cs="Times New Roman"/>
        </w:rPr>
        <w:t xml:space="preserve"> to </w:t>
      </w:r>
      <w:r w:rsidR="00B41294">
        <w:rPr>
          <w:rFonts w:ascii="Times New Roman" w:eastAsia="Times New Roman" w:hAnsi="Times New Roman" w:cs="Times New Roman"/>
        </w:rPr>
        <w:t xml:space="preserve">L2Ls, </w:t>
      </w:r>
      <w:r w:rsidR="00A50DE2">
        <w:rPr>
          <w:rFonts w:ascii="Times New Roman" w:eastAsia="Times New Roman" w:hAnsi="Times New Roman" w:cs="Times New Roman"/>
        </w:rPr>
        <w:t>as they</w:t>
      </w:r>
      <w:r w:rsidR="00B41294">
        <w:rPr>
          <w:rFonts w:ascii="Times New Roman" w:eastAsia="Times New Roman" w:hAnsi="Times New Roman" w:cs="Times New Roman"/>
        </w:rPr>
        <w:t xml:space="preserve"> did not differ from HSs</w:t>
      </w:r>
      <w:r w:rsidRPr="005E3CE5">
        <w:rPr>
          <w:rFonts w:ascii="Times New Roman" w:eastAsia="Times New Roman" w:hAnsi="Times New Roman" w:cs="Times New Roman"/>
        </w:rPr>
        <w:t>.</w:t>
      </w:r>
      <w:r w:rsidR="00DA73B0">
        <w:rPr>
          <w:rFonts w:ascii="Times New Roman" w:eastAsia="Times New Roman" w:hAnsi="Times New Roman" w:cs="Times New Roman"/>
        </w:rPr>
        <w:t xml:space="preserve"> </w:t>
      </w:r>
      <w:r w:rsidR="00B6421D">
        <w:rPr>
          <w:rFonts w:ascii="Times New Roman" w:eastAsia="Times New Roman" w:hAnsi="Times New Roman" w:cs="Times New Roman"/>
        </w:rPr>
        <w:t>T</w:t>
      </w:r>
      <w:r w:rsidR="002A3DD4">
        <w:rPr>
          <w:rFonts w:ascii="Times New Roman" w:eastAsia="Times New Roman" w:hAnsi="Times New Roman" w:cs="Times New Roman"/>
        </w:rPr>
        <w:t xml:space="preserve">he hypothesized </w:t>
      </w:r>
      <w:r w:rsidR="00B6421D">
        <w:rPr>
          <w:rFonts w:ascii="Times New Roman" w:eastAsia="Times New Roman" w:hAnsi="Times New Roman" w:cs="Times New Roman"/>
        </w:rPr>
        <w:t xml:space="preserve">hierarchy </w:t>
      </w:r>
      <w:r w:rsidR="002A3DD4">
        <w:rPr>
          <w:rFonts w:ascii="Times New Roman" w:eastAsia="Times New Roman" w:hAnsi="Times New Roman" w:cs="Times New Roman"/>
        </w:rPr>
        <w:t>of difficulty did not predict the order of acquisition of the structures tested, as subjunctive proved to be more challenging than clitics and DOM</w:t>
      </w:r>
      <w:r w:rsidR="001850F1">
        <w:rPr>
          <w:rFonts w:ascii="Times New Roman" w:eastAsia="Times New Roman" w:hAnsi="Times New Roman" w:cs="Times New Roman"/>
        </w:rPr>
        <w:t>, and interface variability did not account for results</w:t>
      </w:r>
      <w:r w:rsidR="002A3DD4">
        <w:rPr>
          <w:rFonts w:ascii="Times New Roman" w:eastAsia="Times New Roman" w:hAnsi="Times New Roman" w:cs="Times New Roman"/>
        </w:rPr>
        <w:t xml:space="preserve">. </w:t>
      </w:r>
      <w:r w:rsidR="00DA73B0">
        <w:rPr>
          <w:rFonts w:ascii="Times New Roman" w:eastAsia="Times New Roman" w:hAnsi="Times New Roman" w:cs="Times New Roman"/>
        </w:rPr>
        <w:t xml:space="preserve">A second data collection session is underway and will result in a larger sample size, including </w:t>
      </w:r>
      <w:r w:rsidR="00B97301">
        <w:rPr>
          <w:rFonts w:ascii="Times New Roman" w:eastAsia="Times New Roman" w:hAnsi="Times New Roman" w:cs="Times New Roman"/>
        </w:rPr>
        <w:t xml:space="preserve">a </w:t>
      </w:r>
      <w:r w:rsidR="00DA73B0">
        <w:rPr>
          <w:rFonts w:ascii="Times New Roman" w:eastAsia="Times New Roman" w:hAnsi="Times New Roman" w:cs="Times New Roman"/>
        </w:rPr>
        <w:t xml:space="preserve">longitudinal </w:t>
      </w:r>
      <w:r w:rsidR="00B97301">
        <w:rPr>
          <w:rFonts w:ascii="Times New Roman" w:eastAsia="Times New Roman" w:hAnsi="Times New Roman" w:cs="Times New Roman"/>
        </w:rPr>
        <w:t xml:space="preserve">subset of </w:t>
      </w:r>
      <w:r w:rsidR="009E29DF">
        <w:rPr>
          <w:rFonts w:ascii="Times New Roman" w:eastAsia="Times New Roman" w:hAnsi="Times New Roman" w:cs="Times New Roman"/>
        </w:rPr>
        <w:t>three</w:t>
      </w:r>
      <w:r w:rsidR="00B97301">
        <w:rPr>
          <w:rFonts w:ascii="Times New Roman" w:eastAsia="Times New Roman" w:hAnsi="Times New Roman" w:cs="Times New Roman"/>
        </w:rPr>
        <w:t>-</w:t>
      </w:r>
      <w:r w:rsidR="009E29DF">
        <w:rPr>
          <w:rFonts w:ascii="Times New Roman" w:eastAsia="Times New Roman" w:hAnsi="Times New Roman" w:cs="Times New Roman"/>
        </w:rPr>
        <w:t>year</w:t>
      </w:r>
      <w:r w:rsidR="00B97301">
        <w:rPr>
          <w:rFonts w:ascii="Times New Roman" w:eastAsia="Times New Roman" w:hAnsi="Times New Roman" w:cs="Times New Roman"/>
        </w:rPr>
        <w:t xml:space="preserve"> growth</w:t>
      </w:r>
      <w:r w:rsidR="00DA73B0">
        <w:rPr>
          <w:rFonts w:ascii="Times New Roman" w:eastAsia="Times New Roman" w:hAnsi="Times New Roman" w:cs="Times New Roman"/>
        </w:rPr>
        <w:t>.</w:t>
      </w:r>
      <w:r w:rsidR="00DA73B0">
        <w:rPr>
          <w:rFonts w:ascii="Times New Roman" w:eastAsia="Times New Roman" w:hAnsi="Times New Roman" w:cs="Times New Roman"/>
        </w:rPr>
        <w:t xml:space="preserve"> We will integrate </w:t>
      </w:r>
      <w:r w:rsidR="003B0F01">
        <w:rPr>
          <w:rFonts w:ascii="Times New Roman" w:eastAsia="Times New Roman" w:hAnsi="Times New Roman" w:cs="Times New Roman"/>
        </w:rPr>
        <w:t xml:space="preserve">this </w:t>
      </w:r>
      <w:r w:rsidR="00DA73B0">
        <w:rPr>
          <w:rFonts w:ascii="Times New Roman" w:eastAsia="Times New Roman" w:hAnsi="Times New Roman" w:cs="Times New Roman"/>
        </w:rPr>
        <w:t>additional data to support these findings prior to the Symposium.</w:t>
      </w:r>
    </w:p>
    <w:p w14:paraId="1913C9F5" w14:textId="77777777" w:rsidR="00C83FEA" w:rsidRPr="005E3CE5" w:rsidRDefault="00C83FEA" w:rsidP="00C83FEA">
      <w:pPr>
        <w:spacing w:after="160" w:line="278" w:lineRule="auto"/>
        <w:rPr>
          <w:rFonts w:ascii="Times New Roman" w:eastAsia="Times New Roman" w:hAnsi="Times New Roman" w:cs="Times New Roman"/>
          <w:highlight w:val="yellow"/>
        </w:rPr>
      </w:pPr>
      <w:r w:rsidRPr="005E3CE5">
        <w:br w:type="page"/>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3372"/>
        <w:gridCol w:w="3373"/>
      </w:tblGrid>
      <w:tr w:rsidR="00C83FEA" w:rsidRPr="005E3CE5" w14:paraId="1588B0D7" w14:textId="77777777" w:rsidTr="00AE74A0">
        <w:tc>
          <w:tcPr>
            <w:tcW w:w="2605" w:type="dxa"/>
            <w:shd w:val="clear" w:color="auto" w:fill="D9D9D9"/>
            <w:vAlign w:val="center"/>
          </w:tcPr>
          <w:p w14:paraId="27377B3F" w14:textId="77777777" w:rsidR="00C83FEA" w:rsidRPr="005E3CE5" w:rsidRDefault="00C83FEA" w:rsidP="00AE74A0">
            <w:pPr>
              <w:jc w:val="center"/>
              <w:rPr>
                <w:rFonts w:ascii="Times New Roman" w:eastAsia="Times New Roman" w:hAnsi="Times New Roman" w:cs="Times New Roman"/>
                <w:b/>
                <w:bCs/>
              </w:rPr>
            </w:pPr>
            <w:r w:rsidRPr="005E3CE5">
              <w:rPr>
                <w:rFonts w:ascii="Times New Roman" w:eastAsia="Times New Roman" w:hAnsi="Times New Roman" w:cs="Times New Roman"/>
                <w:b/>
                <w:bCs/>
              </w:rPr>
              <w:lastRenderedPageBreak/>
              <w:t>Interface</w:t>
            </w:r>
          </w:p>
        </w:tc>
        <w:tc>
          <w:tcPr>
            <w:tcW w:w="3372" w:type="dxa"/>
            <w:shd w:val="clear" w:color="auto" w:fill="D9D9D9"/>
            <w:vAlign w:val="center"/>
          </w:tcPr>
          <w:p w14:paraId="167FDF0E" w14:textId="77777777" w:rsidR="00C83FEA" w:rsidRPr="005E3CE5" w:rsidRDefault="00C83FEA" w:rsidP="00AE74A0">
            <w:pPr>
              <w:jc w:val="center"/>
              <w:rPr>
                <w:rFonts w:ascii="Times New Roman" w:eastAsia="Times New Roman" w:hAnsi="Times New Roman" w:cs="Times New Roman"/>
                <w:b/>
                <w:bCs/>
              </w:rPr>
            </w:pPr>
            <w:r w:rsidRPr="005E3CE5">
              <w:rPr>
                <w:rFonts w:ascii="Times New Roman" w:eastAsia="Times New Roman" w:hAnsi="Times New Roman" w:cs="Times New Roman"/>
                <w:b/>
                <w:bCs/>
              </w:rPr>
              <w:t>Early acquired (before 4;0)</w:t>
            </w:r>
          </w:p>
        </w:tc>
        <w:tc>
          <w:tcPr>
            <w:tcW w:w="3373" w:type="dxa"/>
            <w:shd w:val="clear" w:color="auto" w:fill="D9D9D9"/>
            <w:vAlign w:val="center"/>
          </w:tcPr>
          <w:p w14:paraId="429CD448" w14:textId="77777777" w:rsidR="00C83FEA" w:rsidRPr="005E3CE5" w:rsidRDefault="00C83FEA" w:rsidP="00AE74A0">
            <w:pPr>
              <w:jc w:val="center"/>
              <w:rPr>
                <w:rFonts w:ascii="Times New Roman" w:eastAsia="Times New Roman" w:hAnsi="Times New Roman" w:cs="Times New Roman"/>
                <w:b/>
                <w:bCs/>
              </w:rPr>
            </w:pPr>
            <w:r w:rsidRPr="005E3CE5">
              <w:rPr>
                <w:rFonts w:ascii="Times New Roman" w:eastAsia="Times New Roman" w:hAnsi="Times New Roman" w:cs="Times New Roman"/>
                <w:b/>
                <w:bCs/>
              </w:rPr>
              <w:t>Late acquired (after 4;0)</w:t>
            </w:r>
          </w:p>
        </w:tc>
      </w:tr>
      <w:tr w:rsidR="00C83FEA" w:rsidRPr="005E3CE5" w14:paraId="05B91240" w14:textId="77777777" w:rsidTr="00AE74A0">
        <w:tc>
          <w:tcPr>
            <w:tcW w:w="2605" w:type="dxa"/>
            <w:vAlign w:val="center"/>
          </w:tcPr>
          <w:p w14:paraId="37F4E40D" w14:textId="77777777" w:rsidR="00C83FEA" w:rsidRPr="005E3CE5" w:rsidRDefault="00C83FEA" w:rsidP="00AE74A0">
            <w:pPr>
              <w:rPr>
                <w:rFonts w:ascii="Times New Roman" w:eastAsia="Times New Roman" w:hAnsi="Times New Roman" w:cs="Times New Roman"/>
              </w:rPr>
            </w:pPr>
            <w:r w:rsidRPr="005E3CE5">
              <w:rPr>
                <w:rFonts w:ascii="Times New Roman" w:eastAsia="Times New Roman" w:hAnsi="Times New Roman" w:cs="Times New Roman"/>
              </w:rPr>
              <w:t>No interface (core syntax)</w:t>
            </w:r>
          </w:p>
        </w:tc>
        <w:tc>
          <w:tcPr>
            <w:tcW w:w="3372" w:type="dxa"/>
            <w:vAlign w:val="center"/>
          </w:tcPr>
          <w:p w14:paraId="48DD8630" w14:textId="77777777" w:rsidR="00C83FEA" w:rsidRPr="005E3CE5" w:rsidRDefault="00C83FEA" w:rsidP="00AE74A0">
            <w:pPr>
              <w:jc w:val="center"/>
              <w:rPr>
                <w:rFonts w:ascii="Times New Roman" w:eastAsia="Times New Roman" w:hAnsi="Times New Roman" w:cs="Times New Roman"/>
              </w:rPr>
            </w:pPr>
            <w:r w:rsidRPr="005E3CE5">
              <w:rPr>
                <w:rFonts w:ascii="Times New Roman" w:eastAsia="Times New Roman" w:hAnsi="Times New Roman" w:cs="Times New Roman"/>
              </w:rPr>
              <w:t>Article gender agreement</w:t>
            </w:r>
          </w:p>
          <w:p w14:paraId="7571B381" w14:textId="19347EEB" w:rsidR="00C83FEA" w:rsidRPr="005E3CE5" w:rsidRDefault="00C83FEA" w:rsidP="00AE74A0">
            <w:pPr>
              <w:jc w:val="center"/>
              <w:rPr>
                <w:rFonts w:ascii="Times New Roman" w:eastAsia="Times New Roman" w:hAnsi="Times New Roman" w:cs="Times New Roman"/>
              </w:rPr>
            </w:pPr>
            <w:r w:rsidRPr="005E3CE5">
              <w:rPr>
                <w:rFonts w:ascii="Times New Roman" w:eastAsia="Times New Roman" w:hAnsi="Times New Roman" w:cs="Times New Roman"/>
              </w:rPr>
              <w:t>(</w:t>
            </w:r>
            <w:r w:rsidR="005E3CE5">
              <w:rPr>
                <w:rFonts w:ascii="Times New Roman" w:eastAsia="Times New Roman" w:hAnsi="Times New Roman" w:cs="Times New Roman"/>
              </w:rPr>
              <w:fldChar w:fldCharType="begin"/>
            </w:r>
            <w:r w:rsidR="002403D0">
              <w:rPr>
                <w:rFonts w:ascii="Times New Roman" w:eastAsia="Times New Roman" w:hAnsi="Times New Roman" w:cs="Times New Roman"/>
              </w:rPr>
              <w:instrText xml:space="preserve"> ADDIN ZOTERO_ITEM CSL_CITATION {"citationID":"QHWKH6sr","properties":{"formattedCitation":"(Mariscal, 2009)","plainCitation":"(Mariscal, 2009)","dontUpdate":true,"noteIndex":0},"citationItems":[{"id":1187,"uris":["http://zotero.org/users/8848410/items/7R32YJ8B"],"itemData":{"id":1187,"type":"article-journal","abstract":"ABSTRACT\n            Nativist and constructivist accounts differ in their characterization of children's knowledge of grammatical categories. In this paper we present research on the process of acquisition of a particular grammatical system, gender agreement in the Spanish noun phrase, in children under three years of age. The design of the longitudinal study employed presents some variations in relation to classical studies. The aim was to obtain a large corpus of NP data which would allow different types of analysis of the children's productions to be carried out. Intra-individual variability in early NP types was analyzed and measured, and an elicitation task for adjectives was used. Results show that the acquisition of NP and gender agreement is a complex process which advances as the children gradually integrate different pieces of evidence: phonological, distributional and functional. The reduction of variability as the grammatical process advances is a key feature for its explanation.","container-title":"Journal of Child Language","DOI":"10.1017/S0305000908008908","ISSN":"0305-0009, 1469-7602","issue":"1","journalAbbreviation":"J. Child Lang.","language":"en","page":"143-171","source":"DOI.org (Crossref)","title":"Early acquisition of gender agreement in the Spanish noun phrase: starting small","title-short":"Early acquisition of gender agreement in the Spanish noun phrase","volume":"36","author":[{"family":"Mariscal","given":"Sonia"}],"issued":{"date-parts":[["2009",1]]}}}],"schema":"https://github.com/citation-style-language/schema/raw/master/csl-citation.json"} </w:instrText>
            </w:r>
            <w:r w:rsidR="005E3CE5">
              <w:rPr>
                <w:rFonts w:ascii="Times New Roman" w:eastAsia="Times New Roman" w:hAnsi="Times New Roman" w:cs="Times New Roman"/>
              </w:rPr>
              <w:fldChar w:fldCharType="separate"/>
            </w:r>
            <w:r w:rsidR="005E3CE5">
              <w:rPr>
                <w:rFonts w:ascii="Times New Roman" w:eastAsia="Times New Roman" w:hAnsi="Times New Roman" w:cs="Times New Roman"/>
                <w:noProof/>
              </w:rPr>
              <w:t>Mariscal, 2009</w:t>
            </w:r>
            <w:r w:rsidR="005E3CE5">
              <w:rPr>
                <w:rFonts w:ascii="Times New Roman" w:eastAsia="Times New Roman" w:hAnsi="Times New Roman" w:cs="Times New Roman"/>
              </w:rPr>
              <w:fldChar w:fldCharType="end"/>
            </w:r>
            <w:r w:rsidRPr="005E3CE5">
              <w:rPr>
                <w:rFonts w:ascii="Times New Roman" w:eastAsia="Times New Roman" w:hAnsi="Times New Roman" w:cs="Times New Roman"/>
              </w:rPr>
              <w:t>)</w:t>
            </w:r>
          </w:p>
        </w:tc>
        <w:tc>
          <w:tcPr>
            <w:tcW w:w="3373" w:type="dxa"/>
            <w:vAlign w:val="center"/>
          </w:tcPr>
          <w:p w14:paraId="2600546D" w14:textId="77777777" w:rsidR="00C83FEA" w:rsidRPr="005E3CE5" w:rsidRDefault="00C83FEA" w:rsidP="00AE74A0">
            <w:pPr>
              <w:jc w:val="center"/>
              <w:rPr>
                <w:rFonts w:ascii="Times New Roman" w:eastAsia="Times New Roman" w:hAnsi="Times New Roman" w:cs="Times New Roman"/>
              </w:rPr>
            </w:pPr>
            <w:r w:rsidRPr="005E3CE5">
              <w:rPr>
                <w:rFonts w:ascii="Times New Roman" w:eastAsia="Times New Roman" w:hAnsi="Times New Roman" w:cs="Times New Roman"/>
              </w:rPr>
              <w:t>Volitional subjunctive mood</w:t>
            </w:r>
          </w:p>
          <w:p w14:paraId="75B3971C" w14:textId="74BB0DC4" w:rsidR="00C83FEA" w:rsidRPr="005E3CE5" w:rsidRDefault="00C83FEA" w:rsidP="00AE74A0">
            <w:pPr>
              <w:jc w:val="center"/>
              <w:rPr>
                <w:rFonts w:ascii="Times New Roman" w:eastAsia="Times New Roman" w:hAnsi="Times New Roman" w:cs="Times New Roman"/>
              </w:rPr>
            </w:pPr>
            <w:r w:rsidRPr="005E3CE5">
              <w:rPr>
                <w:rFonts w:ascii="Times New Roman" w:eastAsia="Times New Roman" w:hAnsi="Times New Roman" w:cs="Times New Roman"/>
              </w:rPr>
              <w:t>(</w:t>
            </w:r>
            <w:r w:rsidR="005E3CE5">
              <w:rPr>
                <w:rFonts w:ascii="Times New Roman" w:eastAsia="Times New Roman" w:hAnsi="Times New Roman" w:cs="Times New Roman"/>
              </w:rPr>
              <w:fldChar w:fldCharType="begin"/>
            </w:r>
            <w:r w:rsidR="002403D0">
              <w:rPr>
                <w:rFonts w:ascii="Times New Roman" w:eastAsia="Times New Roman" w:hAnsi="Times New Roman" w:cs="Times New Roman"/>
              </w:rPr>
              <w:instrText xml:space="preserve"> ADDIN ZOTERO_ITEM CSL_CITATION {"citationID":"Da4rKI1d","properties":{"formattedCitation":"(Dracos et al., 2019)","plainCitation":"(Dracos et al., 2019)","dontUpdate":true,"noteIndex":0},"citationItems":[{"id":957,"uris":["http://zotero.org/users/8848410/items/5AB5G5SD"],"itemData":{"id":957,"type":"article-journal","abstract":"Previous research indicates that the development of mood selection in Spanish spans several years and ends in the mastery of mood selection with sentential complements to express complex semantic meanings. The present study investigates this underexplored late stage by examining how Spanish-speaking children acquire adultlike mood selection in sentential complements to factive emotive predicates involving mental state adjectives (presupposition) and the negated epistemic verb creer ‘believe’ (nonassertion). Results of an oral sentence-completion task with 66 children (4;02–10;03) and 13 adults indicate that in contrast to the early acquisition of subjunctive to express volition (with querer ‘want’), children exhibit adultlike mood selection by ages 6–7 in the presupposition condition and ages 9–10 in the nonassertion condition. The discussion highlights not only the protracted nature of the acquisition of adultlike mood selection but also how the rate of development is context-specific as a function of semantic, syntactic, and processing complexity.","container-title":"Language Acquisition","DOI":"10.1080/10489223.2018.1464006","ISSN":"1048-9223, 1532-7817","issue":"1","journalAbbreviation":"Language Acquisition","language":"en","page":"106-118","source":"DOI.org (Crossref)","title":"Acquisition of mood selection in Spanish-speaking children","volume":"26","author":[{"family":"Dracos","given":"Melisa"},{"family":"Requena","given":"Pablo"},{"family":"Miller","given":"Karen"}],"issued":{"date-parts":[["2019",1,2]]}}}],"schema":"https://github.com/citation-style-language/schema/raw/master/csl-citation.json"} </w:instrText>
            </w:r>
            <w:r w:rsidR="005E3CE5">
              <w:rPr>
                <w:rFonts w:ascii="Times New Roman" w:eastAsia="Times New Roman" w:hAnsi="Times New Roman" w:cs="Times New Roman"/>
              </w:rPr>
              <w:fldChar w:fldCharType="separate"/>
            </w:r>
            <w:r w:rsidR="005E3CE5">
              <w:rPr>
                <w:rFonts w:ascii="Times New Roman" w:eastAsia="Times New Roman" w:hAnsi="Times New Roman" w:cs="Times New Roman"/>
                <w:noProof/>
              </w:rPr>
              <w:t>Dracos et al., 2019</w:t>
            </w:r>
            <w:r w:rsidR="005E3CE5">
              <w:rPr>
                <w:rFonts w:ascii="Times New Roman" w:eastAsia="Times New Roman" w:hAnsi="Times New Roman" w:cs="Times New Roman"/>
              </w:rPr>
              <w:fldChar w:fldCharType="end"/>
            </w:r>
            <w:r w:rsidRPr="005E3CE5">
              <w:rPr>
                <w:rFonts w:ascii="Times New Roman" w:eastAsia="Times New Roman" w:hAnsi="Times New Roman" w:cs="Times New Roman"/>
              </w:rPr>
              <w:t>)</w:t>
            </w:r>
          </w:p>
        </w:tc>
      </w:tr>
      <w:tr w:rsidR="00C83FEA" w:rsidRPr="005E3CE5" w14:paraId="48E820A9" w14:textId="77777777" w:rsidTr="00AE74A0">
        <w:tc>
          <w:tcPr>
            <w:tcW w:w="2605" w:type="dxa"/>
            <w:vAlign w:val="center"/>
          </w:tcPr>
          <w:p w14:paraId="27FDC524" w14:textId="77777777" w:rsidR="00C83FEA" w:rsidRPr="005E3CE5" w:rsidRDefault="00C83FEA" w:rsidP="00AE74A0">
            <w:pPr>
              <w:rPr>
                <w:rFonts w:ascii="Times New Roman" w:eastAsia="Times New Roman" w:hAnsi="Times New Roman" w:cs="Times New Roman"/>
              </w:rPr>
            </w:pPr>
            <w:r w:rsidRPr="005E3CE5">
              <w:rPr>
                <w:rFonts w:ascii="Times New Roman" w:eastAsia="Times New Roman" w:hAnsi="Times New Roman" w:cs="Times New Roman"/>
              </w:rPr>
              <w:t>Interface with semantics or pragmatics</w:t>
            </w:r>
          </w:p>
        </w:tc>
        <w:tc>
          <w:tcPr>
            <w:tcW w:w="3372" w:type="dxa"/>
            <w:vAlign w:val="center"/>
          </w:tcPr>
          <w:p w14:paraId="4D80D024" w14:textId="77777777" w:rsidR="00C83FEA" w:rsidRPr="005E3CE5" w:rsidRDefault="00C83FEA" w:rsidP="00AE74A0">
            <w:pPr>
              <w:jc w:val="center"/>
              <w:rPr>
                <w:rFonts w:ascii="Times New Roman" w:eastAsia="Times New Roman" w:hAnsi="Times New Roman" w:cs="Times New Roman"/>
              </w:rPr>
            </w:pPr>
            <w:r w:rsidRPr="005E3CE5">
              <w:rPr>
                <w:rFonts w:ascii="Times New Roman" w:eastAsia="Times New Roman" w:hAnsi="Times New Roman" w:cs="Times New Roman"/>
              </w:rPr>
              <w:t>Differential object marking</w:t>
            </w:r>
          </w:p>
          <w:p w14:paraId="61BDDBA7" w14:textId="3FB20FDC" w:rsidR="00C83FEA" w:rsidRPr="005E3CE5" w:rsidRDefault="00C83FEA" w:rsidP="00AE74A0">
            <w:pPr>
              <w:jc w:val="center"/>
              <w:rPr>
                <w:rFonts w:ascii="Times New Roman" w:eastAsia="Times New Roman" w:hAnsi="Times New Roman" w:cs="Times New Roman"/>
              </w:rPr>
            </w:pPr>
            <w:r w:rsidRPr="005E3CE5">
              <w:rPr>
                <w:rFonts w:ascii="Times New Roman" w:eastAsia="Times New Roman" w:hAnsi="Times New Roman" w:cs="Times New Roman"/>
              </w:rPr>
              <w:t>(</w:t>
            </w:r>
            <w:r w:rsidR="005E3CE5">
              <w:rPr>
                <w:rFonts w:ascii="Times New Roman" w:eastAsia="Times New Roman" w:hAnsi="Times New Roman" w:cs="Times New Roman"/>
              </w:rPr>
              <w:fldChar w:fldCharType="begin"/>
            </w:r>
            <w:r w:rsidR="002403D0">
              <w:rPr>
                <w:rFonts w:ascii="Times New Roman" w:eastAsia="Times New Roman" w:hAnsi="Times New Roman" w:cs="Times New Roman"/>
              </w:rPr>
              <w:instrText xml:space="preserve"> ADDIN ZOTERO_ITEM CSL_CITATION {"citationID":"WJVTAwtA","properties":{"formattedCitation":"(Rodr\\uc0\\u237{}guez-Mondo\\uc0\\u241{}edo, 2008)","plainCitation":"(Rodríguez-Mondoñedo, 2008)","dontUpdate":true,"noteIndex":0},"citationItems":[{"id":960,"uris":["http://zotero.org/users/8848410/items/9GLL2IY9"],"itemData":{"id":960,"type":"article-journal","abstract":"In this paper, I show that a constraint-based approach to DOM, such as the OT system proposed by Aissen (2003), leads to the conclusion that the child will entertain a number of grammars different from the target grammar, before acquiring the ﬁnal ranking of constraints, even under the learnability assumptions of the OT framework (such as those made by Tesar and Smolensky (1998, 2000). The data examined here, from Spanish-speaking children in the CHILDES database, clearly shows that children master Spanish DOM with a performance virtually errorless. This raises doubts regarding the capacity of the OT framework to explain a key aspect of human language, namely, the process of acquisition.","container-title":"Probus","DOI":"10.1515/PROBUS.2008.004","ISSN":"0921-4771, 1613-4079","issue":"1","language":"en","source":"DOI.org (Crossref)","title":"The acquisition of Differential Object Marking in Spanish","URL":"https://www.degruyter.com/document/doi/10.1515/PROBUS.2008.004/html","volume":"20","author":[{"family":"Rodríguez-Mondoñedo","given":"Miguel"}],"accessed":{"date-parts":[["2021",6,16]]},"issued":{"date-parts":[["2008",1]]}}}],"schema":"https://github.com/citation-style-language/schema/raw/master/csl-citation.json"} </w:instrText>
            </w:r>
            <w:r w:rsidR="005E3CE5">
              <w:rPr>
                <w:rFonts w:ascii="Times New Roman" w:eastAsia="Times New Roman" w:hAnsi="Times New Roman" w:cs="Times New Roman"/>
              </w:rPr>
              <w:fldChar w:fldCharType="separate"/>
            </w:r>
            <w:r w:rsidR="005E3CE5" w:rsidRPr="005E3CE5">
              <w:rPr>
                <w:rFonts w:ascii="Times New Roman" w:eastAsiaTheme="minorHAnsi" w:hAnsi="Times New Roman" w:cs="Times New Roman"/>
                <w:lang w:val="en-US"/>
                <w14:ligatures w14:val="standardContextual"/>
              </w:rPr>
              <w:t>Rodríguez-Mondoñedo, 2008</w:t>
            </w:r>
            <w:r w:rsidR="005E3CE5">
              <w:rPr>
                <w:rFonts w:ascii="Times New Roman" w:eastAsia="Times New Roman" w:hAnsi="Times New Roman" w:cs="Times New Roman"/>
              </w:rPr>
              <w:fldChar w:fldCharType="end"/>
            </w:r>
            <w:r w:rsidRPr="005E3CE5">
              <w:rPr>
                <w:rFonts w:ascii="Times New Roman" w:eastAsia="Times New Roman" w:hAnsi="Times New Roman" w:cs="Times New Roman"/>
              </w:rPr>
              <w:t>)</w:t>
            </w:r>
          </w:p>
        </w:tc>
        <w:tc>
          <w:tcPr>
            <w:tcW w:w="3373" w:type="dxa"/>
            <w:vAlign w:val="center"/>
          </w:tcPr>
          <w:p w14:paraId="4BA0890F" w14:textId="77777777" w:rsidR="00C83FEA" w:rsidRPr="005E3CE5" w:rsidRDefault="00C83FEA" w:rsidP="00AE74A0">
            <w:pPr>
              <w:jc w:val="center"/>
              <w:rPr>
                <w:rFonts w:ascii="Times New Roman" w:eastAsia="Times New Roman" w:hAnsi="Times New Roman" w:cs="Times New Roman"/>
              </w:rPr>
            </w:pPr>
            <w:r w:rsidRPr="005E3CE5">
              <w:rPr>
                <w:rFonts w:ascii="Times New Roman" w:eastAsia="Times New Roman" w:hAnsi="Times New Roman" w:cs="Times New Roman"/>
              </w:rPr>
              <w:t>Clitic gender agreement</w:t>
            </w:r>
          </w:p>
          <w:p w14:paraId="68B6D3CC" w14:textId="5C98DB4D" w:rsidR="00C83FEA" w:rsidRPr="005E3CE5" w:rsidRDefault="00C83FEA" w:rsidP="00AE74A0">
            <w:pPr>
              <w:jc w:val="center"/>
              <w:rPr>
                <w:rFonts w:ascii="Times New Roman" w:eastAsia="Times New Roman" w:hAnsi="Times New Roman" w:cs="Times New Roman"/>
              </w:rPr>
            </w:pPr>
            <w:r w:rsidRPr="005E3CE5">
              <w:rPr>
                <w:rFonts w:ascii="Times New Roman" w:eastAsia="Times New Roman" w:hAnsi="Times New Roman" w:cs="Times New Roman"/>
              </w:rPr>
              <w:t>(</w:t>
            </w:r>
            <w:r w:rsidR="005E3CE5">
              <w:rPr>
                <w:rFonts w:ascii="Times New Roman" w:eastAsia="Times New Roman" w:hAnsi="Times New Roman" w:cs="Times New Roman"/>
              </w:rPr>
              <w:fldChar w:fldCharType="begin"/>
            </w:r>
            <w:r w:rsidR="002403D0">
              <w:rPr>
                <w:rFonts w:ascii="Times New Roman" w:eastAsia="Times New Roman" w:hAnsi="Times New Roman" w:cs="Times New Roman"/>
              </w:rPr>
              <w:instrText xml:space="preserve"> ADDIN ZOTERO_ITEM CSL_CITATION {"citationID":"pByMPQsS","properties":{"formattedCitation":"(Castilla &amp; P\\uc0\\u233{}rez-Leroux, 2010)","plainCitation":"(Castilla &amp; Pérez-Leroux, 2010)","dontUpdate":true,"noteIndex":0},"citationItems":[{"id":106,"uris":["http://zotero.org/users/8848410/items/XANMNTQR"],"itemData":{"id":106,"type":"article-journal","container-title":"Language Acquisition","DOI":"10.1080/10489221003620904","ISSN":"1048-9223, 1532-7817","issue":"1-2","journalAbbreviation":"Language Acquisition","language":"en","page":"2-25","source":"DOI.org (Crossref)","title":"Omissions and substitutions in Spanish object clitics: Developmental optionality as a property of the representational system","title-short":"Omissions and Substitutions in Spanish Object Clitics","volume":"17","author":[{"family":"Castilla","given":"Anny P."},{"family":"Pérez-Leroux","given":"Ana T."}],"issued":{"date-parts":[["2010",4,14]]}}}],"schema":"https://github.com/citation-style-language/schema/raw/master/csl-citation.json"} </w:instrText>
            </w:r>
            <w:r w:rsidR="005E3CE5">
              <w:rPr>
                <w:rFonts w:ascii="Times New Roman" w:eastAsia="Times New Roman" w:hAnsi="Times New Roman" w:cs="Times New Roman"/>
              </w:rPr>
              <w:fldChar w:fldCharType="separate"/>
            </w:r>
            <w:r w:rsidR="005E3CE5" w:rsidRPr="005E3CE5">
              <w:rPr>
                <w:rFonts w:ascii="Times New Roman" w:eastAsiaTheme="minorHAnsi" w:hAnsi="Times New Roman" w:cs="Times New Roman"/>
                <w:lang w:val="en-US"/>
                <w14:ligatures w14:val="standardContextual"/>
              </w:rPr>
              <w:t>Castilla &amp; Pérez-Leroux, 2010</w:t>
            </w:r>
            <w:r w:rsidR="005E3CE5">
              <w:rPr>
                <w:rFonts w:ascii="Times New Roman" w:eastAsia="Times New Roman" w:hAnsi="Times New Roman" w:cs="Times New Roman"/>
              </w:rPr>
              <w:fldChar w:fldCharType="end"/>
            </w:r>
            <w:r w:rsidRPr="005E3CE5">
              <w:rPr>
                <w:rFonts w:ascii="Times New Roman" w:eastAsia="Times New Roman" w:hAnsi="Times New Roman" w:cs="Times New Roman"/>
              </w:rPr>
              <w:t>)</w:t>
            </w:r>
          </w:p>
        </w:tc>
      </w:tr>
    </w:tbl>
    <w:p w14:paraId="0C39CE49" w14:textId="77777777" w:rsidR="00C83FEA" w:rsidRPr="005E3CE5" w:rsidRDefault="00C83FEA" w:rsidP="00C83FEA">
      <w:pPr>
        <w:jc w:val="both"/>
        <w:rPr>
          <w:rFonts w:ascii="Times New Roman" w:eastAsia="Times New Roman" w:hAnsi="Times New Roman" w:cs="Times New Roman"/>
        </w:rPr>
      </w:pPr>
      <w:r w:rsidRPr="005E3CE5">
        <w:rPr>
          <w:rFonts w:ascii="Times New Roman" w:eastAsia="Times New Roman" w:hAnsi="Times New Roman" w:cs="Times New Roman"/>
          <w:b/>
          <w:bCs/>
        </w:rPr>
        <w:t>Table 1.</w:t>
      </w:r>
      <w:r w:rsidRPr="005E3CE5">
        <w:rPr>
          <w:rFonts w:ascii="Times New Roman" w:eastAsia="Times New Roman" w:hAnsi="Times New Roman" w:cs="Times New Roman"/>
        </w:rPr>
        <w:t xml:space="preserve"> Structures tested by interface and monolingual timing of acquisition.</w:t>
      </w:r>
    </w:p>
    <w:p w14:paraId="20AB86A9" w14:textId="77777777" w:rsidR="00C83FEA" w:rsidRPr="005E3CE5" w:rsidRDefault="00C83FEA" w:rsidP="00C83FEA">
      <w:pPr>
        <w:jc w:val="both"/>
        <w:rPr>
          <w:rFonts w:ascii="Times New Roman" w:eastAsia="Times New Roman" w:hAnsi="Times New Roman" w:cs="Times New Roman"/>
        </w:rPr>
      </w:pPr>
    </w:p>
    <w:p w14:paraId="6F59C773" w14:textId="24C33953" w:rsidR="00ED1DE5" w:rsidRPr="005E3CE5" w:rsidRDefault="00F8321E" w:rsidP="00C83FEA">
      <w:pPr>
        <w:jc w:val="both"/>
        <w:rPr>
          <w:rFonts w:ascii="Times New Roman" w:eastAsia="Times New Roman" w:hAnsi="Times New Roman" w:cs="Times New Roman"/>
        </w:rPr>
      </w:pPr>
      <w:r>
        <w:rPr>
          <w:rFonts w:ascii="Times New Roman" w:eastAsia="Times New Roman" w:hAnsi="Times New Roman" w:cs="Times New Roman"/>
          <w:noProof/>
          <w14:ligatures w14:val="standardContextual"/>
        </w:rPr>
        <w:drawing>
          <wp:inline distT="0" distB="0" distL="0" distR="0" wp14:anchorId="707AE883" wp14:editId="6FA6311A">
            <wp:extent cx="5943600" cy="3657600"/>
            <wp:effectExtent l="0" t="0" r="0" b="0"/>
            <wp:docPr id="199958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87277" name="Picture 1999587277"/>
                    <pic:cNvPicPr/>
                  </pic:nvPicPr>
                  <pic:blipFill>
                    <a:blip r:embed="rId4"/>
                    <a:stretch>
                      <a:fillRect/>
                    </a:stretch>
                  </pic:blipFill>
                  <pic:spPr>
                    <a:xfrm>
                      <a:off x="0" y="0"/>
                      <a:ext cx="5943600" cy="3657600"/>
                    </a:xfrm>
                    <a:prstGeom prst="rect">
                      <a:avLst/>
                    </a:prstGeom>
                  </pic:spPr>
                </pic:pic>
              </a:graphicData>
            </a:graphic>
          </wp:inline>
        </w:drawing>
      </w:r>
    </w:p>
    <w:p w14:paraId="6245809C" w14:textId="77777777" w:rsidR="005E3CE5" w:rsidRDefault="00C83FEA" w:rsidP="005E3CE5">
      <w:pPr>
        <w:jc w:val="both"/>
        <w:rPr>
          <w:rFonts w:ascii="Times New Roman" w:eastAsia="Times New Roman" w:hAnsi="Times New Roman" w:cs="Times New Roman"/>
        </w:rPr>
      </w:pPr>
      <w:r w:rsidRPr="005E3CE5">
        <w:rPr>
          <w:rFonts w:ascii="Times New Roman" w:eastAsia="Times New Roman" w:hAnsi="Times New Roman" w:cs="Times New Roman"/>
          <w:b/>
          <w:bCs/>
        </w:rPr>
        <w:t>Figure 1.</w:t>
      </w:r>
      <w:r w:rsidRPr="005E3CE5">
        <w:rPr>
          <w:rFonts w:ascii="Times New Roman" w:eastAsia="Times New Roman" w:hAnsi="Times New Roman" w:cs="Times New Roman"/>
        </w:rPr>
        <w:t xml:space="preserve"> Statistical summary of production by age, speaker type, and structure (note: the youngest children did not complete stimuli testing subjunctive mood)</w:t>
      </w:r>
      <w:r w:rsidR="005E3CE5" w:rsidRPr="005E3CE5">
        <w:rPr>
          <w:rFonts w:ascii="Times New Roman" w:eastAsia="Times New Roman" w:hAnsi="Times New Roman" w:cs="Times New Roman"/>
        </w:rPr>
        <w:t>.</w:t>
      </w:r>
    </w:p>
    <w:p w14:paraId="1F63C7DA" w14:textId="77777777" w:rsidR="008A4927" w:rsidRDefault="008A4927">
      <w:pPr>
        <w:spacing w:after="160" w:line="278" w:lineRule="auto"/>
        <w:rPr>
          <w:rFonts w:ascii="Times New Roman" w:eastAsia="Times New Roman" w:hAnsi="Times New Roman" w:cs="Times New Roman"/>
        </w:rPr>
      </w:pPr>
      <w:r>
        <w:rPr>
          <w:rFonts w:ascii="Times New Roman" w:eastAsia="Times New Roman" w:hAnsi="Times New Roman" w:cs="Times New Roman"/>
        </w:rPr>
        <w:br w:type="page"/>
      </w:r>
    </w:p>
    <w:p w14:paraId="51F6AE3E" w14:textId="77777777" w:rsidR="005E3CE5" w:rsidRDefault="005E3CE5" w:rsidP="005E3CE5">
      <w:pPr>
        <w:jc w:val="center"/>
        <w:rPr>
          <w:rFonts w:ascii="Times New Roman" w:eastAsia="Times New Roman" w:hAnsi="Times New Roman" w:cs="Times New Roman"/>
        </w:rPr>
      </w:pPr>
      <w:r>
        <w:rPr>
          <w:rFonts w:ascii="Times New Roman" w:eastAsia="Times New Roman" w:hAnsi="Times New Roman" w:cs="Times New Roman"/>
        </w:rPr>
        <w:lastRenderedPageBreak/>
        <w:t>References</w:t>
      </w:r>
    </w:p>
    <w:p w14:paraId="7F875544" w14:textId="77777777" w:rsidR="005E3CE5" w:rsidRDefault="005E3CE5" w:rsidP="005E3CE5">
      <w:pPr>
        <w:rPr>
          <w:rFonts w:ascii="Times New Roman" w:eastAsia="Times New Roman" w:hAnsi="Times New Roman" w:cs="Times New Roman"/>
        </w:rPr>
      </w:pPr>
    </w:p>
    <w:p w14:paraId="4C01428B" w14:textId="77777777" w:rsidR="002403D0" w:rsidRPr="002403D0" w:rsidRDefault="005E3CE5" w:rsidP="002403D0">
      <w:pPr>
        <w:pStyle w:val="Bibliography"/>
        <w:rPr>
          <w:rFonts w:ascii="Times New Roman" w:hAnsi="Times New Roman" w:cs="Times New Roman"/>
          <w:lang w:val="en-US"/>
        </w:rPr>
      </w:pPr>
      <w:r>
        <w:rPr>
          <w:rFonts w:eastAsia="Times New Roman"/>
        </w:rPr>
        <w:fldChar w:fldCharType="begin"/>
      </w:r>
      <w:r>
        <w:rPr>
          <w:rFonts w:eastAsia="Times New Roman"/>
        </w:rPr>
        <w:instrText xml:space="preserve"> ADDIN ZOTERO_BIBL {"uncited":[],"omitted":[],"custom":[]} CSL_BIBLIOGRAPHY </w:instrText>
      </w:r>
      <w:r>
        <w:rPr>
          <w:rFonts w:eastAsia="Times New Roman"/>
        </w:rPr>
        <w:fldChar w:fldCharType="separate"/>
      </w:r>
      <w:r w:rsidR="002403D0" w:rsidRPr="002403D0">
        <w:rPr>
          <w:rFonts w:ascii="Times New Roman" w:hAnsi="Times New Roman" w:cs="Times New Roman"/>
          <w:lang w:val="en-US"/>
        </w:rPr>
        <w:t xml:space="preserve">Austin, J., Thane, P. D., Rodríguez, S. A., &amp; Goldin, M. (2024). The comprehension of clitic gender in child heritage and second language Spanish: Evidence from a dual language program. </w:t>
      </w:r>
      <w:r w:rsidR="002403D0" w:rsidRPr="002403D0">
        <w:rPr>
          <w:rFonts w:ascii="Times New Roman" w:hAnsi="Times New Roman" w:cs="Times New Roman"/>
          <w:i/>
          <w:iCs/>
          <w:lang w:val="en-US"/>
        </w:rPr>
        <w:t>Frontiers in Language Sciences</w:t>
      </w:r>
      <w:r w:rsidR="002403D0" w:rsidRPr="002403D0">
        <w:rPr>
          <w:rFonts w:ascii="Times New Roman" w:hAnsi="Times New Roman" w:cs="Times New Roman"/>
          <w:lang w:val="en-US"/>
        </w:rPr>
        <w:t xml:space="preserve">, </w:t>
      </w:r>
      <w:r w:rsidR="002403D0" w:rsidRPr="002403D0">
        <w:rPr>
          <w:rFonts w:ascii="Times New Roman" w:hAnsi="Times New Roman" w:cs="Times New Roman"/>
          <w:i/>
          <w:iCs/>
          <w:lang w:val="en-US"/>
        </w:rPr>
        <w:t>3</w:t>
      </w:r>
      <w:r w:rsidR="002403D0" w:rsidRPr="002403D0">
        <w:rPr>
          <w:rFonts w:ascii="Times New Roman" w:hAnsi="Times New Roman" w:cs="Times New Roman"/>
          <w:lang w:val="en-US"/>
        </w:rPr>
        <w:t>(1334269), 1–15. https://doi.org/10.3389/flang.2024.1334269</w:t>
      </w:r>
    </w:p>
    <w:p w14:paraId="6762A9D5" w14:textId="77777777" w:rsidR="002403D0" w:rsidRPr="002403D0" w:rsidRDefault="002403D0" w:rsidP="002403D0">
      <w:pPr>
        <w:pStyle w:val="Bibliography"/>
        <w:rPr>
          <w:rFonts w:ascii="Times New Roman" w:hAnsi="Times New Roman" w:cs="Times New Roman"/>
          <w:lang w:val="en-US"/>
        </w:rPr>
      </w:pPr>
      <w:r w:rsidRPr="002403D0">
        <w:rPr>
          <w:rFonts w:ascii="Times New Roman" w:hAnsi="Times New Roman" w:cs="Times New Roman"/>
          <w:lang w:val="en-US"/>
        </w:rPr>
        <w:t xml:space="preserve">Castilla, A. P., &amp; Pérez-Leroux, A. T. (2010). Omissions and substitutions in Spanish object clitics: Developmental optionality as a property of the representational system. </w:t>
      </w:r>
      <w:r w:rsidRPr="002403D0">
        <w:rPr>
          <w:rFonts w:ascii="Times New Roman" w:hAnsi="Times New Roman" w:cs="Times New Roman"/>
          <w:i/>
          <w:iCs/>
          <w:lang w:val="en-US"/>
        </w:rPr>
        <w:t>Language Acquisition</w:t>
      </w:r>
      <w:r w:rsidRPr="002403D0">
        <w:rPr>
          <w:rFonts w:ascii="Times New Roman" w:hAnsi="Times New Roman" w:cs="Times New Roman"/>
          <w:lang w:val="en-US"/>
        </w:rPr>
        <w:t xml:space="preserve">, </w:t>
      </w:r>
      <w:r w:rsidRPr="002403D0">
        <w:rPr>
          <w:rFonts w:ascii="Times New Roman" w:hAnsi="Times New Roman" w:cs="Times New Roman"/>
          <w:i/>
          <w:iCs/>
          <w:lang w:val="en-US"/>
        </w:rPr>
        <w:t>17</w:t>
      </w:r>
      <w:r w:rsidRPr="002403D0">
        <w:rPr>
          <w:rFonts w:ascii="Times New Roman" w:hAnsi="Times New Roman" w:cs="Times New Roman"/>
          <w:lang w:val="en-US"/>
        </w:rPr>
        <w:t>(1–2), 2–25. https://doi.org/10.1080/10489221003620904</w:t>
      </w:r>
    </w:p>
    <w:p w14:paraId="4F1A3A54" w14:textId="77777777" w:rsidR="002403D0" w:rsidRPr="002403D0" w:rsidRDefault="002403D0" w:rsidP="002403D0">
      <w:pPr>
        <w:pStyle w:val="Bibliography"/>
        <w:rPr>
          <w:rFonts w:ascii="Times New Roman" w:hAnsi="Times New Roman" w:cs="Times New Roman"/>
          <w:lang w:val="en-US"/>
        </w:rPr>
      </w:pPr>
      <w:r w:rsidRPr="002403D0">
        <w:rPr>
          <w:rFonts w:ascii="Times New Roman" w:hAnsi="Times New Roman" w:cs="Times New Roman"/>
          <w:lang w:val="en-US"/>
        </w:rPr>
        <w:t xml:space="preserve">Dracos, M., Requena, P., &amp; Miller, K. (2019). Acquisition of mood selection in Spanish-speaking children. </w:t>
      </w:r>
      <w:r w:rsidRPr="002403D0">
        <w:rPr>
          <w:rFonts w:ascii="Times New Roman" w:hAnsi="Times New Roman" w:cs="Times New Roman"/>
          <w:i/>
          <w:iCs/>
          <w:lang w:val="en-US"/>
        </w:rPr>
        <w:t>Language Acquisition</w:t>
      </w:r>
      <w:r w:rsidRPr="002403D0">
        <w:rPr>
          <w:rFonts w:ascii="Times New Roman" w:hAnsi="Times New Roman" w:cs="Times New Roman"/>
          <w:lang w:val="en-US"/>
        </w:rPr>
        <w:t xml:space="preserve">, </w:t>
      </w:r>
      <w:r w:rsidRPr="002403D0">
        <w:rPr>
          <w:rFonts w:ascii="Times New Roman" w:hAnsi="Times New Roman" w:cs="Times New Roman"/>
          <w:i/>
          <w:iCs/>
          <w:lang w:val="en-US"/>
        </w:rPr>
        <w:t>26</w:t>
      </w:r>
      <w:r w:rsidRPr="002403D0">
        <w:rPr>
          <w:rFonts w:ascii="Times New Roman" w:hAnsi="Times New Roman" w:cs="Times New Roman"/>
          <w:lang w:val="en-US"/>
        </w:rPr>
        <w:t>(1), 106–118. https://doi.org/10.1080/10489223.2018.1464006</w:t>
      </w:r>
    </w:p>
    <w:p w14:paraId="3C3C7C36" w14:textId="77777777" w:rsidR="002403D0" w:rsidRPr="002403D0" w:rsidRDefault="002403D0" w:rsidP="002403D0">
      <w:pPr>
        <w:pStyle w:val="Bibliography"/>
        <w:rPr>
          <w:rFonts w:ascii="Times New Roman" w:hAnsi="Times New Roman" w:cs="Times New Roman"/>
          <w:lang w:val="en-US"/>
        </w:rPr>
      </w:pPr>
      <w:r w:rsidRPr="002403D0">
        <w:rPr>
          <w:rFonts w:ascii="Times New Roman" w:hAnsi="Times New Roman" w:cs="Times New Roman"/>
          <w:lang w:val="en-US"/>
        </w:rPr>
        <w:t xml:space="preserve">Fernández-Dobao, A., Herschensohn, J., Vukadinovich, S., &amp; Zhang, W. T. (2025). Gender and number agreement by Spanish heritage and second language children in dual immersion. </w:t>
      </w:r>
      <w:r w:rsidRPr="002403D0">
        <w:rPr>
          <w:rFonts w:ascii="Times New Roman" w:hAnsi="Times New Roman" w:cs="Times New Roman"/>
          <w:i/>
          <w:iCs/>
          <w:lang w:val="en-US"/>
        </w:rPr>
        <w:t>Heritage Language Journal</w:t>
      </w:r>
      <w:r w:rsidRPr="002403D0">
        <w:rPr>
          <w:rFonts w:ascii="Times New Roman" w:hAnsi="Times New Roman" w:cs="Times New Roman"/>
          <w:lang w:val="en-US"/>
        </w:rPr>
        <w:t xml:space="preserve">, </w:t>
      </w:r>
      <w:r w:rsidRPr="002403D0">
        <w:rPr>
          <w:rFonts w:ascii="Times New Roman" w:hAnsi="Times New Roman" w:cs="Times New Roman"/>
          <w:i/>
          <w:iCs/>
          <w:lang w:val="en-US"/>
        </w:rPr>
        <w:t>22</w:t>
      </w:r>
      <w:r w:rsidRPr="002403D0">
        <w:rPr>
          <w:rFonts w:ascii="Times New Roman" w:hAnsi="Times New Roman" w:cs="Times New Roman"/>
          <w:lang w:val="en-US"/>
        </w:rPr>
        <w:t>(1), 1–37. https://doi.org/10.1163/15507076-bja10043</w:t>
      </w:r>
    </w:p>
    <w:p w14:paraId="7775F955" w14:textId="77777777" w:rsidR="002403D0" w:rsidRPr="002403D0" w:rsidRDefault="002403D0" w:rsidP="002403D0">
      <w:pPr>
        <w:pStyle w:val="Bibliography"/>
        <w:rPr>
          <w:rFonts w:ascii="Times New Roman" w:hAnsi="Times New Roman" w:cs="Times New Roman"/>
          <w:lang w:val="en-US"/>
        </w:rPr>
      </w:pPr>
      <w:r w:rsidRPr="002403D0">
        <w:rPr>
          <w:rFonts w:ascii="Times New Roman" w:hAnsi="Times New Roman" w:cs="Times New Roman"/>
          <w:lang w:val="en-US"/>
        </w:rPr>
        <w:t xml:space="preserve">Goldin, M. (2022). Comprehension-production asymmetry in bilingual children’s acquisition of subject-verb agreement. In Y. Gong &amp; F. Kpogo (Eds.), </w:t>
      </w:r>
      <w:r w:rsidRPr="002403D0">
        <w:rPr>
          <w:rFonts w:ascii="Times New Roman" w:hAnsi="Times New Roman" w:cs="Times New Roman"/>
          <w:i/>
          <w:iCs/>
          <w:lang w:val="en-US"/>
        </w:rPr>
        <w:t>Proceedings of the 46th annual Boston University Conference on Language Development</w:t>
      </w:r>
      <w:r w:rsidRPr="002403D0">
        <w:rPr>
          <w:rFonts w:ascii="Times New Roman" w:hAnsi="Times New Roman" w:cs="Times New Roman"/>
          <w:lang w:val="en-US"/>
        </w:rPr>
        <w:t xml:space="preserve"> (pp. 230–241). Cascadilla Proceedings Project.</w:t>
      </w:r>
    </w:p>
    <w:p w14:paraId="03EB2A4B" w14:textId="77777777" w:rsidR="002403D0" w:rsidRPr="002403D0" w:rsidRDefault="002403D0" w:rsidP="002403D0">
      <w:pPr>
        <w:pStyle w:val="Bibliography"/>
        <w:rPr>
          <w:rFonts w:ascii="Times New Roman" w:hAnsi="Times New Roman" w:cs="Times New Roman"/>
          <w:lang w:val="en-US"/>
        </w:rPr>
      </w:pPr>
      <w:r w:rsidRPr="002403D0">
        <w:rPr>
          <w:rFonts w:ascii="Times New Roman" w:hAnsi="Times New Roman" w:cs="Times New Roman"/>
          <w:lang w:val="en-US"/>
        </w:rPr>
        <w:t xml:space="preserve">Mariscal, S. (2009). Early acquisition of gender agreement in the Spanish noun phrase: Starting small. </w:t>
      </w:r>
      <w:r w:rsidRPr="002403D0">
        <w:rPr>
          <w:rFonts w:ascii="Times New Roman" w:hAnsi="Times New Roman" w:cs="Times New Roman"/>
          <w:i/>
          <w:iCs/>
          <w:lang w:val="en-US"/>
        </w:rPr>
        <w:t>Journal of Child Language</w:t>
      </w:r>
      <w:r w:rsidRPr="002403D0">
        <w:rPr>
          <w:rFonts w:ascii="Times New Roman" w:hAnsi="Times New Roman" w:cs="Times New Roman"/>
          <w:lang w:val="en-US"/>
        </w:rPr>
        <w:t xml:space="preserve">, </w:t>
      </w:r>
      <w:r w:rsidRPr="002403D0">
        <w:rPr>
          <w:rFonts w:ascii="Times New Roman" w:hAnsi="Times New Roman" w:cs="Times New Roman"/>
          <w:i/>
          <w:iCs/>
          <w:lang w:val="en-US"/>
        </w:rPr>
        <w:t>36</w:t>
      </w:r>
      <w:r w:rsidRPr="002403D0">
        <w:rPr>
          <w:rFonts w:ascii="Times New Roman" w:hAnsi="Times New Roman" w:cs="Times New Roman"/>
          <w:lang w:val="en-US"/>
        </w:rPr>
        <w:t>(1), 143–171. https://doi.org/10.1017/S0305000908008908</w:t>
      </w:r>
    </w:p>
    <w:p w14:paraId="6FC22ED3" w14:textId="77777777" w:rsidR="002403D0" w:rsidRPr="002403D0" w:rsidRDefault="002403D0" w:rsidP="002403D0">
      <w:pPr>
        <w:pStyle w:val="Bibliography"/>
        <w:rPr>
          <w:rFonts w:ascii="Times New Roman" w:hAnsi="Times New Roman" w:cs="Times New Roman"/>
          <w:lang w:val="en-US"/>
        </w:rPr>
      </w:pPr>
      <w:r w:rsidRPr="002403D0">
        <w:rPr>
          <w:rFonts w:ascii="Times New Roman" w:hAnsi="Times New Roman" w:cs="Times New Roman"/>
          <w:lang w:val="en-US"/>
        </w:rPr>
        <w:t xml:space="preserve">Rinke, E., Flores, C., &amp; Torregrossa, J. (2023). How different types of complexity can account for difficult structures in bilingual and monolingual language acquisition. In M. Putnam </w:t>
      </w:r>
      <w:r w:rsidRPr="002403D0">
        <w:rPr>
          <w:rFonts w:ascii="Times New Roman" w:hAnsi="Times New Roman" w:cs="Times New Roman"/>
          <w:lang w:val="en-US"/>
        </w:rPr>
        <w:lastRenderedPageBreak/>
        <w:t xml:space="preserve">&amp; M. Polinsky (Eds.), </w:t>
      </w:r>
      <w:r w:rsidRPr="002403D0">
        <w:rPr>
          <w:rFonts w:ascii="Times New Roman" w:hAnsi="Times New Roman" w:cs="Times New Roman"/>
          <w:i/>
          <w:iCs/>
          <w:lang w:val="en-US"/>
        </w:rPr>
        <w:t>Formal Approaches to Complexity in Heritage Language Grammars</w:t>
      </w:r>
      <w:r w:rsidRPr="002403D0">
        <w:rPr>
          <w:rFonts w:ascii="Times New Roman" w:hAnsi="Times New Roman" w:cs="Times New Roman"/>
          <w:lang w:val="en-US"/>
        </w:rPr>
        <w:t xml:space="preserve"> (pp. 1–17). Language Sciences Press.</w:t>
      </w:r>
    </w:p>
    <w:p w14:paraId="078B3B9C" w14:textId="77777777" w:rsidR="002403D0" w:rsidRPr="002403D0" w:rsidRDefault="002403D0" w:rsidP="002403D0">
      <w:pPr>
        <w:pStyle w:val="Bibliography"/>
        <w:rPr>
          <w:rFonts w:ascii="Times New Roman" w:hAnsi="Times New Roman" w:cs="Times New Roman"/>
          <w:lang w:val="en-US"/>
        </w:rPr>
      </w:pPr>
      <w:r w:rsidRPr="002403D0">
        <w:rPr>
          <w:rFonts w:ascii="Times New Roman" w:hAnsi="Times New Roman" w:cs="Times New Roman"/>
          <w:lang w:val="en-US"/>
        </w:rPr>
        <w:t xml:space="preserve">Rodríguez-Mondoñedo, M. (2008). The acquisition of Differential Object Marking in Spanish. </w:t>
      </w:r>
      <w:r w:rsidRPr="002403D0">
        <w:rPr>
          <w:rFonts w:ascii="Times New Roman" w:hAnsi="Times New Roman" w:cs="Times New Roman"/>
          <w:i/>
          <w:iCs/>
          <w:lang w:val="en-US"/>
        </w:rPr>
        <w:t>Probus</w:t>
      </w:r>
      <w:r w:rsidRPr="002403D0">
        <w:rPr>
          <w:rFonts w:ascii="Times New Roman" w:hAnsi="Times New Roman" w:cs="Times New Roman"/>
          <w:lang w:val="en-US"/>
        </w:rPr>
        <w:t xml:space="preserve">, </w:t>
      </w:r>
      <w:r w:rsidRPr="002403D0">
        <w:rPr>
          <w:rFonts w:ascii="Times New Roman" w:hAnsi="Times New Roman" w:cs="Times New Roman"/>
          <w:i/>
          <w:iCs/>
          <w:lang w:val="en-US"/>
        </w:rPr>
        <w:t>20</w:t>
      </w:r>
      <w:r w:rsidRPr="002403D0">
        <w:rPr>
          <w:rFonts w:ascii="Times New Roman" w:hAnsi="Times New Roman" w:cs="Times New Roman"/>
          <w:lang w:val="en-US"/>
        </w:rPr>
        <w:t>(1). https://doi.org/10.1515/PROBUS.2008.004</w:t>
      </w:r>
    </w:p>
    <w:p w14:paraId="037A72D1" w14:textId="77777777" w:rsidR="002403D0" w:rsidRPr="002403D0" w:rsidRDefault="002403D0" w:rsidP="002403D0">
      <w:pPr>
        <w:pStyle w:val="Bibliography"/>
        <w:rPr>
          <w:rFonts w:ascii="Times New Roman" w:hAnsi="Times New Roman" w:cs="Times New Roman"/>
          <w:lang w:val="en-US"/>
        </w:rPr>
      </w:pPr>
      <w:r w:rsidRPr="002403D0">
        <w:rPr>
          <w:rFonts w:ascii="Times New Roman" w:hAnsi="Times New Roman" w:cs="Times New Roman"/>
          <w:lang w:val="en-US"/>
        </w:rPr>
        <w:t xml:space="preserve">Thane, P. D., Austin, J., Rodríguez, S. A., &amp; Goldin, M. (2025). The acquisition of the Spanish subjunctive by child heritage and L2 learners: Evidence from a dual language program. </w:t>
      </w:r>
      <w:r w:rsidRPr="002403D0">
        <w:rPr>
          <w:rFonts w:ascii="Times New Roman" w:hAnsi="Times New Roman" w:cs="Times New Roman"/>
          <w:i/>
          <w:iCs/>
          <w:lang w:val="en-US"/>
        </w:rPr>
        <w:t>Studies in Hispanic and Lusophone Linguistics</w:t>
      </w:r>
      <w:r w:rsidRPr="002403D0">
        <w:rPr>
          <w:rFonts w:ascii="Times New Roman" w:hAnsi="Times New Roman" w:cs="Times New Roman"/>
          <w:lang w:val="en-US"/>
        </w:rPr>
        <w:t xml:space="preserve">, </w:t>
      </w:r>
      <w:r w:rsidRPr="002403D0">
        <w:rPr>
          <w:rFonts w:ascii="Times New Roman" w:hAnsi="Times New Roman" w:cs="Times New Roman"/>
          <w:i/>
          <w:iCs/>
          <w:lang w:val="en-US"/>
        </w:rPr>
        <w:t>18</w:t>
      </w:r>
      <w:r w:rsidRPr="002403D0">
        <w:rPr>
          <w:rFonts w:ascii="Times New Roman" w:hAnsi="Times New Roman" w:cs="Times New Roman"/>
          <w:lang w:val="en-US"/>
        </w:rPr>
        <w:t>(1), 193–223. https://doi.org/10.1515/shll-2025-2007</w:t>
      </w:r>
    </w:p>
    <w:p w14:paraId="0B9376AC" w14:textId="77777777" w:rsidR="002403D0" w:rsidRPr="002403D0" w:rsidRDefault="002403D0" w:rsidP="002403D0">
      <w:pPr>
        <w:pStyle w:val="Bibliography"/>
        <w:rPr>
          <w:rFonts w:ascii="Times New Roman" w:hAnsi="Times New Roman" w:cs="Times New Roman"/>
          <w:lang w:val="en-US"/>
        </w:rPr>
      </w:pPr>
      <w:r w:rsidRPr="002403D0">
        <w:rPr>
          <w:rFonts w:ascii="Times New Roman" w:hAnsi="Times New Roman" w:cs="Times New Roman"/>
          <w:lang w:val="en-US"/>
        </w:rPr>
        <w:t xml:space="preserve">Torregrossa, J., Flores, C., &amp; Rinke, E. (2023). What modulates the acquisition of difficult structures in a heritage language? A study on Portuguese in contact with French, German and Italian. </w:t>
      </w:r>
      <w:r w:rsidRPr="002403D0">
        <w:rPr>
          <w:rFonts w:ascii="Times New Roman" w:hAnsi="Times New Roman" w:cs="Times New Roman"/>
          <w:i/>
          <w:iCs/>
          <w:lang w:val="en-US"/>
        </w:rPr>
        <w:t>Bilingualism: Language and Cognition</w:t>
      </w:r>
      <w:r w:rsidRPr="002403D0">
        <w:rPr>
          <w:rFonts w:ascii="Times New Roman" w:hAnsi="Times New Roman" w:cs="Times New Roman"/>
          <w:lang w:val="en-US"/>
        </w:rPr>
        <w:t xml:space="preserve">, </w:t>
      </w:r>
      <w:r w:rsidRPr="002403D0">
        <w:rPr>
          <w:rFonts w:ascii="Times New Roman" w:hAnsi="Times New Roman" w:cs="Times New Roman"/>
          <w:i/>
          <w:iCs/>
          <w:lang w:val="en-US"/>
        </w:rPr>
        <w:t>26</w:t>
      </w:r>
      <w:r w:rsidRPr="002403D0">
        <w:rPr>
          <w:rFonts w:ascii="Times New Roman" w:hAnsi="Times New Roman" w:cs="Times New Roman"/>
          <w:lang w:val="en-US"/>
        </w:rPr>
        <w:t>(1), 179–192. https://doi.org/10.1017/S1366728922000438</w:t>
      </w:r>
    </w:p>
    <w:p w14:paraId="333C678C" w14:textId="77777777" w:rsidR="002403D0" w:rsidRPr="002403D0" w:rsidRDefault="002403D0" w:rsidP="002403D0">
      <w:pPr>
        <w:pStyle w:val="Bibliography"/>
        <w:rPr>
          <w:rFonts w:ascii="Times New Roman" w:hAnsi="Times New Roman" w:cs="Times New Roman"/>
          <w:lang w:val="en-US"/>
        </w:rPr>
      </w:pPr>
      <w:r w:rsidRPr="002403D0">
        <w:rPr>
          <w:rFonts w:ascii="Times New Roman" w:hAnsi="Times New Roman" w:cs="Times New Roman"/>
          <w:lang w:val="en-US"/>
        </w:rPr>
        <w:t xml:space="preserve">Tsimpli, I. M. (2014). Early, late or very late?: Timing acquisition and bilingualism. </w:t>
      </w:r>
      <w:r w:rsidRPr="002403D0">
        <w:rPr>
          <w:rFonts w:ascii="Times New Roman" w:hAnsi="Times New Roman" w:cs="Times New Roman"/>
          <w:i/>
          <w:iCs/>
          <w:lang w:val="en-US"/>
        </w:rPr>
        <w:t>Linguistic Approaches to Bilingualism</w:t>
      </w:r>
      <w:r w:rsidRPr="002403D0">
        <w:rPr>
          <w:rFonts w:ascii="Times New Roman" w:hAnsi="Times New Roman" w:cs="Times New Roman"/>
          <w:lang w:val="en-US"/>
        </w:rPr>
        <w:t xml:space="preserve">, </w:t>
      </w:r>
      <w:r w:rsidRPr="002403D0">
        <w:rPr>
          <w:rFonts w:ascii="Times New Roman" w:hAnsi="Times New Roman" w:cs="Times New Roman"/>
          <w:i/>
          <w:iCs/>
          <w:lang w:val="en-US"/>
        </w:rPr>
        <w:t>4</w:t>
      </w:r>
      <w:r w:rsidRPr="002403D0">
        <w:rPr>
          <w:rFonts w:ascii="Times New Roman" w:hAnsi="Times New Roman" w:cs="Times New Roman"/>
          <w:lang w:val="en-US"/>
        </w:rPr>
        <w:t>(3), 283–313. https://doi.org/10.1075/lab.4.3.01tsi</w:t>
      </w:r>
    </w:p>
    <w:p w14:paraId="031D1532" w14:textId="2F5D2F24" w:rsidR="005E3CE5" w:rsidRPr="005E3CE5" w:rsidRDefault="005E3CE5" w:rsidP="002403D0">
      <w:pPr>
        <w:pStyle w:val="Bibliography"/>
        <w:spacing w:line="240" w:lineRule="auto"/>
        <w:rPr>
          <w:rFonts w:ascii="Times New Roman" w:eastAsia="Times New Roman" w:hAnsi="Times New Roman" w:cs="Times New Roman"/>
        </w:rPr>
      </w:pPr>
      <w:r>
        <w:rPr>
          <w:rFonts w:ascii="Times New Roman" w:eastAsia="Times New Roman" w:hAnsi="Times New Roman" w:cs="Times New Roman"/>
        </w:rPr>
        <w:fldChar w:fldCharType="end"/>
      </w:r>
    </w:p>
    <w:sectPr w:rsidR="005E3CE5" w:rsidRPr="005E3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FEA"/>
    <w:rsid w:val="000327BB"/>
    <w:rsid w:val="000D0BCA"/>
    <w:rsid w:val="001703DE"/>
    <w:rsid w:val="001850F1"/>
    <w:rsid w:val="001F5B38"/>
    <w:rsid w:val="002403D0"/>
    <w:rsid w:val="00253BB8"/>
    <w:rsid w:val="00264C2F"/>
    <w:rsid w:val="002A3DD4"/>
    <w:rsid w:val="002A7861"/>
    <w:rsid w:val="002C005F"/>
    <w:rsid w:val="002C6E6C"/>
    <w:rsid w:val="00304634"/>
    <w:rsid w:val="0034123E"/>
    <w:rsid w:val="003576A9"/>
    <w:rsid w:val="00387FFB"/>
    <w:rsid w:val="003B0F01"/>
    <w:rsid w:val="003C0A6A"/>
    <w:rsid w:val="00421634"/>
    <w:rsid w:val="00475390"/>
    <w:rsid w:val="00476C14"/>
    <w:rsid w:val="004F0547"/>
    <w:rsid w:val="00567067"/>
    <w:rsid w:val="005A28E8"/>
    <w:rsid w:val="005A3EF7"/>
    <w:rsid w:val="005E3CE5"/>
    <w:rsid w:val="00601A17"/>
    <w:rsid w:val="006518B2"/>
    <w:rsid w:val="00667A71"/>
    <w:rsid w:val="006947C4"/>
    <w:rsid w:val="00775DF4"/>
    <w:rsid w:val="00794509"/>
    <w:rsid w:val="007F0514"/>
    <w:rsid w:val="008A4927"/>
    <w:rsid w:val="008D1465"/>
    <w:rsid w:val="009015BB"/>
    <w:rsid w:val="009109CB"/>
    <w:rsid w:val="0095631F"/>
    <w:rsid w:val="00986F51"/>
    <w:rsid w:val="00995626"/>
    <w:rsid w:val="009E29DF"/>
    <w:rsid w:val="00A17B53"/>
    <w:rsid w:val="00A50DE2"/>
    <w:rsid w:val="00AC7369"/>
    <w:rsid w:val="00B2047F"/>
    <w:rsid w:val="00B22DFB"/>
    <w:rsid w:val="00B41294"/>
    <w:rsid w:val="00B46BBA"/>
    <w:rsid w:val="00B550AF"/>
    <w:rsid w:val="00B6421D"/>
    <w:rsid w:val="00B80EE8"/>
    <w:rsid w:val="00B90751"/>
    <w:rsid w:val="00B97301"/>
    <w:rsid w:val="00BD7313"/>
    <w:rsid w:val="00BE4961"/>
    <w:rsid w:val="00C36982"/>
    <w:rsid w:val="00C620B5"/>
    <w:rsid w:val="00C80C64"/>
    <w:rsid w:val="00C83FEA"/>
    <w:rsid w:val="00CA04F6"/>
    <w:rsid w:val="00CD612E"/>
    <w:rsid w:val="00CE1A63"/>
    <w:rsid w:val="00D773D5"/>
    <w:rsid w:val="00DA73B0"/>
    <w:rsid w:val="00ED1DE5"/>
    <w:rsid w:val="00F75BF3"/>
    <w:rsid w:val="00F82D49"/>
    <w:rsid w:val="00F8321E"/>
    <w:rsid w:val="00FA3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66468E"/>
  <w15:chartTrackingRefBased/>
  <w15:docId w15:val="{BD99E876-16B9-4D44-AB52-86EA8AB6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FEA"/>
    <w:pPr>
      <w:spacing w:after="0" w:line="240" w:lineRule="auto"/>
    </w:pPr>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C83FE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C83FE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C83FE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83FEA"/>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C83FEA"/>
    <w:pPr>
      <w:keepNext/>
      <w:keepLines/>
      <w:spacing w:before="80" w:after="40" w:line="278" w:lineRule="auto"/>
      <w:outlineLvl w:val="4"/>
    </w:pPr>
    <w:rPr>
      <w:rFonts w:asciiTheme="minorHAnsi" w:eastAsiaTheme="majorEastAsia" w:hAnsiTheme="minorHAnsi" w:cstheme="majorBidi"/>
      <w:color w:val="2F5496"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C83FEA"/>
    <w:pPr>
      <w:keepNext/>
      <w:keepLines/>
      <w:spacing w:before="40" w:line="278" w:lineRule="auto"/>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C83FEA"/>
    <w:pPr>
      <w:keepNext/>
      <w:keepLines/>
      <w:spacing w:before="40" w:line="278" w:lineRule="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C83FEA"/>
    <w:pPr>
      <w:keepNext/>
      <w:keepLines/>
      <w:spacing w:line="278" w:lineRule="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C83FEA"/>
    <w:pPr>
      <w:keepNext/>
      <w:keepLines/>
      <w:spacing w:line="278" w:lineRule="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F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F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F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F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F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FEA"/>
    <w:rPr>
      <w:rFonts w:eastAsiaTheme="majorEastAsia" w:cstheme="majorBidi"/>
      <w:color w:val="272727" w:themeColor="text1" w:themeTint="D8"/>
    </w:rPr>
  </w:style>
  <w:style w:type="paragraph" w:styleId="Title">
    <w:name w:val="Title"/>
    <w:basedOn w:val="Normal"/>
    <w:next w:val="Normal"/>
    <w:link w:val="TitleChar"/>
    <w:uiPriority w:val="10"/>
    <w:qFormat/>
    <w:rsid w:val="00C83FEA"/>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C83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FE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83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FEA"/>
    <w:pPr>
      <w:spacing w:before="160" w:after="160" w:line="278"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C83FEA"/>
    <w:rPr>
      <w:i/>
      <w:iCs/>
      <w:color w:val="404040" w:themeColor="text1" w:themeTint="BF"/>
    </w:rPr>
  </w:style>
  <w:style w:type="paragraph" w:styleId="ListParagraph">
    <w:name w:val="List Paragraph"/>
    <w:basedOn w:val="Normal"/>
    <w:uiPriority w:val="34"/>
    <w:qFormat/>
    <w:rsid w:val="00C83FEA"/>
    <w:pPr>
      <w:spacing w:after="160" w:line="278" w:lineRule="auto"/>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C83FEA"/>
    <w:rPr>
      <w:i/>
      <w:iCs/>
      <w:color w:val="2F5496" w:themeColor="accent1" w:themeShade="BF"/>
    </w:rPr>
  </w:style>
  <w:style w:type="paragraph" w:styleId="IntenseQuote">
    <w:name w:val="Intense Quote"/>
    <w:basedOn w:val="Normal"/>
    <w:next w:val="Normal"/>
    <w:link w:val="IntenseQuoteChar"/>
    <w:uiPriority w:val="30"/>
    <w:qFormat/>
    <w:rsid w:val="00C83FE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C83FEA"/>
    <w:rPr>
      <w:i/>
      <w:iCs/>
      <w:color w:val="2F5496" w:themeColor="accent1" w:themeShade="BF"/>
    </w:rPr>
  </w:style>
  <w:style w:type="character" w:styleId="IntenseReference">
    <w:name w:val="Intense Reference"/>
    <w:basedOn w:val="DefaultParagraphFont"/>
    <w:uiPriority w:val="32"/>
    <w:qFormat/>
    <w:rsid w:val="00C83FEA"/>
    <w:rPr>
      <w:b/>
      <w:bCs/>
      <w:smallCaps/>
      <w:color w:val="2F5496" w:themeColor="accent1" w:themeShade="BF"/>
      <w:spacing w:val="5"/>
    </w:rPr>
  </w:style>
  <w:style w:type="paragraph" w:styleId="Bibliography">
    <w:name w:val="Bibliography"/>
    <w:basedOn w:val="Normal"/>
    <w:next w:val="Normal"/>
    <w:uiPriority w:val="37"/>
    <w:unhideWhenUsed/>
    <w:rsid w:val="005E3CE5"/>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4104</Words>
  <Characters>23393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Thane, Patrick D</dc:creator>
  <cp:keywords/>
  <dc:description/>
  <cp:lastModifiedBy>Thane, Patrick D</cp:lastModifiedBy>
  <cp:revision>60</cp:revision>
  <dcterms:created xsi:type="dcterms:W3CDTF">2025-12-12T15:53:00Z</dcterms:created>
  <dcterms:modified xsi:type="dcterms:W3CDTF">2026-05-05T22:36:00Z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id="QHt5QSHv"/&gt;&lt;style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