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4E152" w14:textId="008F3390" w:rsidR="008E304B" w:rsidRDefault="00AE03B5" w:rsidP="005A59A5">
      <w:pPr>
        <w:jc w:val="center"/>
        <w:rPr>
          <w:rFonts w:ascii="Times New Roman" w:hAnsi="Times New Roman" w:cs="Times New Roman"/>
        </w:rPr>
      </w:pPr>
      <w:r w:rsidRPr="00AE03B5">
        <w:rPr>
          <w:rFonts w:ascii="Times New Roman" w:hAnsi="Times New Roman" w:cs="Times New Roman"/>
          <w:b/>
          <w:bCs/>
        </w:rPr>
        <w:t>Achieving a Unified Theory of Child Heritage Language Acquisition: Evidence from Spanish Case and Mood</w:t>
      </w:r>
    </w:p>
    <w:p w14:paraId="68C8F0E4" w14:textId="77777777" w:rsidR="00AE03B5" w:rsidRDefault="00AE03B5" w:rsidP="005A59A5">
      <w:pPr>
        <w:rPr>
          <w:rFonts w:ascii="Times New Roman" w:hAnsi="Times New Roman" w:cs="Times New Roman"/>
        </w:rPr>
      </w:pPr>
    </w:p>
    <w:p w14:paraId="056A2C11" w14:textId="77777777" w:rsidR="00A35173" w:rsidRDefault="00A35173" w:rsidP="005A59A5">
      <w:pPr>
        <w:rPr>
          <w:rFonts w:ascii="Times New Roman" w:hAnsi="Times New Roman" w:cs="Times New Roman"/>
        </w:rPr>
      </w:pPr>
    </w:p>
    <w:p w14:paraId="4E911470" w14:textId="3CB2FA95" w:rsidR="00AE03B5" w:rsidRDefault="00AE03B5" w:rsidP="005A59A5">
      <w:pPr>
        <w:rPr>
          <w:rFonts w:ascii="Times New Roman" w:hAnsi="Times New Roman" w:cs="Times New Roman"/>
        </w:rPr>
      </w:pPr>
      <w:r>
        <w:rPr>
          <w:rFonts w:ascii="Times New Roman" w:hAnsi="Times New Roman" w:cs="Times New Roman"/>
          <w:b/>
          <w:bCs/>
        </w:rPr>
        <w:t>1</w:t>
      </w:r>
      <w:r w:rsidR="00071F81">
        <w:rPr>
          <w:rFonts w:ascii="Times New Roman" w:hAnsi="Times New Roman" w:cs="Times New Roman"/>
          <w:b/>
          <w:bCs/>
        </w:rPr>
        <w:t xml:space="preserve"> </w:t>
      </w:r>
      <w:r>
        <w:rPr>
          <w:rFonts w:ascii="Times New Roman" w:hAnsi="Times New Roman" w:cs="Times New Roman"/>
          <w:b/>
          <w:bCs/>
        </w:rPr>
        <w:t>Introduction</w:t>
      </w:r>
    </w:p>
    <w:p w14:paraId="38668BF5" w14:textId="77777777" w:rsidR="00831EB7" w:rsidRPr="00831EB7" w:rsidRDefault="00831EB7" w:rsidP="005A59A5">
      <w:pPr>
        <w:rPr>
          <w:rFonts w:ascii="Times New Roman" w:hAnsi="Times New Roman" w:cs="Times New Roman"/>
        </w:rPr>
      </w:pPr>
    </w:p>
    <w:p w14:paraId="185BB8B0" w14:textId="38F3C095" w:rsidR="00AE03B5" w:rsidRDefault="00AE03B5" w:rsidP="005A59A5">
      <w:pPr>
        <w:ind w:firstLine="720"/>
        <w:jc w:val="both"/>
        <w:rPr>
          <w:rFonts w:ascii="Times New Roman" w:hAnsi="Times New Roman" w:cs="Times New Roman"/>
        </w:rPr>
      </w:pPr>
      <w:r>
        <w:rPr>
          <w:rFonts w:ascii="Times New Roman" w:hAnsi="Times New Roman" w:cs="Times New Roman"/>
        </w:rPr>
        <w:t xml:space="preserve">The past two decades have yielded considerable advances in generative approaches to heritage language (HL) acquisition. HLs have been of interest to the generative research paradigm because they represent a unique context of first language acquisition under reduced input and crosslinguistic influence from a more dominant language. </w:t>
      </w:r>
      <w:r w:rsidR="00A05ECA">
        <w:rPr>
          <w:rFonts w:ascii="Times New Roman" w:hAnsi="Times New Roman" w:cs="Times New Roman"/>
        </w:rPr>
        <w:t xml:space="preserve">A key question in research has related to </w:t>
      </w:r>
      <w:r w:rsidR="0056002E">
        <w:rPr>
          <w:rFonts w:ascii="Times New Roman" w:hAnsi="Times New Roman" w:cs="Times New Roman"/>
        </w:rPr>
        <w:t>determining</w:t>
      </w:r>
      <w:r w:rsidR="00A05ECA">
        <w:rPr>
          <w:rFonts w:ascii="Times New Roman" w:hAnsi="Times New Roman" w:cs="Times New Roman"/>
        </w:rPr>
        <w:t xml:space="preserve"> </w:t>
      </w:r>
      <w:r w:rsidR="0056002E">
        <w:rPr>
          <w:rFonts w:ascii="Times New Roman" w:hAnsi="Times New Roman" w:cs="Times New Roman"/>
        </w:rPr>
        <w:t xml:space="preserve">whether the morphosyntactic patterns that heritage speakers (HSs) exhibit in their grammatical knowledge are attributable to differences in the rate and/or route of acquisition (e.g., Montrul 2008; 2013) or due to language loss (e.g., </w:t>
      </w:r>
      <w:r w:rsidR="00D306B5">
        <w:rPr>
          <w:rFonts w:ascii="Times New Roman" w:hAnsi="Times New Roman" w:cs="Times New Roman"/>
        </w:rPr>
        <w:t xml:space="preserve">Hicks &amp; Domínguez 2020; </w:t>
      </w:r>
      <w:r w:rsidR="0056002E">
        <w:rPr>
          <w:rFonts w:ascii="Times New Roman" w:hAnsi="Times New Roman" w:cs="Times New Roman"/>
        </w:rPr>
        <w:t xml:space="preserve">Polinsky </w:t>
      </w:r>
      <w:r w:rsidR="006C0470">
        <w:rPr>
          <w:rFonts w:ascii="Times New Roman" w:hAnsi="Times New Roman" w:cs="Times New Roman"/>
        </w:rPr>
        <w:t>2011</w:t>
      </w:r>
      <w:r w:rsidR="0056002E">
        <w:rPr>
          <w:rFonts w:ascii="Times New Roman" w:hAnsi="Times New Roman" w:cs="Times New Roman"/>
        </w:rPr>
        <w:t>; Putnam &amp; Sánchez</w:t>
      </w:r>
      <w:r w:rsidR="00CB6E75">
        <w:rPr>
          <w:rFonts w:ascii="Times New Roman" w:hAnsi="Times New Roman" w:cs="Times New Roman"/>
        </w:rPr>
        <w:t xml:space="preserve"> </w:t>
      </w:r>
      <w:r w:rsidR="0056002E">
        <w:rPr>
          <w:rFonts w:ascii="Times New Roman" w:hAnsi="Times New Roman" w:cs="Times New Roman"/>
        </w:rPr>
        <w:t>2013)</w:t>
      </w:r>
      <w:r w:rsidR="00A05ECA">
        <w:rPr>
          <w:rFonts w:ascii="Times New Roman" w:hAnsi="Times New Roman" w:cs="Times New Roman"/>
        </w:rPr>
        <w:t xml:space="preserve">. </w:t>
      </w:r>
      <w:r w:rsidR="00346476">
        <w:rPr>
          <w:rFonts w:ascii="Times New Roman" w:hAnsi="Times New Roman" w:cs="Times New Roman"/>
        </w:rPr>
        <w:t>How HLs develop or change over the childhood years is an open empirical question of high importance to theories of acquisition</w:t>
      </w:r>
      <w:r w:rsidR="00895611">
        <w:rPr>
          <w:rFonts w:ascii="Times New Roman" w:hAnsi="Times New Roman" w:cs="Times New Roman"/>
        </w:rPr>
        <w:t xml:space="preserve">: </w:t>
      </w:r>
      <w:r w:rsidR="00346476">
        <w:rPr>
          <w:rFonts w:ascii="Times New Roman" w:hAnsi="Times New Roman" w:cs="Times New Roman"/>
        </w:rPr>
        <w:t>Montrul (2018</w:t>
      </w:r>
      <w:r w:rsidR="00CB6E75">
        <w:rPr>
          <w:rFonts w:ascii="Times New Roman" w:hAnsi="Times New Roman" w:cs="Times New Roman"/>
        </w:rPr>
        <w:t>:</w:t>
      </w:r>
      <w:r w:rsidR="00346476">
        <w:rPr>
          <w:rFonts w:ascii="Times New Roman" w:hAnsi="Times New Roman" w:cs="Times New Roman"/>
        </w:rPr>
        <w:t xml:space="preserve"> 534) argues that school-aged bilingual children</w:t>
      </w:r>
      <w:r w:rsidR="00F83303">
        <w:rPr>
          <w:rFonts w:ascii="Times New Roman" w:hAnsi="Times New Roman" w:cs="Times New Roman"/>
        </w:rPr>
        <w:t xml:space="preserve"> are</w:t>
      </w:r>
      <w:r w:rsidR="0056002E">
        <w:rPr>
          <w:rFonts w:ascii="Times New Roman" w:hAnsi="Times New Roman" w:cs="Times New Roman"/>
        </w:rPr>
        <w:t xml:space="preserve"> the “</w:t>
      </w:r>
      <w:r w:rsidR="001E4CFD">
        <w:rPr>
          <w:rFonts w:ascii="Times New Roman" w:hAnsi="Times New Roman" w:cs="Times New Roman"/>
        </w:rPr>
        <w:t>m</w:t>
      </w:r>
      <w:r w:rsidR="0056002E">
        <w:rPr>
          <w:rFonts w:ascii="Times New Roman" w:hAnsi="Times New Roman" w:cs="Times New Roman"/>
        </w:rPr>
        <w:t xml:space="preserve">issing link” in HL acquisition research, </w:t>
      </w:r>
      <w:r w:rsidR="00F83303">
        <w:rPr>
          <w:rFonts w:ascii="Times New Roman" w:hAnsi="Times New Roman" w:cs="Times New Roman"/>
        </w:rPr>
        <w:t xml:space="preserve">as they </w:t>
      </w:r>
      <w:r w:rsidR="0056002E">
        <w:rPr>
          <w:rFonts w:ascii="Times New Roman" w:hAnsi="Times New Roman" w:cs="Times New Roman"/>
        </w:rPr>
        <w:t xml:space="preserve">hold key information in distinguishing between </w:t>
      </w:r>
      <w:r w:rsidR="00294CEC">
        <w:rPr>
          <w:rFonts w:ascii="Times New Roman" w:hAnsi="Times New Roman" w:cs="Times New Roman"/>
        </w:rPr>
        <w:t>differential and/or protracted processes of acquisition versus attrition</w:t>
      </w:r>
      <w:r w:rsidR="00CD3DC7">
        <w:rPr>
          <w:rFonts w:ascii="Times New Roman" w:hAnsi="Times New Roman" w:cs="Times New Roman"/>
        </w:rPr>
        <w:t>.</w:t>
      </w:r>
      <w:r w:rsidR="0093715E">
        <w:rPr>
          <w:rFonts w:ascii="Times New Roman" w:hAnsi="Times New Roman" w:cs="Times New Roman"/>
        </w:rPr>
        <w:t xml:space="preserve"> </w:t>
      </w:r>
      <w:r w:rsidR="00226E39">
        <w:rPr>
          <w:rFonts w:ascii="Times New Roman" w:hAnsi="Times New Roman" w:cs="Times New Roman"/>
        </w:rPr>
        <w:t>T</w:t>
      </w:r>
      <w:r w:rsidR="0093715E">
        <w:rPr>
          <w:rFonts w:ascii="Times New Roman" w:hAnsi="Times New Roman" w:cs="Times New Roman"/>
        </w:rPr>
        <w:t>heor</w:t>
      </w:r>
      <w:r w:rsidR="00226E39">
        <w:rPr>
          <w:rFonts w:ascii="Times New Roman" w:hAnsi="Times New Roman" w:cs="Times New Roman"/>
        </w:rPr>
        <w:t>ies</w:t>
      </w:r>
      <w:r w:rsidR="0093715E">
        <w:rPr>
          <w:rFonts w:ascii="Times New Roman" w:hAnsi="Times New Roman" w:cs="Times New Roman"/>
        </w:rPr>
        <w:t xml:space="preserve"> of HL acquisition and maintenance must be able to account for the path of typical development </w:t>
      </w:r>
      <w:r w:rsidR="006B21AE">
        <w:rPr>
          <w:rFonts w:ascii="Times New Roman" w:hAnsi="Times New Roman" w:cs="Times New Roman"/>
        </w:rPr>
        <w:t>in HSs from childhood to adult</w:t>
      </w:r>
      <w:r w:rsidR="00895611">
        <w:rPr>
          <w:rFonts w:ascii="Times New Roman" w:hAnsi="Times New Roman" w:cs="Times New Roman"/>
        </w:rPr>
        <w:t>hood</w:t>
      </w:r>
      <w:r w:rsidR="00E1613E">
        <w:rPr>
          <w:rFonts w:ascii="Times New Roman" w:hAnsi="Times New Roman" w:cs="Times New Roman"/>
        </w:rPr>
        <w:t xml:space="preserve">, so considering this age range is vital for </w:t>
      </w:r>
      <w:r w:rsidR="00AF441B">
        <w:rPr>
          <w:rFonts w:ascii="Times New Roman" w:hAnsi="Times New Roman" w:cs="Times New Roman"/>
        </w:rPr>
        <w:t xml:space="preserve">achieving a </w:t>
      </w:r>
      <w:r w:rsidR="00B802E3">
        <w:rPr>
          <w:rFonts w:ascii="Times New Roman" w:hAnsi="Times New Roman" w:cs="Times New Roman"/>
        </w:rPr>
        <w:t xml:space="preserve">more complete picture of </w:t>
      </w:r>
      <w:r w:rsidR="009603BD">
        <w:rPr>
          <w:rFonts w:ascii="Times New Roman" w:hAnsi="Times New Roman" w:cs="Times New Roman"/>
        </w:rPr>
        <w:t>development</w:t>
      </w:r>
      <w:r w:rsidR="009A77EA">
        <w:rPr>
          <w:rFonts w:ascii="Times New Roman" w:hAnsi="Times New Roman" w:cs="Times New Roman"/>
        </w:rPr>
        <w:t>.</w:t>
      </w:r>
    </w:p>
    <w:p w14:paraId="39EC00F3" w14:textId="3478788B" w:rsidR="00321EED" w:rsidRDefault="00D11508" w:rsidP="00732BC3">
      <w:pPr>
        <w:ind w:firstLine="720"/>
        <w:jc w:val="both"/>
        <w:rPr>
          <w:rFonts w:ascii="Times New Roman" w:hAnsi="Times New Roman" w:cs="Times New Roman"/>
        </w:rPr>
      </w:pPr>
      <w:r w:rsidRPr="009E194C">
        <w:rPr>
          <w:rFonts w:ascii="Times New Roman" w:hAnsi="Times New Roman" w:cs="Times New Roman"/>
        </w:rPr>
        <w:t>On one hand, differential acquisition</w:t>
      </w:r>
      <w:r w:rsidR="007B2BF3" w:rsidRPr="009E194C">
        <w:rPr>
          <w:rFonts w:ascii="Times New Roman" w:hAnsi="Times New Roman" w:cs="Times New Roman"/>
        </w:rPr>
        <w:t xml:space="preserve"> (e.g., Montrul 2008, 2013) emphasizes that HSs </w:t>
      </w:r>
      <w:r w:rsidR="00E40C0D">
        <w:rPr>
          <w:rFonts w:ascii="Times New Roman" w:hAnsi="Times New Roman" w:cs="Times New Roman"/>
        </w:rPr>
        <w:t>present greater heterogeneity in the</w:t>
      </w:r>
      <w:r w:rsidR="00E65084">
        <w:rPr>
          <w:rFonts w:ascii="Times New Roman" w:hAnsi="Times New Roman" w:cs="Times New Roman"/>
        </w:rPr>
        <w:t xml:space="preserve"> outcomes of language acquisition </w:t>
      </w:r>
      <w:r w:rsidR="00E40C0D">
        <w:rPr>
          <w:rFonts w:ascii="Times New Roman" w:hAnsi="Times New Roman" w:cs="Times New Roman"/>
        </w:rPr>
        <w:t xml:space="preserve">than other groups of bilinguals because of their early age of </w:t>
      </w:r>
      <w:r w:rsidR="008D4DEF">
        <w:rPr>
          <w:rFonts w:ascii="Times New Roman" w:hAnsi="Times New Roman" w:cs="Times New Roman"/>
        </w:rPr>
        <w:t>exposure to</w:t>
      </w:r>
      <w:r w:rsidR="00E40C0D">
        <w:rPr>
          <w:rFonts w:ascii="Times New Roman" w:hAnsi="Times New Roman" w:cs="Times New Roman"/>
        </w:rPr>
        <w:t xml:space="preserve"> the majority language and sudden decrease in HL input when starting school. On the other hand, </w:t>
      </w:r>
      <w:r w:rsidR="00691A77">
        <w:rPr>
          <w:rFonts w:ascii="Times New Roman" w:hAnsi="Times New Roman" w:cs="Times New Roman"/>
        </w:rPr>
        <w:t>attrition highlight</w:t>
      </w:r>
      <w:r w:rsidR="00453B85">
        <w:rPr>
          <w:rFonts w:ascii="Times New Roman" w:hAnsi="Times New Roman" w:cs="Times New Roman"/>
        </w:rPr>
        <w:t>s</w:t>
      </w:r>
      <w:r w:rsidR="00475049" w:rsidRPr="009E194C">
        <w:rPr>
          <w:rFonts w:ascii="Times New Roman" w:hAnsi="Times New Roman" w:cs="Times New Roman"/>
        </w:rPr>
        <w:t xml:space="preserve"> decreases in linguistic knowledge over HSs’ lifespan (e.g., </w:t>
      </w:r>
      <w:r w:rsidR="00775DA6">
        <w:rPr>
          <w:rFonts w:ascii="Times New Roman" w:hAnsi="Times New Roman" w:cs="Times New Roman"/>
        </w:rPr>
        <w:t xml:space="preserve">Hicks &amp; Domínguez 2020; </w:t>
      </w:r>
      <w:r w:rsidR="00D21242" w:rsidRPr="009E194C">
        <w:rPr>
          <w:rFonts w:ascii="Times New Roman" w:hAnsi="Times New Roman" w:cs="Times New Roman"/>
        </w:rPr>
        <w:t>Polinsky 2011</w:t>
      </w:r>
      <w:r w:rsidR="00475049" w:rsidRPr="009E194C">
        <w:rPr>
          <w:rFonts w:ascii="Times New Roman" w:hAnsi="Times New Roman" w:cs="Times New Roman"/>
        </w:rPr>
        <w:t>)</w:t>
      </w:r>
      <w:r w:rsidR="007B2BF3" w:rsidRPr="009E194C">
        <w:rPr>
          <w:rFonts w:ascii="Times New Roman" w:hAnsi="Times New Roman" w:cs="Times New Roman"/>
        </w:rPr>
        <w:t>.</w:t>
      </w:r>
      <w:r w:rsidR="00D21242" w:rsidRPr="009E194C">
        <w:rPr>
          <w:rFonts w:ascii="Times New Roman" w:hAnsi="Times New Roman" w:cs="Times New Roman"/>
        </w:rPr>
        <w:t xml:space="preserve"> </w:t>
      </w:r>
      <w:r w:rsidR="00652B0E">
        <w:rPr>
          <w:rFonts w:ascii="Times New Roman" w:hAnsi="Times New Roman" w:cs="Times New Roman"/>
        </w:rPr>
        <w:t>D</w:t>
      </w:r>
      <w:r w:rsidR="00321EED" w:rsidRPr="009E194C">
        <w:rPr>
          <w:rFonts w:ascii="Times New Roman" w:hAnsi="Times New Roman" w:cs="Times New Roman"/>
        </w:rPr>
        <w:t xml:space="preserve">ifferential acquisition and attrition represent two ends of a spectrum that </w:t>
      </w:r>
      <w:r w:rsidR="009D39E3">
        <w:rPr>
          <w:rFonts w:ascii="Times New Roman" w:hAnsi="Times New Roman" w:cs="Times New Roman"/>
        </w:rPr>
        <w:t xml:space="preserve">describe </w:t>
      </w:r>
      <w:r w:rsidR="00321EED" w:rsidRPr="009E194C">
        <w:rPr>
          <w:rFonts w:ascii="Times New Roman" w:hAnsi="Times New Roman" w:cs="Times New Roman"/>
        </w:rPr>
        <w:t>differences that emerge when comparing HSs to other populations</w:t>
      </w:r>
      <w:r w:rsidR="00077B3C" w:rsidRPr="009E194C">
        <w:rPr>
          <w:rFonts w:ascii="Times New Roman" w:hAnsi="Times New Roman" w:cs="Times New Roman"/>
        </w:rPr>
        <w:t>. While these accounts of acquisition describe opposite phenomena, they both refer to the route of HL acquisition</w:t>
      </w:r>
      <w:r w:rsidR="00400E1F" w:rsidRPr="009E194C">
        <w:rPr>
          <w:rFonts w:ascii="Times New Roman" w:hAnsi="Times New Roman" w:cs="Times New Roman"/>
        </w:rPr>
        <w:t xml:space="preserve"> and maintenance</w:t>
      </w:r>
      <w:r w:rsidR="00321EED" w:rsidRPr="009E194C">
        <w:rPr>
          <w:rFonts w:ascii="Times New Roman" w:hAnsi="Times New Roman" w:cs="Times New Roman"/>
        </w:rPr>
        <w:t>.</w:t>
      </w:r>
      <w:r w:rsidR="00732BC3">
        <w:rPr>
          <w:rFonts w:ascii="Times New Roman" w:hAnsi="Times New Roman" w:cs="Times New Roman"/>
        </w:rPr>
        <w:t xml:space="preserve"> </w:t>
      </w:r>
      <w:r w:rsidR="00077B3C" w:rsidRPr="009E194C">
        <w:rPr>
          <w:rFonts w:ascii="Times New Roman" w:hAnsi="Times New Roman" w:cs="Times New Roman"/>
        </w:rPr>
        <w:t xml:space="preserve">In </w:t>
      </w:r>
      <w:r w:rsidR="00400E1F" w:rsidRPr="009E194C">
        <w:rPr>
          <w:rFonts w:ascii="Times New Roman" w:hAnsi="Times New Roman" w:cs="Times New Roman"/>
        </w:rPr>
        <w:t>contrast</w:t>
      </w:r>
      <w:r w:rsidR="00652B0E">
        <w:rPr>
          <w:rFonts w:ascii="Times New Roman" w:hAnsi="Times New Roman" w:cs="Times New Roman"/>
        </w:rPr>
        <w:t xml:space="preserve"> to these two approaches</w:t>
      </w:r>
      <w:r w:rsidR="00400E1F" w:rsidRPr="009E194C">
        <w:rPr>
          <w:rFonts w:ascii="Times New Roman" w:hAnsi="Times New Roman" w:cs="Times New Roman"/>
        </w:rPr>
        <w:t>, o</w:t>
      </w:r>
      <w:r w:rsidR="00321EED" w:rsidRPr="009E194C">
        <w:rPr>
          <w:rFonts w:ascii="Times New Roman" w:hAnsi="Times New Roman" w:cs="Times New Roman"/>
        </w:rPr>
        <w:t>ther studies have shown that HSs</w:t>
      </w:r>
      <w:r w:rsidR="00FD4A33" w:rsidRPr="009E194C">
        <w:rPr>
          <w:rFonts w:ascii="Times New Roman" w:hAnsi="Times New Roman" w:cs="Times New Roman"/>
        </w:rPr>
        <w:t xml:space="preserve">’ </w:t>
      </w:r>
      <w:r w:rsidR="00FD4A33" w:rsidRPr="009E194C">
        <w:rPr>
          <w:rFonts w:ascii="Times New Roman" w:hAnsi="Times New Roman" w:cs="Times New Roman"/>
          <w:i/>
          <w:iCs/>
        </w:rPr>
        <w:t>rate</w:t>
      </w:r>
      <w:r w:rsidR="00FD4A33" w:rsidRPr="009E194C">
        <w:rPr>
          <w:rFonts w:ascii="Times New Roman" w:hAnsi="Times New Roman" w:cs="Times New Roman"/>
        </w:rPr>
        <w:t xml:space="preserve"> of morphosyntactic </w:t>
      </w:r>
      <w:r w:rsidR="00321EED" w:rsidRPr="009E194C">
        <w:rPr>
          <w:rFonts w:ascii="Times New Roman" w:hAnsi="Times New Roman" w:cs="Times New Roman"/>
        </w:rPr>
        <w:t xml:space="preserve">development </w:t>
      </w:r>
      <w:r w:rsidR="00FD4A33" w:rsidRPr="009E194C">
        <w:rPr>
          <w:rFonts w:ascii="Times New Roman" w:hAnsi="Times New Roman" w:cs="Times New Roman"/>
        </w:rPr>
        <w:t xml:space="preserve">differs from </w:t>
      </w:r>
      <w:r w:rsidR="00652B0E">
        <w:rPr>
          <w:rFonts w:ascii="Times New Roman" w:hAnsi="Times New Roman" w:cs="Times New Roman"/>
        </w:rPr>
        <w:t>monolinguals</w:t>
      </w:r>
      <w:r w:rsidR="00321EED" w:rsidRPr="009E194C">
        <w:rPr>
          <w:rFonts w:ascii="Times New Roman" w:hAnsi="Times New Roman" w:cs="Times New Roman"/>
        </w:rPr>
        <w:t xml:space="preserve"> (e.g., </w:t>
      </w:r>
      <w:r w:rsidR="00CB13A7" w:rsidRPr="009E194C">
        <w:rPr>
          <w:rFonts w:ascii="Times New Roman" w:hAnsi="Times New Roman" w:cs="Times New Roman"/>
        </w:rPr>
        <w:t xml:space="preserve">Cuza &amp; Miller 2015; </w:t>
      </w:r>
      <w:r w:rsidR="00321EED" w:rsidRPr="009E194C">
        <w:rPr>
          <w:rFonts w:ascii="Times New Roman" w:hAnsi="Times New Roman" w:cs="Times New Roman"/>
        </w:rPr>
        <w:t xml:space="preserve">Daskalaki et al. 2023; Flores et al. 2017). Such an approach has come to be known as </w:t>
      </w:r>
      <w:r w:rsidR="00321EED" w:rsidRPr="009E194C">
        <w:rPr>
          <w:rFonts w:ascii="Times New Roman" w:hAnsi="Times New Roman" w:cs="Times New Roman"/>
          <w:i/>
          <w:iCs/>
        </w:rPr>
        <w:t>protracted development</w:t>
      </w:r>
      <w:r w:rsidR="00321EED" w:rsidRPr="009E194C">
        <w:rPr>
          <w:rFonts w:ascii="Times New Roman" w:hAnsi="Times New Roman" w:cs="Times New Roman"/>
        </w:rPr>
        <w:t>, as HSs’ mastery of morphosyntax continues in an upward trend well past periods in which monolinguals master the same structure.</w:t>
      </w:r>
      <w:r w:rsidR="00FD4A33" w:rsidRPr="009E194C">
        <w:rPr>
          <w:rFonts w:ascii="Times New Roman" w:hAnsi="Times New Roman" w:cs="Times New Roman"/>
        </w:rPr>
        <w:t xml:space="preserve"> Common to all three theories presented so far is </w:t>
      </w:r>
      <w:r w:rsidR="00895611">
        <w:rPr>
          <w:rFonts w:ascii="Times New Roman" w:hAnsi="Times New Roman" w:cs="Times New Roman"/>
        </w:rPr>
        <w:t>the</w:t>
      </w:r>
      <w:r w:rsidR="00FD4A33" w:rsidRPr="009E194C">
        <w:rPr>
          <w:rFonts w:ascii="Times New Roman" w:hAnsi="Times New Roman" w:cs="Times New Roman"/>
        </w:rPr>
        <w:t xml:space="preserve"> comparison of HSs to other groups of speakers of the same language, thus emphasizing between-groups differences.</w:t>
      </w:r>
    </w:p>
    <w:p w14:paraId="2B2CDD33" w14:textId="6081B96C" w:rsidR="00C25C2C" w:rsidRDefault="00732BC3" w:rsidP="005A59A5">
      <w:pPr>
        <w:ind w:firstLine="720"/>
        <w:jc w:val="both"/>
        <w:rPr>
          <w:rFonts w:ascii="Times New Roman" w:hAnsi="Times New Roman" w:cs="Times New Roman"/>
        </w:rPr>
      </w:pPr>
      <w:r>
        <w:rPr>
          <w:rFonts w:ascii="Times New Roman" w:hAnsi="Times New Roman" w:cs="Times New Roman"/>
        </w:rPr>
        <w:t>On the other hand, i</w:t>
      </w:r>
      <w:r w:rsidR="005C2DA7">
        <w:rPr>
          <w:rFonts w:ascii="Times New Roman" w:hAnsi="Times New Roman" w:cs="Times New Roman"/>
        </w:rPr>
        <w:t xml:space="preserve">n recent years, </w:t>
      </w:r>
      <w:r w:rsidR="0087518C">
        <w:rPr>
          <w:rFonts w:ascii="Times New Roman" w:hAnsi="Times New Roman" w:cs="Times New Roman"/>
        </w:rPr>
        <w:t>the field has experienced a “paradigm shift” (Giancaspro et al. 2022</w:t>
      </w:r>
      <w:r w:rsidR="00CB6E75">
        <w:rPr>
          <w:rFonts w:ascii="Times New Roman" w:hAnsi="Times New Roman" w:cs="Times New Roman"/>
        </w:rPr>
        <w:t>:</w:t>
      </w:r>
      <w:r w:rsidR="0087518C">
        <w:rPr>
          <w:rFonts w:ascii="Times New Roman" w:hAnsi="Times New Roman" w:cs="Times New Roman"/>
        </w:rPr>
        <w:t xml:space="preserve"> 484), through which there has been</w:t>
      </w:r>
      <w:r w:rsidR="00375E4F">
        <w:rPr>
          <w:rFonts w:ascii="Times New Roman" w:hAnsi="Times New Roman" w:cs="Times New Roman"/>
        </w:rPr>
        <w:t xml:space="preserve"> emphasis on the variables that can characterize the heterogeneity in HL acquisition by capturing differences at the individual and within-speaker levels.</w:t>
      </w:r>
      <w:r w:rsidR="00E41C95">
        <w:rPr>
          <w:rFonts w:ascii="Times New Roman" w:hAnsi="Times New Roman" w:cs="Times New Roman"/>
        </w:rPr>
        <w:t xml:space="preserve"> </w:t>
      </w:r>
      <w:r w:rsidR="009D39E3">
        <w:rPr>
          <w:rFonts w:ascii="Times New Roman" w:hAnsi="Times New Roman" w:cs="Times New Roman"/>
        </w:rPr>
        <w:t>Putnam and Sánchez (2013) advance an approach to HL development and maintenance that follows Lardiere’s (e.g. 2009) seminal work in generative second language acquisition</w:t>
      </w:r>
      <w:r w:rsidR="007E6713">
        <w:rPr>
          <w:rFonts w:ascii="Times New Roman" w:hAnsi="Times New Roman" w:cs="Times New Roman"/>
        </w:rPr>
        <w:t xml:space="preserve"> that builds on a feature-oriented approach</w:t>
      </w:r>
      <w:r w:rsidR="00265F3A">
        <w:rPr>
          <w:rFonts w:ascii="Times New Roman" w:hAnsi="Times New Roman" w:cs="Times New Roman"/>
        </w:rPr>
        <w:t xml:space="preserve">. </w:t>
      </w:r>
      <w:r w:rsidR="00291641">
        <w:rPr>
          <w:rFonts w:ascii="Times New Roman" w:hAnsi="Times New Roman" w:cs="Times New Roman"/>
        </w:rPr>
        <w:t>Putnam et al. (2019</w:t>
      </w:r>
      <w:r w:rsidR="00CB6E75">
        <w:rPr>
          <w:rFonts w:ascii="Times New Roman" w:hAnsi="Times New Roman" w:cs="Times New Roman"/>
        </w:rPr>
        <w:t xml:space="preserve">: </w:t>
      </w:r>
      <w:r w:rsidR="00291641">
        <w:rPr>
          <w:rFonts w:ascii="Times New Roman" w:hAnsi="Times New Roman" w:cs="Times New Roman"/>
        </w:rPr>
        <w:t>19) define these features as “I</w:t>
      </w:r>
      <w:r w:rsidR="00291641" w:rsidRPr="00291641">
        <w:rPr>
          <w:rFonts w:ascii="Times New Roman" w:hAnsi="Times New Roman" w:cs="Times New Roman"/>
        </w:rPr>
        <w:t>ndices on lexical items and larger syntactic objects that allow generated structures to be interpreted at external interfaces</w:t>
      </w:r>
      <w:r w:rsidR="00291641">
        <w:rPr>
          <w:rFonts w:ascii="Times New Roman" w:hAnsi="Times New Roman" w:cs="Times New Roman"/>
        </w:rPr>
        <w:t>.”</w:t>
      </w:r>
      <w:r w:rsidR="007E6713">
        <w:rPr>
          <w:rFonts w:ascii="Times New Roman" w:hAnsi="Times New Roman" w:cs="Times New Roman"/>
        </w:rPr>
        <w:t xml:space="preserve"> </w:t>
      </w:r>
      <w:r w:rsidR="00011B38">
        <w:rPr>
          <w:rFonts w:ascii="Times New Roman" w:hAnsi="Times New Roman" w:cs="Times New Roman"/>
        </w:rPr>
        <w:t>Putnam and Sánchez (2013)</w:t>
      </w:r>
      <w:r w:rsidR="0027695A">
        <w:rPr>
          <w:rFonts w:ascii="Times New Roman" w:hAnsi="Times New Roman" w:cs="Times New Roman"/>
        </w:rPr>
        <w:t xml:space="preserve"> </w:t>
      </w:r>
      <w:r w:rsidR="009061A1">
        <w:rPr>
          <w:rFonts w:ascii="Times New Roman" w:hAnsi="Times New Roman" w:cs="Times New Roman"/>
        </w:rPr>
        <w:t xml:space="preserve">describe that HSs experience a reassembly of features of their HL, as well as their mapping onto morphology, after periods of decreased input and use. </w:t>
      </w:r>
      <w:r w:rsidR="00B377C9">
        <w:rPr>
          <w:rFonts w:ascii="Times New Roman" w:hAnsi="Times New Roman" w:cs="Times New Roman"/>
        </w:rPr>
        <w:t xml:space="preserve">Putnam and Sánchez (2013) </w:t>
      </w:r>
      <w:r w:rsidR="0027695A">
        <w:rPr>
          <w:rFonts w:ascii="Times New Roman" w:hAnsi="Times New Roman" w:cs="Times New Roman"/>
        </w:rPr>
        <w:t>argue that patterns of exposure to</w:t>
      </w:r>
      <w:r w:rsidR="005A5709">
        <w:rPr>
          <w:rFonts w:ascii="Times New Roman" w:hAnsi="Times New Roman" w:cs="Times New Roman"/>
        </w:rPr>
        <w:t xml:space="preserve"> and use of</w:t>
      </w:r>
      <w:r w:rsidR="0027695A">
        <w:rPr>
          <w:rFonts w:ascii="Times New Roman" w:hAnsi="Times New Roman" w:cs="Times New Roman"/>
        </w:rPr>
        <w:t xml:space="preserve"> the HL modulate </w:t>
      </w:r>
      <w:r w:rsidR="009D39E3">
        <w:rPr>
          <w:rFonts w:ascii="Times New Roman" w:hAnsi="Times New Roman" w:cs="Times New Roman"/>
        </w:rPr>
        <w:t>individual HSs’ processing of input for intake that is necessary to conserve the featural inventory of that language</w:t>
      </w:r>
      <w:r w:rsidR="00CC13E0">
        <w:rPr>
          <w:rFonts w:ascii="Times New Roman" w:hAnsi="Times New Roman" w:cs="Times New Roman"/>
        </w:rPr>
        <w:t>.</w:t>
      </w:r>
    </w:p>
    <w:p w14:paraId="6FDB665E" w14:textId="70BF6993" w:rsidR="00E17730" w:rsidRDefault="000C07DE" w:rsidP="005A59A5">
      <w:pPr>
        <w:ind w:firstLine="720"/>
        <w:jc w:val="both"/>
        <w:rPr>
          <w:rFonts w:ascii="Times New Roman" w:hAnsi="Times New Roman" w:cs="Times New Roman"/>
        </w:rPr>
      </w:pPr>
      <w:r>
        <w:rPr>
          <w:rFonts w:ascii="Times New Roman" w:hAnsi="Times New Roman" w:cs="Times New Roman"/>
        </w:rPr>
        <w:lastRenderedPageBreak/>
        <w:t>Following this approach, s</w:t>
      </w:r>
      <w:r w:rsidR="0027695A">
        <w:rPr>
          <w:rFonts w:ascii="Times New Roman" w:hAnsi="Times New Roman" w:cs="Times New Roman"/>
        </w:rPr>
        <w:t xml:space="preserve">peakers with low levels of </w:t>
      </w:r>
      <w:r w:rsidR="00CC13E0">
        <w:rPr>
          <w:rFonts w:ascii="Times New Roman" w:hAnsi="Times New Roman" w:cs="Times New Roman"/>
        </w:rPr>
        <w:t xml:space="preserve">processing and activation of linguistic features in the memory </w:t>
      </w:r>
      <w:r w:rsidR="0027695A">
        <w:rPr>
          <w:rFonts w:ascii="Times New Roman" w:hAnsi="Times New Roman" w:cs="Times New Roman"/>
        </w:rPr>
        <w:t>will experience</w:t>
      </w:r>
      <w:r w:rsidR="00386F31">
        <w:rPr>
          <w:rFonts w:ascii="Times New Roman" w:hAnsi="Times New Roman" w:cs="Times New Roman"/>
        </w:rPr>
        <w:t xml:space="preserve"> </w:t>
      </w:r>
      <w:r w:rsidR="00993679">
        <w:rPr>
          <w:rFonts w:ascii="Times New Roman" w:hAnsi="Times New Roman" w:cs="Times New Roman"/>
        </w:rPr>
        <w:t>greater crosslinguistic influence from the more dominant language</w:t>
      </w:r>
      <w:r w:rsidR="006B33FB">
        <w:rPr>
          <w:rFonts w:ascii="Times New Roman" w:hAnsi="Times New Roman" w:cs="Times New Roman"/>
        </w:rPr>
        <w:t xml:space="preserve">, particularly in language production. </w:t>
      </w:r>
      <w:r w:rsidR="009C7352">
        <w:rPr>
          <w:rFonts w:ascii="Times New Roman" w:hAnsi="Times New Roman" w:cs="Times New Roman"/>
        </w:rPr>
        <w:t>R</w:t>
      </w:r>
      <w:r w:rsidR="006B33FB">
        <w:rPr>
          <w:rFonts w:ascii="Times New Roman" w:hAnsi="Times New Roman" w:cs="Times New Roman"/>
        </w:rPr>
        <w:t xml:space="preserve">eceptive knowledge may remain largely or wholly unaffected, </w:t>
      </w:r>
      <w:r w:rsidR="009C7352">
        <w:rPr>
          <w:rFonts w:ascii="Times New Roman" w:hAnsi="Times New Roman" w:cs="Times New Roman"/>
        </w:rPr>
        <w:t>such that</w:t>
      </w:r>
      <w:r w:rsidR="00D41416">
        <w:rPr>
          <w:rFonts w:ascii="Times New Roman" w:hAnsi="Times New Roman" w:cs="Times New Roman"/>
        </w:rPr>
        <w:t xml:space="preserve"> crosslinguistic influence </w:t>
      </w:r>
      <w:r w:rsidR="009C7352">
        <w:rPr>
          <w:rFonts w:ascii="Times New Roman" w:hAnsi="Times New Roman" w:cs="Times New Roman"/>
        </w:rPr>
        <w:t xml:space="preserve">primarily results in </w:t>
      </w:r>
      <w:r w:rsidR="00A61A1A">
        <w:rPr>
          <w:rFonts w:ascii="Times New Roman" w:hAnsi="Times New Roman" w:cs="Times New Roman"/>
        </w:rPr>
        <w:t>difficulty</w:t>
      </w:r>
      <w:r w:rsidR="00F53A54">
        <w:rPr>
          <w:rFonts w:ascii="Times New Roman" w:hAnsi="Times New Roman" w:cs="Times New Roman"/>
        </w:rPr>
        <w:t xml:space="preserve"> mapping </w:t>
      </w:r>
      <w:r w:rsidR="00A61A1A">
        <w:rPr>
          <w:rFonts w:ascii="Times New Roman" w:hAnsi="Times New Roman" w:cs="Times New Roman"/>
        </w:rPr>
        <w:t xml:space="preserve">syntactic </w:t>
      </w:r>
      <w:r w:rsidR="00F53A54">
        <w:rPr>
          <w:rFonts w:ascii="Times New Roman" w:hAnsi="Times New Roman" w:cs="Times New Roman"/>
        </w:rPr>
        <w:t>features onto morphology</w:t>
      </w:r>
      <w:r w:rsidR="006C4211">
        <w:rPr>
          <w:rFonts w:ascii="Times New Roman" w:hAnsi="Times New Roman" w:cs="Times New Roman"/>
        </w:rPr>
        <w:t xml:space="preserve"> in production</w:t>
      </w:r>
      <w:r w:rsidR="009C7352">
        <w:rPr>
          <w:rFonts w:ascii="Times New Roman" w:hAnsi="Times New Roman" w:cs="Times New Roman"/>
        </w:rPr>
        <w:t>, akin to the well-researched mapping challenge for second language learners (e.g., Lardiere 2009)</w:t>
      </w:r>
      <w:r w:rsidR="006B33FB">
        <w:rPr>
          <w:rFonts w:ascii="Times New Roman" w:hAnsi="Times New Roman" w:cs="Times New Roman"/>
        </w:rPr>
        <w:t>.</w:t>
      </w:r>
      <w:r w:rsidR="008A5560">
        <w:rPr>
          <w:rFonts w:ascii="Times New Roman" w:hAnsi="Times New Roman" w:cs="Times New Roman"/>
        </w:rPr>
        <w:t xml:space="preserve"> In this way, Putnam and Sánchez’s (2013) framework </w:t>
      </w:r>
      <w:r w:rsidR="00396DEB">
        <w:rPr>
          <w:rFonts w:ascii="Times New Roman" w:hAnsi="Times New Roman" w:cs="Times New Roman"/>
        </w:rPr>
        <w:t>makes two novel contributions to</w:t>
      </w:r>
      <w:r w:rsidR="008A5560">
        <w:rPr>
          <w:rFonts w:ascii="Times New Roman" w:hAnsi="Times New Roman" w:cs="Times New Roman"/>
        </w:rPr>
        <w:t xml:space="preserve"> HL acquisition</w:t>
      </w:r>
      <w:r w:rsidR="00846266">
        <w:rPr>
          <w:rFonts w:ascii="Times New Roman" w:hAnsi="Times New Roman" w:cs="Times New Roman"/>
        </w:rPr>
        <w:t xml:space="preserve"> theorizing</w:t>
      </w:r>
      <w:r w:rsidR="008A5560">
        <w:rPr>
          <w:rFonts w:ascii="Times New Roman" w:hAnsi="Times New Roman" w:cs="Times New Roman"/>
        </w:rPr>
        <w:t xml:space="preserve">: a focus on individual-level variability modulated by quantity of input and a focus on within-speaker variability separating </w:t>
      </w:r>
      <w:r w:rsidR="004E4B0F">
        <w:rPr>
          <w:rFonts w:ascii="Times New Roman" w:hAnsi="Times New Roman" w:cs="Times New Roman"/>
        </w:rPr>
        <w:t>syntax</w:t>
      </w:r>
      <w:r w:rsidR="00E21CC0">
        <w:rPr>
          <w:rFonts w:ascii="Times New Roman" w:hAnsi="Times New Roman" w:cs="Times New Roman"/>
        </w:rPr>
        <w:t xml:space="preserve"> and morphology, which results in asymmetries between production and receptive knowledge</w:t>
      </w:r>
      <w:r w:rsidR="008A5560">
        <w:rPr>
          <w:rFonts w:ascii="Times New Roman" w:hAnsi="Times New Roman" w:cs="Times New Roman"/>
        </w:rPr>
        <w:t>.</w:t>
      </w:r>
      <w:r w:rsidR="00F53A54">
        <w:rPr>
          <w:rFonts w:ascii="Times New Roman" w:hAnsi="Times New Roman" w:cs="Times New Roman"/>
        </w:rPr>
        <w:t xml:space="preserve"> </w:t>
      </w:r>
      <w:r w:rsidR="00E17730">
        <w:rPr>
          <w:rFonts w:ascii="Times New Roman" w:hAnsi="Times New Roman" w:cs="Times New Roman"/>
        </w:rPr>
        <w:t xml:space="preserve">This framework provides a highly specific account of language maintenance and loss, although it does not </w:t>
      </w:r>
      <w:r w:rsidR="008E7E46">
        <w:rPr>
          <w:rFonts w:ascii="Times New Roman" w:hAnsi="Times New Roman" w:cs="Times New Roman"/>
        </w:rPr>
        <w:t>explicitly</w:t>
      </w:r>
      <w:r w:rsidR="00E17730">
        <w:rPr>
          <w:rFonts w:ascii="Times New Roman" w:hAnsi="Times New Roman" w:cs="Times New Roman"/>
        </w:rPr>
        <w:t xml:space="preserve"> </w:t>
      </w:r>
      <w:r w:rsidR="009D39E3">
        <w:rPr>
          <w:rFonts w:ascii="Times New Roman" w:hAnsi="Times New Roman" w:cs="Times New Roman"/>
        </w:rPr>
        <w:t xml:space="preserve">reference </w:t>
      </w:r>
      <w:r w:rsidR="00E17730">
        <w:rPr>
          <w:rFonts w:ascii="Times New Roman" w:hAnsi="Times New Roman" w:cs="Times New Roman"/>
        </w:rPr>
        <w:t xml:space="preserve">the initial acquisition of these HL features by bilingual children. Consequently, the major advances that this theory makes </w:t>
      </w:r>
      <w:r w:rsidR="009D39E3">
        <w:rPr>
          <w:rFonts w:ascii="Times New Roman" w:hAnsi="Times New Roman" w:cs="Times New Roman"/>
        </w:rPr>
        <w:t>do not yet describe</w:t>
      </w:r>
      <w:r w:rsidR="00E17730">
        <w:rPr>
          <w:rFonts w:ascii="Times New Roman" w:hAnsi="Times New Roman" w:cs="Times New Roman"/>
        </w:rPr>
        <w:t xml:space="preserve"> how HSs engage in</w:t>
      </w:r>
      <w:r w:rsidR="009D39E3">
        <w:rPr>
          <w:rFonts w:ascii="Times New Roman" w:hAnsi="Times New Roman" w:cs="Times New Roman"/>
        </w:rPr>
        <w:t xml:space="preserve"> the initial </w:t>
      </w:r>
      <w:r w:rsidR="00E17730">
        <w:rPr>
          <w:rFonts w:ascii="Times New Roman" w:hAnsi="Times New Roman" w:cs="Times New Roman"/>
        </w:rPr>
        <w:t xml:space="preserve">acquisitional process </w:t>
      </w:r>
      <w:r w:rsidR="009D39E3">
        <w:rPr>
          <w:rFonts w:ascii="Times New Roman" w:hAnsi="Times New Roman" w:cs="Times New Roman"/>
        </w:rPr>
        <w:t>of their HL</w:t>
      </w:r>
      <w:r w:rsidR="00FA786E">
        <w:rPr>
          <w:rFonts w:ascii="Times New Roman" w:hAnsi="Times New Roman" w:cs="Times New Roman"/>
        </w:rPr>
        <w:t xml:space="preserve"> that may differ both in the rate and route of acquisition when compared to other populations</w:t>
      </w:r>
      <w:r w:rsidR="00E17730">
        <w:rPr>
          <w:rFonts w:ascii="Times New Roman" w:hAnsi="Times New Roman" w:cs="Times New Roman"/>
        </w:rPr>
        <w:t>.</w:t>
      </w:r>
    </w:p>
    <w:p w14:paraId="7C230975" w14:textId="77777777" w:rsidR="005A59A5" w:rsidRDefault="005A59A5" w:rsidP="00FA786E">
      <w:pPr>
        <w:jc w:val="both"/>
        <w:rPr>
          <w:rFonts w:ascii="Times New Roman" w:hAnsi="Times New Roman" w:cs="Times New Roman"/>
        </w:rPr>
      </w:pPr>
    </w:p>
    <w:p w14:paraId="3D751C05" w14:textId="5CB14F58" w:rsidR="00A72DEC" w:rsidRDefault="00A6573F" w:rsidP="005A59A5">
      <w:pPr>
        <w:jc w:val="both"/>
        <w:rPr>
          <w:rFonts w:ascii="Times New Roman" w:hAnsi="Times New Roman" w:cs="Times New Roman"/>
        </w:rPr>
      </w:pPr>
      <w:r>
        <w:rPr>
          <w:rFonts w:ascii="Times New Roman" w:hAnsi="Times New Roman" w:cs="Times New Roman"/>
          <w:b/>
          <w:bCs/>
        </w:rPr>
        <w:t>Figure 1.</w:t>
      </w:r>
      <w:r w:rsidR="00FB7E44">
        <w:rPr>
          <w:rFonts w:ascii="Times New Roman" w:hAnsi="Times New Roman" w:cs="Times New Roman"/>
        </w:rPr>
        <w:t xml:space="preserve"> Levels of variability in HL acquisition theories and research.</w:t>
      </w:r>
    </w:p>
    <w:p w14:paraId="64D2ACB2" w14:textId="5A64AA1F" w:rsidR="00603D24" w:rsidRDefault="00603D24" w:rsidP="005A59A5">
      <w:pPr>
        <w:jc w:val="center"/>
        <w:rPr>
          <w:rFonts w:ascii="Times New Roman" w:hAnsi="Times New Roman" w:cs="Times New Roman"/>
          <w:sz w:val="15"/>
          <w:szCs w:val="15"/>
        </w:rPr>
      </w:pPr>
      <w:r>
        <w:rPr>
          <w:rFonts w:ascii="Times New Roman" w:hAnsi="Times New Roman" w:cs="Times New Roman"/>
          <w:noProof/>
        </w:rPr>
        <mc:AlternateContent>
          <mc:Choice Requires="wps">
            <w:drawing>
              <wp:inline distT="0" distB="0" distL="0" distR="0" wp14:anchorId="62DF4033" wp14:editId="5D2289AD">
                <wp:extent cx="4114800" cy="365760"/>
                <wp:effectExtent l="12700" t="12700" r="12700" b="15240"/>
                <wp:docPr id="1322912107" name="Rounded Rectangle 6"/>
                <wp:cNvGraphicFramePr/>
                <a:graphic xmlns:a="http://schemas.openxmlformats.org/drawingml/2006/main">
                  <a:graphicData uri="http://schemas.microsoft.com/office/word/2010/wordprocessingShape">
                    <wps:wsp>
                      <wps:cNvSpPr/>
                      <wps:spPr>
                        <a:xfrm>
                          <a:off x="0" y="0"/>
                          <a:ext cx="4114800" cy="365760"/>
                        </a:xfrm>
                        <a:prstGeom prst="roundRect">
                          <a:avLst/>
                        </a:prstGeom>
                        <a:solidFill>
                          <a:srgbClr val="00B0F0"/>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04C775" w14:textId="57B2402B" w:rsidR="00603D24" w:rsidRPr="004435C6" w:rsidRDefault="00603D24" w:rsidP="00603D24">
                            <w:pPr>
                              <w:jc w:val="center"/>
                              <w:rPr>
                                <w:rFonts w:ascii="Times New Roman" w:hAnsi="Times New Roman" w:cs="Times New Roman"/>
                                <w:b/>
                                <w:bCs/>
                              </w:rPr>
                            </w:pPr>
                            <w:r>
                              <w:rPr>
                                <w:rFonts w:ascii="Times New Roman" w:hAnsi="Times New Roman" w:cs="Times New Roman"/>
                                <w:b/>
                                <w:bCs/>
                              </w:rPr>
                              <w:t>Within-speaker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2DF4033" id="Rounded Rectangle 6" o:spid="_x0000_s1026" style="width:324pt;height:28.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" fillcolor="#00b0f0" strokecolor="black [3213]" strokeweight="2.25pt">
                <v:stroke joinstyle="miter"/>
                <v:textbox>
                  <w:txbxContent>
                    <w:p w14:paraId="2804C775" w14:textId="57B2402B" w:rsidR="00603D24" w:rsidRPr="004435C6" w:rsidRDefault="00603D24" w:rsidP="00603D24">
                      <w:pPr>
                        <w:jc w:val="center"/>
                        <w:rPr>
                          <w:rFonts w:ascii="Times New Roman" w:hAnsi="Times New Roman" w:cs="Times New Roman"/>
                          <w:b/>
                          <w:bCs/>
                        </w:rPr>
                      </w:pPr>
                      <w:r>
                        <w:rPr>
                          <w:rFonts w:ascii="Times New Roman" w:hAnsi="Times New Roman" w:cs="Times New Roman"/>
                          <w:b/>
                          <w:bCs/>
                        </w:rPr>
                        <w:t>Within-speaker</w:t>
                      </w:r>
                    </w:p>
                  </w:txbxContent>
                </v:textbox>
                <w10:anchorlock/>
              </v:roundrect>
            </w:pict>
          </mc:Fallback>
        </mc:AlternateContent>
      </w:r>
    </w:p>
    <w:p w14:paraId="1415EBD3" w14:textId="77777777" w:rsidR="00603D24" w:rsidRPr="00603D24" w:rsidRDefault="00603D24" w:rsidP="005A59A5">
      <w:pPr>
        <w:jc w:val="both"/>
        <w:rPr>
          <w:rFonts w:ascii="Times New Roman" w:hAnsi="Times New Roman" w:cs="Times New Roman"/>
          <w:sz w:val="15"/>
          <w:szCs w:val="15"/>
        </w:rPr>
      </w:pPr>
    </w:p>
    <w:p w14:paraId="282A02B3" w14:textId="6D7AA164" w:rsidR="00603D24" w:rsidRDefault="00603D24" w:rsidP="005A59A5">
      <w:pPr>
        <w:jc w:val="center"/>
        <w:rPr>
          <w:rFonts w:ascii="Times New Roman" w:hAnsi="Times New Roman" w:cs="Times New Roman"/>
        </w:rPr>
      </w:pPr>
      <w:r>
        <w:rPr>
          <w:rFonts w:ascii="Times New Roman" w:hAnsi="Times New Roman" w:cs="Times New Roman"/>
          <w:noProof/>
        </w:rPr>
        <mc:AlternateContent>
          <mc:Choice Requires="wps">
            <w:drawing>
              <wp:inline distT="0" distB="0" distL="0" distR="0" wp14:anchorId="2BA8B35B" wp14:editId="257F020D">
                <wp:extent cx="5029200" cy="365760"/>
                <wp:effectExtent l="12700" t="12700" r="12700" b="15240"/>
                <wp:docPr id="564099240" name="Rounded Rectangle 6"/>
                <wp:cNvGraphicFramePr/>
                <a:graphic xmlns:a="http://schemas.openxmlformats.org/drawingml/2006/main">
                  <a:graphicData uri="http://schemas.microsoft.com/office/word/2010/wordprocessingShape">
                    <wps:wsp>
                      <wps:cNvSpPr/>
                      <wps:spPr>
                        <a:xfrm>
                          <a:off x="0" y="0"/>
                          <a:ext cx="5029200" cy="365760"/>
                        </a:xfrm>
                        <a:prstGeom prst="roundRect">
                          <a:avLst/>
                        </a:prstGeom>
                        <a:solidFill>
                          <a:srgbClr val="FF0000"/>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051C8E" w14:textId="6B8F309A" w:rsidR="00603D24" w:rsidRPr="004435C6" w:rsidRDefault="00603D24" w:rsidP="00603D24">
                            <w:pPr>
                              <w:jc w:val="center"/>
                              <w:rPr>
                                <w:rFonts w:ascii="Times New Roman" w:hAnsi="Times New Roman" w:cs="Times New Roman"/>
                                <w:b/>
                                <w:bCs/>
                              </w:rPr>
                            </w:pPr>
                            <w:r>
                              <w:rPr>
                                <w:rFonts w:ascii="Times New Roman" w:hAnsi="Times New Roman" w:cs="Times New Roman"/>
                                <w:b/>
                                <w:bCs/>
                              </w:rPr>
                              <w:t>Individual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BA8B35B" id="_x0000_s1027" style="width:396pt;height:28.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" fillcolor="red" strokecolor="black [3213]" strokeweight="2.25pt">
                <v:stroke joinstyle="miter"/>
                <v:textbox>
                  <w:txbxContent>
                    <w:p w14:paraId="23051C8E" w14:textId="6B8F309A" w:rsidR="00603D24" w:rsidRPr="004435C6" w:rsidRDefault="00603D24" w:rsidP="00603D24">
                      <w:pPr>
                        <w:jc w:val="center"/>
                        <w:rPr>
                          <w:rFonts w:ascii="Times New Roman" w:hAnsi="Times New Roman" w:cs="Times New Roman"/>
                          <w:b/>
                          <w:bCs/>
                        </w:rPr>
                      </w:pPr>
                      <w:r>
                        <w:rPr>
                          <w:rFonts w:ascii="Times New Roman" w:hAnsi="Times New Roman" w:cs="Times New Roman"/>
                          <w:b/>
                          <w:bCs/>
                        </w:rPr>
                        <w:t>Individual</w:t>
                      </w:r>
                    </w:p>
                  </w:txbxContent>
                </v:textbox>
                <w10:anchorlock/>
              </v:roundrect>
            </w:pict>
          </mc:Fallback>
        </mc:AlternateContent>
      </w:r>
    </w:p>
    <w:p w14:paraId="36948247" w14:textId="77777777" w:rsidR="00603D24" w:rsidRPr="00603D24" w:rsidRDefault="00603D24" w:rsidP="005A59A5">
      <w:pPr>
        <w:jc w:val="both"/>
        <w:rPr>
          <w:rFonts w:ascii="Times New Roman" w:hAnsi="Times New Roman" w:cs="Times New Roman"/>
          <w:sz w:val="15"/>
          <w:szCs w:val="15"/>
        </w:rPr>
      </w:pPr>
    </w:p>
    <w:p w14:paraId="15D0B7E0" w14:textId="1F1264C1" w:rsidR="000236CE" w:rsidRPr="00A6573F" w:rsidRDefault="004435C6" w:rsidP="005A59A5">
      <w:pPr>
        <w:jc w:val="both"/>
        <w:rPr>
          <w:rFonts w:ascii="Times New Roman" w:hAnsi="Times New Roman" w:cs="Times New Roman"/>
        </w:rPr>
      </w:pPr>
      <w:r>
        <w:rPr>
          <w:rFonts w:ascii="Times New Roman" w:hAnsi="Times New Roman" w:cs="Times New Roman"/>
          <w:noProof/>
        </w:rPr>
        <mc:AlternateContent>
          <mc:Choice Requires="wps">
            <w:drawing>
              <wp:inline distT="0" distB="0" distL="0" distR="0" wp14:anchorId="63549C34" wp14:editId="7EFB5706">
                <wp:extent cx="5943600" cy="365760"/>
                <wp:effectExtent l="12700" t="12700" r="12700" b="15240"/>
                <wp:docPr id="623107026" name="Rounded Rectangle 6"/>
                <wp:cNvGraphicFramePr/>
                <a:graphic xmlns:a="http://schemas.openxmlformats.org/drawingml/2006/main">
                  <a:graphicData uri="http://schemas.microsoft.com/office/word/2010/wordprocessingShape">
                    <wps:wsp>
                      <wps:cNvSpPr/>
                      <wps:spPr>
                        <a:xfrm>
                          <a:off x="0" y="0"/>
                          <a:ext cx="5943600" cy="365760"/>
                        </a:xfrm>
                        <a:prstGeom prst="roundRect">
                          <a:avLst/>
                        </a:prstGeom>
                        <a:solidFill>
                          <a:schemeClr val="accent2"/>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122459" w14:textId="105E678B" w:rsidR="004435C6" w:rsidRPr="004435C6" w:rsidRDefault="004435C6" w:rsidP="004435C6">
                            <w:pPr>
                              <w:jc w:val="center"/>
                              <w:rPr>
                                <w:rFonts w:ascii="Times New Roman" w:hAnsi="Times New Roman" w:cs="Times New Roman"/>
                                <w:b/>
                                <w:bCs/>
                              </w:rPr>
                            </w:pPr>
                            <w:r w:rsidRPr="004435C6">
                              <w:rPr>
                                <w:rFonts w:ascii="Times New Roman" w:hAnsi="Times New Roman" w:cs="Times New Roman"/>
                                <w:b/>
                                <w:bCs/>
                              </w:rPr>
                              <w:t>Between-group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3549C34" id="_x0000_s1028" style="width:468pt;height:28.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" fillcolor="#e97132 [3205]" strokecolor="black [3213]" strokeweight="2.25pt">
                <v:stroke joinstyle="miter"/>
                <v:textbox>
                  <w:txbxContent>
                    <w:p w14:paraId="37122459" w14:textId="105E678B" w:rsidR="004435C6" w:rsidRPr="004435C6" w:rsidRDefault="004435C6" w:rsidP="004435C6">
                      <w:pPr>
                        <w:jc w:val="center"/>
                        <w:rPr>
                          <w:rFonts w:ascii="Times New Roman" w:hAnsi="Times New Roman" w:cs="Times New Roman"/>
                          <w:b/>
                          <w:bCs/>
                        </w:rPr>
                      </w:pPr>
                      <w:r w:rsidRPr="004435C6">
                        <w:rPr>
                          <w:rFonts w:ascii="Times New Roman" w:hAnsi="Times New Roman" w:cs="Times New Roman"/>
                          <w:b/>
                          <w:bCs/>
                        </w:rPr>
                        <w:t>Between-group</w:t>
                      </w:r>
                    </w:p>
                  </w:txbxContent>
                </v:textbox>
                <w10:anchorlock/>
              </v:roundrect>
            </w:pict>
          </mc:Fallback>
        </mc:AlternateContent>
      </w:r>
    </w:p>
    <w:p w14:paraId="691F30E0" w14:textId="77777777" w:rsidR="00D17C58" w:rsidRDefault="00D17C58" w:rsidP="005A59A5">
      <w:pPr>
        <w:jc w:val="both"/>
        <w:rPr>
          <w:rFonts w:ascii="Times New Roman" w:hAnsi="Times New Roman" w:cs="Times New Roman"/>
        </w:rPr>
      </w:pPr>
    </w:p>
    <w:p w14:paraId="15856600" w14:textId="126FC8E4" w:rsidR="00B917B0" w:rsidRDefault="00D33EB0" w:rsidP="005A59A5">
      <w:pPr>
        <w:ind w:firstLine="720"/>
        <w:jc w:val="both"/>
        <w:rPr>
          <w:rFonts w:ascii="Times New Roman" w:hAnsi="Times New Roman" w:cs="Times New Roman"/>
        </w:rPr>
      </w:pPr>
      <w:r>
        <w:rPr>
          <w:rFonts w:ascii="Times New Roman" w:hAnsi="Times New Roman" w:cs="Times New Roman"/>
        </w:rPr>
        <w:t xml:space="preserve">Therefore, the existing theories concerning </w:t>
      </w:r>
      <w:r w:rsidR="00102B60">
        <w:rPr>
          <w:rFonts w:ascii="Times New Roman" w:hAnsi="Times New Roman" w:cs="Times New Roman"/>
        </w:rPr>
        <w:t>HL</w:t>
      </w:r>
      <w:r>
        <w:rPr>
          <w:rFonts w:ascii="Times New Roman" w:hAnsi="Times New Roman" w:cs="Times New Roman"/>
        </w:rPr>
        <w:t xml:space="preserve"> acquisition, maintenance, and/or loss concentrate on </w:t>
      </w:r>
      <w:r w:rsidR="00783F8A">
        <w:rPr>
          <w:rFonts w:ascii="Times New Roman" w:hAnsi="Times New Roman" w:cs="Times New Roman"/>
        </w:rPr>
        <w:t>variability at different levels, as summarized in Figure 1: between-groups (</w:t>
      </w:r>
      <w:r w:rsidR="00102B60">
        <w:rPr>
          <w:rFonts w:ascii="Times New Roman" w:hAnsi="Times New Roman" w:cs="Times New Roman"/>
        </w:rPr>
        <w:t xml:space="preserve">comparisons of </w:t>
      </w:r>
      <w:r w:rsidR="00783F8A">
        <w:rPr>
          <w:rFonts w:ascii="Times New Roman" w:hAnsi="Times New Roman" w:cs="Times New Roman"/>
        </w:rPr>
        <w:t xml:space="preserve">HSs </w:t>
      </w:r>
      <w:r w:rsidR="00102B60">
        <w:rPr>
          <w:rFonts w:ascii="Times New Roman" w:hAnsi="Times New Roman" w:cs="Times New Roman"/>
        </w:rPr>
        <w:t>to</w:t>
      </w:r>
      <w:r w:rsidR="00783F8A">
        <w:rPr>
          <w:rFonts w:ascii="Times New Roman" w:hAnsi="Times New Roman" w:cs="Times New Roman"/>
        </w:rPr>
        <w:t xml:space="preserve"> other groups of speakers of the same language), individual (</w:t>
      </w:r>
      <w:r w:rsidR="00102B60">
        <w:rPr>
          <w:rFonts w:ascii="Times New Roman" w:hAnsi="Times New Roman" w:cs="Times New Roman"/>
        </w:rPr>
        <w:t>comparisons</w:t>
      </w:r>
      <w:r w:rsidR="00783F8A">
        <w:rPr>
          <w:rFonts w:ascii="Times New Roman" w:hAnsi="Times New Roman" w:cs="Times New Roman"/>
        </w:rPr>
        <w:t xml:space="preserve"> </w:t>
      </w:r>
      <w:r w:rsidR="00102B60">
        <w:rPr>
          <w:rFonts w:ascii="Times New Roman" w:hAnsi="Times New Roman" w:cs="Times New Roman"/>
        </w:rPr>
        <w:t xml:space="preserve">of </w:t>
      </w:r>
      <w:r w:rsidR="00783F8A">
        <w:rPr>
          <w:rFonts w:ascii="Times New Roman" w:hAnsi="Times New Roman" w:cs="Times New Roman"/>
        </w:rPr>
        <w:t xml:space="preserve">HSs to one another), and within-speaker (factors that can account for gradience in the use of a particular linguistic structure). </w:t>
      </w:r>
      <w:r w:rsidR="00B25864">
        <w:rPr>
          <w:rFonts w:ascii="Times New Roman" w:hAnsi="Times New Roman" w:cs="Times New Roman"/>
        </w:rPr>
        <w:t xml:space="preserve">These levels of variability each </w:t>
      </w:r>
      <w:r w:rsidR="00920990">
        <w:rPr>
          <w:rFonts w:ascii="Times New Roman" w:hAnsi="Times New Roman" w:cs="Times New Roman"/>
        </w:rPr>
        <w:t>emphasize</w:t>
      </w:r>
      <w:r w:rsidR="00B25864">
        <w:rPr>
          <w:rFonts w:ascii="Times New Roman" w:hAnsi="Times New Roman" w:cs="Times New Roman"/>
        </w:rPr>
        <w:t xml:space="preserve"> different </w:t>
      </w:r>
      <w:r w:rsidR="002F45F2">
        <w:rPr>
          <w:rFonts w:ascii="Times New Roman" w:hAnsi="Times New Roman" w:cs="Times New Roman"/>
        </w:rPr>
        <w:t>degrees</w:t>
      </w:r>
      <w:r w:rsidR="00B25864">
        <w:rPr>
          <w:rFonts w:ascii="Times New Roman" w:hAnsi="Times New Roman" w:cs="Times New Roman"/>
        </w:rPr>
        <w:t xml:space="preserve"> of granularity with which to represent the processes of HL acquisition in generative accounts. </w:t>
      </w:r>
      <w:r w:rsidR="004628E1">
        <w:rPr>
          <w:rFonts w:ascii="Times New Roman" w:hAnsi="Times New Roman" w:cs="Times New Roman"/>
        </w:rPr>
        <w:t>The lowe</w:t>
      </w:r>
      <w:r w:rsidR="00B917B0">
        <w:rPr>
          <w:rFonts w:ascii="Times New Roman" w:hAnsi="Times New Roman" w:cs="Times New Roman"/>
        </w:rPr>
        <w:t>r</w:t>
      </w:r>
      <w:r w:rsidR="004628E1">
        <w:rPr>
          <w:rFonts w:ascii="Times New Roman" w:hAnsi="Times New Roman" w:cs="Times New Roman"/>
        </w:rPr>
        <w:t xml:space="preserve"> levels of variability involve broad</w:t>
      </w:r>
      <w:r w:rsidR="00B917B0">
        <w:rPr>
          <w:rFonts w:ascii="Times New Roman" w:hAnsi="Times New Roman" w:cs="Times New Roman"/>
        </w:rPr>
        <w:t>er</w:t>
      </w:r>
      <w:r w:rsidR="004628E1">
        <w:rPr>
          <w:rFonts w:ascii="Times New Roman" w:hAnsi="Times New Roman" w:cs="Times New Roman"/>
        </w:rPr>
        <w:t>-level differences, while the highest level involves fine-grained analyses</w:t>
      </w:r>
      <w:r w:rsidR="00653E9F">
        <w:rPr>
          <w:rFonts w:ascii="Times New Roman" w:hAnsi="Times New Roman" w:cs="Times New Roman"/>
        </w:rPr>
        <w:t xml:space="preserve">, all of which are </w:t>
      </w:r>
      <w:r w:rsidR="001E0079">
        <w:rPr>
          <w:rFonts w:ascii="Times New Roman" w:hAnsi="Times New Roman" w:cs="Times New Roman"/>
        </w:rPr>
        <w:t>critical</w:t>
      </w:r>
      <w:r w:rsidR="00653E9F">
        <w:rPr>
          <w:rFonts w:ascii="Times New Roman" w:hAnsi="Times New Roman" w:cs="Times New Roman"/>
        </w:rPr>
        <w:t xml:space="preserve"> for </w:t>
      </w:r>
      <w:r w:rsidR="0054614D">
        <w:rPr>
          <w:rFonts w:ascii="Times New Roman" w:hAnsi="Times New Roman" w:cs="Times New Roman"/>
        </w:rPr>
        <w:t xml:space="preserve">accounting for </w:t>
      </w:r>
      <w:r w:rsidR="001E0079">
        <w:rPr>
          <w:rFonts w:ascii="Times New Roman" w:hAnsi="Times New Roman" w:cs="Times New Roman"/>
        </w:rPr>
        <w:t>the</w:t>
      </w:r>
      <w:r w:rsidR="0054614D">
        <w:rPr>
          <w:rFonts w:ascii="Times New Roman" w:hAnsi="Times New Roman" w:cs="Times New Roman"/>
        </w:rPr>
        <w:t xml:space="preserve"> </w:t>
      </w:r>
      <w:r w:rsidR="00B457CF">
        <w:rPr>
          <w:rFonts w:ascii="Times New Roman" w:hAnsi="Times New Roman" w:cs="Times New Roman"/>
        </w:rPr>
        <w:t xml:space="preserve">HL </w:t>
      </w:r>
      <w:r w:rsidR="0054614D">
        <w:rPr>
          <w:rFonts w:ascii="Times New Roman" w:hAnsi="Times New Roman" w:cs="Times New Roman"/>
        </w:rPr>
        <w:t>acquisition</w:t>
      </w:r>
      <w:r w:rsidR="001E0079">
        <w:rPr>
          <w:rFonts w:ascii="Times New Roman" w:hAnsi="Times New Roman" w:cs="Times New Roman"/>
        </w:rPr>
        <w:t xml:space="preserve"> process</w:t>
      </w:r>
      <w:r w:rsidR="004628E1">
        <w:rPr>
          <w:rFonts w:ascii="Times New Roman" w:hAnsi="Times New Roman" w:cs="Times New Roman"/>
        </w:rPr>
        <w:t xml:space="preserve">. </w:t>
      </w:r>
      <w:r w:rsidR="00D41416">
        <w:rPr>
          <w:rFonts w:ascii="Times New Roman" w:hAnsi="Times New Roman" w:cs="Times New Roman"/>
        </w:rPr>
        <w:t xml:space="preserve">Differential acquisition and protracted development largely emphasize between-groups differences, while </w:t>
      </w:r>
      <w:r w:rsidR="00B70ACE">
        <w:rPr>
          <w:rFonts w:ascii="Times New Roman" w:hAnsi="Times New Roman" w:cs="Times New Roman"/>
        </w:rPr>
        <w:t xml:space="preserve">Putnam </w:t>
      </w:r>
      <w:r w:rsidR="00020897">
        <w:rPr>
          <w:rFonts w:ascii="Times New Roman" w:hAnsi="Times New Roman" w:cs="Times New Roman"/>
        </w:rPr>
        <w:t>and</w:t>
      </w:r>
      <w:r w:rsidR="00B70ACE">
        <w:rPr>
          <w:rFonts w:ascii="Times New Roman" w:hAnsi="Times New Roman" w:cs="Times New Roman"/>
        </w:rPr>
        <w:t xml:space="preserve"> Sánchez (2013) emphasize differences between and within HSs</w:t>
      </w:r>
      <w:r w:rsidR="00D41416">
        <w:rPr>
          <w:rFonts w:ascii="Times New Roman" w:hAnsi="Times New Roman" w:cs="Times New Roman"/>
        </w:rPr>
        <w:t xml:space="preserve">. </w:t>
      </w:r>
      <w:r w:rsidR="002467A7">
        <w:rPr>
          <w:rFonts w:ascii="Times New Roman" w:hAnsi="Times New Roman" w:cs="Times New Roman"/>
        </w:rPr>
        <w:t xml:space="preserve">In this way, </w:t>
      </w:r>
      <w:r w:rsidR="004628E1">
        <w:rPr>
          <w:rFonts w:ascii="Times New Roman" w:hAnsi="Times New Roman" w:cs="Times New Roman"/>
        </w:rPr>
        <w:t>the theoretic</w:t>
      </w:r>
      <w:r w:rsidR="00962657">
        <w:rPr>
          <w:rFonts w:ascii="Times New Roman" w:hAnsi="Times New Roman" w:cs="Times New Roman"/>
        </w:rPr>
        <w:t>al</w:t>
      </w:r>
      <w:r w:rsidR="002467A7">
        <w:rPr>
          <w:rFonts w:ascii="Times New Roman" w:hAnsi="Times New Roman" w:cs="Times New Roman"/>
        </w:rPr>
        <w:t xml:space="preserve"> </w:t>
      </w:r>
      <w:r w:rsidR="008C5262">
        <w:rPr>
          <w:rFonts w:ascii="Times New Roman" w:hAnsi="Times New Roman" w:cs="Times New Roman"/>
        </w:rPr>
        <w:t>models that make predictions at different levels may be</w:t>
      </w:r>
      <w:r w:rsidR="002467A7">
        <w:rPr>
          <w:rFonts w:ascii="Times New Roman" w:hAnsi="Times New Roman" w:cs="Times New Roman"/>
        </w:rPr>
        <w:t xml:space="preserve"> </w:t>
      </w:r>
      <w:r w:rsidR="00B716B7">
        <w:rPr>
          <w:rFonts w:ascii="Times New Roman" w:hAnsi="Times New Roman" w:cs="Times New Roman"/>
        </w:rPr>
        <w:t>largely</w:t>
      </w:r>
      <w:r w:rsidR="002467A7">
        <w:rPr>
          <w:rFonts w:ascii="Times New Roman" w:hAnsi="Times New Roman" w:cs="Times New Roman"/>
        </w:rPr>
        <w:t xml:space="preserve"> complementary, and multiple frameworks </w:t>
      </w:r>
      <w:r w:rsidR="00EE7950">
        <w:rPr>
          <w:rFonts w:ascii="Times New Roman" w:hAnsi="Times New Roman" w:cs="Times New Roman"/>
        </w:rPr>
        <w:t>are likely</w:t>
      </w:r>
      <w:r w:rsidR="002467A7">
        <w:rPr>
          <w:rFonts w:ascii="Times New Roman" w:hAnsi="Times New Roman" w:cs="Times New Roman"/>
        </w:rPr>
        <w:t xml:space="preserve"> relevant </w:t>
      </w:r>
      <w:r w:rsidR="00EE7950">
        <w:rPr>
          <w:rFonts w:ascii="Times New Roman" w:hAnsi="Times New Roman" w:cs="Times New Roman"/>
        </w:rPr>
        <w:t xml:space="preserve">(or even necessary) </w:t>
      </w:r>
      <w:r w:rsidR="002467A7">
        <w:rPr>
          <w:rFonts w:ascii="Times New Roman" w:hAnsi="Times New Roman" w:cs="Times New Roman"/>
        </w:rPr>
        <w:t xml:space="preserve">for accounting for the results of </w:t>
      </w:r>
      <w:r w:rsidR="005F4C95">
        <w:rPr>
          <w:rFonts w:ascii="Times New Roman" w:hAnsi="Times New Roman" w:cs="Times New Roman"/>
        </w:rPr>
        <w:t>studies that address multiple levels</w:t>
      </w:r>
      <w:r w:rsidR="002467A7">
        <w:rPr>
          <w:rFonts w:ascii="Times New Roman" w:hAnsi="Times New Roman" w:cs="Times New Roman"/>
        </w:rPr>
        <w:t>.</w:t>
      </w:r>
    </w:p>
    <w:p w14:paraId="05971BB4" w14:textId="11066DAD" w:rsidR="00D0762A" w:rsidRDefault="00205238" w:rsidP="005A59A5">
      <w:pPr>
        <w:ind w:firstLine="720"/>
        <w:jc w:val="both"/>
        <w:rPr>
          <w:rFonts w:ascii="Times New Roman" w:hAnsi="Times New Roman" w:cs="Times New Roman"/>
        </w:rPr>
      </w:pPr>
      <w:r>
        <w:rPr>
          <w:rFonts w:ascii="Times New Roman" w:hAnsi="Times New Roman" w:cs="Times New Roman"/>
        </w:rPr>
        <w:t xml:space="preserve">Both the differential acquisition and feature reassembly approaches mention that education </w:t>
      </w:r>
      <w:r w:rsidR="00DB2A6C">
        <w:rPr>
          <w:rFonts w:ascii="Times New Roman" w:hAnsi="Times New Roman" w:cs="Times New Roman"/>
        </w:rPr>
        <w:t>influences</w:t>
      </w:r>
      <w:r>
        <w:rPr>
          <w:rFonts w:ascii="Times New Roman" w:hAnsi="Times New Roman" w:cs="Times New Roman"/>
        </w:rPr>
        <w:t xml:space="preserve"> HL acquisition</w:t>
      </w:r>
      <w:r w:rsidR="00814481">
        <w:rPr>
          <w:rFonts w:ascii="Times New Roman" w:hAnsi="Times New Roman" w:cs="Times New Roman"/>
        </w:rPr>
        <w:t xml:space="preserve">. </w:t>
      </w:r>
      <w:r w:rsidR="00803D4B">
        <w:rPr>
          <w:rFonts w:ascii="Times New Roman" w:hAnsi="Times New Roman" w:cs="Times New Roman"/>
        </w:rPr>
        <w:t xml:space="preserve">From the perspective of input </w:t>
      </w:r>
      <w:r w:rsidR="00FB28F5">
        <w:rPr>
          <w:rFonts w:ascii="Times New Roman" w:hAnsi="Times New Roman" w:cs="Times New Roman"/>
        </w:rPr>
        <w:t>quantity</w:t>
      </w:r>
      <w:r w:rsidR="00803D4B">
        <w:rPr>
          <w:rFonts w:ascii="Times New Roman" w:hAnsi="Times New Roman" w:cs="Times New Roman"/>
        </w:rPr>
        <w:t>, t</w:t>
      </w:r>
      <w:r w:rsidR="00814481">
        <w:rPr>
          <w:rFonts w:ascii="Times New Roman" w:hAnsi="Times New Roman" w:cs="Times New Roman"/>
        </w:rPr>
        <w:t>he start of education in the majority language usually represents a drastic reduction in input in the HL and, for many HSs, the onset of acquisition of th</w:t>
      </w:r>
      <w:r w:rsidR="00B75E23">
        <w:rPr>
          <w:rFonts w:ascii="Times New Roman" w:hAnsi="Times New Roman" w:cs="Times New Roman"/>
        </w:rPr>
        <w:t>e majority</w:t>
      </w:r>
      <w:r w:rsidR="00814481">
        <w:rPr>
          <w:rFonts w:ascii="Times New Roman" w:hAnsi="Times New Roman" w:cs="Times New Roman"/>
        </w:rPr>
        <w:t xml:space="preserve"> language</w:t>
      </w:r>
      <w:r w:rsidR="00616575">
        <w:rPr>
          <w:rFonts w:ascii="Times New Roman" w:hAnsi="Times New Roman" w:cs="Times New Roman"/>
        </w:rPr>
        <w:t xml:space="preserve">. </w:t>
      </w:r>
      <w:r w:rsidR="008E5852">
        <w:rPr>
          <w:rFonts w:ascii="Times New Roman" w:hAnsi="Times New Roman" w:cs="Times New Roman"/>
        </w:rPr>
        <w:t xml:space="preserve">Bilingual education, however, provides more HL exposure during this developmental </w:t>
      </w:r>
      <w:r w:rsidR="00D0762A">
        <w:rPr>
          <w:rFonts w:ascii="Times New Roman" w:hAnsi="Times New Roman" w:cs="Times New Roman"/>
        </w:rPr>
        <w:t>stage</w:t>
      </w:r>
      <w:r w:rsidR="008E5852">
        <w:rPr>
          <w:rFonts w:ascii="Times New Roman" w:hAnsi="Times New Roman" w:cs="Times New Roman"/>
        </w:rPr>
        <w:t xml:space="preserve">. </w:t>
      </w:r>
      <w:r w:rsidR="00803D4B">
        <w:rPr>
          <w:rFonts w:ascii="Times New Roman" w:hAnsi="Times New Roman" w:cs="Times New Roman"/>
        </w:rPr>
        <w:t>Furthermore, bilingual education may provide HSs with qualitatively different input, including academic registers</w:t>
      </w:r>
      <w:r w:rsidR="006477E3">
        <w:rPr>
          <w:rFonts w:ascii="Times New Roman" w:hAnsi="Times New Roman" w:cs="Times New Roman"/>
        </w:rPr>
        <w:t xml:space="preserve">, that could impact </w:t>
      </w:r>
      <w:r w:rsidR="00BA416B">
        <w:rPr>
          <w:rFonts w:ascii="Times New Roman" w:hAnsi="Times New Roman" w:cs="Times New Roman"/>
        </w:rPr>
        <w:t>HL acquisition</w:t>
      </w:r>
      <w:r w:rsidR="00803D4B">
        <w:rPr>
          <w:rFonts w:ascii="Times New Roman" w:hAnsi="Times New Roman" w:cs="Times New Roman"/>
        </w:rPr>
        <w:t xml:space="preserve">. </w:t>
      </w:r>
      <w:r w:rsidR="00BA416B">
        <w:rPr>
          <w:rFonts w:ascii="Times New Roman" w:hAnsi="Times New Roman" w:cs="Times New Roman"/>
        </w:rPr>
        <w:t>Nevertheless, t</w:t>
      </w:r>
      <w:r>
        <w:rPr>
          <w:rFonts w:ascii="Times New Roman" w:hAnsi="Times New Roman" w:cs="Times New Roman"/>
        </w:rPr>
        <w:t>his variable has not yet received sufficient attention in research on bilingual children</w:t>
      </w:r>
      <w:r w:rsidR="000D7B5D">
        <w:rPr>
          <w:rFonts w:ascii="Times New Roman" w:hAnsi="Times New Roman" w:cs="Times New Roman"/>
        </w:rPr>
        <w:t>, as only a</w:t>
      </w:r>
      <w:r w:rsidR="00CF546C">
        <w:rPr>
          <w:rFonts w:ascii="Times New Roman" w:hAnsi="Times New Roman" w:cs="Times New Roman"/>
        </w:rPr>
        <w:t xml:space="preserve"> small handful of studies have addressed this variable.</w:t>
      </w:r>
    </w:p>
    <w:p w14:paraId="58DDD40F" w14:textId="39DC0B38" w:rsidR="00D51CEC" w:rsidRDefault="00451E44" w:rsidP="005A59A5">
      <w:pPr>
        <w:ind w:firstLine="720"/>
        <w:jc w:val="both"/>
        <w:rPr>
          <w:rFonts w:ascii="Times New Roman" w:hAnsi="Times New Roman" w:cs="Times New Roman"/>
        </w:rPr>
      </w:pPr>
      <w:r>
        <w:rPr>
          <w:rFonts w:ascii="Times New Roman" w:hAnsi="Times New Roman" w:cs="Times New Roman"/>
        </w:rPr>
        <w:lastRenderedPageBreak/>
        <w:t xml:space="preserve">Few studies have considered the role of education in HL acquisition research. </w:t>
      </w:r>
      <w:r w:rsidR="00D51CEC">
        <w:rPr>
          <w:rFonts w:ascii="Times New Roman" w:hAnsi="Times New Roman" w:cs="Times New Roman"/>
        </w:rPr>
        <w:t xml:space="preserve">Firstly, </w:t>
      </w:r>
      <w:r w:rsidR="00CF546C">
        <w:rPr>
          <w:rFonts w:ascii="Times New Roman" w:hAnsi="Times New Roman" w:cs="Times New Roman"/>
        </w:rPr>
        <w:t xml:space="preserve">in research with German-dominant bilinguals, </w:t>
      </w:r>
      <w:r w:rsidR="00D51CEC">
        <w:rPr>
          <w:rFonts w:ascii="Times New Roman" w:hAnsi="Times New Roman" w:cs="Times New Roman"/>
        </w:rPr>
        <w:t>Kupisch and Rothman (2018) document</w:t>
      </w:r>
      <w:r w:rsidR="002A1E2B">
        <w:rPr>
          <w:rFonts w:ascii="Times New Roman" w:hAnsi="Times New Roman" w:cs="Times New Roman"/>
        </w:rPr>
        <w:t>ed</w:t>
      </w:r>
      <w:r w:rsidR="00D51CEC">
        <w:rPr>
          <w:rFonts w:ascii="Times New Roman" w:hAnsi="Times New Roman" w:cs="Times New Roman"/>
        </w:rPr>
        <w:t xml:space="preserve"> that the acquisition of </w:t>
      </w:r>
      <w:r w:rsidR="00B300AA">
        <w:rPr>
          <w:rFonts w:ascii="Times New Roman" w:hAnsi="Times New Roman" w:cs="Times New Roman"/>
        </w:rPr>
        <w:t xml:space="preserve">multiple structures in </w:t>
      </w:r>
      <w:r w:rsidR="00D51CEC">
        <w:rPr>
          <w:rFonts w:ascii="Times New Roman" w:hAnsi="Times New Roman" w:cs="Times New Roman"/>
        </w:rPr>
        <w:t xml:space="preserve">French as a HL was attributable to participants’ previous participation in a </w:t>
      </w:r>
      <w:r w:rsidR="00205238">
        <w:rPr>
          <w:rFonts w:ascii="Times New Roman" w:hAnsi="Times New Roman" w:cs="Times New Roman"/>
        </w:rPr>
        <w:t>French</w:t>
      </w:r>
      <w:r w:rsidR="00D51CEC">
        <w:rPr>
          <w:rFonts w:ascii="Times New Roman" w:hAnsi="Times New Roman" w:cs="Times New Roman"/>
        </w:rPr>
        <w:t xml:space="preserve"> education program</w:t>
      </w:r>
      <w:r w:rsidR="00CF546C">
        <w:rPr>
          <w:rFonts w:ascii="Times New Roman" w:hAnsi="Times New Roman" w:cs="Times New Roman"/>
        </w:rPr>
        <w:t xml:space="preserve"> when compared to Italian HSs</w:t>
      </w:r>
      <w:r w:rsidR="008B4AD4">
        <w:rPr>
          <w:rFonts w:ascii="Times New Roman" w:hAnsi="Times New Roman" w:cs="Times New Roman"/>
        </w:rPr>
        <w:t xml:space="preserve"> without bilingual education</w:t>
      </w:r>
      <w:r w:rsidR="00D51CEC">
        <w:rPr>
          <w:rFonts w:ascii="Times New Roman" w:hAnsi="Times New Roman" w:cs="Times New Roman"/>
        </w:rPr>
        <w:t xml:space="preserve">. Moreover, Bayram et al. (2017) found that child </w:t>
      </w:r>
      <w:r w:rsidR="003852CC">
        <w:rPr>
          <w:rFonts w:ascii="Times New Roman" w:hAnsi="Times New Roman" w:cs="Times New Roman"/>
        </w:rPr>
        <w:t>HSs</w:t>
      </w:r>
      <w:r w:rsidR="00D51CEC">
        <w:rPr>
          <w:rFonts w:ascii="Times New Roman" w:hAnsi="Times New Roman" w:cs="Times New Roman"/>
        </w:rPr>
        <w:t xml:space="preserve"> of Turkish with higher HL literacy exposure produced a greater amount of passive morphology. </w:t>
      </w:r>
      <w:r w:rsidR="00205238">
        <w:rPr>
          <w:rFonts w:ascii="Times New Roman" w:hAnsi="Times New Roman" w:cs="Times New Roman"/>
        </w:rPr>
        <w:t>Most recently</w:t>
      </w:r>
      <w:r w:rsidR="00D51CEC">
        <w:rPr>
          <w:rFonts w:ascii="Times New Roman" w:hAnsi="Times New Roman" w:cs="Times New Roman"/>
        </w:rPr>
        <w:t>, Torregrossa et al. (2023) found that patterns of HL education influenced the production of multiple structures in child HSs of Portuguese</w:t>
      </w:r>
      <w:r w:rsidR="00212C35">
        <w:rPr>
          <w:rFonts w:ascii="Times New Roman" w:hAnsi="Times New Roman" w:cs="Times New Roman"/>
        </w:rPr>
        <w:t>. T</w:t>
      </w:r>
      <w:r w:rsidR="00D51CEC">
        <w:rPr>
          <w:rFonts w:ascii="Times New Roman" w:hAnsi="Times New Roman" w:cs="Times New Roman"/>
        </w:rPr>
        <w:t xml:space="preserve">hose structures that were mastered late by monolingual children and </w:t>
      </w:r>
      <w:r w:rsidR="000D7B5D">
        <w:rPr>
          <w:rFonts w:ascii="Times New Roman" w:hAnsi="Times New Roman" w:cs="Times New Roman"/>
        </w:rPr>
        <w:t>that</w:t>
      </w:r>
      <w:r w:rsidR="00D51CEC">
        <w:rPr>
          <w:rFonts w:ascii="Times New Roman" w:hAnsi="Times New Roman" w:cs="Times New Roman"/>
        </w:rPr>
        <w:t xml:space="preserve"> involved the semantic or pragmatic interfaces were most influenced by formal instruction</w:t>
      </w:r>
      <w:r w:rsidR="00AF6B52">
        <w:rPr>
          <w:rFonts w:ascii="Times New Roman" w:hAnsi="Times New Roman" w:cs="Times New Roman"/>
        </w:rPr>
        <w:t xml:space="preserve"> (Rinke et al. 2022)</w:t>
      </w:r>
      <w:r w:rsidR="00D51CEC">
        <w:rPr>
          <w:rFonts w:ascii="Times New Roman" w:hAnsi="Times New Roman" w:cs="Times New Roman"/>
        </w:rPr>
        <w:t xml:space="preserve">. Consequently, the very limited previous research evaluating the role of </w:t>
      </w:r>
      <w:r w:rsidR="00D0762A">
        <w:rPr>
          <w:rFonts w:ascii="Times New Roman" w:hAnsi="Times New Roman" w:cs="Times New Roman"/>
        </w:rPr>
        <w:t xml:space="preserve">HL </w:t>
      </w:r>
      <w:r w:rsidR="00D51CEC">
        <w:rPr>
          <w:rFonts w:ascii="Times New Roman" w:hAnsi="Times New Roman" w:cs="Times New Roman"/>
        </w:rPr>
        <w:t xml:space="preserve">education demonstrates that </w:t>
      </w:r>
      <w:r w:rsidR="00D0762A">
        <w:rPr>
          <w:rFonts w:ascii="Times New Roman" w:hAnsi="Times New Roman" w:cs="Times New Roman"/>
        </w:rPr>
        <w:t>it is</w:t>
      </w:r>
      <w:r w:rsidR="00250AA8">
        <w:rPr>
          <w:rFonts w:ascii="Times New Roman" w:hAnsi="Times New Roman" w:cs="Times New Roman"/>
        </w:rPr>
        <w:t xml:space="preserve"> a key variable that merits further attention in research that can capture individual-level differences in </w:t>
      </w:r>
      <w:r w:rsidR="006B4443">
        <w:rPr>
          <w:rFonts w:ascii="Times New Roman" w:hAnsi="Times New Roman" w:cs="Times New Roman"/>
        </w:rPr>
        <w:t>development</w:t>
      </w:r>
      <w:r w:rsidR="00D51CEC">
        <w:rPr>
          <w:rFonts w:ascii="Times New Roman" w:hAnsi="Times New Roman" w:cs="Times New Roman"/>
        </w:rPr>
        <w:t>.</w:t>
      </w:r>
    </w:p>
    <w:p w14:paraId="0955688C" w14:textId="31970D35" w:rsidR="00DC5E46" w:rsidRDefault="00EE452E" w:rsidP="005A59A5">
      <w:pPr>
        <w:ind w:firstLine="720"/>
        <w:jc w:val="both"/>
        <w:rPr>
          <w:rFonts w:ascii="Times New Roman" w:hAnsi="Times New Roman" w:cs="Times New Roman"/>
        </w:rPr>
      </w:pPr>
      <w:r w:rsidRPr="00341B3B">
        <w:rPr>
          <w:rFonts w:ascii="Times New Roman" w:hAnsi="Times New Roman" w:cs="Times New Roman"/>
        </w:rPr>
        <w:t xml:space="preserve">To date, however, very limited work has involved all three levels </w:t>
      </w:r>
      <w:r w:rsidR="008E5852">
        <w:rPr>
          <w:rFonts w:ascii="Times New Roman" w:hAnsi="Times New Roman" w:cs="Times New Roman"/>
        </w:rPr>
        <w:t xml:space="preserve">of variability as well as the role of bilingual education </w:t>
      </w:r>
      <w:r w:rsidRPr="00341B3B">
        <w:rPr>
          <w:rFonts w:ascii="Times New Roman" w:hAnsi="Times New Roman" w:cs="Times New Roman"/>
        </w:rPr>
        <w:t>in child HL acquisition</w:t>
      </w:r>
      <w:r w:rsidR="0085333D">
        <w:rPr>
          <w:rFonts w:ascii="Times New Roman" w:hAnsi="Times New Roman" w:cs="Times New Roman"/>
        </w:rPr>
        <w:t xml:space="preserve">. </w:t>
      </w:r>
      <w:r w:rsidR="00DC5E46" w:rsidRPr="00341B3B">
        <w:rPr>
          <w:rFonts w:ascii="Times New Roman" w:hAnsi="Times New Roman" w:cs="Times New Roman"/>
        </w:rPr>
        <w:t>The</w:t>
      </w:r>
      <w:r w:rsidR="00DC5E46">
        <w:rPr>
          <w:rFonts w:ascii="Times New Roman" w:hAnsi="Times New Roman" w:cs="Times New Roman"/>
        </w:rPr>
        <w:t xml:space="preserve"> present proposal revisits recently published data from Spanish HSs’ acquisition of mood and </w:t>
      </w:r>
      <w:r w:rsidR="005D22C0">
        <w:rPr>
          <w:rFonts w:ascii="Times New Roman" w:hAnsi="Times New Roman" w:cs="Times New Roman"/>
        </w:rPr>
        <w:t xml:space="preserve">semantic </w:t>
      </w:r>
      <w:r w:rsidR="00DC5E46">
        <w:rPr>
          <w:rFonts w:ascii="Times New Roman" w:hAnsi="Times New Roman" w:cs="Times New Roman"/>
        </w:rPr>
        <w:t>case</w:t>
      </w:r>
      <w:r w:rsidR="008F4594">
        <w:rPr>
          <w:rFonts w:ascii="Times New Roman" w:hAnsi="Times New Roman" w:cs="Times New Roman"/>
        </w:rPr>
        <w:t xml:space="preserve"> </w:t>
      </w:r>
      <w:r w:rsidR="001045C4">
        <w:rPr>
          <w:rFonts w:ascii="Times New Roman" w:hAnsi="Times New Roman" w:cs="Times New Roman"/>
        </w:rPr>
        <w:t>(</w:t>
      </w:r>
      <w:r w:rsidR="00527A48">
        <w:rPr>
          <w:rFonts w:ascii="Times New Roman" w:hAnsi="Times New Roman" w:cs="Times New Roman"/>
        </w:rPr>
        <w:t>AUTHOR</w:t>
      </w:r>
      <w:r w:rsidR="000B4DD4">
        <w:rPr>
          <w:rFonts w:ascii="Times New Roman" w:hAnsi="Times New Roman" w:cs="Times New Roman"/>
        </w:rPr>
        <w:t>, 1, 2, 3, 4</w:t>
      </w:r>
      <w:r w:rsidR="007660FE">
        <w:rPr>
          <w:rFonts w:ascii="Times New Roman" w:hAnsi="Times New Roman" w:cs="Times New Roman"/>
        </w:rPr>
        <w:t>)</w:t>
      </w:r>
      <w:r w:rsidR="00E714EF">
        <w:rPr>
          <w:rFonts w:ascii="Times New Roman" w:hAnsi="Times New Roman" w:cs="Times New Roman"/>
        </w:rPr>
        <w:t xml:space="preserve">. </w:t>
      </w:r>
      <w:r w:rsidR="00235B2F">
        <w:rPr>
          <w:rFonts w:ascii="Times New Roman" w:hAnsi="Times New Roman" w:cs="Times New Roman"/>
        </w:rPr>
        <w:t>The following section provides an overview of both structures</w:t>
      </w:r>
      <w:r w:rsidR="00BA531A">
        <w:rPr>
          <w:rFonts w:ascii="Times New Roman" w:hAnsi="Times New Roman" w:cs="Times New Roman"/>
        </w:rPr>
        <w:t xml:space="preserve">, which contextualizes the </w:t>
      </w:r>
      <w:r w:rsidR="007461EE">
        <w:rPr>
          <w:rFonts w:ascii="Times New Roman" w:hAnsi="Times New Roman" w:cs="Times New Roman"/>
        </w:rPr>
        <w:t>present article’s argument that</w:t>
      </w:r>
      <w:r w:rsidR="00395860">
        <w:rPr>
          <w:rFonts w:ascii="Times New Roman" w:hAnsi="Times New Roman" w:cs="Times New Roman"/>
        </w:rPr>
        <w:t xml:space="preserve"> components of </w:t>
      </w:r>
      <w:r w:rsidR="00C55567">
        <w:rPr>
          <w:rFonts w:ascii="Times New Roman" w:hAnsi="Times New Roman" w:cs="Times New Roman"/>
        </w:rPr>
        <w:t>each</w:t>
      </w:r>
      <w:r w:rsidR="007461EE">
        <w:rPr>
          <w:rFonts w:ascii="Times New Roman" w:hAnsi="Times New Roman" w:cs="Times New Roman"/>
        </w:rPr>
        <w:t xml:space="preserve"> of the HL acquisition theories </w:t>
      </w:r>
      <w:r w:rsidR="00395860">
        <w:rPr>
          <w:rFonts w:ascii="Times New Roman" w:hAnsi="Times New Roman" w:cs="Times New Roman"/>
        </w:rPr>
        <w:t xml:space="preserve">surveyed </w:t>
      </w:r>
      <w:r w:rsidR="00A1450D">
        <w:rPr>
          <w:rFonts w:ascii="Times New Roman" w:hAnsi="Times New Roman" w:cs="Times New Roman"/>
        </w:rPr>
        <w:t xml:space="preserve">herein </w:t>
      </w:r>
      <w:r w:rsidR="00395860">
        <w:rPr>
          <w:rFonts w:ascii="Times New Roman" w:hAnsi="Times New Roman" w:cs="Times New Roman"/>
        </w:rPr>
        <w:t xml:space="preserve">are essential </w:t>
      </w:r>
      <w:r w:rsidR="00A1450D">
        <w:rPr>
          <w:rFonts w:ascii="Times New Roman" w:hAnsi="Times New Roman" w:cs="Times New Roman"/>
        </w:rPr>
        <w:t>for advancing</w:t>
      </w:r>
      <w:r w:rsidR="00395860">
        <w:rPr>
          <w:rFonts w:ascii="Times New Roman" w:hAnsi="Times New Roman" w:cs="Times New Roman"/>
        </w:rPr>
        <w:t xml:space="preserve"> a </w:t>
      </w:r>
      <w:r w:rsidR="005A4BB7">
        <w:rPr>
          <w:rFonts w:ascii="Times New Roman" w:hAnsi="Times New Roman" w:cs="Times New Roman"/>
        </w:rPr>
        <w:t xml:space="preserve">holistic and </w:t>
      </w:r>
      <w:r w:rsidR="00395860">
        <w:rPr>
          <w:rFonts w:ascii="Times New Roman" w:hAnsi="Times New Roman" w:cs="Times New Roman"/>
        </w:rPr>
        <w:t xml:space="preserve">“unified” </w:t>
      </w:r>
      <w:r w:rsidR="00A1450D">
        <w:rPr>
          <w:rFonts w:ascii="Times New Roman" w:hAnsi="Times New Roman" w:cs="Times New Roman"/>
        </w:rPr>
        <w:t xml:space="preserve">generative </w:t>
      </w:r>
      <w:r w:rsidR="00395860">
        <w:rPr>
          <w:rFonts w:ascii="Times New Roman" w:hAnsi="Times New Roman" w:cs="Times New Roman"/>
        </w:rPr>
        <w:t xml:space="preserve">account for </w:t>
      </w:r>
      <w:r w:rsidR="002D1419">
        <w:rPr>
          <w:rFonts w:ascii="Times New Roman" w:hAnsi="Times New Roman" w:cs="Times New Roman"/>
        </w:rPr>
        <w:t xml:space="preserve">child </w:t>
      </w:r>
      <w:r w:rsidR="00395860">
        <w:rPr>
          <w:rFonts w:ascii="Times New Roman" w:hAnsi="Times New Roman" w:cs="Times New Roman"/>
        </w:rPr>
        <w:t xml:space="preserve">HL </w:t>
      </w:r>
      <w:r w:rsidR="00D0762A">
        <w:rPr>
          <w:rFonts w:ascii="Times New Roman" w:hAnsi="Times New Roman" w:cs="Times New Roman"/>
        </w:rPr>
        <w:t>development</w:t>
      </w:r>
      <w:r w:rsidR="00395860">
        <w:rPr>
          <w:rFonts w:ascii="Times New Roman" w:hAnsi="Times New Roman" w:cs="Times New Roman"/>
        </w:rPr>
        <w:t>.</w:t>
      </w:r>
    </w:p>
    <w:p w14:paraId="158E2B9F" w14:textId="77777777" w:rsidR="00E17F0D" w:rsidRDefault="00E17F0D" w:rsidP="005A59A5">
      <w:pPr>
        <w:rPr>
          <w:rFonts w:ascii="Times New Roman" w:hAnsi="Times New Roman" w:cs="Times New Roman"/>
        </w:rPr>
      </w:pPr>
    </w:p>
    <w:p w14:paraId="5A6F9E6F" w14:textId="77777777" w:rsidR="00AA022B" w:rsidRPr="00E17F0D" w:rsidRDefault="00AA022B" w:rsidP="005A59A5">
      <w:pPr>
        <w:rPr>
          <w:rFonts w:ascii="Times New Roman" w:hAnsi="Times New Roman" w:cs="Times New Roman"/>
        </w:rPr>
      </w:pPr>
    </w:p>
    <w:p w14:paraId="01DBE498" w14:textId="55A0D166" w:rsidR="007F15DA" w:rsidRDefault="00E17F0D" w:rsidP="005A59A5">
      <w:pPr>
        <w:rPr>
          <w:rFonts w:ascii="Times New Roman" w:hAnsi="Times New Roman" w:cs="Times New Roman"/>
        </w:rPr>
      </w:pPr>
      <w:r>
        <w:rPr>
          <w:rFonts w:ascii="Times New Roman" w:hAnsi="Times New Roman" w:cs="Times New Roman"/>
          <w:b/>
          <w:bCs/>
        </w:rPr>
        <w:t xml:space="preserve">2 </w:t>
      </w:r>
      <w:r w:rsidR="007F15DA">
        <w:rPr>
          <w:rFonts w:ascii="Times New Roman" w:hAnsi="Times New Roman" w:cs="Times New Roman"/>
          <w:b/>
          <w:bCs/>
        </w:rPr>
        <w:t>Mood and Case in Heritage Spanish</w:t>
      </w:r>
    </w:p>
    <w:p w14:paraId="5ABB2438" w14:textId="77777777" w:rsidR="00E17F0D" w:rsidRPr="00E17F0D" w:rsidRDefault="00E17F0D" w:rsidP="005A59A5">
      <w:pPr>
        <w:rPr>
          <w:rFonts w:ascii="Times New Roman" w:hAnsi="Times New Roman" w:cs="Times New Roman"/>
        </w:rPr>
      </w:pPr>
    </w:p>
    <w:p w14:paraId="0E349A3C" w14:textId="64352853" w:rsidR="00D904D7" w:rsidRDefault="00D904D7" w:rsidP="005A59A5">
      <w:pPr>
        <w:ind w:firstLine="720"/>
        <w:jc w:val="both"/>
        <w:rPr>
          <w:rFonts w:ascii="Times New Roman" w:hAnsi="Times New Roman" w:cs="Times New Roman"/>
        </w:rPr>
      </w:pPr>
      <w:r>
        <w:rPr>
          <w:rFonts w:ascii="Times New Roman" w:hAnsi="Times New Roman" w:cs="Times New Roman"/>
        </w:rPr>
        <w:t xml:space="preserve">The </w:t>
      </w:r>
      <w:r w:rsidR="00880C17">
        <w:rPr>
          <w:rFonts w:ascii="Times New Roman" w:hAnsi="Times New Roman" w:cs="Times New Roman"/>
        </w:rPr>
        <w:t xml:space="preserve">Spanish </w:t>
      </w:r>
      <w:r>
        <w:rPr>
          <w:rFonts w:ascii="Times New Roman" w:hAnsi="Times New Roman" w:cs="Times New Roman"/>
        </w:rPr>
        <w:t>subjunctive mood is acquired during the preschool years even by monolinguals, making it an excellent structure with which to test educational effects in HL acquisition. In contrast, DOM is an instance of semantic case. It is a structure situated at the syntax-semantics interface, which creates an opportunity for testing Torregrossa et al.’s (2023) claim regarding the role of bilingual education in mastering interface structures.</w:t>
      </w:r>
    </w:p>
    <w:p w14:paraId="707C502C" w14:textId="77777777" w:rsidR="00880154" w:rsidRDefault="00880154" w:rsidP="00880154">
      <w:pPr>
        <w:jc w:val="both"/>
        <w:rPr>
          <w:rFonts w:ascii="Times New Roman" w:hAnsi="Times New Roman" w:cs="Times New Roman"/>
        </w:rPr>
      </w:pPr>
    </w:p>
    <w:p w14:paraId="3C7F30F0" w14:textId="1AB85EE1" w:rsidR="007F15DA" w:rsidRDefault="00E17F0D" w:rsidP="005A59A5">
      <w:pPr>
        <w:jc w:val="both"/>
        <w:rPr>
          <w:rFonts w:ascii="Times New Roman" w:hAnsi="Times New Roman" w:cs="Times New Roman"/>
        </w:rPr>
      </w:pPr>
      <w:r w:rsidRPr="005A59A5">
        <w:rPr>
          <w:rFonts w:ascii="Times New Roman" w:hAnsi="Times New Roman" w:cs="Times New Roman"/>
          <w:i/>
          <w:iCs/>
        </w:rPr>
        <w:t xml:space="preserve">2.1 </w:t>
      </w:r>
      <w:r w:rsidR="007F15DA" w:rsidRPr="005A59A5">
        <w:rPr>
          <w:rFonts w:ascii="Times New Roman" w:hAnsi="Times New Roman" w:cs="Times New Roman"/>
          <w:i/>
          <w:iCs/>
        </w:rPr>
        <w:t>Subjunctive Mood</w:t>
      </w:r>
    </w:p>
    <w:p w14:paraId="1DFF0E18" w14:textId="77777777" w:rsidR="00880154" w:rsidRPr="00880154" w:rsidRDefault="00880154" w:rsidP="005A59A5">
      <w:pPr>
        <w:jc w:val="both"/>
        <w:rPr>
          <w:rFonts w:ascii="Times New Roman" w:hAnsi="Times New Roman" w:cs="Times New Roman"/>
        </w:rPr>
      </w:pPr>
    </w:p>
    <w:p w14:paraId="33FB89FD" w14:textId="67FE679E" w:rsidR="00D53406" w:rsidRDefault="0039121B" w:rsidP="005A59A5">
      <w:pPr>
        <w:ind w:firstLine="720"/>
        <w:jc w:val="both"/>
        <w:rPr>
          <w:rFonts w:ascii="Times New Roman" w:hAnsi="Times New Roman" w:cs="Times New Roman"/>
        </w:rPr>
      </w:pPr>
      <w:r>
        <w:rPr>
          <w:rFonts w:ascii="Times New Roman" w:hAnsi="Times New Roman" w:cs="Times New Roman"/>
        </w:rPr>
        <w:t xml:space="preserve">Spanish features three moods: the indicative, subjunctive, and imperative (Seco 1990). </w:t>
      </w:r>
      <w:r w:rsidR="007F15DA">
        <w:rPr>
          <w:rFonts w:ascii="Times New Roman" w:hAnsi="Times New Roman" w:cs="Times New Roman"/>
        </w:rPr>
        <w:t xml:space="preserve">The subjunctive mood is a set of verbal inflections that occurs in </w:t>
      </w:r>
      <w:r w:rsidR="00D47241">
        <w:rPr>
          <w:rFonts w:ascii="Times New Roman" w:hAnsi="Times New Roman" w:cs="Times New Roman"/>
        </w:rPr>
        <w:t xml:space="preserve">only </w:t>
      </w:r>
      <w:r w:rsidR="007F15DA">
        <w:rPr>
          <w:rFonts w:ascii="Times New Roman" w:hAnsi="Times New Roman" w:cs="Times New Roman"/>
        </w:rPr>
        <w:t>approximately 7% of finite verbs in Spanish (Biber et al. 2007).</w:t>
      </w:r>
      <w:r w:rsidR="00822808">
        <w:rPr>
          <w:rFonts w:ascii="Times New Roman" w:hAnsi="Times New Roman" w:cs="Times New Roman"/>
        </w:rPr>
        <w:t xml:space="preserve"> Fábregas (2014) argues that the subjunctive comprises </w:t>
      </w:r>
      <w:r w:rsidR="00A85021">
        <w:rPr>
          <w:rFonts w:ascii="Times New Roman" w:hAnsi="Times New Roman" w:cs="Times New Roman"/>
        </w:rPr>
        <w:t xml:space="preserve">a single set of morphophonological spell-outs for </w:t>
      </w:r>
      <w:r w:rsidR="00822808">
        <w:rPr>
          <w:rFonts w:ascii="Times New Roman" w:hAnsi="Times New Roman" w:cs="Times New Roman"/>
        </w:rPr>
        <w:t xml:space="preserve">multiple syntactic structures. </w:t>
      </w:r>
      <w:r w:rsidR="00EF2F4B">
        <w:rPr>
          <w:rFonts w:ascii="Times New Roman" w:hAnsi="Times New Roman" w:cs="Times New Roman"/>
        </w:rPr>
        <w:t>In volitional clauses</w:t>
      </w:r>
      <w:r w:rsidR="00C64BB2">
        <w:rPr>
          <w:rFonts w:ascii="Times New Roman" w:hAnsi="Times New Roman" w:cs="Times New Roman"/>
        </w:rPr>
        <w:t xml:space="preserve">, </w:t>
      </w:r>
      <w:r w:rsidR="00EF2F4B" w:rsidRPr="00407F78">
        <w:rPr>
          <w:rFonts w:ascii="Times New Roman" w:hAnsi="Times New Roman" w:cs="Times New Roman"/>
        </w:rPr>
        <w:t>the subjunctive is lexically selected by a matrix phrase</w:t>
      </w:r>
      <w:r w:rsidR="00D47241" w:rsidRPr="00407F78">
        <w:rPr>
          <w:rFonts w:ascii="Times New Roman" w:hAnsi="Times New Roman" w:cs="Times New Roman"/>
        </w:rPr>
        <w:t xml:space="preserve"> that requires an </w:t>
      </w:r>
      <w:r w:rsidR="00EF2F4B" w:rsidRPr="00407F78">
        <w:rPr>
          <w:rFonts w:ascii="Times New Roman" w:hAnsi="Times New Roman" w:cs="Times New Roman"/>
        </w:rPr>
        <w:t>uninterpretable unreal worlds feature</w:t>
      </w:r>
      <w:r w:rsidR="00D47241" w:rsidRPr="00407F78">
        <w:rPr>
          <w:rFonts w:ascii="Times New Roman" w:hAnsi="Times New Roman" w:cs="Times New Roman"/>
        </w:rPr>
        <w:t xml:space="preserve">, </w:t>
      </w:r>
      <w:r w:rsidR="009116A9">
        <w:rPr>
          <w:rFonts w:ascii="Times New Roman" w:hAnsi="Times New Roman" w:cs="Times New Roman"/>
        </w:rPr>
        <w:t>selected and checked</w:t>
      </w:r>
      <w:r w:rsidR="00EF2F4B" w:rsidRPr="00407F78">
        <w:rPr>
          <w:rFonts w:ascii="Times New Roman" w:hAnsi="Times New Roman" w:cs="Times New Roman"/>
        </w:rPr>
        <w:t xml:space="preserve"> in the head</w:t>
      </w:r>
      <w:r w:rsidR="00D47241" w:rsidRPr="00407F78">
        <w:rPr>
          <w:rFonts w:ascii="Times New Roman" w:hAnsi="Times New Roman" w:cs="Times New Roman"/>
        </w:rPr>
        <w:t>s</w:t>
      </w:r>
      <w:r w:rsidR="00EF2F4B" w:rsidRPr="00407F78">
        <w:rPr>
          <w:rFonts w:ascii="Times New Roman" w:hAnsi="Times New Roman" w:cs="Times New Roman"/>
        </w:rPr>
        <w:t xml:space="preserve"> of </w:t>
      </w:r>
      <w:r w:rsidR="00D47241" w:rsidRPr="00407F78">
        <w:rPr>
          <w:rFonts w:ascii="Times New Roman" w:hAnsi="Times New Roman" w:cs="Times New Roman"/>
        </w:rPr>
        <w:t>Force and Fin</w:t>
      </w:r>
      <w:r w:rsidR="00EF2F4B" w:rsidRPr="00407F78">
        <w:rPr>
          <w:rFonts w:ascii="Times New Roman" w:hAnsi="Times New Roman" w:cs="Times New Roman"/>
        </w:rPr>
        <w:t xml:space="preserve"> in a subordinate clause with a distinct subject (Kempchinsky 2009)</w:t>
      </w:r>
      <w:r w:rsidR="00822808" w:rsidRPr="00407F78">
        <w:rPr>
          <w:rFonts w:ascii="Times New Roman" w:hAnsi="Times New Roman" w:cs="Times New Roman"/>
        </w:rPr>
        <w:t>.</w:t>
      </w:r>
      <w:r w:rsidR="004B6200" w:rsidRPr="00407F78">
        <w:rPr>
          <w:rFonts w:ascii="Times New Roman" w:hAnsi="Times New Roman" w:cs="Times New Roman"/>
        </w:rPr>
        <w:t xml:space="preserve"> Previous</w:t>
      </w:r>
      <w:r w:rsidR="004B6200">
        <w:rPr>
          <w:rFonts w:ascii="Times New Roman" w:hAnsi="Times New Roman" w:cs="Times New Roman"/>
        </w:rPr>
        <w:t xml:space="preserve"> research has demonstrated that monolingual children </w:t>
      </w:r>
      <w:r w:rsidR="001D4BA8">
        <w:rPr>
          <w:rFonts w:ascii="Times New Roman" w:hAnsi="Times New Roman" w:cs="Times New Roman"/>
        </w:rPr>
        <w:t>reach production rates of</w:t>
      </w:r>
      <w:r w:rsidR="005D2B3F">
        <w:rPr>
          <w:rFonts w:ascii="Times New Roman" w:hAnsi="Times New Roman" w:cs="Times New Roman"/>
        </w:rPr>
        <w:t xml:space="preserve"> the volitional subjunctive </w:t>
      </w:r>
      <w:r w:rsidR="004B6200">
        <w:rPr>
          <w:rFonts w:ascii="Times New Roman" w:hAnsi="Times New Roman" w:cs="Times New Roman"/>
        </w:rPr>
        <w:t xml:space="preserve">upwards of 90% between ages 4;0 and 5;0, </w:t>
      </w:r>
      <w:r w:rsidR="001D4BA8">
        <w:rPr>
          <w:rFonts w:ascii="Times New Roman" w:hAnsi="Times New Roman" w:cs="Times New Roman"/>
        </w:rPr>
        <w:t>after</w:t>
      </w:r>
      <w:r w:rsidR="004B6200">
        <w:rPr>
          <w:rFonts w:ascii="Times New Roman" w:hAnsi="Times New Roman" w:cs="Times New Roman"/>
        </w:rPr>
        <w:t xml:space="preserve"> the onset of </w:t>
      </w:r>
      <w:r w:rsidR="00767241">
        <w:rPr>
          <w:rFonts w:ascii="Times New Roman" w:hAnsi="Times New Roman" w:cs="Times New Roman"/>
        </w:rPr>
        <w:t>preschool</w:t>
      </w:r>
      <w:r w:rsidR="004B6200">
        <w:rPr>
          <w:rFonts w:ascii="Times New Roman" w:hAnsi="Times New Roman" w:cs="Times New Roman"/>
        </w:rPr>
        <w:t xml:space="preserve"> (Blake 1983; Dracos et al. 2019).</w:t>
      </w:r>
    </w:p>
    <w:p w14:paraId="4AE2D335" w14:textId="25DA074B" w:rsidR="004B6200" w:rsidRDefault="004B6200" w:rsidP="005A59A5">
      <w:pPr>
        <w:ind w:firstLine="720"/>
        <w:jc w:val="both"/>
        <w:rPr>
          <w:rFonts w:ascii="Times New Roman" w:hAnsi="Times New Roman" w:cs="Times New Roman"/>
        </w:rPr>
      </w:pPr>
      <w:r>
        <w:rPr>
          <w:rFonts w:ascii="Times New Roman" w:hAnsi="Times New Roman" w:cs="Times New Roman"/>
        </w:rPr>
        <w:t>These factors make the subjunctive an ideal structure to test in contexts of reduced input for multiple reasons.</w:t>
      </w:r>
      <w:r w:rsidR="00D53406">
        <w:rPr>
          <w:rFonts w:ascii="Times New Roman" w:hAnsi="Times New Roman" w:cs="Times New Roman"/>
        </w:rPr>
        <w:t xml:space="preserve"> Firstly, the subjunctive is infrequent even in monolingual acquisitional settings that do not imply a divided input space as in the case of HL acquisition. Secondly, and relatedly, although the volitional subjunctive represents an instance of core syntactic development, </w:t>
      </w:r>
      <w:r w:rsidR="006D2AE4">
        <w:rPr>
          <w:rFonts w:ascii="Times New Roman" w:hAnsi="Times New Roman" w:cs="Times New Roman"/>
        </w:rPr>
        <w:t>it</w:t>
      </w:r>
      <w:r w:rsidR="00D53406">
        <w:rPr>
          <w:rFonts w:ascii="Times New Roman" w:hAnsi="Times New Roman" w:cs="Times New Roman"/>
        </w:rPr>
        <w:t xml:space="preserve"> is mastered later than several other inflectional structures. Since this structure reaches ceiling in monolinguals during the preschool years, </w:t>
      </w:r>
      <w:r w:rsidR="000C4704">
        <w:rPr>
          <w:rFonts w:ascii="Times New Roman" w:hAnsi="Times New Roman" w:cs="Times New Roman"/>
        </w:rPr>
        <w:t>its acquisition by HSs</w:t>
      </w:r>
      <w:r w:rsidR="00F8335C">
        <w:rPr>
          <w:rFonts w:ascii="Times New Roman" w:hAnsi="Times New Roman" w:cs="Times New Roman"/>
        </w:rPr>
        <w:t xml:space="preserve"> may </w:t>
      </w:r>
      <w:r w:rsidR="00407F78">
        <w:rPr>
          <w:rFonts w:ascii="Times New Roman" w:hAnsi="Times New Roman" w:cs="Times New Roman"/>
        </w:rPr>
        <w:t>be particularly impacted by bilingual education</w:t>
      </w:r>
      <w:r w:rsidR="00D53406">
        <w:rPr>
          <w:rFonts w:ascii="Times New Roman" w:hAnsi="Times New Roman" w:cs="Times New Roman"/>
        </w:rPr>
        <w:t>.</w:t>
      </w:r>
      <w:r w:rsidR="004E30FC">
        <w:rPr>
          <w:rFonts w:ascii="Times New Roman" w:hAnsi="Times New Roman" w:cs="Times New Roman"/>
        </w:rPr>
        <w:t xml:space="preserve"> </w:t>
      </w:r>
      <w:r w:rsidR="000E26C4">
        <w:rPr>
          <w:rFonts w:ascii="Times New Roman" w:hAnsi="Times New Roman" w:cs="Times New Roman"/>
        </w:rPr>
        <w:t xml:space="preserve">Finally, while English does have a subjunctive mood, it has become largely </w:t>
      </w:r>
      <w:r w:rsidR="000E26C4">
        <w:rPr>
          <w:rFonts w:ascii="Times New Roman" w:hAnsi="Times New Roman" w:cs="Times New Roman"/>
        </w:rPr>
        <w:lastRenderedPageBreak/>
        <w:t>redundant with the indicative (Iverson et al. 2008) and is not used in volitional clauses. Consequently, it is highly plausible that bilinguals with high exposure to English could obviate the use of subjunctive in volitional clauses.</w:t>
      </w:r>
    </w:p>
    <w:p w14:paraId="078D43C6" w14:textId="7677438D" w:rsidR="00761CB9" w:rsidRDefault="002923A3" w:rsidP="005A59A5">
      <w:pPr>
        <w:ind w:firstLine="720"/>
        <w:jc w:val="both"/>
        <w:rPr>
          <w:rFonts w:ascii="Times New Roman" w:hAnsi="Times New Roman" w:cs="Times New Roman"/>
        </w:rPr>
      </w:pPr>
      <w:r>
        <w:rPr>
          <w:rFonts w:ascii="Times New Roman" w:hAnsi="Times New Roman" w:cs="Times New Roman"/>
        </w:rPr>
        <w:t xml:space="preserve">Previous research on </w:t>
      </w:r>
      <w:r w:rsidR="003E229D">
        <w:rPr>
          <w:rFonts w:ascii="Times New Roman" w:hAnsi="Times New Roman" w:cs="Times New Roman"/>
        </w:rPr>
        <w:t xml:space="preserve">the subjunctive with </w:t>
      </w:r>
      <w:r>
        <w:rPr>
          <w:rFonts w:ascii="Times New Roman" w:hAnsi="Times New Roman" w:cs="Times New Roman"/>
        </w:rPr>
        <w:t xml:space="preserve">children and adults has concentrated on all three of the levels of HL </w:t>
      </w:r>
      <w:r w:rsidRPr="0012217E">
        <w:rPr>
          <w:rFonts w:ascii="Times New Roman" w:hAnsi="Times New Roman" w:cs="Times New Roman"/>
        </w:rPr>
        <w:t>variability described previously</w:t>
      </w:r>
      <w:r w:rsidR="001045C4">
        <w:rPr>
          <w:rFonts w:ascii="Times New Roman" w:hAnsi="Times New Roman" w:cs="Times New Roman"/>
        </w:rPr>
        <w:t xml:space="preserve">, but not in a single study </w:t>
      </w:r>
      <w:r w:rsidR="00AB18A1">
        <w:rPr>
          <w:rFonts w:ascii="Times New Roman" w:hAnsi="Times New Roman" w:cs="Times New Roman"/>
        </w:rPr>
        <w:t>n</w:t>
      </w:r>
      <w:r w:rsidR="001045C4">
        <w:rPr>
          <w:rFonts w:ascii="Times New Roman" w:hAnsi="Times New Roman" w:cs="Times New Roman"/>
        </w:rPr>
        <w:t>or with multiple age groups</w:t>
      </w:r>
      <w:r w:rsidRPr="0012217E">
        <w:rPr>
          <w:rFonts w:ascii="Times New Roman" w:hAnsi="Times New Roman" w:cs="Times New Roman"/>
        </w:rPr>
        <w:t xml:space="preserve">. </w:t>
      </w:r>
      <w:r w:rsidR="00A352C5" w:rsidRPr="0012217E">
        <w:rPr>
          <w:rFonts w:ascii="Times New Roman" w:hAnsi="Times New Roman" w:cs="Times New Roman"/>
        </w:rPr>
        <w:t>HSs</w:t>
      </w:r>
      <w:r w:rsidR="004D7A7C">
        <w:rPr>
          <w:rFonts w:ascii="Times New Roman" w:hAnsi="Times New Roman" w:cs="Times New Roman"/>
        </w:rPr>
        <w:t xml:space="preserve">, </w:t>
      </w:r>
      <w:r w:rsidR="004D7A7C" w:rsidRPr="0012217E">
        <w:rPr>
          <w:rFonts w:ascii="Times New Roman" w:hAnsi="Times New Roman" w:cs="Times New Roman"/>
        </w:rPr>
        <w:t>particularly those with lower proficiency levels (Montrul 2009; Giancaspro 2019)</w:t>
      </w:r>
      <w:r w:rsidR="004D7A7C">
        <w:rPr>
          <w:rFonts w:ascii="Times New Roman" w:hAnsi="Times New Roman" w:cs="Times New Roman"/>
        </w:rPr>
        <w:t>,</w:t>
      </w:r>
      <w:r w:rsidR="00A352C5" w:rsidRPr="0012217E">
        <w:rPr>
          <w:rFonts w:ascii="Times New Roman" w:hAnsi="Times New Roman" w:cs="Times New Roman"/>
        </w:rPr>
        <w:t xml:space="preserve"> differ at the group level from monolingual or Spanish-dominant bilingual speakers</w:t>
      </w:r>
      <w:r w:rsidR="00D51F78" w:rsidRPr="0012217E">
        <w:rPr>
          <w:rFonts w:ascii="Times New Roman" w:hAnsi="Times New Roman" w:cs="Times New Roman"/>
        </w:rPr>
        <w:t>.</w:t>
      </w:r>
      <w:r w:rsidR="00C126AB" w:rsidRPr="0012217E">
        <w:rPr>
          <w:rFonts w:ascii="Times New Roman" w:hAnsi="Times New Roman" w:cs="Times New Roman"/>
        </w:rPr>
        <w:t xml:space="preserve"> </w:t>
      </w:r>
      <w:r w:rsidR="00FE7872" w:rsidRPr="0012217E">
        <w:rPr>
          <w:rFonts w:ascii="Times New Roman" w:hAnsi="Times New Roman" w:cs="Times New Roman"/>
        </w:rPr>
        <w:t>At the individual level, p</w:t>
      </w:r>
      <w:r w:rsidR="000D5ECE" w:rsidRPr="0012217E">
        <w:rPr>
          <w:rFonts w:ascii="Times New Roman" w:hAnsi="Times New Roman" w:cs="Times New Roman"/>
        </w:rPr>
        <w:t>roficiency and patterns of exposure have been found to account for differences in child (Dracos &amp; Requena 2022)</w:t>
      </w:r>
      <w:r w:rsidR="00FE7872" w:rsidRPr="0012217E">
        <w:rPr>
          <w:rFonts w:ascii="Times New Roman" w:hAnsi="Times New Roman" w:cs="Times New Roman"/>
        </w:rPr>
        <w:t xml:space="preserve"> and adult HSs’ (Perez-Cortes 2016) subjunctive mood knowledge.</w:t>
      </w:r>
      <w:r w:rsidR="00063812" w:rsidRPr="0012217E">
        <w:rPr>
          <w:rFonts w:ascii="Times New Roman" w:hAnsi="Times New Roman" w:cs="Times New Roman"/>
        </w:rPr>
        <w:t xml:space="preserve"> At the within-speaker level, research has shown that HSs recognize the subjunctive more frequently than the</w:t>
      </w:r>
      <w:r w:rsidR="00B045AC">
        <w:rPr>
          <w:rFonts w:ascii="Times New Roman" w:hAnsi="Times New Roman" w:cs="Times New Roman"/>
        </w:rPr>
        <w:t>y</w:t>
      </w:r>
      <w:r w:rsidR="00063812" w:rsidRPr="0012217E">
        <w:rPr>
          <w:rFonts w:ascii="Times New Roman" w:hAnsi="Times New Roman" w:cs="Times New Roman"/>
        </w:rPr>
        <w:t xml:space="preserve"> produce it (Giancaspro</w:t>
      </w:r>
      <w:r w:rsidR="00CB6E75">
        <w:rPr>
          <w:rFonts w:ascii="Times New Roman" w:hAnsi="Times New Roman" w:cs="Times New Roman"/>
        </w:rPr>
        <w:t xml:space="preserve"> </w:t>
      </w:r>
      <w:r w:rsidR="00063812" w:rsidRPr="0012217E">
        <w:rPr>
          <w:rFonts w:ascii="Times New Roman" w:hAnsi="Times New Roman" w:cs="Times New Roman"/>
        </w:rPr>
        <w:t>2020; Perez-Cortes</w:t>
      </w:r>
      <w:r w:rsidR="00CB6E75">
        <w:rPr>
          <w:rFonts w:ascii="Times New Roman" w:hAnsi="Times New Roman" w:cs="Times New Roman"/>
        </w:rPr>
        <w:t xml:space="preserve"> </w:t>
      </w:r>
      <w:r w:rsidR="00063812" w:rsidRPr="0012217E">
        <w:rPr>
          <w:rFonts w:ascii="Times New Roman" w:hAnsi="Times New Roman" w:cs="Times New Roman"/>
        </w:rPr>
        <w:t>2016)</w:t>
      </w:r>
      <w:r w:rsidR="0043095E" w:rsidRPr="0012217E">
        <w:rPr>
          <w:rFonts w:ascii="Times New Roman" w:hAnsi="Times New Roman" w:cs="Times New Roman"/>
        </w:rPr>
        <w:t xml:space="preserve">. Moreover, HSs are more likely to produce subjunctive forms with </w:t>
      </w:r>
      <w:r w:rsidR="007D2E1C" w:rsidRPr="0012217E">
        <w:rPr>
          <w:rFonts w:ascii="Times New Roman" w:hAnsi="Times New Roman" w:cs="Times New Roman"/>
        </w:rPr>
        <w:t xml:space="preserve">verbs that are </w:t>
      </w:r>
      <w:r w:rsidR="003E013C" w:rsidRPr="0012217E">
        <w:rPr>
          <w:rFonts w:ascii="Times New Roman" w:hAnsi="Times New Roman" w:cs="Times New Roman"/>
        </w:rPr>
        <w:t>more frequent in the input (Giancaspro 2020)</w:t>
      </w:r>
      <w:r w:rsidR="00A92894" w:rsidRPr="0012217E">
        <w:rPr>
          <w:rFonts w:ascii="Times New Roman" w:hAnsi="Times New Roman" w:cs="Times New Roman"/>
        </w:rPr>
        <w:t xml:space="preserve"> and morphologically irregular (Giancaspro et al. 2022; </w:t>
      </w:r>
      <w:r w:rsidR="00721C7F">
        <w:rPr>
          <w:rFonts w:ascii="Times New Roman" w:hAnsi="Times New Roman" w:cs="Times New Roman"/>
        </w:rPr>
        <w:t>AUTHOR</w:t>
      </w:r>
      <w:r w:rsidR="00A92894" w:rsidRPr="0012217E">
        <w:rPr>
          <w:rFonts w:ascii="Times New Roman" w:hAnsi="Times New Roman" w:cs="Times New Roman"/>
        </w:rPr>
        <w:t>)</w:t>
      </w:r>
      <w:r w:rsidR="00072C27" w:rsidRPr="0012217E">
        <w:rPr>
          <w:rFonts w:ascii="Times New Roman" w:hAnsi="Times New Roman" w:cs="Times New Roman"/>
        </w:rPr>
        <w:t>.</w:t>
      </w:r>
      <w:r w:rsidR="000960F2" w:rsidRPr="0012217E">
        <w:rPr>
          <w:rFonts w:ascii="Times New Roman" w:hAnsi="Times New Roman" w:cs="Times New Roman"/>
        </w:rPr>
        <w:t xml:space="preserve"> </w:t>
      </w:r>
      <w:r w:rsidR="00BC67D4">
        <w:rPr>
          <w:rFonts w:ascii="Times New Roman" w:hAnsi="Times New Roman" w:cs="Times New Roman"/>
        </w:rPr>
        <w:t xml:space="preserve">With bilingual </w:t>
      </w:r>
      <w:r w:rsidR="007B56E9">
        <w:rPr>
          <w:rFonts w:ascii="Times New Roman" w:hAnsi="Times New Roman" w:cs="Times New Roman"/>
        </w:rPr>
        <w:t xml:space="preserve">children </w:t>
      </w:r>
      <w:r w:rsidR="00BC67D4">
        <w:rPr>
          <w:rFonts w:ascii="Times New Roman" w:hAnsi="Times New Roman" w:cs="Times New Roman"/>
        </w:rPr>
        <w:t>ages 5</w:t>
      </w:r>
      <w:r w:rsidR="001A1FAA">
        <w:rPr>
          <w:rFonts w:ascii="Times New Roman" w:hAnsi="Times New Roman" w:cs="Times New Roman"/>
        </w:rPr>
        <w:t>-</w:t>
      </w:r>
      <w:r w:rsidR="00BC67D4">
        <w:rPr>
          <w:rFonts w:ascii="Times New Roman" w:hAnsi="Times New Roman" w:cs="Times New Roman"/>
        </w:rPr>
        <w:t>15</w:t>
      </w:r>
      <w:r w:rsidR="00EB5A83" w:rsidRPr="0012217E">
        <w:rPr>
          <w:rFonts w:ascii="Times New Roman" w:hAnsi="Times New Roman" w:cs="Times New Roman"/>
        </w:rPr>
        <w:t xml:space="preserve">, Dracos and Requena (2022) do not report age effects in the child HL acquisition of the subjunctive, but </w:t>
      </w:r>
      <w:r w:rsidR="002B1D8B">
        <w:rPr>
          <w:rFonts w:ascii="Times New Roman" w:hAnsi="Times New Roman" w:cs="Times New Roman"/>
        </w:rPr>
        <w:t xml:space="preserve">these researchers </w:t>
      </w:r>
      <w:r w:rsidR="00512031" w:rsidRPr="0012217E">
        <w:rPr>
          <w:rFonts w:ascii="Times New Roman" w:hAnsi="Times New Roman" w:cs="Times New Roman"/>
        </w:rPr>
        <w:t>stated</w:t>
      </w:r>
      <w:r w:rsidR="007A3638" w:rsidRPr="0012217E">
        <w:rPr>
          <w:rFonts w:ascii="Times New Roman" w:hAnsi="Times New Roman" w:cs="Times New Roman"/>
        </w:rPr>
        <w:t xml:space="preserve"> that</w:t>
      </w:r>
      <w:r w:rsidR="00EB5A83">
        <w:rPr>
          <w:rFonts w:ascii="Times New Roman" w:hAnsi="Times New Roman" w:cs="Times New Roman"/>
        </w:rPr>
        <w:t xml:space="preserve"> their sample had few adolescent children. </w:t>
      </w:r>
      <w:r w:rsidR="00173285">
        <w:rPr>
          <w:rFonts w:ascii="Times New Roman" w:hAnsi="Times New Roman" w:cs="Times New Roman"/>
        </w:rPr>
        <w:t>On the other hand, Castilla-Earls et al. (201</w:t>
      </w:r>
      <w:r w:rsidR="00EC63F3">
        <w:rPr>
          <w:rFonts w:ascii="Times New Roman" w:hAnsi="Times New Roman" w:cs="Times New Roman"/>
        </w:rPr>
        <w:t>8</w:t>
      </w:r>
      <w:r w:rsidR="00173285">
        <w:rPr>
          <w:rFonts w:ascii="Times New Roman" w:hAnsi="Times New Roman" w:cs="Times New Roman"/>
        </w:rPr>
        <w:t xml:space="preserve">) found that older </w:t>
      </w:r>
      <w:r w:rsidR="00395AAC">
        <w:rPr>
          <w:rFonts w:ascii="Times New Roman" w:hAnsi="Times New Roman" w:cs="Times New Roman"/>
        </w:rPr>
        <w:t xml:space="preserve">elementary school </w:t>
      </w:r>
      <w:r w:rsidR="00173285">
        <w:rPr>
          <w:rFonts w:ascii="Times New Roman" w:hAnsi="Times New Roman" w:cs="Times New Roman"/>
        </w:rPr>
        <w:t>children produced more subjunctive mood than younger participants</w:t>
      </w:r>
      <w:r w:rsidR="00050A8A">
        <w:rPr>
          <w:rFonts w:ascii="Times New Roman" w:hAnsi="Times New Roman" w:cs="Times New Roman"/>
        </w:rPr>
        <w:t>, and Castilla-Earls et al. (2013) report longitudinal growth in child HSs’ command of volitional subjunctive</w:t>
      </w:r>
      <w:r w:rsidR="00173285">
        <w:rPr>
          <w:rFonts w:ascii="Times New Roman" w:hAnsi="Times New Roman" w:cs="Times New Roman"/>
        </w:rPr>
        <w:t>.</w:t>
      </w:r>
      <w:r w:rsidR="00990D21">
        <w:rPr>
          <w:rFonts w:ascii="Times New Roman" w:hAnsi="Times New Roman" w:cs="Times New Roman"/>
        </w:rPr>
        <w:t xml:space="preserve"> Therefore, age appears to modulate development over the school period.</w:t>
      </w:r>
      <w:r w:rsidR="00173285">
        <w:rPr>
          <w:rFonts w:ascii="Times New Roman" w:hAnsi="Times New Roman" w:cs="Times New Roman"/>
        </w:rPr>
        <w:t xml:space="preserve"> </w:t>
      </w:r>
      <w:r w:rsidR="00761CB9">
        <w:rPr>
          <w:rFonts w:ascii="Times New Roman" w:hAnsi="Times New Roman" w:cs="Times New Roman"/>
        </w:rPr>
        <w:t>Across these studies, it is evident that there is variability in HSs’ command of subjunctive mood at all three levels</w:t>
      </w:r>
      <w:r w:rsidR="00BC67D4">
        <w:rPr>
          <w:rFonts w:ascii="Times New Roman" w:hAnsi="Times New Roman" w:cs="Times New Roman"/>
        </w:rPr>
        <w:t xml:space="preserve"> (</w:t>
      </w:r>
      <w:r w:rsidR="00761CB9">
        <w:rPr>
          <w:rFonts w:ascii="Times New Roman" w:hAnsi="Times New Roman" w:cs="Times New Roman"/>
        </w:rPr>
        <w:t>between-groups, individual-level, and within-speaker</w:t>
      </w:r>
      <w:r w:rsidR="00BC67D4">
        <w:rPr>
          <w:rFonts w:ascii="Times New Roman" w:hAnsi="Times New Roman" w:cs="Times New Roman"/>
        </w:rPr>
        <w:t xml:space="preserve">), </w:t>
      </w:r>
      <w:r w:rsidR="00B01A73">
        <w:rPr>
          <w:rFonts w:ascii="Times New Roman" w:hAnsi="Times New Roman" w:cs="Times New Roman"/>
        </w:rPr>
        <w:t>yet</w:t>
      </w:r>
      <w:r w:rsidR="00BC67D4">
        <w:rPr>
          <w:rFonts w:ascii="Times New Roman" w:hAnsi="Times New Roman" w:cs="Times New Roman"/>
        </w:rPr>
        <w:t xml:space="preserve"> </w:t>
      </w:r>
      <w:r w:rsidR="00DD09CF">
        <w:rPr>
          <w:rFonts w:ascii="Times New Roman" w:hAnsi="Times New Roman" w:cs="Times New Roman"/>
        </w:rPr>
        <w:t xml:space="preserve">a single study with children and adults </w:t>
      </w:r>
      <w:r w:rsidR="00B01A73">
        <w:rPr>
          <w:rFonts w:ascii="Times New Roman" w:hAnsi="Times New Roman" w:cs="Times New Roman"/>
        </w:rPr>
        <w:t xml:space="preserve">would be useful </w:t>
      </w:r>
      <w:r w:rsidR="00A508EB">
        <w:rPr>
          <w:rFonts w:ascii="Times New Roman" w:hAnsi="Times New Roman" w:cs="Times New Roman"/>
        </w:rPr>
        <w:t>to support these findings</w:t>
      </w:r>
      <w:r w:rsidR="00043EFE">
        <w:rPr>
          <w:rFonts w:ascii="Times New Roman" w:hAnsi="Times New Roman" w:cs="Times New Roman"/>
        </w:rPr>
        <w:t xml:space="preserve"> and </w:t>
      </w:r>
      <w:r w:rsidR="005321BD">
        <w:rPr>
          <w:rFonts w:ascii="Times New Roman" w:hAnsi="Times New Roman" w:cs="Times New Roman"/>
        </w:rPr>
        <w:t xml:space="preserve">evaluate </w:t>
      </w:r>
      <w:r w:rsidR="00BE4D79">
        <w:rPr>
          <w:rFonts w:ascii="Times New Roman" w:hAnsi="Times New Roman" w:cs="Times New Roman"/>
        </w:rPr>
        <w:t xml:space="preserve">the role of age in </w:t>
      </w:r>
      <w:r w:rsidR="00513739">
        <w:rPr>
          <w:rFonts w:ascii="Times New Roman" w:hAnsi="Times New Roman" w:cs="Times New Roman"/>
        </w:rPr>
        <w:t xml:space="preserve">mood development in </w:t>
      </w:r>
      <w:r w:rsidR="00BE4D79">
        <w:rPr>
          <w:rFonts w:ascii="Times New Roman" w:hAnsi="Times New Roman" w:cs="Times New Roman"/>
        </w:rPr>
        <w:t>late childhood</w:t>
      </w:r>
      <w:r w:rsidR="00733135">
        <w:rPr>
          <w:rFonts w:ascii="Times New Roman" w:hAnsi="Times New Roman" w:cs="Times New Roman"/>
        </w:rPr>
        <w:t>.</w:t>
      </w:r>
    </w:p>
    <w:p w14:paraId="243D2B9C" w14:textId="77777777" w:rsidR="00AA022B" w:rsidRDefault="00AA022B" w:rsidP="00AA022B">
      <w:pPr>
        <w:jc w:val="both"/>
        <w:rPr>
          <w:rFonts w:ascii="Times New Roman" w:hAnsi="Times New Roman" w:cs="Times New Roman"/>
        </w:rPr>
      </w:pPr>
    </w:p>
    <w:p w14:paraId="7DBDCC01" w14:textId="43EDC301" w:rsidR="00B50399" w:rsidRDefault="005A59A5" w:rsidP="005A59A5">
      <w:pPr>
        <w:jc w:val="both"/>
        <w:rPr>
          <w:rFonts w:ascii="Times New Roman" w:hAnsi="Times New Roman" w:cs="Times New Roman"/>
        </w:rPr>
      </w:pPr>
      <w:r>
        <w:rPr>
          <w:rFonts w:ascii="Times New Roman" w:hAnsi="Times New Roman" w:cs="Times New Roman"/>
          <w:i/>
          <w:iCs/>
        </w:rPr>
        <w:t xml:space="preserve">2.2 </w:t>
      </w:r>
      <w:r w:rsidR="0025343C" w:rsidRPr="005A59A5">
        <w:rPr>
          <w:rFonts w:ascii="Times New Roman" w:hAnsi="Times New Roman" w:cs="Times New Roman"/>
          <w:i/>
          <w:iCs/>
        </w:rPr>
        <w:t>Differential Object Marking</w:t>
      </w:r>
    </w:p>
    <w:p w14:paraId="03EE6A5A" w14:textId="77777777" w:rsidR="00AA022B" w:rsidRPr="00AA022B" w:rsidRDefault="00AA022B" w:rsidP="005A59A5">
      <w:pPr>
        <w:jc w:val="both"/>
        <w:rPr>
          <w:rFonts w:ascii="Times New Roman" w:hAnsi="Times New Roman" w:cs="Times New Roman"/>
        </w:rPr>
      </w:pPr>
    </w:p>
    <w:p w14:paraId="27350290" w14:textId="4F9E2EE1" w:rsidR="0025343C" w:rsidRDefault="00B50399" w:rsidP="005A59A5">
      <w:pPr>
        <w:ind w:firstLine="720"/>
        <w:jc w:val="both"/>
        <w:rPr>
          <w:rFonts w:ascii="Times New Roman" w:hAnsi="Times New Roman" w:cs="Times New Roman"/>
        </w:rPr>
      </w:pPr>
      <w:r>
        <w:rPr>
          <w:rFonts w:ascii="Times New Roman" w:hAnsi="Times New Roman" w:cs="Times New Roman"/>
        </w:rPr>
        <w:t xml:space="preserve">Turning to DOM, </w:t>
      </w:r>
      <w:r w:rsidR="0025343C">
        <w:rPr>
          <w:rFonts w:ascii="Times New Roman" w:hAnsi="Times New Roman" w:cs="Times New Roman"/>
        </w:rPr>
        <w:t xml:space="preserve">Spanish is one of approximately 300 </w:t>
      </w:r>
      <w:r w:rsidR="00C76FA8">
        <w:rPr>
          <w:rFonts w:ascii="Times New Roman" w:hAnsi="Times New Roman" w:cs="Times New Roman"/>
        </w:rPr>
        <w:t>languages</w:t>
      </w:r>
      <w:r w:rsidR="0025343C">
        <w:rPr>
          <w:rFonts w:ascii="Times New Roman" w:hAnsi="Times New Roman" w:cs="Times New Roman"/>
        </w:rPr>
        <w:t xml:space="preserve"> that </w:t>
      </w:r>
      <w:r w:rsidR="0041227C">
        <w:rPr>
          <w:rFonts w:ascii="Times New Roman" w:hAnsi="Times New Roman" w:cs="Times New Roman"/>
        </w:rPr>
        <w:t>features a system through wh</w:t>
      </w:r>
      <w:r w:rsidR="00557C40">
        <w:rPr>
          <w:rFonts w:ascii="Times New Roman" w:hAnsi="Times New Roman" w:cs="Times New Roman"/>
        </w:rPr>
        <w:t>i</w:t>
      </w:r>
      <w:r w:rsidR="0041227C">
        <w:rPr>
          <w:rFonts w:ascii="Times New Roman" w:hAnsi="Times New Roman" w:cs="Times New Roman"/>
        </w:rPr>
        <w:t xml:space="preserve">ch </w:t>
      </w:r>
      <w:r w:rsidR="000047BF">
        <w:rPr>
          <w:rFonts w:ascii="Times New Roman" w:hAnsi="Times New Roman" w:cs="Times New Roman"/>
        </w:rPr>
        <w:t>certain direct objects are marked with case morphology</w:t>
      </w:r>
      <w:r w:rsidR="00950D69">
        <w:rPr>
          <w:rFonts w:ascii="Times New Roman" w:hAnsi="Times New Roman" w:cs="Times New Roman"/>
        </w:rPr>
        <w:t xml:space="preserve"> depending on their semantic features</w:t>
      </w:r>
      <w:r w:rsidR="00557C40">
        <w:rPr>
          <w:rFonts w:ascii="Times New Roman" w:hAnsi="Times New Roman" w:cs="Times New Roman"/>
        </w:rPr>
        <w:t xml:space="preserve"> (Bossong </w:t>
      </w:r>
      <w:r w:rsidR="00544235">
        <w:rPr>
          <w:rFonts w:ascii="Times New Roman" w:hAnsi="Times New Roman" w:cs="Times New Roman"/>
        </w:rPr>
        <w:t>1991</w:t>
      </w:r>
      <w:r w:rsidR="00557C40">
        <w:rPr>
          <w:rFonts w:ascii="Times New Roman" w:hAnsi="Times New Roman" w:cs="Times New Roman"/>
        </w:rPr>
        <w:t>)</w:t>
      </w:r>
      <w:r w:rsidR="0025343C">
        <w:rPr>
          <w:rFonts w:ascii="Times New Roman" w:hAnsi="Times New Roman" w:cs="Times New Roman"/>
        </w:rPr>
        <w:t>.</w:t>
      </w:r>
      <w:r w:rsidR="00950D69">
        <w:rPr>
          <w:rFonts w:ascii="Times New Roman" w:hAnsi="Times New Roman" w:cs="Times New Roman"/>
        </w:rPr>
        <w:t xml:space="preserve"> There are many nuanced semantic features of DOM in Spanish, but most prominently, the animacy and specificity of direct</w:t>
      </w:r>
      <w:r w:rsidR="00207001">
        <w:rPr>
          <w:rFonts w:ascii="Times New Roman" w:hAnsi="Times New Roman" w:cs="Times New Roman"/>
        </w:rPr>
        <w:t xml:space="preserve"> objects determine the use of </w:t>
      </w:r>
      <w:r w:rsidR="00AF4322">
        <w:rPr>
          <w:rFonts w:ascii="Times New Roman" w:hAnsi="Times New Roman" w:cs="Times New Roman"/>
        </w:rPr>
        <w:t xml:space="preserve">the preposition </w:t>
      </w:r>
      <w:r w:rsidR="00AF4322">
        <w:rPr>
          <w:rFonts w:ascii="Times New Roman" w:hAnsi="Times New Roman" w:cs="Times New Roman"/>
          <w:i/>
          <w:iCs/>
        </w:rPr>
        <w:t>a</w:t>
      </w:r>
      <w:r w:rsidR="00AF4322">
        <w:rPr>
          <w:rFonts w:ascii="Times New Roman" w:hAnsi="Times New Roman" w:cs="Times New Roman"/>
        </w:rPr>
        <w:t xml:space="preserve"> that is also used to mark dative</w:t>
      </w:r>
      <w:r w:rsidR="00207001">
        <w:rPr>
          <w:rFonts w:ascii="Times New Roman" w:hAnsi="Times New Roman" w:cs="Times New Roman"/>
        </w:rPr>
        <w:t xml:space="preserve"> </w:t>
      </w:r>
      <w:r w:rsidR="00AF4322">
        <w:rPr>
          <w:rFonts w:ascii="Times New Roman" w:hAnsi="Times New Roman" w:cs="Times New Roman"/>
        </w:rPr>
        <w:t>case.</w:t>
      </w:r>
      <w:r w:rsidR="00F155B4">
        <w:rPr>
          <w:rStyle w:val="FootnoteReference"/>
          <w:rFonts w:ascii="Times New Roman" w:hAnsi="Times New Roman" w:cs="Times New Roman"/>
        </w:rPr>
        <w:footnoteReference w:id="1"/>
      </w:r>
      <w:r w:rsidR="00AF4322">
        <w:rPr>
          <w:rFonts w:ascii="Times New Roman" w:hAnsi="Times New Roman" w:cs="Times New Roman"/>
        </w:rPr>
        <w:t xml:space="preserve"> In this way, Spanish DOM comprises an example of inherent case, through which </w:t>
      </w:r>
      <w:r w:rsidR="00207001">
        <w:rPr>
          <w:rFonts w:ascii="Times New Roman" w:hAnsi="Times New Roman" w:cs="Times New Roman"/>
        </w:rPr>
        <w:t xml:space="preserve">direct objects that are [+animate] and [+specific] </w:t>
      </w:r>
      <w:r w:rsidR="00AF4322">
        <w:rPr>
          <w:rFonts w:ascii="Times New Roman" w:hAnsi="Times New Roman" w:cs="Times New Roman"/>
        </w:rPr>
        <w:t>are marked with</w:t>
      </w:r>
      <w:r w:rsidR="00207001">
        <w:rPr>
          <w:rFonts w:ascii="Times New Roman" w:hAnsi="Times New Roman" w:cs="Times New Roman"/>
        </w:rPr>
        <w:t xml:space="preserve"> the dative preposition </w:t>
      </w:r>
      <w:r w:rsidR="00207001">
        <w:rPr>
          <w:rFonts w:ascii="Times New Roman" w:hAnsi="Times New Roman" w:cs="Times New Roman"/>
          <w:i/>
          <w:iCs/>
        </w:rPr>
        <w:t>a</w:t>
      </w:r>
      <w:r w:rsidR="00950D69">
        <w:rPr>
          <w:rFonts w:ascii="Times New Roman" w:hAnsi="Times New Roman" w:cs="Times New Roman"/>
        </w:rPr>
        <w:t>.</w:t>
      </w:r>
      <w:r w:rsidR="00C467D5">
        <w:rPr>
          <w:rFonts w:ascii="Times New Roman" w:hAnsi="Times New Roman" w:cs="Times New Roman"/>
        </w:rPr>
        <w:t xml:space="preserve"> Torrego (1998) argues that DOM is realized through an interpretable D-feature in </w:t>
      </w:r>
      <w:r w:rsidR="00C467D5">
        <w:rPr>
          <w:rFonts w:ascii="Times New Roman" w:hAnsi="Times New Roman" w:cs="Times New Roman"/>
          <w:i/>
          <w:iCs/>
        </w:rPr>
        <w:t>spec,vP</w:t>
      </w:r>
      <w:r>
        <w:rPr>
          <w:rFonts w:ascii="Times New Roman" w:hAnsi="Times New Roman" w:cs="Times New Roman"/>
        </w:rPr>
        <w:t>, and direct</w:t>
      </w:r>
      <w:r w:rsidR="00C467D5">
        <w:rPr>
          <w:rFonts w:ascii="Times New Roman" w:hAnsi="Times New Roman" w:cs="Times New Roman"/>
        </w:rPr>
        <w:t xml:space="preserve"> objects that are animate and specific raise from VP-internal to check this feature.</w:t>
      </w:r>
      <w:r>
        <w:rPr>
          <w:rFonts w:ascii="Times New Roman" w:hAnsi="Times New Roman" w:cs="Times New Roman"/>
        </w:rPr>
        <w:t xml:space="preserve"> This disambiguat</w:t>
      </w:r>
      <w:r w:rsidR="00A67B14">
        <w:rPr>
          <w:rFonts w:ascii="Times New Roman" w:hAnsi="Times New Roman" w:cs="Times New Roman"/>
        </w:rPr>
        <w:t>es</w:t>
      </w:r>
      <w:r>
        <w:rPr>
          <w:rFonts w:ascii="Times New Roman" w:hAnsi="Times New Roman" w:cs="Times New Roman"/>
        </w:rPr>
        <w:t xml:space="preserve"> subject</w:t>
      </w:r>
      <w:r w:rsidR="0004348A">
        <w:rPr>
          <w:rFonts w:ascii="Times New Roman" w:hAnsi="Times New Roman" w:cs="Times New Roman"/>
        </w:rPr>
        <w:t>s</w:t>
      </w:r>
      <w:r>
        <w:rPr>
          <w:rFonts w:ascii="Times New Roman" w:hAnsi="Times New Roman" w:cs="Times New Roman"/>
        </w:rPr>
        <w:t xml:space="preserve"> </w:t>
      </w:r>
      <w:r w:rsidR="0004348A">
        <w:rPr>
          <w:rFonts w:ascii="Times New Roman" w:hAnsi="Times New Roman" w:cs="Times New Roman"/>
        </w:rPr>
        <w:t>from</w:t>
      </w:r>
      <w:r>
        <w:rPr>
          <w:rFonts w:ascii="Times New Roman" w:hAnsi="Times New Roman" w:cs="Times New Roman"/>
        </w:rPr>
        <w:t xml:space="preserve"> object</w:t>
      </w:r>
      <w:r w:rsidR="0004348A">
        <w:rPr>
          <w:rFonts w:ascii="Times New Roman" w:hAnsi="Times New Roman" w:cs="Times New Roman"/>
        </w:rPr>
        <w:t>s</w:t>
      </w:r>
      <w:r>
        <w:rPr>
          <w:rFonts w:ascii="Times New Roman" w:hAnsi="Times New Roman" w:cs="Times New Roman"/>
        </w:rPr>
        <w:t>, which in turn facilitates freer word order in Spanish than languages such as English</w:t>
      </w:r>
      <w:r w:rsidR="004C510C">
        <w:rPr>
          <w:rFonts w:ascii="Times New Roman" w:hAnsi="Times New Roman" w:cs="Times New Roman"/>
        </w:rPr>
        <w:t xml:space="preserve"> without a semantic case system</w:t>
      </w:r>
      <w:r>
        <w:rPr>
          <w:rFonts w:ascii="Times New Roman" w:hAnsi="Times New Roman" w:cs="Times New Roman"/>
        </w:rPr>
        <w:t>.</w:t>
      </w:r>
    </w:p>
    <w:p w14:paraId="37556D1F" w14:textId="3D626097" w:rsidR="001679A6" w:rsidRDefault="002707A3" w:rsidP="005A59A5">
      <w:pPr>
        <w:ind w:firstLine="720"/>
        <w:jc w:val="both"/>
        <w:rPr>
          <w:rFonts w:ascii="Times New Roman" w:hAnsi="Times New Roman" w:cs="Times New Roman"/>
        </w:rPr>
      </w:pPr>
      <w:r>
        <w:rPr>
          <w:rFonts w:ascii="Times New Roman" w:hAnsi="Times New Roman" w:cs="Times New Roman"/>
        </w:rPr>
        <w:t xml:space="preserve">DOM is mastered </w:t>
      </w:r>
      <w:r w:rsidR="000E73E3">
        <w:rPr>
          <w:rFonts w:ascii="Times New Roman" w:hAnsi="Times New Roman" w:cs="Times New Roman"/>
        </w:rPr>
        <w:t xml:space="preserve">earlier than subjunctive, </w:t>
      </w:r>
      <w:r>
        <w:rPr>
          <w:rFonts w:ascii="Times New Roman" w:hAnsi="Times New Roman" w:cs="Times New Roman"/>
        </w:rPr>
        <w:t xml:space="preserve">by approximately </w:t>
      </w:r>
      <w:r w:rsidR="00142EA9">
        <w:rPr>
          <w:rFonts w:ascii="Times New Roman" w:hAnsi="Times New Roman" w:cs="Times New Roman"/>
        </w:rPr>
        <w:t xml:space="preserve">age </w:t>
      </w:r>
      <w:r>
        <w:rPr>
          <w:rFonts w:ascii="Times New Roman" w:hAnsi="Times New Roman" w:cs="Times New Roman"/>
        </w:rPr>
        <w:t>3;0 (Rodríguez Mondoñedo</w:t>
      </w:r>
      <w:r w:rsidR="009C5707">
        <w:rPr>
          <w:rFonts w:ascii="Times New Roman" w:hAnsi="Times New Roman" w:cs="Times New Roman"/>
        </w:rPr>
        <w:t xml:space="preserve"> </w:t>
      </w:r>
      <w:r>
        <w:rPr>
          <w:rFonts w:ascii="Times New Roman" w:hAnsi="Times New Roman" w:cs="Times New Roman"/>
        </w:rPr>
        <w:t xml:space="preserve">2008), </w:t>
      </w:r>
      <w:r w:rsidR="000E73E3">
        <w:rPr>
          <w:rFonts w:ascii="Times New Roman" w:hAnsi="Times New Roman" w:cs="Times New Roman"/>
        </w:rPr>
        <w:t xml:space="preserve">yet </w:t>
      </w:r>
      <w:r>
        <w:rPr>
          <w:rFonts w:ascii="Times New Roman" w:hAnsi="Times New Roman" w:cs="Times New Roman"/>
        </w:rPr>
        <w:t>there</w:t>
      </w:r>
      <w:r w:rsidR="001679A6">
        <w:rPr>
          <w:rFonts w:ascii="Times New Roman" w:hAnsi="Times New Roman" w:cs="Times New Roman"/>
        </w:rPr>
        <w:t xml:space="preserve"> are multiple reasons </w:t>
      </w:r>
      <w:r w:rsidR="00C33C1A">
        <w:rPr>
          <w:rFonts w:ascii="Times New Roman" w:hAnsi="Times New Roman" w:cs="Times New Roman"/>
        </w:rPr>
        <w:t xml:space="preserve">that </w:t>
      </w:r>
      <w:r>
        <w:rPr>
          <w:rFonts w:ascii="Times New Roman" w:hAnsi="Times New Roman" w:cs="Times New Roman"/>
        </w:rPr>
        <w:t>it</w:t>
      </w:r>
      <w:r w:rsidR="00C33C1A">
        <w:rPr>
          <w:rFonts w:ascii="Times New Roman" w:hAnsi="Times New Roman" w:cs="Times New Roman"/>
        </w:rPr>
        <w:t xml:space="preserve"> is </w:t>
      </w:r>
      <w:r w:rsidR="003B17C4">
        <w:rPr>
          <w:rFonts w:ascii="Times New Roman" w:hAnsi="Times New Roman" w:cs="Times New Roman"/>
        </w:rPr>
        <w:t>ideal</w:t>
      </w:r>
      <w:r w:rsidR="00C33C1A">
        <w:rPr>
          <w:rFonts w:ascii="Times New Roman" w:hAnsi="Times New Roman" w:cs="Times New Roman"/>
        </w:rPr>
        <w:t xml:space="preserve"> for </w:t>
      </w:r>
      <w:r w:rsidR="003B17C4">
        <w:rPr>
          <w:rFonts w:ascii="Times New Roman" w:hAnsi="Times New Roman" w:cs="Times New Roman"/>
        </w:rPr>
        <w:t>researching</w:t>
      </w:r>
      <w:r w:rsidR="00C33C1A">
        <w:rPr>
          <w:rFonts w:ascii="Times New Roman" w:hAnsi="Times New Roman" w:cs="Times New Roman"/>
        </w:rPr>
        <w:t xml:space="preserve"> the child HL acquisition process</w:t>
      </w:r>
      <w:r w:rsidR="001679A6">
        <w:rPr>
          <w:rFonts w:ascii="Times New Roman" w:hAnsi="Times New Roman" w:cs="Times New Roman"/>
        </w:rPr>
        <w:t>. Firstly, unlike in the case of the volitional subjunctive, children must develop both s</w:t>
      </w:r>
      <w:r w:rsidR="00E167D6">
        <w:rPr>
          <w:rFonts w:ascii="Times New Roman" w:hAnsi="Times New Roman" w:cs="Times New Roman"/>
        </w:rPr>
        <w:t>yntactic and s</w:t>
      </w:r>
      <w:r w:rsidR="001679A6">
        <w:rPr>
          <w:rFonts w:ascii="Times New Roman" w:hAnsi="Times New Roman" w:cs="Times New Roman"/>
        </w:rPr>
        <w:t>emantic features to use DOM, situating this structure at the syntax-semantics interface</w:t>
      </w:r>
      <w:r w:rsidR="00741CB7">
        <w:rPr>
          <w:rFonts w:ascii="Times New Roman" w:hAnsi="Times New Roman" w:cs="Times New Roman"/>
        </w:rPr>
        <w:t xml:space="preserve">, which </w:t>
      </w:r>
      <w:r w:rsidR="00C94AF5">
        <w:rPr>
          <w:rFonts w:ascii="Times New Roman" w:hAnsi="Times New Roman" w:cs="Times New Roman"/>
        </w:rPr>
        <w:t xml:space="preserve">Torregrossa et al. (2023) argue </w:t>
      </w:r>
      <w:r w:rsidR="004C510C">
        <w:rPr>
          <w:rFonts w:ascii="Times New Roman" w:hAnsi="Times New Roman" w:cs="Times New Roman"/>
        </w:rPr>
        <w:t>is</w:t>
      </w:r>
      <w:r w:rsidR="00C94AF5">
        <w:rPr>
          <w:rFonts w:ascii="Times New Roman" w:hAnsi="Times New Roman" w:cs="Times New Roman"/>
        </w:rPr>
        <w:t xml:space="preserve"> most impacted by bilingual education. </w:t>
      </w:r>
      <w:r w:rsidR="001679A6">
        <w:rPr>
          <w:rFonts w:ascii="Times New Roman" w:hAnsi="Times New Roman" w:cs="Times New Roman"/>
        </w:rPr>
        <w:t>S</w:t>
      </w:r>
      <w:r w:rsidR="00B46815">
        <w:rPr>
          <w:rFonts w:ascii="Times New Roman" w:hAnsi="Times New Roman" w:cs="Times New Roman"/>
        </w:rPr>
        <w:t xml:space="preserve">econdly, </w:t>
      </w:r>
      <w:r w:rsidR="00764340">
        <w:rPr>
          <w:rFonts w:ascii="Times New Roman" w:hAnsi="Times New Roman" w:cs="Times New Roman"/>
        </w:rPr>
        <w:t xml:space="preserve">the </w:t>
      </w:r>
      <w:r w:rsidR="00764340">
        <w:rPr>
          <w:rFonts w:ascii="Times New Roman" w:hAnsi="Times New Roman" w:cs="Times New Roman"/>
          <w:i/>
          <w:iCs/>
        </w:rPr>
        <w:t>a</w:t>
      </w:r>
      <w:r w:rsidR="00764340">
        <w:rPr>
          <w:rFonts w:ascii="Times New Roman" w:hAnsi="Times New Roman" w:cs="Times New Roman"/>
        </w:rPr>
        <w:t xml:space="preserve"> preposition</w:t>
      </w:r>
      <w:r w:rsidR="00B46815">
        <w:rPr>
          <w:rFonts w:ascii="Times New Roman" w:hAnsi="Times New Roman" w:cs="Times New Roman"/>
        </w:rPr>
        <w:t xml:space="preserve"> does not have high perceptual salience in Spanish, </w:t>
      </w:r>
      <w:r w:rsidR="00686588">
        <w:rPr>
          <w:rFonts w:ascii="Times New Roman" w:hAnsi="Times New Roman" w:cs="Times New Roman"/>
        </w:rPr>
        <w:t xml:space="preserve">which may cause it to be less </w:t>
      </w:r>
      <w:r w:rsidR="00C00ABB">
        <w:rPr>
          <w:rFonts w:ascii="Times New Roman" w:hAnsi="Times New Roman" w:cs="Times New Roman"/>
        </w:rPr>
        <w:t>detectable</w:t>
      </w:r>
      <w:r w:rsidR="00686588">
        <w:rPr>
          <w:rFonts w:ascii="Times New Roman" w:hAnsi="Times New Roman" w:cs="Times New Roman"/>
        </w:rPr>
        <w:t xml:space="preserve"> in the input, as has been argued when comparing HSs of Spanish to those of </w:t>
      </w:r>
      <w:r w:rsidR="00B854DC">
        <w:rPr>
          <w:rFonts w:ascii="Times New Roman" w:hAnsi="Times New Roman" w:cs="Times New Roman"/>
        </w:rPr>
        <w:t>other DOM languages</w:t>
      </w:r>
      <w:r w:rsidR="00686588">
        <w:rPr>
          <w:rFonts w:ascii="Times New Roman" w:hAnsi="Times New Roman" w:cs="Times New Roman"/>
        </w:rPr>
        <w:t xml:space="preserve"> (Montrul et al</w:t>
      </w:r>
      <w:r w:rsidR="009C5707">
        <w:rPr>
          <w:rFonts w:ascii="Times New Roman" w:hAnsi="Times New Roman" w:cs="Times New Roman"/>
        </w:rPr>
        <w:t>.</w:t>
      </w:r>
      <w:r w:rsidR="00686588">
        <w:rPr>
          <w:rFonts w:ascii="Times New Roman" w:hAnsi="Times New Roman" w:cs="Times New Roman"/>
        </w:rPr>
        <w:t xml:space="preserve"> 2015). Finally, English does not have a DOM system, such that </w:t>
      </w:r>
      <w:r w:rsidR="00C94AF5">
        <w:rPr>
          <w:rFonts w:ascii="Times New Roman" w:hAnsi="Times New Roman" w:cs="Times New Roman"/>
        </w:rPr>
        <w:t xml:space="preserve">Spanish </w:t>
      </w:r>
      <w:r w:rsidR="00C94AF5">
        <w:rPr>
          <w:rFonts w:ascii="Times New Roman" w:hAnsi="Times New Roman" w:cs="Times New Roman"/>
        </w:rPr>
        <w:lastRenderedPageBreak/>
        <w:t>HSs</w:t>
      </w:r>
      <w:r w:rsidR="00686588">
        <w:rPr>
          <w:rFonts w:ascii="Times New Roman" w:hAnsi="Times New Roman" w:cs="Times New Roman"/>
        </w:rPr>
        <w:t xml:space="preserve"> with low levels of HL use may </w:t>
      </w:r>
      <w:r w:rsidR="004C510C">
        <w:rPr>
          <w:rFonts w:ascii="Times New Roman" w:hAnsi="Times New Roman" w:cs="Times New Roman"/>
        </w:rPr>
        <w:t>reassemble the D-feature</w:t>
      </w:r>
      <w:r w:rsidR="00686588">
        <w:rPr>
          <w:rFonts w:ascii="Times New Roman" w:hAnsi="Times New Roman" w:cs="Times New Roman"/>
        </w:rPr>
        <w:t xml:space="preserve"> from their grammars</w:t>
      </w:r>
      <w:r w:rsidR="00C94AF5">
        <w:rPr>
          <w:rFonts w:ascii="Times New Roman" w:hAnsi="Times New Roman" w:cs="Times New Roman"/>
        </w:rPr>
        <w:t xml:space="preserve"> in accordance with Putnam and Sánchez’s (2013) predictions.</w:t>
      </w:r>
    </w:p>
    <w:p w14:paraId="3932147F" w14:textId="3A7AC45C" w:rsidR="00493CB8" w:rsidRDefault="000655A2" w:rsidP="005A59A5">
      <w:pPr>
        <w:ind w:firstLine="720"/>
        <w:jc w:val="both"/>
        <w:rPr>
          <w:rFonts w:ascii="Times New Roman" w:hAnsi="Times New Roman" w:cs="Times New Roman"/>
        </w:rPr>
      </w:pPr>
      <w:r>
        <w:rPr>
          <w:rFonts w:ascii="Times New Roman" w:hAnsi="Times New Roman" w:cs="Times New Roman"/>
        </w:rPr>
        <w:t>Previous research on the acquisition of DOM in Spanish as a HL has exhibited that proficiency level (</w:t>
      </w:r>
      <w:r w:rsidR="00943384">
        <w:rPr>
          <w:rFonts w:ascii="Times New Roman" w:hAnsi="Times New Roman" w:cs="Times New Roman"/>
        </w:rPr>
        <w:t xml:space="preserve">Arechabaleta-Regulez &amp; Montrul 2023; </w:t>
      </w:r>
      <w:r w:rsidR="000F564B">
        <w:rPr>
          <w:rFonts w:ascii="Times New Roman" w:hAnsi="Times New Roman" w:cs="Times New Roman"/>
        </w:rPr>
        <w:t xml:space="preserve">Montrul &amp; Bowles 2009; </w:t>
      </w:r>
      <w:r>
        <w:rPr>
          <w:rFonts w:ascii="Times New Roman" w:hAnsi="Times New Roman" w:cs="Times New Roman"/>
        </w:rPr>
        <w:t>Montrul &amp; Sánchez-Walker 2013)</w:t>
      </w:r>
      <w:r w:rsidR="001571EE">
        <w:rPr>
          <w:rFonts w:ascii="Times New Roman" w:hAnsi="Times New Roman" w:cs="Times New Roman"/>
        </w:rPr>
        <w:t xml:space="preserve"> </w:t>
      </w:r>
      <w:r w:rsidR="006E3837">
        <w:rPr>
          <w:rFonts w:ascii="Times New Roman" w:hAnsi="Times New Roman" w:cs="Times New Roman"/>
        </w:rPr>
        <w:t>and</w:t>
      </w:r>
      <w:r w:rsidR="000C6760">
        <w:rPr>
          <w:rFonts w:ascii="Times New Roman" w:hAnsi="Times New Roman" w:cs="Times New Roman"/>
        </w:rPr>
        <w:t xml:space="preserve"> patterns of </w:t>
      </w:r>
      <w:r w:rsidR="006E3837">
        <w:rPr>
          <w:rFonts w:ascii="Times New Roman" w:hAnsi="Times New Roman" w:cs="Times New Roman"/>
        </w:rPr>
        <w:t xml:space="preserve">HL </w:t>
      </w:r>
      <w:r w:rsidR="000C6760">
        <w:rPr>
          <w:rFonts w:ascii="Times New Roman" w:hAnsi="Times New Roman" w:cs="Times New Roman"/>
        </w:rPr>
        <w:t xml:space="preserve">exposure influence </w:t>
      </w:r>
      <w:r w:rsidR="00BD536A">
        <w:rPr>
          <w:rFonts w:ascii="Times New Roman" w:hAnsi="Times New Roman" w:cs="Times New Roman"/>
        </w:rPr>
        <w:t xml:space="preserve">individual </w:t>
      </w:r>
      <w:r w:rsidR="00993FE8">
        <w:rPr>
          <w:rFonts w:ascii="Times New Roman" w:hAnsi="Times New Roman" w:cs="Times New Roman"/>
        </w:rPr>
        <w:t>HS</w:t>
      </w:r>
      <w:r w:rsidR="00BD536A">
        <w:rPr>
          <w:rFonts w:ascii="Times New Roman" w:hAnsi="Times New Roman" w:cs="Times New Roman"/>
        </w:rPr>
        <w:t>s’</w:t>
      </w:r>
      <w:r w:rsidR="00993FE8">
        <w:rPr>
          <w:rFonts w:ascii="Times New Roman" w:hAnsi="Times New Roman" w:cs="Times New Roman"/>
        </w:rPr>
        <w:t xml:space="preserve"> </w:t>
      </w:r>
      <w:r w:rsidR="006E3837">
        <w:rPr>
          <w:rFonts w:ascii="Times New Roman" w:hAnsi="Times New Roman" w:cs="Times New Roman"/>
        </w:rPr>
        <w:t>acquisition</w:t>
      </w:r>
      <w:r w:rsidR="00993FE8">
        <w:rPr>
          <w:rFonts w:ascii="Times New Roman" w:hAnsi="Times New Roman" w:cs="Times New Roman"/>
        </w:rPr>
        <w:t xml:space="preserve"> </w:t>
      </w:r>
      <w:r w:rsidR="000C6760">
        <w:rPr>
          <w:rFonts w:ascii="Times New Roman" w:hAnsi="Times New Roman" w:cs="Times New Roman"/>
        </w:rPr>
        <w:t xml:space="preserve">of </w:t>
      </w:r>
      <w:r w:rsidR="003270C3">
        <w:rPr>
          <w:rFonts w:ascii="Times New Roman" w:hAnsi="Times New Roman" w:cs="Times New Roman"/>
        </w:rPr>
        <w:t>DOM</w:t>
      </w:r>
      <w:r w:rsidR="000C6760">
        <w:rPr>
          <w:rFonts w:ascii="Times New Roman" w:hAnsi="Times New Roman" w:cs="Times New Roman"/>
        </w:rPr>
        <w:t xml:space="preserve">. </w:t>
      </w:r>
      <w:r w:rsidR="006E3837">
        <w:rPr>
          <w:rFonts w:ascii="Times New Roman" w:hAnsi="Times New Roman" w:cs="Times New Roman"/>
        </w:rPr>
        <w:t>Additionally</w:t>
      </w:r>
      <w:r w:rsidR="00993FE8">
        <w:rPr>
          <w:rFonts w:ascii="Times New Roman" w:hAnsi="Times New Roman" w:cs="Times New Roman"/>
        </w:rPr>
        <w:t>, Hur (2020) found that</w:t>
      </w:r>
      <w:r w:rsidR="00E86E2C">
        <w:rPr>
          <w:rFonts w:ascii="Times New Roman" w:hAnsi="Times New Roman" w:cs="Times New Roman"/>
        </w:rPr>
        <w:t xml:space="preserve"> the</w:t>
      </w:r>
      <w:r w:rsidR="00993FE8">
        <w:rPr>
          <w:rFonts w:ascii="Times New Roman" w:hAnsi="Times New Roman" w:cs="Times New Roman"/>
        </w:rPr>
        <w:t xml:space="preserve"> lexical frequency </w:t>
      </w:r>
      <w:r w:rsidR="00AE5F64">
        <w:rPr>
          <w:rFonts w:ascii="Times New Roman" w:hAnsi="Times New Roman" w:cs="Times New Roman"/>
        </w:rPr>
        <w:t>of verbs affected HSs’ production of DOM</w:t>
      </w:r>
      <w:r w:rsidR="00E27B68">
        <w:rPr>
          <w:rFonts w:ascii="Times New Roman" w:hAnsi="Times New Roman" w:cs="Times New Roman"/>
        </w:rPr>
        <w:t xml:space="preserve">, </w:t>
      </w:r>
      <w:r w:rsidR="001E1EAD">
        <w:rPr>
          <w:rFonts w:ascii="Times New Roman" w:hAnsi="Times New Roman" w:cs="Times New Roman"/>
        </w:rPr>
        <w:t xml:space="preserve">and Callen (2024) reported that the frequency with which individual verbs required animate direct objects modulated DOM production rates. These studies </w:t>
      </w:r>
      <w:r w:rsidR="00E27B68">
        <w:rPr>
          <w:rFonts w:ascii="Times New Roman" w:hAnsi="Times New Roman" w:cs="Times New Roman"/>
        </w:rPr>
        <w:t>account for within-speaker variability</w:t>
      </w:r>
      <w:r w:rsidR="00993FE8">
        <w:rPr>
          <w:rFonts w:ascii="Times New Roman" w:hAnsi="Times New Roman" w:cs="Times New Roman"/>
        </w:rPr>
        <w:t xml:space="preserve">. </w:t>
      </w:r>
      <w:r w:rsidR="00F1691A">
        <w:rPr>
          <w:rFonts w:ascii="Times New Roman" w:hAnsi="Times New Roman" w:cs="Times New Roman"/>
        </w:rPr>
        <w:t>The role of age has been difficult to interpret in the acquisition of DOM: Montrul and Sánchez-Walker (2013) found that adults produce</w:t>
      </w:r>
      <w:r w:rsidR="00C94AF5">
        <w:rPr>
          <w:rFonts w:ascii="Times New Roman" w:hAnsi="Times New Roman" w:cs="Times New Roman"/>
        </w:rPr>
        <w:t>d</w:t>
      </w:r>
      <w:r w:rsidR="00F1691A">
        <w:rPr>
          <w:rFonts w:ascii="Times New Roman" w:hAnsi="Times New Roman" w:cs="Times New Roman"/>
        </w:rPr>
        <w:t xml:space="preserve"> more instances of DOM than children between ages 6;0-17;11, but Cuza et al. (2019) and Guijarro-Fuentes et al. (2017) </w:t>
      </w:r>
      <w:r w:rsidR="00C94AF5">
        <w:rPr>
          <w:rFonts w:ascii="Times New Roman" w:hAnsi="Times New Roman" w:cs="Times New Roman"/>
        </w:rPr>
        <w:t>did</w:t>
      </w:r>
      <w:r w:rsidR="00F1691A">
        <w:rPr>
          <w:rFonts w:ascii="Times New Roman" w:hAnsi="Times New Roman" w:cs="Times New Roman"/>
        </w:rPr>
        <w:t xml:space="preserve"> not find age effects in their studies with children only</w:t>
      </w:r>
      <w:r w:rsidR="00493CB8">
        <w:rPr>
          <w:rFonts w:ascii="Times New Roman" w:hAnsi="Times New Roman" w:cs="Times New Roman"/>
        </w:rPr>
        <w:t>.</w:t>
      </w:r>
    </w:p>
    <w:p w14:paraId="067ABB8D" w14:textId="77777777" w:rsidR="00AA022B" w:rsidRDefault="00AA022B" w:rsidP="00AA022B">
      <w:pPr>
        <w:jc w:val="both"/>
        <w:rPr>
          <w:rFonts w:ascii="Times New Roman" w:hAnsi="Times New Roman" w:cs="Times New Roman"/>
        </w:rPr>
      </w:pPr>
    </w:p>
    <w:p w14:paraId="74D043B0" w14:textId="77777777" w:rsidR="00840E68" w:rsidRDefault="00840E68" w:rsidP="00AA022B">
      <w:pPr>
        <w:jc w:val="both"/>
        <w:rPr>
          <w:rFonts w:ascii="Times New Roman" w:hAnsi="Times New Roman" w:cs="Times New Roman"/>
        </w:rPr>
      </w:pPr>
    </w:p>
    <w:p w14:paraId="409A2FB0" w14:textId="30B4D9F6" w:rsidR="00654584" w:rsidRDefault="00AA022B" w:rsidP="00AA022B">
      <w:pPr>
        <w:rPr>
          <w:rFonts w:ascii="Times New Roman" w:hAnsi="Times New Roman" w:cs="Times New Roman"/>
        </w:rPr>
      </w:pPr>
      <w:r>
        <w:rPr>
          <w:rFonts w:ascii="Times New Roman" w:hAnsi="Times New Roman" w:cs="Times New Roman"/>
          <w:b/>
          <w:bCs/>
        </w:rPr>
        <w:t xml:space="preserve">3 </w:t>
      </w:r>
      <w:r w:rsidR="00B41CC8" w:rsidRPr="00B41CC8">
        <w:rPr>
          <w:rFonts w:ascii="Times New Roman" w:hAnsi="Times New Roman" w:cs="Times New Roman"/>
          <w:b/>
          <w:bCs/>
        </w:rPr>
        <w:t>The Study</w:t>
      </w:r>
    </w:p>
    <w:p w14:paraId="073996A7" w14:textId="77777777" w:rsidR="00AA022B" w:rsidRPr="00AA022B" w:rsidRDefault="00AA022B" w:rsidP="00AA022B">
      <w:pPr>
        <w:rPr>
          <w:rFonts w:ascii="Times New Roman" w:hAnsi="Times New Roman" w:cs="Times New Roman"/>
        </w:rPr>
      </w:pPr>
    </w:p>
    <w:p w14:paraId="22BAAD3B" w14:textId="45C9DB2B" w:rsidR="0088063E" w:rsidRDefault="00654584" w:rsidP="005A59A5">
      <w:pPr>
        <w:ind w:firstLine="720"/>
        <w:jc w:val="both"/>
        <w:rPr>
          <w:rFonts w:ascii="Times New Roman" w:hAnsi="Times New Roman" w:cs="Times New Roman"/>
        </w:rPr>
      </w:pPr>
      <w:r>
        <w:rPr>
          <w:rFonts w:ascii="Times New Roman" w:hAnsi="Times New Roman" w:cs="Times New Roman"/>
        </w:rPr>
        <w:t xml:space="preserve">Consequently, both the subjunctive and DOM are ideal areas of the Spanish inflectional system with which to study HL acquisition and its progression from childhood to adulthood. While the two structures differ in their timing of acquisition and degree of interface between syntax and </w:t>
      </w:r>
      <w:r w:rsidR="001478CC">
        <w:rPr>
          <w:rFonts w:ascii="Times New Roman" w:hAnsi="Times New Roman" w:cs="Times New Roman"/>
        </w:rPr>
        <w:t>semantics,</w:t>
      </w:r>
      <w:r w:rsidR="00497798">
        <w:rPr>
          <w:rFonts w:ascii="Times New Roman" w:hAnsi="Times New Roman" w:cs="Times New Roman"/>
        </w:rPr>
        <w:t xml:space="preserve"> both are prone to crosslinguistic influence from Englis</w:t>
      </w:r>
      <w:r w:rsidR="00CF793F">
        <w:rPr>
          <w:rFonts w:ascii="Times New Roman" w:hAnsi="Times New Roman" w:cs="Times New Roman"/>
        </w:rPr>
        <w:t xml:space="preserve">h. </w:t>
      </w:r>
      <w:r w:rsidR="007B7F43">
        <w:rPr>
          <w:rFonts w:ascii="Times New Roman" w:hAnsi="Times New Roman" w:cs="Times New Roman"/>
        </w:rPr>
        <w:t>Furthermore, both structures – as well as their comparison – are useful for understanding the role of education in HL acquisition</w:t>
      </w:r>
      <w:r>
        <w:rPr>
          <w:rFonts w:ascii="Times New Roman" w:hAnsi="Times New Roman" w:cs="Times New Roman"/>
        </w:rPr>
        <w:t>.</w:t>
      </w:r>
      <w:r w:rsidR="00C55B7A">
        <w:rPr>
          <w:rFonts w:ascii="Times New Roman" w:hAnsi="Times New Roman" w:cs="Times New Roman"/>
        </w:rPr>
        <w:t xml:space="preserve"> Therefore, the present study revisits findings </w:t>
      </w:r>
      <w:r w:rsidR="00774FF3">
        <w:rPr>
          <w:rFonts w:ascii="Times New Roman" w:hAnsi="Times New Roman" w:cs="Times New Roman"/>
        </w:rPr>
        <w:t xml:space="preserve">from </w:t>
      </w:r>
      <w:r w:rsidR="0045450B">
        <w:rPr>
          <w:rFonts w:ascii="Times New Roman" w:hAnsi="Times New Roman" w:cs="Times New Roman"/>
        </w:rPr>
        <w:t>recent studies addressing development of subjunctive mood (</w:t>
      </w:r>
      <w:r w:rsidR="001C4A5B">
        <w:rPr>
          <w:rFonts w:ascii="Times New Roman" w:hAnsi="Times New Roman" w:cs="Times New Roman"/>
        </w:rPr>
        <w:t>AUTHOR</w:t>
      </w:r>
      <w:r w:rsidR="0045450B">
        <w:rPr>
          <w:rFonts w:ascii="Times New Roman" w:hAnsi="Times New Roman" w:cs="Times New Roman"/>
        </w:rPr>
        <w:t>) and DOM (</w:t>
      </w:r>
      <w:r w:rsidR="00BD3231">
        <w:rPr>
          <w:rFonts w:ascii="Times New Roman" w:hAnsi="Times New Roman" w:cs="Times New Roman"/>
        </w:rPr>
        <w:t>AUTHOR</w:t>
      </w:r>
      <w:r w:rsidR="0045450B">
        <w:rPr>
          <w:rFonts w:ascii="Times New Roman" w:hAnsi="Times New Roman" w:cs="Times New Roman"/>
        </w:rPr>
        <w:t xml:space="preserve">) </w:t>
      </w:r>
      <w:r w:rsidR="00B8327C">
        <w:rPr>
          <w:rFonts w:ascii="Times New Roman" w:hAnsi="Times New Roman" w:cs="Times New Roman"/>
        </w:rPr>
        <w:t xml:space="preserve">that </w:t>
      </w:r>
      <w:r w:rsidR="00B141DD">
        <w:rPr>
          <w:rFonts w:ascii="Times New Roman" w:hAnsi="Times New Roman" w:cs="Times New Roman"/>
        </w:rPr>
        <w:t>evaluate adolescent and adult HSs</w:t>
      </w:r>
      <w:r w:rsidR="00323A3C">
        <w:rPr>
          <w:rFonts w:ascii="Times New Roman" w:hAnsi="Times New Roman" w:cs="Times New Roman"/>
        </w:rPr>
        <w:t>’</w:t>
      </w:r>
      <w:r w:rsidR="00B141DD">
        <w:rPr>
          <w:rFonts w:ascii="Times New Roman" w:hAnsi="Times New Roman" w:cs="Times New Roman"/>
        </w:rPr>
        <w:t xml:space="preserve"> mastery of this structure through between-group, individual, and within-group differences</w:t>
      </w:r>
      <w:r w:rsidR="00774FF3">
        <w:rPr>
          <w:rFonts w:ascii="Times New Roman" w:hAnsi="Times New Roman" w:cs="Times New Roman"/>
        </w:rPr>
        <w:t>.</w:t>
      </w:r>
      <w:r w:rsidR="00813B24">
        <w:rPr>
          <w:rFonts w:ascii="Times New Roman" w:hAnsi="Times New Roman" w:cs="Times New Roman"/>
        </w:rPr>
        <w:t xml:space="preserve"> </w:t>
      </w:r>
      <w:r w:rsidR="00533B92">
        <w:rPr>
          <w:rFonts w:ascii="Times New Roman" w:hAnsi="Times New Roman" w:cs="Times New Roman"/>
        </w:rPr>
        <w:t xml:space="preserve">Data from both structures are analyzed together here for a more </w:t>
      </w:r>
      <w:r w:rsidR="00ED7D8A">
        <w:rPr>
          <w:rFonts w:ascii="Times New Roman" w:hAnsi="Times New Roman" w:cs="Times New Roman"/>
        </w:rPr>
        <w:t>holistic</w:t>
      </w:r>
      <w:r w:rsidR="00533B92">
        <w:rPr>
          <w:rFonts w:ascii="Times New Roman" w:hAnsi="Times New Roman" w:cs="Times New Roman"/>
        </w:rPr>
        <w:t xml:space="preserve"> discussion of results across previous studies</w:t>
      </w:r>
      <w:r w:rsidR="004B7A5E">
        <w:rPr>
          <w:rFonts w:ascii="Times New Roman" w:hAnsi="Times New Roman" w:cs="Times New Roman"/>
        </w:rPr>
        <w:t xml:space="preserve"> and their implications for setting the agenda for a new theory of HL acquisition</w:t>
      </w:r>
      <w:r w:rsidR="00533B92">
        <w:rPr>
          <w:rFonts w:ascii="Times New Roman" w:hAnsi="Times New Roman" w:cs="Times New Roman"/>
        </w:rPr>
        <w:t xml:space="preserve">. </w:t>
      </w:r>
      <w:r w:rsidR="00CD5C9B">
        <w:rPr>
          <w:rFonts w:ascii="Times New Roman" w:hAnsi="Times New Roman" w:cs="Times New Roman"/>
        </w:rPr>
        <w:t>F</w:t>
      </w:r>
      <w:r w:rsidR="00DB1A9D">
        <w:rPr>
          <w:rFonts w:ascii="Times New Roman" w:hAnsi="Times New Roman" w:cs="Times New Roman"/>
        </w:rPr>
        <w:t xml:space="preserve">ive research questions </w:t>
      </w:r>
      <w:r w:rsidR="00CD5C9B">
        <w:rPr>
          <w:rFonts w:ascii="Times New Roman" w:hAnsi="Times New Roman" w:cs="Times New Roman"/>
        </w:rPr>
        <w:t>we</w:t>
      </w:r>
      <w:r w:rsidR="00DB1A9D">
        <w:rPr>
          <w:rFonts w:ascii="Times New Roman" w:hAnsi="Times New Roman" w:cs="Times New Roman"/>
        </w:rPr>
        <w:t>re addressed</w:t>
      </w:r>
      <w:r w:rsidR="0055251B">
        <w:rPr>
          <w:rFonts w:ascii="Times New Roman" w:hAnsi="Times New Roman" w:cs="Times New Roman"/>
        </w:rPr>
        <w:t>:</w:t>
      </w:r>
    </w:p>
    <w:p w14:paraId="03EBF9CB" w14:textId="77777777" w:rsidR="00840E68" w:rsidRPr="0088063E" w:rsidRDefault="00840E68" w:rsidP="00840E68">
      <w:pPr>
        <w:jc w:val="both"/>
        <w:rPr>
          <w:rFonts w:ascii="Times New Roman" w:hAnsi="Times New Roman" w:cs="Times New Roman"/>
        </w:rPr>
      </w:pPr>
    </w:p>
    <w:p w14:paraId="7127AF61" w14:textId="5659D1F2" w:rsidR="00840E68" w:rsidRPr="00840E68" w:rsidRDefault="004C3A5D" w:rsidP="00840E68">
      <w:pPr>
        <w:pStyle w:val="ListParagraph"/>
        <w:numPr>
          <w:ilvl w:val="0"/>
          <w:numId w:val="1"/>
        </w:numPr>
        <w:jc w:val="both"/>
        <w:rPr>
          <w:rFonts w:ascii="Times New Roman" w:hAnsi="Times New Roman" w:cs="Times New Roman"/>
        </w:rPr>
      </w:pPr>
      <w:r>
        <w:rPr>
          <w:rFonts w:ascii="Times New Roman" w:hAnsi="Times New Roman" w:cs="Times New Roman"/>
        </w:rPr>
        <w:t xml:space="preserve">At the </w:t>
      </w:r>
      <w:r w:rsidRPr="004C3A5D">
        <w:rPr>
          <w:rFonts w:ascii="Times New Roman" w:hAnsi="Times New Roman" w:cs="Times New Roman"/>
          <w:i/>
          <w:iCs/>
        </w:rPr>
        <w:t>between-groups</w:t>
      </w:r>
      <w:r>
        <w:rPr>
          <w:rFonts w:ascii="Times New Roman" w:hAnsi="Times New Roman" w:cs="Times New Roman"/>
        </w:rPr>
        <w:t xml:space="preserve"> level, are there</w:t>
      </w:r>
      <w:r w:rsidR="004452AF" w:rsidRPr="004C3A5D">
        <w:rPr>
          <w:rFonts w:ascii="Times New Roman" w:hAnsi="Times New Roman" w:cs="Times New Roman"/>
        </w:rPr>
        <w:t xml:space="preserve"> differences between Spanish HSs and Spanish-dominant bilingual adults</w:t>
      </w:r>
      <w:r>
        <w:rPr>
          <w:rFonts w:ascii="Times New Roman" w:hAnsi="Times New Roman" w:cs="Times New Roman"/>
        </w:rPr>
        <w:t xml:space="preserve"> regarding </w:t>
      </w:r>
      <w:r w:rsidR="00813B24">
        <w:rPr>
          <w:rFonts w:ascii="Times New Roman" w:hAnsi="Times New Roman" w:cs="Times New Roman"/>
        </w:rPr>
        <w:t>productive and receptive knowledge of</w:t>
      </w:r>
      <w:r>
        <w:rPr>
          <w:rFonts w:ascii="Times New Roman" w:hAnsi="Times New Roman" w:cs="Times New Roman"/>
        </w:rPr>
        <w:t xml:space="preserve"> subjunctive and DOM?</w:t>
      </w:r>
    </w:p>
    <w:p w14:paraId="274C1D4E" w14:textId="5BF06A76" w:rsidR="00351238" w:rsidRDefault="00351238" w:rsidP="005A59A5">
      <w:pPr>
        <w:jc w:val="both"/>
        <w:rPr>
          <w:rFonts w:ascii="Times New Roman" w:hAnsi="Times New Roman" w:cs="Times New Roman"/>
        </w:rPr>
      </w:pPr>
      <w:r>
        <w:rPr>
          <w:rFonts w:ascii="Times New Roman" w:hAnsi="Times New Roman" w:cs="Times New Roman"/>
        </w:rPr>
        <w:t xml:space="preserve">In line with extensive previous research, it </w:t>
      </w:r>
      <w:r w:rsidR="004E1205">
        <w:rPr>
          <w:rFonts w:ascii="Times New Roman" w:hAnsi="Times New Roman" w:cs="Times New Roman"/>
        </w:rPr>
        <w:t>was</w:t>
      </w:r>
      <w:r>
        <w:rPr>
          <w:rFonts w:ascii="Times New Roman" w:hAnsi="Times New Roman" w:cs="Times New Roman"/>
        </w:rPr>
        <w:t xml:space="preserve"> </w:t>
      </w:r>
      <w:r w:rsidR="004E1205">
        <w:rPr>
          <w:rFonts w:ascii="Times New Roman" w:hAnsi="Times New Roman" w:cs="Times New Roman"/>
        </w:rPr>
        <w:t>anticipated</w:t>
      </w:r>
      <w:r>
        <w:rPr>
          <w:rFonts w:ascii="Times New Roman" w:hAnsi="Times New Roman" w:cs="Times New Roman"/>
        </w:rPr>
        <w:t xml:space="preserve"> that HSs will show greater heterogeneity in </w:t>
      </w:r>
      <w:r w:rsidR="004E1205">
        <w:rPr>
          <w:rFonts w:ascii="Times New Roman" w:hAnsi="Times New Roman" w:cs="Times New Roman"/>
        </w:rPr>
        <w:t>production and selection rates of both structures</w:t>
      </w:r>
      <w:r>
        <w:rPr>
          <w:rFonts w:ascii="Times New Roman" w:hAnsi="Times New Roman" w:cs="Times New Roman"/>
        </w:rPr>
        <w:t xml:space="preserve"> than </w:t>
      </w:r>
      <w:r w:rsidR="0086031E">
        <w:rPr>
          <w:rFonts w:ascii="Times New Roman" w:hAnsi="Times New Roman" w:cs="Times New Roman"/>
        </w:rPr>
        <w:t>Spanish-dominant bilingual adults</w:t>
      </w:r>
      <w:r>
        <w:rPr>
          <w:rFonts w:ascii="Times New Roman" w:hAnsi="Times New Roman" w:cs="Times New Roman"/>
        </w:rPr>
        <w:t>, who will produce and select both structures at ceiling.</w:t>
      </w:r>
    </w:p>
    <w:p w14:paraId="3DE2125C" w14:textId="77777777" w:rsidR="00840E68" w:rsidRPr="00351238" w:rsidRDefault="00840E68" w:rsidP="005A59A5">
      <w:pPr>
        <w:jc w:val="both"/>
        <w:rPr>
          <w:rFonts w:ascii="Times New Roman" w:hAnsi="Times New Roman" w:cs="Times New Roman"/>
        </w:rPr>
      </w:pPr>
    </w:p>
    <w:p w14:paraId="5519257E" w14:textId="0F6A7597" w:rsidR="00840E68" w:rsidRPr="00840E68" w:rsidRDefault="004C3A5D" w:rsidP="00840E68">
      <w:pPr>
        <w:pStyle w:val="ListParagraph"/>
        <w:numPr>
          <w:ilvl w:val="0"/>
          <w:numId w:val="1"/>
        </w:numPr>
        <w:jc w:val="both"/>
        <w:rPr>
          <w:rFonts w:ascii="Times New Roman" w:hAnsi="Times New Roman" w:cs="Times New Roman"/>
        </w:rPr>
      </w:pPr>
      <w:r>
        <w:rPr>
          <w:rFonts w:ascii="Times New Roman" w:hAnsi="Times New Roman" w:cs="Times New Roman"/>
        </w:rPr>
        <w:t xml:space="preserve">At the </w:t>
      </w:r>
      <w:r w:rsidRPr="004C3A5D">
        <w:rPr>
          <w:rFonts w:ascii="Times New Roman" w:hAnsi="Times New Roman" w:cs="Times New Roman"/>
          <w:i/>
          <w:iCs/>
        </w:rPr>
        <w:t>individual</w:t>
      </w:r>
      <w:r>
        <w:rPr>
          <w:rFonts w:ascii="Times New Roman" w:hAnsi="Times New Roman" w:cs="Times New Roman"/>
        </w:rPr>
        <w:t xml:space="preserve"> level, does age facilitate the</w:t>
      </w:r>
      <w:r w:rsidR="006D0D3D">
        <w:rPr>
          <w:rFonts w:ascii="Times New Roman" w:hAnsi="Times New Roman" w:cs="Times New Roman"/>
        </w:rPr>
        <w:t xml:space="preserve"> HL</w:t>
      </w:r>
      <w:r>
        <w:rPr>
          <w:rFonts w:ascii="Times New Roman" w:hAnsi="Times New Roman" w:cs="Times New Roman"/>
        </w:rPr>
        <w:t xml:space="preserve"> acquisition of subjunctive and DOM in </w:t>
      </w:r>
      <w:r w:rsidR="0053189F">
        <w:rPr>
          <w:rFonts w:ascii="Times New Roman" w:hAnsi="Times New Roman" w:cs="Times New Roman"/>
        </w:rPr>
        <w:t>late childhood</w:t>
      </w:r>
      <w:r>
        <w:rPr>
          <w:rFonts w:ascii="Times New Roman" w:hAnsi="Times New Roman" w:cs="Times New Roman"/>
        </w:rPr>
        <w:t xml:space="preserve"> through adulthood?</w:t>
      </w:r>
    </w:p>
    <w:p w14:paraId="177A87BD" w14:textId="3966AE24" w:rsidR="00840E68" w:rsidRDefault="00A95F1A" w:rsidP="005A59A5">
      <w:pPr>
        <w:jc w:val="both"/>
        <w:rPr>
          <w:rFonts w:ascii="Times New Roman" w:hAnsi="Times New Roman" w:cs="Times New Roman"/>
        </w:rPr>
      </w:pPr>
      <w:r>
        <w:rPr>
          <w:rFonts w:ascii="Times New Roman" w:hAnsi="Times New Roman" w:cs="Times New Roman"/>
        </w:rPr>
        <w:t>Previous research has documented the protracted development of morphosyntax in multiple HLs</w:t>
      </w:r>
      <w:r w:rsidR="00B63A35">
        <w:rPr>
          <w:rFonts w:ascii="Times New Roman" w:hAnsi="Times New Roman" w:cs="Times New Roman"/>
        </w:rPr>
        <w:t xml:space="preserve"> (</w:t>
      </w:r>
      <w:r w:rsidR="00E666F6">
        <w:rPr>
          <w:rFonts w:ascii="Times New Roman" w:hAnsi="Times New Roman" w:cs="Times New Roman"/>
        </w:rPr>
        <w:t xml:space="preserve">e.g., Cuza &amp; Miller 2015; </w:t>
      </w:r>
      <w:r w:rsidR="00E663A0" w:rsidRPr="00E663A0">
        <w:rPr>
          <w:rFonts w:ascii="Times New Roman" w:hAnsi="Times New Roman" w:cs="Times New Roman"/>
        </w:rPr>
        <w:t>Daskalaki et al. 2023; Flores et al. 2017</w:t>
      </w:r>
      <w:r w:rsidR="00B63A35">
        <w:rPr>
          <w:rFonts w:ascii="Times New Roman" w:hAnsi="Times New Roman" w:cs="Times New Roman"/>
        </w:rPr>
        <w:t>)</w:t>
      </w:r>
      <w:r>
        <w:rPr>
          <w:rFonts w:ascii="Times New Roman" w:hAnsi="Times New Roman" w:cs="Times New Roman"/>
        </w:rPr>
        <w:t>. Therefore, it</w:t>
      </w:r>
      <w:r w:rsidR="00465EF1">
        <w:rPr>
          <w:rFonts w:ascii="Times New Roman" w:hAnsi="Times New Roman" w:cs="Times New Roman"/>
        </w:rPr>
        <w:t xml:space="preserve"> was hypothesized that older HSs (adults) would produce and select more subjunctive and DOM than adolescent peers, who would do so more than pre-adolescent peers</w:t>
      </w:r>
      <w:r w:rsidR="00131D99">
        <w:rPr>
          <w:rFonts w:ascii="Times New Roman" w:hAnsi="Times New Roman" w:cs="Times New Roman"/>
        </w:rPr>
        <w:t>.</w:t>
      </w:r>
    </w:p>
    <w:p w14:paraId="1736B0B7" w14:textId="77777777" w:rsidR="00840E68" w:rsidRPr="00131D99" w:rsidRDefault="00840E68" w:rsidP="005A59A5">
      <w:pPr>
        <w:jc w:val="both"/>
        <w:rPr>
          <w:rFonts w:ascii="Times New Roman" w:hAnsi="Times New Roman" w:cs="Times New Roman"/>
        </w:rPr>
      </w:pPr>
    </w:p>
    <w:p w14:paraId="23DB7F49" w14:textId="77777777" w:rsidR="004C3A5D" w:rsidRDefault="004C3A5D" w:rsidP="005A59A5">
      <w:pPr>
        <w:pStyle w:val="ListParagraph"/>
        <w:numPr>
          <w:ilvl w:val="0"/>
          <w:numId w:val="1"/>
        </w:numPr>
        <w:jc w:val="both"/>
        <w:rPr>
          <w:rFonts w:ascii="Times New Roman" w:hAnsi="Times New Roman" w:cs="Times New Roman"/>
        </w:rPr>
      </w:pPr>
      <w:r>
        <w:rPr>
          <w:rFonts w:ascii="Times New Roman" w:hAnsi="Times New Roman" w:cs="Times New Roman"/>
        </w:rPr>
        <w:t xml:space="preserve">At the </w:t>
      </w:r>
      <w:r>
        <w:rPr>
          <w:rFonts w:ascii="Times New Roman" w:hAnsi="Times New Roman" w:cs="Times New Roman"/>
          <w:i/>
          <w:iCs/>
        </w:rPr>
        <w:t>individual</w:t>
      </w:r>
      <w:r w:rsidRPr="004C3A5D">
        <w:rPr>
          <w:rFonts w:ascii="Times New Roman" w:hAnsi="Times New Roman" w:cs="Times New Roman"/>
        </w:rPr>
        <w:t xml:space="preserve"> </w:t>
      </w:r>
      <w:r>
        <w:rPr>
          <w:rFonts w:ascii="Times New Roman" w:hAnsi="Times New Roman" w:cs="Times New Roman"/>
        </w:rPr>
        <w:t xml:space="preserve">level, do </w:t>
      </w:r>
      <w:r w:rsidR="00323A3C" w:rsidRPr="004C3A5D">
        <w:rPr>
          <w:rFonts w:ascii="Times New Roman" w:hAnsi="Times New Roman" w:cs="Times New Roman"/>
        </w:rPr>
        <w:t xml:space="preserve">bilingual education and </w:t>
      </w:r>
      <w:r>
        <w:rPr>
          <w:rFonts w:ascii="Times New Roman" w:hAnsi="Times New Roman" w:cs="Times New Roman"/>
        </w:rPr>
        <w:t xml:space="preserve">frequency of </w:t>
      </w:r>
      <w:r w:rsidR="00323A3C" w:rsidRPr="004C3A5D">
        <w:rPr>
          <w:rFonts w:ascii="Times New Roman" w:hAnsi="Times New Roman" w:cs="Times New Roman"/>
        </w:rPr>
        <w:t>HL use</w:t>
      </w:r>
      <w:r>
        <w:rPr>
          <w:rFonts w:ascii="Times New Roman" w:hAnsi="Times New Roman" w:cs="Times New Roman"/>
        </w:rPr>
        <w:t xml:space="preserve"> influence the production and selection of subjunctive and DOM?</w:t>
      </w:r>
    </w:p>
    <w:p w14:paraId="586C68E6" w14:textId="00B9E070" w:rsidR="007E4599" w:rsidRDefault="001E5D6C" w:rsidP="005A59A5">
      <w:pPr>
        <w:jc w:val="both"/>
        <w:rPr>
          <w:rFonts w:ascii="Times New Roman" w:hAnsi="Times New Roman" w:cs="Times New Roman"/>
        </w:rPr>
      </w:pPr>
      <w:r>
        <w:rPr>
          <w:rFonts w:ascii="Times New Roman" w:hAnsi="Times New Roman" w:cs="Times New Roman"/>
        </w:rPr>
        <w:t>In line with Putnam and Sánchez (2013), it</w:t>
      </w:r>
      <w:r w:rsidR="007E4599">
        <w:rPr>
          <w:rFonts w:ascii="Times New Roman" w:hAnsi="Times New Roman" w:cs="Times New Roman"/>
        </w:rPr>
        <w:t xml:space="preserve"> was predicted that both bilingual education and patterns of use of Spanish across contexts would favor HSs’ production and selection of both the </w:t>
      </w:r>
      <w:r w:rsidR="007E4599">
        <w:rPr>
          <w:rFonts w:ascii="Times New Roman" w:hAnsi="Times New Roman" w:cs="Times New Roman"/>
        </w:rPr>
        <w:lastRenderedPageBreak/>
        <w:t>subjunctive and DOM.</w:t>
      </w:r>
      <w:r w:rsidR="000656A8">
        <w:rPr>
          <w:rFonts w:ascii="Times New Roman" w:hAnsi="Times New Roman" w:cs="Times New Roman"/>
        </w:rPr>
        <w:t xml:space="preserve"> Following Torregrossa et al. (2023), it was anticipated that </w:t>
      </w:r>
      <w:r w:rsidR="00CC19C7">
        <w:rPr>
          <w:rFonts w:ascii="Times New Roman" w:hAnsi="Times New Roman" w:cs="Times New Roman"/>
        </w:rPr>
        <w:t>HSs with bilingual</w:t>
      </w:r>
      <w:r w:rsidR="000656A8">
        <w:rPr>
          <w:rFonts w:ascii="Times New Roman" w:hAnsi="Times New Roman" w:cs="Times New Roman"/>
        </w:rPr>
        <w:t xml:space="preserve"> education </w:t>
      </w:r>
      <w:r w:rsidR="00CC19C7">
        <w:rPr>
          <w:rFonts w:ascii="Times New Roman" w:hAnsi="Times New Roman" w:cs="Times New Roman"/>
        </w:rPr>
        <w:t>have an</w:t>
      </w:r>
      <w:r w:rsidR="00621448">
        <w:rPr>
          <w:rFonts w:ascii="Times New Roman" w:hAnsi="Times New Roman" w:cs="Times New Roman"/>
        </w:rPr>
        <w:t xml:space="preserve"> </w:t>
      </w:r>
      <w:r w:rsidR="000656A8">
        <w:rPr>
          <w:rFonts w:ascii="Times New Roman" w:hAnsi="Times New Roman" w:cs="Times New Roman"/>
        </w:rPr>
        <w:t>advantage in the production and selection of both structures.</w:t>
      </w:r>
    </w:p>
    <w:p w14:paraId="568FA390" w14:textId="77777777" w:rsidR="00840E68" w:rsidRPr="007E4599" w:rsidRDefault="00840E68" w:rsidP="005A59A5">
      <w:pPr>
        <w:jc w:val="both"/>
        <w:rPr>
          <w:rFonts w:ascii="Times New Roman" w:hAnsi="Times New Roman" w:cs="Times New Roman"/>
        </w:rPr>
      </w:pPr>
    </w:p>
    <w:p w14:paraId="70AF5953" w14:textId="2E2426A3" w:rsidR="004C3A5D" w:rsidRDefault="004C3A5D" w:rsidP="005A59A5">
      <w:pPr>
        <w:pStyle w:val="ListParagraph"/>
        <w:numPr>
          <w:ilvl w:val="0"/>
          <w:numId w:val="1"/>
        </w:numPr>
        <w:jc w:val="both"/>
        <w:rPr>
          <w:rFonts w:ascii="Times New Roman" w:hAnsi="Times New Roman" w:cs="Times New Roman"/>
        </w:rPr>
      </w:pPr>
      <w:r>
        <w:rPr>
          <w:rFonts w:ascii="Times New Roman" w:hAnsi="Times New Roman" w:cs="Times New Roman"/>
        </w:rPr>
        <w:t xml:space="preserve">At the </w:t>
      </w:r>
      <w:r>
        <w:rPr>
          <w:rFonts w:ascii="Times New Roman" w:hAnsi="Times New Roman" w:cs="Times New Roman"/>
          <w:i/>
          <w:iCs/>
        </w:rPr>
        <w:t>within-speakers</w:t>
      </w:r>
      <w:r>
        <w:rPr>
          <w:rFonts w:ascii="Times New Roman" w:hAnsi="Times New Roman" w:cs="Times New Roman"/>
        </w:rPr>
        <w:t xml:space="preserve"> level, are there d</w:t>
      </w:r>
      <w:r w:rsidR="004452AF" w:rsidRPr="004C3A5D">
        <w:rPr>
          <w:rFonts w:ascii="Times New Roman" w:hAnsi="Times New Roman" w:cs="Times New Roman"/>
        </w:rPr>
        <w:t xml:space="preserve">ifferences between </w:t>
      </w:r>
      <w:r>
        <w:rPr>
          <w:rFonts w:ascii="Times New Roman" w:hAnsi="Times New Roman" w:cs="Times New Roman"/>
        </w:rPr>
        <w:t xml:space="preserve">HSs’ </w:t>
      </w:r>
      <w:r w:rsidR="004452AF" w:rsidRPr="004C3A5D">
        <w:rPr>
          <w:rFonts w:ascii="Times New Roman" w:hAnsi="Times New Roman" w:cs="Times New Roman"/>
        </w:rPr>
        <w:t xml:space="preserve">productive and receptive knowledge </w:t>
      </w:r>
      <w:r>
        <w:rPr>
          <w:rFonts w:ascii="Times New Roman" w:hAnsi="Times New Roman" w:cs="Times New Roman"/>
        </w:rPr>
        <w:t>of subjunctive and DO</w:t>
      </w:r>
      <w:r w:rsidR="00296D90">
        <w:rPr>
          <w:rFonts w:ascii="Times New Roman" w:hAnsi="Times New Roman" w:cs="Times New Roman"/>
        </w:rPr>
        <w:t>M</w:t>
      </w:r>
      <w:r>
        <w:rPr>
          <w:rFonts w:ascii="Times New Roman" w:hAnsi="Times New Roman" w:cs="Times New Roman"/>
        </w:rPr>
        <w:t>?</w:t>
      </w:r>
    </w:p>
    <w:p w14:paraId="5157FD54" w14:textId="379E5755" w:rsidR="00840E68" w:rsidRDefault="007F1154" w:rsidP="005A59A5">
      <w:pPr>
        <w:jc w:val="both"/>
        <w:rPr>
          <w:rFonts w:ascii="Times New Roman" w:hAnsi="Times New Roman" w:cs="Times New Roman"/>
        </w:rPr>
      </w:pPr>
      <w:r>
        <w:rPr>
          <w:rFonts w:ascii="Times New Roman" w:hAnsi="Times New Roman" w:cs="Times New Roman"/>
        </w:rPr>
        <w:t>Following</w:t>
      </w:r>
      <w:r w:rsidR="00DB3524">
        <w:rPr>
          <w:rFonts w:ascii="Times New Roman" w:hAnsi="Times New Roman" w:cs="Times New Roman"/>
        </w:rPr>
        <w:t xml:space="preserve"> Putnam and Sánchez’s (2013) predictions, </w:t>
      </w:r>
      <w:r w:rsidR="00190698">
        <w:rPr>
          <w:rFonts w:ascii="Times New Roman" w:hAnsi="Times New Roman" w:cs="Times New Roman"/>
        </w:rPr>
        <w:t xml:space="preserve">it was </w:t>
      </w:r>
      <w:r>
        <w:rPr>
          <w:rFonts w:ascii="Times New Roman" w:hAnsi="Times New Roman" w:cs="Times New Roman"/>
        </w:rPr>
        <w:t>anticipated</w:t>
      </w:r>
      <w:r w:rsidR="00190698">
        <w:rPr>
          <w:rFonts w:ascii="Times New Roman" w:hAnsi="Times New Roman" w:cs="Times New Roman"/>
        </w:rPr>
        <w:t xml:space="preserve"> that HSs would select both structures more frequently on a receptive task than they would produce them, arguing for a dissociation between syntactic representation and morphology.</w:t>
      </w:r>
    </w:p>
    <w:p w14:paraId="3998B947" w14:textId="77777777" w:rsidR="00840E68" w:rsidRPr="00DB3524" w:rsidRDefault="00840E68" w:rsidP="005A59A5">
      <w:pPr>
        <w:jc w:val="both"/>
        <w:rPr>
          <w:rFonts w:ascii="Times New Roman" w:hAnsi="Times New Roman" w:cs="Times New Roman"/>
        </w:rPr>
      </w:pPr>
    </w:p>
    <w:p w14:paraId="27F649D8" w14:textId="4CB874A5" w:rsidR="004C3A5D" w:rsidRDefault="004C3A5D" w:rsidP="005A59A5">
      <w:pPr>
        <w:pStyle w:val="ListParagraph"/>
        <w:numPr>
          <w:ilvl w:val="0"/>
          <w:numId w:val="1"/>
        </w:numPr>
        <w:jc w:val="both"/>
        <w:rPr>
          <w:rFonts w:ascii="Times New Roman" w:hAnsi="Times New Roman" w:cs="Times New Roman"/>
        </w:rPr>
      </w:pPr>
      <w:r>
        <w:rPr>
          <w:rFonts w:ascii="Times New Roman" w:hAnsi="Times New Roman" w:cs="Times New Roman"/>
        </w:rPr>
        <w:t xml:space="preserve">At the </w:t>
      </w:r>
      <w:r>
        <w:rPr>
          <w:rFonts w:ascii="Times New Roman" w:hAnsi="Times New Roman" w:cs="Times New Roman"/>
          <w:i/>
          <w:iCs/>
        </w:rPr>
        <w:t>within-speakers</w:t>
      </w:r>
      <w:r>
        <w:rPr>
          <w:rFonts w:ascii="Times New Roman" w:hAnsi="Times New Roman" w:cs="Times New Roman"/>
        </w:rPr>
        <w:t xml:space="preserve"> level,</w:t>
      </w:r>
      <w:r w:rsidR="000E0480" w:rsidRPr="004C3A5D">
        <w:rPr>
          <w:rFonts w:ascii="Times New Roman" w:hAnsi="Times New Roman" w:cs="Times New Roman"/>
        </w:rPr>
        <w:t xml:space="preserve"> </w:t>
      </w:r>
      <w:r>
        <w:rPr>
          <w:rFonts w:ascii="Times New Roman" w:hAnsi="Times New Roman" w:cs="Times New Roman"/>
        </w:rPr>
        <w:t xml:space="preserve">does education impact HSs’ </w:t>
      </w:r>
      <w:r w:rsidR="007F1154">
        <w:rPr>
          <w:rFonts w:ascii="Times New Roman" w:hAnsi="Times New Roman" w:cs="Times New Roman"/>
        </w:rPr>
        <w:t>command</w:t>
      </w:r>
      <w:r>
        <w:rPr>
          <w:rFonts w:ascii="Times New Roman" w:hAnsi="Times New Roman" w:cs="Times New Roman"/>
        </w:rPr>
        <w:t xml:space="preserve"> of core syntactic and interface structures equally?</w:t>
      </w:r>
    </w:p>
    <w:p w14:paraId="6A407DDA" w14:textId="1AE80E82" w:rsidR="00804737" w:rsidRDefault="00804737" w:rsidP="005A59A5">
      <w:pPr>
        <w:jc w:val="both"/>
        <w:rPr>
          <w:rFonts w:ascii="Times New Roman" w:hAnsi="Times New Roman" w:cs="Times New Roman"/>
        </w:rPr>
      </w:pPr>
      <w:r>
        <w:rPr>
          <w:rFonts w:ascii="Times New Roman" w:hAnsi="Times New Roman" w:cs="Times New Roman"/>
        </w:rPr>
        <w:t xml:space="preserve">In line with Torregrossa et al. (2023) and Rinke et al. (2022), it was predicted that </w:t>
      </w:r>
      <w:r w:rsidR="00B4612F">
        <w:rPr>
          <w:rFonts w:ascii="Times New Roman" w:hAnsi="Times New Roman" w:cs="Times New Roman"/>
        </w:rPr>
        <w:t xml:space="preserve">the effect of bilingual education would be more noticeable for </w:t>
      </w:r>
      <w:r>
        <w:rPr>
          <w:rFonts w:ascii="Times New Roman" w:hAnsi="Times New Roman" w:cs="Times New Roman"/>
        </w:rPr>
        <w:t>DOM</w:t>
      </w:r>
      <w:r w:rsidR="00B4612F">
        <w:rPr>
          <w:rFonts w:ascii="Times New Roman" w:hAnsi="Times New Roman" w:cs="Times New Roman"/>
        </w:rPr>
        <w:t>, an interface structure, than the volitional subjunctive, a core syntactic structure</w:t>
      </w:r>
      <w:r w:rsidR="0051615F">
        <w:rPr>
          <w:rFonts w:ascii="Times New Roman" w:hAnsi="Times New Roman" w:cs="Times New Roman"/>
        </w:rPr>
        <w:t>, as measured using productive and receptive tasks</w:t>
      </w:r>
      <w:r>
        <w:rPr>
          <w:rFonts w:ascii="Times New Roman" w:hAnsi="Times New Roman" w:cs="Times New Roman"/>
        </w:rPr>
        <w:t>.</w:t>
      </w:r>
    </w:p>
    <w:p w14:paraId="34C4BD7A" w14:textId="77777777" w:rsidR="00840E68" w:rsidRPr="00804737" w:rsidRDefault="00840E68" w:rsidP="005A59A5">
      <w:pPr>
        <w:jc w:val="both"/>
        <w:rPr>
          <w:rFonts w:ascii="Times New Roman" w:hAnsi="Times New Roman" w:cs="Times New Roman"/>
        </w:rPr>
      </w:pPr>
    </w:p>
    <w:p w14:paraId="2D22E667" w14:textId="0F586BF4" w:rsidR="00DD5D37" w:rsidRPr="00840E68" w:rsidRDefault="00840E68" w:rsidP="005A59A5">
      <w:pPr>
        <w:jc w:val="both"/>
        <w:rPr>
          <w:rFonts w:ascii="Times New Roman" w:hAnsi="Times New Roman" w:cs="Times New Roman"/>
          <w:i/>
          <w:iCs/>
        </w:rPr>
      </w:pPr>
      <w:r w:rsidRPr="00840E68">
        <w:rPr>
          <w:rFonts w:ascii="Times New Roman" w:hAnsi="Times New Roman" w:cs="Times New Roman"/>
          <w:i/>
          <w:iCs/>
        </w:rPr>
        <w:t xml:space="preserve">3.1 </w:t>
      </w:r>
      <w:r w:rsidR="00DD5D37" w:rsidRPr="00840E68">
        <w:rPr>
          <w:rFonts w:ascii="Times New Roman" w:hAnsi="Times New Roman" w:cs="Times New Roman"/>
          <w:i/>
          <w:iCs/>
        </w:rPr>
        <w:t>Participants</w:t>
      </w:r>
    </w:p>
    <w:p w14:paraId="44B7BDD8" w14:textId="77777777" w:rsidR="00840E68" w:rsidRPr="00840E68" w:rsidRDefault="00840E68" w:rsidP="005A59A5">
      <w:pPr>
        <w:jc w:val="both"/>
        <w:rPr>
          <w:rFonts w:ascii="Times New Roman" w:hAnsi="Times New Roman" w:cs="Times New Roman"/>
        </w:rPr>
      </w:pPr>
    </w:p>
    <w:p w14:paraId="71FD178E" w14:textId="6F3F9112" w:rsidR="007E0AC1" w:rsidRDefault="00CE4023" w:rsidP="005A59A5">
      <w:pPr>
        <w:ind w:firstLine="720"/>
        <w:jc w:val="both"/>
        <w:rPr>
          <w:rFonts w:ascii="Times New Roman" w:hAnsi="Times New Roman" w:cs="Times New Roman"/>
        </w:rPr>
      </w:pPr>
      <w:r>
        <w:rPr>
          <w:rFonts w:ascii="Times New Roman" w:hAnsi="Times New Roman" w:cs="Times New Roman"/>
        </w:rPr>
        <w:t>The data presented source from a project evaluating the production and receptive knowledge of 128 Spanish-English bilinguals: 18 Spanish-dominant bilingual adults (SDBA), 34 HS adults (HSA)</w:t>
      </w:r>
      <w:r w:rsidR="008B3F5F">
        <w:rPr>
          <w:rFonts w:ascii="Times New Roman" w:hAnsi="Times New Roman" w:cs="Times New Roman"/>
        </w:rPr>
        <w:t xml:space="preserve">, </w:t>
      </w:r>
      <w:r w:rsidR="00392C42">
        <w:rPr>
          <w:rFonts w:ascii="Times New Roman" w:hAnsi="Times New Roman" w:cs="Times New Roman"/>
        </w:rPr>
        <w:t>34 child HSs in seventh and eighth grade</w:t>
      </w:r>
      <w:r w:rsidR="000E0839">
        <w:rPr>
          <w:rFonts w:ascii="Times New Roman" w:hAnsi="Times New Roman" w:cs="Times New Roman"/>
        </w:rPr>
        <w:t xml:space="preserve"> (</w:t>
      </w:r>
      <w:r w:rsidR="00392C42">
        <w:rPr>
          <w:rFonts w:ascii="Times New Roman" w:hAnsi="Times New Roman" w:cs="Times New Roman"/>
        </w:rPr>
        <w:t>ages 12-14</w:t>
      </w:r>
      <w:r w:rsidR="000E0839">
        <w:rPr>
          <w:rFonts w:ascii="Times New Roman" w:hAnsi="Times New Roman" w:cs="Times New Roman"/>
        </w:rPr>
        <w:t xml:space="preserve">; </w:t>
      </w:r>
      <w:r w:rsidR="00392C42">
        <w:rPr>
          <w:rFonts w:ascii="Times New Roman" w:hAnsi="Times New Roman" w:cs="Times New Roman"/>
        </w:rPr>
        <w:t>HS7/8), and 41 child HSs in fifth grade</w:t>
      </w:r>
      <w:r w:rsidR="000E0839">
        <w:rPr>
          <w:rFonts w:ascii="Times New Roman" w:hAnsi="Times New Roman" w:cs="Times New Roman"/>
        </w:rPr>
        <w:t xml:space="preserve"> (</w:t>
      </w:r>
      <w:r w:rsidR="00392C42">
        <w:rPr>
          <w:rFonts w:ascii="Times New Roman" w:hAnsi="Times New Roman" w:cs="Times New Roman"/>
        </w:rPr>
        <w:t>ages 10-11</w:t>
      </w:r>
      <w:r w:rsidR="000E0839">
        <w:rPr>
          <w:rFonts w:ascii="Times New Roman" w:hAnsi="Times New Roman" w:cs="Times New Roman"/>
        </w:rPr>
        <w:t xml:space="preserve">; </w:t>
      </w:r>
      <w:r w:rsidR="00392C42">
        <w:rPr>
          <w:rFonts w:ascii="Times New Roman" w:hAnsi="Times New Roman" w:cs="Times New Roman"/>
        </w:rPr>
        <w:t>HS5).</w:t>
      </w:r>
      <w:r w:rsidR="00D21AF2">
        <w:rPr>
          <w:rFonts w:ascii="Times New Roman" w:hAnsi="Times New Roman" w:cs="Times New Roman"/>
        </w:rPr>
        <w:t xml:space="preserve"> The SDBA group was comprised of adult participants </w:t>
      </w:r>
      <w:r w:rsidR="00F70732">
        <w:rPr>
          <w:rFonts w:ascii="Times New Roman" w:hAnsi="Times New Roman" w:cs="Times New Roman"/>
        </w:rPr>
        <w:t>who were raised and educated in</w:t>
      </w:r>
      <w:r w:rsidR="00D21AF2">
        <w:rPr>
          <w:rFonts w:ascii="Times New Roman" w:hAnsi="Times New Roman" w:cs="Times New Roman"/>
        </w:rPr>
        <w:t xml:space="preserve"> a total of 13 Spanish-speaking regions</w:t>
      </w:r>
      <w:r w:rsidR="00F70732">
        <w:rPr>
          <w:rFonts w:ascii="Times New Roman" w:hAnsi="Times New Roman" w:cs="Times New Roman"/>
        </w:rPr>
        <w:t xml:space="preserve"> but who were residing in the United States at the time of testing. These participants represent the bilingual input </w:t>
      </w:r>
      <w:r w:rsidR="00B32A76">
        <w:rPr>
          <w:rFonts w:ascii="Times New Roman" w:hAnsi="Times New Roman" w:cs="Times New Roman"/>
        </w:rPr>
        <w:t xml:space="preserve">to which the HSs, who studied and lived in the same communities as those as the SDBA, were exposed. </w:t>
      </w:r>
      <w:r w:rsidR="007E5342">
        <w:rPr>
          <w:rFonts w:ascii="Times New Roman" w:hAnsi="Times New Roman" w:cs="Times New Roman"/>
        </w:rPr>
        <w:t xml:space="preserve">Within the </w:t>
      </w:r>
      <w:r w:rsidR="007E3782">
        <w:rPr>
          <w:rFonts w:ascii="Times New Roman" w:hAnsi="Times New Roman" w:cs="Times New Roman"/>
        </w:rPr>
        <w:t xml:space="preserve">HSA group, there was also extensive dialectal diversity, but child participants were primarily speakers of Mexican </w:t>
      </w:r>
      <w:r w:rsidR="00564510">
        <w:rPr>
          <w:rFonts w:ascii="Times New Roman" w:hAnsi="Times New Roman" w:cs="Times New Roman"/>
        </w:rPr>
        <w:t>varieties</w:t>
      </w:r>
      <w:r w:rsidR="007E3782">
        <w:rPr>
          <w:rFonts w:ascii="Times New Roman" w:hAnsi="Times New Roman" w:cs="Times New Roman"/>
        </w:rPr>
        <w:t>.</w:t>
      </w:r>
      <w:r w:rsidR="00F96BD1">
        <w:rPr>
          <w:rFonts w:ascii="Times New Roman" w:hAnsi="Times New Roman" w:cs="Times New Roman"/>
        </w:rPr>
        <w:t xml:space="preserve"> A more principled account of speaker groups is provided in </w:t>
      </w:r>
      <w:r w:rsidR="008A2430">
        <w:rPr>
          <w:rFonts w:ascii="Times New Roman" w:hAnsi="Times New Roman" w:cs="Times New Roman"/>
        </w:rPr>
        <w:t>AUTHOR</w:t>
      </w:r>
      <w:r w:rsidR="00F96BD1">
        <w:rPr>
          <w:rFonts w:ascii="Times New Roman" w:hAnsi="Times New Roman" w:cs="Times New Roman"/>
        </w:rPr>
        <w:t>.</w:t>
      </w:r>
    </w:p>
    <w:p w14:paraId="2D38A8BF" w14:textId="529002C2" w:rsidR="007A6399" w:rsidRDefault="008C5BF0" w:rsidP="005A59A5">
      <w:pPr>
        <w:ind w:firstLine="720"/>
        <w:jc w:val="both"/>
        <w:rPr>
          <w:rFonts w:ascii="Times New Roman" w:hAnsi="Times New Roman" w:cs="Times New Roman"/>
        </w:rPr>
      </w:pPr>
      <w:r>
        <w:rPr>
          <w:rFonts w:ascii="Times New Roman" w:hAnsi="Times New Roman" w:cs="Times New Roman"/>
        </w:rPr>
        <w:t>57</w:t>
      </w:r>
      <w:r w:rsidR="00B82371">
        <w:rPr>
          <w:rFonts w:ascii="Times New Roman" w:hAnsi="Times New Roman" w:cs="Times New Roman"/>
        </w:rPr>
        <w:t xml:space="preserve"> of the </w:t>
      </w:r>
      <w:r>
        <w:rPr>
          <w:rFonts w:ascii="Times New Roman" w:hAnsi="Times New Roman" w:cs="Times New Roman"/>
        </w:rPr>
        <w:t>75</w:t>
      </w:r>
      <w:r w:rsidR="00E759C1">
        <w:rPr>
          <w:rFonts w:ascii="Times New Roman" w:hAnsi="Times New Roman" w:cs="Times New Roman"/>
        </w:rPr>
        <w:t xml:space="preserve"> child HS</w:t>
      </w:r>
      <w:r w:rsidR="00E01C1B">
        <w:rPr>
          <w:rFonts w:ascii="Times New Roman" w:hAnsi="Times New Roman" w:cs="Times New Roman"/>
        </w:rPr>
        <w:t>s</w:t>
      </w:r>
      <w:r w:rsidR="00E759C1">
        <w:rPr>
          <w:rFonts w:ascii="Times New Roman" w:hAnsi="Times New Roman" w:cs="Times New Roman"/>
        </w:rPr>
        <w:t xml:space="preserve"> w</w:t>
      </w:r>
      <w:r>
        <w:rPr>
          <w:rFonts w:ascii="Times New Roman" w:hAnsi="Times New Roman" w:cs="Times New Roman"/>
        </w:rPr>
        <w:t>ere</w:t>
      </w:r>
      <w:r w:rsidR="00E759C1">
        <w:rPr>
          <w:rFonts w:ascii="Times New Roman" w:hAnsi="Times New Roman" w:cs="Times New Roman"/>
        </w:rPr>
        <w:t xml:space="preserve"> also </w:t>
      </w:r>
      <w:r w:rsidR="00F96BD1">
        <w:rPr>
          <w:rFonts w:ascii="Times New Roman" w:hAnsi="Times New Roman" w:cs="Times New Roman"/>
        </w:rPr>
        <w:t>evaluated</w:t>
      </w:r>
      <w:r w:rsidR="00E759C1">
        <w:rPr>
          <w:rFonts w:ascii="Times New Roman" w:hAnsi="Times New Roman" w:cs="Times New Roman"/>
        </w:rPr>
        <w:t xml:space="preserve"> </w:t>
      </w:r>
      <w:r w:rsidR="00B7716F">
        <w:rPr>
          <w:rFonts w:ascii="Times New Roman" w:hAnsi="Times New Roman" w:cs="Times New Roman"/>
        </w:rPr>
        <w:t>depending on</w:t>
      </w:r>
      <w:r w:rsidR="00E759C1">
        <w:rPr>
          <w:rFonts w:ascii="Times New Roman" w:hAnsi="Times New Roman" w:cs="Times New Roman"/>
        </w:rPr>
        <w:t xml:space="preserve"> their attendance at either a monolingual school with instruction in English </w:t>
      </w:r>
      <w:r w:rsidR="00F97E1A">
        <w:rPr>
          <w:rFonts w:ascii="Times New Roman" w:hAnsi="Times New Roman" w:cs="Times New Roman"/>
        </w:rPr>
        <w:t xml:space="preserve">only </w:t>
      </w:r>
      <w:r w:rsidR="00E759C1">
        <w:rPr>
          <w:rFonts w:ascii="Times New Roman" w:hAnsi="Times New Roman" w:cs="Times New Roman"/>
        </w:rPr>
        <w:t>or a bilingual school with 50% of instruction in Spanish</w:t>
      </w:r>
      <w:r w:rsidR="00C877B6">
        <w:rPr>
          <w:rFonts w:ascii="Times New Roman" w:hAnsi="Times New Roman" w:cs="Times New Roman"/>
        </w:rPr>
        <w:t xml:space="preserve"> during the </w:t>
      </w:r>
      <w:r w:rsidR="00DD0BBA">
        <w:rPr>
          <w:rFonts w:ascii="Times New Roman" w:hAnsi="Times New Roman" w:cs="Times New Roman"/>
        </w:rPr>
        <w:t xml:space="preserve">first </w:t>
      </w:r>
      <w:r w:rsidR="00C877B6">
        <w:rPr>
          <w:rFonts w:ascii="Times New Roman" w:hAnsi="Times New Roman" w:cs="Times New Roman"/>
        </w:rPr>
        <w:t>six years</w:t>
      </w:r>
      <w:r w:rsidR="00DD0BBA">
        <w:rPr>
          <w:rFonts w:ascii="Times New Roman" w:hAnsi="Times New Roman" w:cs="Times New Roman"/>
        </w:rPr>
        <w:t xml:space="preserve"> (through fifth grade)</w:t>
      </w:r>
      <w:r w:rsidR="00532534">
        <w:rPr>
          <w:rFonts w:ascii="Times New Roman" w:hAnsi="Times New Roman" w:cs="Times New Roman"/>
        </w:rPr>
        <w:t xml:space="preserve">. </w:t>
      </w:r>
      <w:r w:rsidR="00386B81">
        <w:rPr>
          <w:rFonts w:ascii="Times New Roman" w:hAnsi="Times New Roman" w:cs="Times New Roman"/>
        </w:rPr>
        <w:t xml:space="preserve">The two schools were matched for the percentage of students receiving free and reduced-price lunch and of Spanish-speaking families, as detailed at length in </w:t>
      </w:r>
      <w:r w:rsidR="00316862">
        <w:rPr>
          <w:rFonts w:ascii="Times New Roman" w:hAnsi="Times New Roman" w:cs="Times New Roman"/>
        </w:rPr>
        <w:t>AUTHOR</w:t>
      </w:r>
      <w:r w:rsidR="00386B81">
        <w:rPr>
          <w:rFonts w:ascii="Times New Roman" w:hAnsi="Times New Roman" w:cs="Times New Roman"/>
        </w:rPr>
        <w:t xml:space="preserve">. </w:t>
      </w:r>
      <w:r w:rsidR="00B7716F">
        <w:rPr>
          <w:rFonts w:ascii="Times New Roman" w:hAnsi="Times New Roman" w:cs="Times New Roman"/>
        </w:rPr>
        <w:t xml:space="preserve">18 children were excluded from this analysis because they had joined the bilingual school within three years of the study, </w:t>
      </w:r>
      <w:r w:rsidR="00A25857">
        <w:rPr>
          <w:rFonts w:ascii="Times New Roman" w:hAnsi="Times New Roman" w:cs="Times New Roman"/>
        </w:rPr>
        <w:t>and as such would have received less than half of their education in the immersion setting</w:t>
      </w:r>
      <w:r w:rsidR="00B7716F">
        <w:rPr>
          <w:rFonts w:ascii="Times New Roman" w:hAnsi="Times New Roman" w:cs="Times New Roman"/>
        </w:rPr>
        <w:t>.</w:t>
      </w:r>
      <w:r w:rsidR="007A0D3F">
        <w:rPr>
          <w:rStyle w:val="FootnoteReference"/>
          <w:rFonts w:ascii="Times New Roman" w:hAnsi="Times New Roman" w:cs="Times New Roman"/>
        </w:rPr>
        <w:footnoteReference w:id="2"/>
      </w:r>
      <w:r w:rsidR="00B7716F">
        <w:rPr>
          <w:rFonts w:ascii="Times New Roman" w:hAnsi="Times New Roman" w:cs="Times New Roman"/>
        </w:rPr>
        <w:t xml:space="preserve"> </w:t>
      </w:r>
      <w:r w:rsidR="00B73689">
        <w:rPr>
          <w:rFonts w:ascii="Times New Roman" w:hAnsi="Times New Roman" w:cs="Times New Roman"/>
        </w:rPr>
        <w:t>Table 1 summarizes the breakdown of child HS participants according to age group and method of education.</w:t>
      </w:r>
    </w:p>
    <w:p w14:paraId="4542C158" w14:textId="77777777" w:rsidR="00840E68" w:rsidRDefault="00840E68" w:rsidP="00840E68">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456"/>
        <w:gridCol w:w="1429"/>
        <w:gridCol w:w="1520"/>
        <w:gridCol w:w="1800"/>
      </w:tblGrid>
      <w:tr w:rsidR="00B761D9" w14:paraId="4CA8319F" w14:textId="77777777" w:rsidTr="003F76F1">
        <w:trPr>
          <w:trHeight w:val="276"/>
          <w:jc w:val="center"/>
        </w:trPr>
        <w:tc>
          <w:tcPr>
            <w:tcW w:w="1456" w:type="dxa"/>
            <w:shd w:val="clear" w:color="auto" w:fill="E8E8E8" w:themeFill="background2"/>
          </w:tcPr>
          <w:p w14:paraId="39056A34" w14:textId="2A41969E" w:rsidR="00B761D9" w:rsidRPr="00B761D9" w:rsidRDefault="00B761D9" w:rsidP="005A59A5">
            <w:pPr>
              <w:jc w:val="both"/>
              <w:rPr>
                <w:rFonts w:ascii="Times New Roman" w:hAnsi="Times New Roman" w:cs="Times New Roman"/>
                <w:b/>
                <w:bCs/>
              </w:rPr>
            </w:pPr>
            <w:r>
              <w:rPr>
                <w:rFonts w:ascii="Times New Roman" w:hAnsi="Times New Roman" w:cs="Times New Roman"/>
                <w:b/>
                <w:bCs/>
              </w:rPr>
              <w:t>School</w:t>
            </w:r>
          </w:p>
        </w:tc>
        <w:tc>
          <w:tcPr>
            <w:tcW w:w="1429" w:type="dxa"/>
            <w:shd w:val="clear" w:color="auto" w:fill="E8E8E8" w:themeFill="background2"/>
          </w:tcPr>
          <w:p w14:paraId="1FC82B4D" w14:textId="35E278E8" w:rsidR="00B761D9" w:rsidRPr="00B761D9" w:rsidRDefault="00B761D9" w:rsidP="005A59A5">
            <w:pPr>
              <w:jc w:val="center"/>
              <w:rPr>
                <w:rFonts w:ascii="Times New Roman" w:hAnsi="Times New Roman" w:cs="Times New Roman"/>
                <w:b/>
                <w:bCs/>
              </w:rPr>
            </w:pPr>
            <w:r>
              <w:rPr>
                <w:rFonts w:ascii="Times New Roman" w:hAnsi="Times New Roman" w:cs="Times New Roman"/>
                <w:b/>
                <w:bCs/>
              </w:rPr>
              <w:t>5th grade</w:t>
            </w:r>
          </w:p>
        </w:tc>
        <w:tc>
          <w:tcPr>
            <w:tcW w:w="1520" w:type="dxa"/>
            <w:shd w:val="clear" w:color="auto" w:fill="E8E8E8" w:themeFill="background2"/>
          </w:tcPr>
          <w:p w14:paraId="5D31FDB7" w14:textId="33CB11BA" w:rsidR="00B761D9" w:rsidRPr="00B761D9" w:rsidRDefault="00B761D9" w:rsidP="005A59A5">
            <w:pPr>
              <w:jc w:val="center"/>
              <w:rPr>
                <w:rFonts w:ascii="Times New Roman" w:hAnsi="Times New Roman" w:cs="Times New Roman"/>
                <w:b/>
                <w:bCs/>
              </w:rPr>
            </w:pPr>
            <w:r w:rsidRPr="00B761D9">
              <w:rPr>
                <w:rFonts w:ascii="Times New Roman" w:hAnsi="Times New Roman" w:cs="Times New Roman"/>
                <w:b/>
                <w:bCs/>
              </w:rPr>
              <w:t>7</w:t>
            </w:r>
            <w:r w:rsidRPr="00B761D9">
              <w:rPr>
                <w:rFonts w:ascii="Times New Roman" w:hAnsi="Times New Roman" w:cs="Times New Roman"/>
                <w:b/>
                <w:bCs/>
                <w:vertAlign w:val="superscript"/>
              </w:rPr>
              <w:t>th</w:t>
            </w:r>
            <w:r w:rsidRPr="00B761D9">
              <w:rPr>
                <w:rFonts w:ascii="Times New Roman" w:hAnsi="Times New Roman" w:cs="Times New Roman"/>
                <w:b/>
                <w:bCs/>
              </w:rPr>
              <w:t>/8</w:t>
            </w:r>
            <w:r w:rsidRPr="00B761D9">
              <w:rPr>
                <w:rFonts w:ascii="Times New Roman" w:hAnsi="Times New Roman" w:cs="Times New Roman"/>
                <w:b/>
                <w:bCs/>
                <w:vertAlign w:val="superscript"/>
              </w:rPr>
              <w:t>th</w:t>
            </w:r>
            <w:r w:rsidRPr="00B761D9">
              <w:rPr>
                <w:rFonts w:ascii="Times New Roman" w:hAnsi="Times New Roman" w:cs="Times New Roman"/>
                <w:b/>
                <w:bCs/>
              </w:rPr>
              <w:t xml:space="preserve"> grade</w:t>
            </w:r>
          </w:p>
        </w:tc>
        <w:tc>
          <w:tcPr>
            <w:tcW w:w="1800" w:type="dxa"/>
            <w:shd w:val="clear" w:color="auto" w:fill="E8E8E8" w:themeFill="background2"/>
          </w:tcPr>
          <w:p w14:paraId="61DF4007" w14:textId="0719CED9" w:rsidR="00B761D9" w:rsidRPr="00B761D9" w:rsidRDefault="00B761D9" w:rsidP="005A59A5">
            <w:pPr>
              <w:jc w:val="center"/>
              <w:rPr>
                <w:rFonts w:ascii="Times New Roman" w:hAnsi="Times New Roman" w:cs="Times New Roman"/>
                <w:b/>
                <w:bCs/>
              </w:rPr>
            </w:pPr>
            <w:r>
              <w:rPr>
                <w:rFonts w:ascii="Times New Roman" w:hAnsi="Times New Roman" w:cs="Times New Roman"/>
                <w:b/>
                <w:bCs/>
              </w:rPr>
              <w:t>Total by school</w:t>
            </w:r>
          </w:p>
        </w:tc>
      </w:tr>
      <w:tr w:rsidR="00B761D9" w14:paraId="24051397" w14:textId="77777777" w:rsidTr="00B761D9">
        <w:trPr>
          <w:trHeight w:val="276"/>
          <w:jc w:val="center"/>
        </w:trPr>
        <w:tc>
          <w:tcPr>
            <w:tcW w:w="1456" w:type="dxa"/>
          </w:tcPr>
          <w:p w14:paraId="6B847BDF" w14:textId="07C93115" w:rsidR="00B761D9" w:rsidRDefault="00B761D9" w:rsidP="005A59A5">
            <w:pPr>
              <w:jc w:val="both"/>
              <w:rPr>
                <w:rFonts w:ascii="Times New Roman" w:hAnsi="Times New Roman" w:cs="Times New Roman"/>
              </w:rPr>
            </w:pPr>
            <w:r>
              <w:rPr>
                <w:rFonts w:ascii="Times New Roman" w:hAnsi="Times New Roman" w:cs="Times New Roman"/>
              </w:rPr>
              <w:t>Bilingual</w:t>
            </w:r>
          </w:p>
        </w:tc>
        <w:tc>
          <w:tcPr>
            <w:tcW w:w="1429" w:type="dxa"/>
          </w:tcPr>
          <w:p w14:paraId="5491156B" w14:textId="200584CC" w:rsidR="00B761D9" w:rsidRDefault="003F76F1" w:rsidP="005A59A5">
            <w:pPr>
              <w:jc w:val="center"/>
              <w:rPr>
                <w:rFonts w:ascii="Times New Roman" w:hAnsi="Times New Roman" w:cs="Times New Roman"/>
              </w:rPr>
            </w:pPr>
            <w:r>
              <w:rPr>
                <w:rFonts w:ascii="Times New Roman" w:hAnsi="Times New Roman" w:cs="Times New Roman"/>
              </w:rPr>
              <w:t>19</w:t>
            </w:r>
          </w:p>
        </w:tc>
        <w:tc>
          <w:tcPr>
            <w:tcW w:w="1520" w:type="dxa"/>
          </w:tcPr>
          <w:p w14:paraId="5CEF8A01" w14:textId="5305DFF9" w:rsidR="00B761D9" w:rsidRDefault="003F76F1" w:rsidP="005A59A5">
            <w:pPr>
              <w:jc w:val="center"/>
              <w:rPr>
                <w:rFonts w:ascii="Times New Roman" w:hAnsi="Times New Roman" w:cs="Times New Roman"/>
              </w:rPr>
            </w:pPr>
            <w:r>
              <w:rPr>
                <w:rFonts w:ascii="Times New Roman" w:hAnsi="Times New Roman" w:cs="Times New Roman"/>
              </w:rPr>
              <w:t>13</w:t>
            </w:r>
          </w:p>
        </w:tc>
        <w:tc>
          <w:tcPr>
            <w:tcW w:w="1800" w:type="dxa"/>
          </w:tcPr>
          <w:p w14:paraId="6C8E23EC" w14:textId="02E804F9" w:rsidR="00B761D9" w:rsidRPr="003F76F1" w:rsidRDefault="003F76F1" w:rsidP="005A59A5">
            <w:pPr>
              <w:jc w:val="center"/>
              <w:rPr>
                <w:rFonts w:ascii="Times New Roman" w:hAnsi="Times New Roman" w:cs="Times New Roman"/>
                <w:b/>
                <w:bCs/>
              </w:rPr>
            </w:pPr>
            <w:r w:rsidRPr="003F76F1">
              <w:rPr>
                <w:rFonts w:ascii="Times New Roman" w:hAnsi="Times New Roman" w:cs="Times New Roman"/>
                <w:b/>
                <w:bCs/>
              </w:rPr>
              <w:t>32</w:t>
            </w:r>
          </w:p>
        </w:tc>
      </w:tr>
      <w:tr w:rsidR="00B761D9" w14:paraId="0C039A1F" w14:textId="77777777" w:rsidTr="00B761D9">
        <w:trPr>
          <w:trHeight w:val="276"/>
          <w:jc w:val="center"/>
        </w:trPr>
        <w:tc>
          <w:tcPr>
            <w:tcW w:w="1456" w:type="dxa"/>
          </w:tcPr>
          <w:p w14:paraId="71CD4F42" w14:textId="7EBDEEBA" w:rsidR="00B761D9" w:rsidRDefault="00B761D9" w:rsidP="005A59A5">
            <w:pPr>
              <w:jc w:val="both"/>
              <w:rPr>
                <w:rFonts w:ascii="Times New Roman" w:hAnsi="Times New Roman" w:cs="Times New Roman"/>
              </w:rPr>
            </w:pPr>
            <w:r>
              <w:rPr>
                <w:rFonts w:ascii="Times New Roman" w:hAnsi="Times New Roman" w:cs="Times New Roman"/>
              </w:rPr>
              <w:t>Monolingual</w:t>
            </w:r>
          </w:p>
        </w:tc>
        <w:tc>
          <w:tcPr>
            <w:tcW w:w="1429" w:type="dxa"/>
          </w:tcPr>
          <w:p w14:paraId="6C669B26" w14:textId="1C09BCD3" w:rsidR="00B761D9" w:rsidRDefault="003F76F1" w:rsidP="005A59A5">
            <w:pPr>
              <w:jc w:val="center"/>
              <w:rPr>
                <w:rFonts w:ascii="Times New Roman" w:hAnsi="Times New Roman" w:cs="Times New Roman"/>
              </w:rPr>
            </w:pPr>
            <w:r>
              <w:rPr>
                <w:rFonts w:ascii="Times New Roman" w:hAnsi="Times New Roman" w:cs="Times New Roman"/>
              </w:rPr>
              <w:t>14</w:t>
            </w:r>
          </w:p>
        </w:tc>
        <w:tc>
          <w:tcPr>
            <w:tcW w:w="1520" w:type="dxa"/>
          </w:tcPr>
          <w:p w14:paraId="375AEA88" w14:textId="5582DD95" w:rsidR="00B761D9" w:rsidRDefault="003F76F1" w:rsidP="005A59A5">
            <w:pPr>
              <w:jc w:val="center"/>
              <w:rPr>
                <w:rFonts w:ascii="Times New Roman" w:hAnsi="Times New Roman" w:cs="Times New Roman"/>
              </w:rPr>
            </w:pPr>
            <w:r>
              <w:rPr>
                <w:rFonts w:ascii="Times New Roman" w:hAnsi="Times New Roman" w:cs="Times New Roman"/>
              </w:rPr>
              <w:t>11</w:t>
            </w:r>
          </w:p>
        </w:tc>
        <w:tc>
          <w:tcPr>
            <w:tcW w:w="1800" w:type="dxa"/>
          </w:tcPr>
          <w:p w14:paraId="35E42246" w14:textId="34C2BED7" w:rsidR="00B761D9" w:rsidRPr="003F76F1" w:rsidRDefault="003F76F1" w:rsidP="005A59A5">
            <w:pPr>
              <w:jc w:val="center"/>
              <w:rPr>
                <w:rFonts w:ascii="Times New Roman" w:hAnsi="Times New Roman" w:cs="Times New Roman"/>
                <w:b/>
                <w:bCs/>
              </w:rPr>
            </w:pPr>
            <w:r w:rsidRPr="003F76F1">
              <w:rPr>
                <w:rFonts w:ascii="Times New Roman" w:hAnsi="Times New Roman" w:cs="Times New Roman"/>
                <w:b/>
                <w:bCs/>
              </w:rPr>
              <w:t>25</w:t>
            </w:r>
          </w:p>
        </w:tc>
      </w:tr>
      <w:tr w:rsidR="00B761D9" w14:paraId="5324C801" w14:textId="77777777" w:rsidTr="003F76F1">
        <w:trPr>
          <w:trHeight w:val="276"/>
          <w:jc w:val="center"/>
        </w:trPr>
        <w:tc>
          <w:tcPr>
            <w:tcW w:w="1456" w:type="dxa"/>
            <w:shd w:val="clear" w:color="auto" w:fill="E8E8E8" w:themeFill="background2"/>
          </w:tcPr>
          <w:p w14:paraId="013C3DB4" w14:textId="10815C23" w:rsidR="00B761D9" w:rsidRPr="00B761D9" w:rsidRDefault="00B761D9" w:rsidP="005A59A5">
            <w:pPr>
              <w:jc w:val="both"/>
              <w:rPr>
                <w:rFonts w:ascii="Times New Roman" w:hAnsi="Times New Roman" w:cs="Times New Roman"/>
                <w:b/>
                <w:bCs/>
              </w:rPr>
            </w:pPr>
            <w:r>
              <w:rPr>
                <w:rFonts w:ascii="Times New Roman" w:hAnsi="Times New Roman" w:cs="Times New Roman"/>
                <w:b/>
                <w:bCs/>
              </w:rPr>
              <w:t>Total by age</w:t>
            </w:r>
          </w:p>
        </w:tc>
        <w:tc>
          <w:tcPr>
            <w:tcW w:w="1429" w:type="dxa"/>
            <w:shd w:val="clear" w:color="auto" w:fill="E8E8E8" w:themeFill="background2"/>
          </w:tcPr>
          <w:p w14:paraId="7F17DCD5" w14:textId="746AAD16" w:rsidR="00B761D9" w:rsidRPr="003F76F1" w:rsidRDefault="003F76F1" w:rsidP="005A59A5">
            <w:pPr>
              <w:jc w:val="center"/>
              <w:rPr>
                <w:rFonts w:ascii="Times New Roman" w:hAnsi="Times New Roman" w:cs="Times New Roman"/>
                <w:b/>
                <w:bCs/>
              </w:rPr>
            </w:pPr>
            <w:r w:rsidRPr="003F76F1">
              <w:rPr>
                <w:rFonts w:ascii="Times New Roman" w:hAnsi="Times New Roman" w:cs="Times New Roman"/>
                <w:b/>
                <w:bCs/>
              </w:rPr>
              <w:t>33</w:t>
            </w:r>
          </w:p>
        </w:tc>
        <w:tc>
          <w:tcPr>
            <w:tcW w:w="1520" w:type="dxa"/>
            <w:shd w:val="clear" w:color="auto" w:fill="E8E8E8" w:themeFill="background2"/>
          </w:tcPr>
          <w:p w14:paraId="517FCB4B" w14:textId="55A144B6" w:rsidR="00B761D9" w:rsidRPr="003F76F1" w:rsidRDefault="003F76F1" w:rsidP="005A59A5">
            <w:pPr>
              <w:jc w:val="center"/>
              <w:rPr>
                <w:rFonts w:ascii="Times New Roman" w:hAnsi="Times New Roman" w:cs="Times New Roman"/>
                <w:b/>
                <w:bCs/>
              </w:rPr>
            </w:pPr>
            <w:r>
              <w:rPr>
                <w:rFonts w:ascii="Times New Roman" w:hAnsi="Times New Roman" w:cs="Times New Roman"/>
                <w:b/>
                <w:bCs/>
              </w:rPr>
              <w:t>24</w:t>
            </w:r>
          </w:p>
        </w:tc>
        <w:tc>
          <w:tcPr>
            <w:tcW w:w="1800" w:type="dxa"/>
            <w:shd w:val="clear" w:color="auto" w:fill="E8E8E8" w:themeFill="background2"/>
          </w:tcPr>
          <w:p w14:paraId="2EA6E17A" w14:textId="16D70B85" w:rsidR="00B761D9" w:rsidRPr="003F76F1" w:rsidRDefault="003F76F1" w:rsidP="005A59A5">
            <w:pPr>
              <w:jc w:val="center"/>
              <w:rPr>
                <w:rFonts w:ascii="Times New Roman" w:hAnsi="Times New Roman" w:cs="Times New Roman"/>
                <w:b/>
                <w:bCs/>
              </w:rPr>
            </w:pPr>
            <w:r w:rsidRPr="003F76F1">
              <w:rPr>
                <w:rFonts w:ascii="Times New Roman" w:hAnsi="Times New Roman" w:cs="Times New Roman"/>
                <w:b/>
                <w:bCs/>
              </w:rPr>
              <w:t>57</w:t>
            </w:r>
          </w:p>
        </w:tc>
      </w:tr>
    </w:tbl>
    <w:p w14:paraId="19F2ED87" w14:textId="7174721C" w:rsidR="005274B2" w:rsidRDefault="005274B2" w:rsidP="005A59A5">
      <w:pPr>
        <w:jc w:val="both"/>
        <w:rPr>
          <w:rFonts w:ascii="Times New Roman" w:hAnsi="Times New Roman" w:cs="Times New Roman"/>
        </w:rPr>
      </w:pPr>
      <w:r>
        <w:rPr>
          <w:rFonts w:ascii="Times New Roman" w:hAnsi="Times New Roman" w:cs="Times New Roman"/>
          <w:b/>
          <w:bCs/>
        </w:rPr>
        <w:t>Table 1.</w:t>
      </w:r>
      <w:r>
        <w:rPr>
          <w:rFonts w:ascii="Times New Roman" w:hAnsi="Times New Roman" w:cs="Times New Roman"/>
        </w:rPr>
        <w:t xml:space="preserve"> Summary of child HSs by education and age group.</w:t>
      </w:r>
    </w:p>
    <w:p w14:paraId="1D5263E0" w14:textId="77777777" w:rsidR="005274B2" w:rsidRPr="005274B2" w:rsidRDefault="005274B2" w:rsidP="005A59A5">
      <w:pPr>
        <w:jc w:val="both"/>
        <w:rPr>
          <w:rFonts w:ascii="Times New Roman" w:hAnsi="Times New Roman" w:cs="Times New Roman"/>
        </w:rPr>
      </w:pPr>
    </w:p>
    <w:p w14:paraId="7A114456" w14:textId="6FA6BC34" w:rsidR="00DD5D37" w:rsidRDefault="00840E68" w:rsidP="005A59A5">
      <w:pPr>
        <w:jc w:val="both"/>
        <w:rPr>
          <w:rFonts w:ascii="Times New Roman" w:hAnsi="Times New Roman" w:cs="Times New Roman"/>
        </w:rPr>
      </w:pPr>
      <w:r w:rsidRPr="00840E68">
        <w:rPr>
          <w:rFonts w:ascii="Times New Roman" w:hAnsi="Times New Roman" w:cs="Times New Roman"/>
          <w:i/>
          <w:iCs/>
        </w:rPr>
        <w:lastRenderedPageBreak/>
        <w:t xml:space="preserve">3.2 </w:t>
      </w:r>
      <w:r w:rsidR="00DD5D37" w:rsidRPr="00840E68">
        <w:rPr>
          <w:rFonts w:ascii="Times New Roman" w:hAnsi="Times New Roman" w:cs="Times New Roman"/>
          <w:i/>
          <w:iCs/>
        </w:rPr>
        <w:t>Methods</w:t>
      </w:r>
    </w:p>
    <w:p w14:paraId="0DC0AD8B" w14:textId="77777777" w:rsidR="00840E68" w:rsidRPr="00840E68" w:rsidRDefault="00840E68" w:rsidP="005A59A5">
      <w:pPr>
        <w:jc w:val="both"/>
        <w:rPr>
          <w:rFonts w:ascii="Times New Roman" w:hAnsi="Times New Roman" w:cs="Times New Roman"/>
        </w:rPr>
      </w:pPr>
    </w:p>
    <w:p w14:paraId="0A6B80C9" w14:textId="6071219B" w:rsidR="00CB6808" w:rsidRDefault="00DD5D37" w:rsidP="005A59A5">
      <w:pPr>
        <w:ind w:firstLine="720"/>
        <w:jc w:val="both"/>
        <w:rPr>
          <w:rFonts w:ascii="Times New Roman" w:hAnsi="Times New Roman" w:cs="Times New Roman"/>
        </w:rPr>
      </w:pPr>
      <w:r>
        <w:rPr>
          <w:rFonts w:ascii="Times New Roman" w:hAnsi="Times New Roman" w:cs="Times New Roman"/>
        </w:rPr>
        <w:t xml:space="preserve">Participants carried out </w:t>
      </w:r>
      <w:r w:rsidR="00157263">
        <w:rPr>
          <w:rFonts w:ascii="Times New Roman" w:hAnsi="Times New Roman" w:cs="Times New Roman"/>
        </w:rPr>
        <w:t>three</w:t>
      </w:r>
      <w:r>
        <w:rPr>
          <w:rFonts w:ascii="Times New Roman" w:hAnsi="Times New Roman" w:cs="Times New Roman"/>
        </w:rPr>
        <w:t xml:space="preserve"> computer-based tasks in Spanish. The child HSs carried out the experiment on their school laptops with the researcher present, and adults conducted the study asynchronously online.</w:t>
      </w:r>
      <w:r w:rsidR="00835CEC">
        <w:rPr>
          <w:rFonts w:ascii="Times New Roman" w:hAnsi="Times New Roman" w:cs="Times New Roman"/>
        </w:rPr>
        <w:t xml:space="preserve"> </w:t>
      </w:r>
      <w:r w:rsidR="00D81C34">
        <w:rPr>
          <w:rFonts w:ascii="Times New Roman" w:hAnsi="Times New Roman" w:cs="Times New Roman"/>
        </w:rPr>
        <w:t xml:space="preserve">The first task involved participants </w:t>
      </w:r>
      <w:r w:rsidR="00B62C3E">
        <w:rPr>
          <w:rFonts w:ascii="Times New Roman" w:hAnsi="Times New Roman" w:cs="Times New Roman"/>
        </w:rPr>
        <w:t xml:space="preserve">self-reporting the frequency in which they </w:t>
      </w:r>
      <w:r w:rsidR="00D81C34">
        <w:rPr>
          <w:rFonts w:ascii="Times New Roman" w:hAnsi="Times New Roman" w:cs="Times New Roman"/>
        </w:rPr>
        <w:t xml:space="preserve">used Spanish </w:t>
      </w:r>
      <w:r w:rsidR="00D140C0">
        <w:rPr>
          <w:rFonts w:ascii="Times New Roman" w:hAnsi="Times New Roman" w:cs="Times New Roman"/>
        </w:rPr>
        <w:t>across</w:t>
      </w:r>
      <w:r w:rsidR="00D81C34">
        <w:rPr>
          <w:rFonts w:ascii="Times New Roman" w:hAnsi="Times New Roman" w:cs="Times New Roman"/>
        </w:rPr>
        <w:t xml:space="preserve"> six contexts on 1-5 Likert</w:t>
      </w:r>
      <w:r w:rsidR="00A300BD">
        <w:rPr>
          <w:rFonts w:ascii="Times New Roman" w:hAnsi="Times New Roman" w:cs="Times New Roman"/>
        </w:rPr>
        <w:t xml:space="preserve"> scales</w:t>
      </w:r>
      <w:r w:rsidR="00E36905">
        <w:rPr>
          <w:rFonts w:ascii="Times New Roman" w:hAnsi="Times New Roman" w:cs="Times New Roman"/>
        </w:rPr>
        <w:t xml:space="preserve">: </w:t>
      </w:r>
      <w:r w:rsidR="00E36905" w:rsidRPr="00E36905">
        <w:rPr>
          <w:rFonts w:ascii="Times New Roman" w:hAnsi="Times New Roman" w:cs="Times New Roman"/>
        </w:rPr>
        <w:t>with parents, with family members, at school, with friends, in public, and while watching television</w:t>
      </w:r>
      <w:r w:rsidR="00BB01B9">
        <w:rPr>
          <w:rFonts w:ascii="Times New Roman" w:hAnsi="Times New Roman" w:cs="Times New Roman"/>
        </w:rPr>
        <w:t xml:space="preserve"> (</w:t>
      </w:r>
      <w:r w:rsidR="00547978">
        <w:rPr>
          <w:rFonts w:ascii="Times New Roman" w:hAnsi="Times New Roman" w:cs="Times New Roman"/>
        </w:rPr>
        <w:t>AUTHOR</w:t>
      </w:r>
      <w:r w:rsidR="009C5707">
        <w:rPr>
          <w:rFonts w:ascii="Times New Roman" w:hAnsi="Times New Roman" w:cs="Times New Roman"/>
        </w:rPr>
        <w:t xml:space="preserve">: </w:t>
      </w:r>
      <w:r w:rsidR="00BB01B9">
        <w:rPr>
          <w:rFonts w:ascii="Times New Roman" w:hAnsi="Times New Roman" w:cs="Times New Roman"/>
        </w:rPr>
        <w:t xml:space="preserve">11). </w:t>
      </w:r>
      <w:r w:rsidR="00941B85">
        <w:rPr>
          <w:rFonts w:ascii="Times New Roman" w:hAnsi="Times New Roman" w:cs="Times New Roman"/>
        </w:rPr>
        <w:t>This task facilitated a 30-point language use score</w:t>
      </w:r>
      <w:r w:rsidR="003423DD">
        <w:rPr>
          <w:rFonts w:ascii="Times New Roman" w:hAnsi="Times New Roman" w:cs="Times New Roman"/>
        </w:rPr>
        <w:t xml:space="preserve"> for each participant with which to address their use of Spanish.</w:t>
      </w:r>
    </w:p>
    <w:p w14:paraId="261DE4ED" w14:textId="5DF7E86C" w:rsidR="00CB6808" w:rsidRDefault="005A0BE5" w:rsidP="005A59A5">
      <w:pPr>
        <w:ind w:firstLine="720"/>
        <w:jc w:val="both"/>
        <w:rPr>
          <w:rFonts w:ascii="Times New Roman" w:hAnsi="Times New Roman" w:cs="Times New Roman"/>
        </w:rPr>
      </w:pPr>
      <w:r>
        <w:rPr>
          <w:rFonts w:ascii="Times New Roman" w:hAnsi="Times New Roman" w:cs="Times New Roman"/>
        </w:rPr>
        <w:t xml:space="preserve">The second task elicited the production of volitional subjunctive and DOM </w:t>
      </w:r>
      <w:r w:rsidR="00141CE8">
        <w:rPr>
          <w:rFonts w:ascii="Times New Roman" w:hAnsi="Times New Roman" w:cs="Times New Roman"/>
        </w:rPr>
        <w:t>follow</w:t>
      </w:r>
      <w:r w:rsidR="000D5497">
        <w:rPr>
          <w:rFonts w:ascii="Times New Roman" w:hAnsi="Times New Roman" w:cs="Times New Roman"/>
        </w:rPr>
        <w:t>ing</w:t>
      </w:r>
      <w:r w:rsidR="00141CE8">
        <w:rPr>
          <w:rFonts w:ascii="Times New Roman" w:hAnsi="Times New Roman" w:cs="Times New Roman"/>
        </w:rPr>
        <w:t xml:space="preserve"> a sentence completion format. </w:t>
      </w:r>
      <w:r w:rsidR="009C720D">
        <w:rPr>
          <w:rFonts w:ascii="Times New Roman" w:hAnsi="Times New Roman" w:cs="Times New Roman"/>
        </w:rPr>
        <w:t xml:space="preserve">Participants </w:t>
      </w:r>
      <w:r w:rsidR="00AA79FB">
        <w:rPr>
          <w:rFonts w:ascii="Times New Roman" w:hAnsi="Times New Roman" w:cs="Times New Roman"/>
        </w:rPr>
        <w:t>read</w:t>
      </w:r>
      <w:r w:rsidR="009C720D">
        <w:rPr>
          <w:rFonts w:ascii="Times New Roman" w:hAnsi="Times New Roman" w:cs="Times New Roman"/>
        </w:rPr>
        <w:t xml:space="preserve"> a preamble about a mother and her three children traveling to sleepaway camp. Eight sentences elicited the production of subjunctive mood</w:t>
      </w:r>
      <w:r w:rsidR="00C077B4">
        <w:rPr>
          <w:rFonts w:ascii="Times New Roman" w:hAnsi="Times New Roman" w:cs="Times New Roman"/>
        </w:rPr>
        <w:t xml:space="preserve"> following the phrase </w:t>
      </w:r>
      <w:r w:rsidR="00C077B4" w:rsidRPr="00564510">
        <w:rPr>
          <w:rFonts w:ascii="Times New Roman" w:hAnsi="Times New Roman" w:cs="Times New Roman"/>
          <w:i/>
          <w:iCs/>
          <w:lang w:val="es-ES"/>
        </w:rPr>
        <w:t>la mamá quiere que las hermanas</w:t>
      </w:r>
      <w:r w:rsidR="00417F24">
        <w:rPr>
          <w:rFonts w:ascii="Times New Roman" w:hAnsi="Times New Roman" w:cs="Times New Roman"/>
          <w:i/>
          <w:iCs/>
        </w:rPr>
        <w:t>…</w:t>
      </w:r>
      <w:r w:rsidR="00C077B4">
        <w:rPr>
          <w:rFonts w:ascii="Times New Roman" w:hAnsi="Times New Roman" w:cs="Times New Roman"/>
        </w:rPr>
        <w:t xml:space="preserve"> (</w:t>
      </w:r>
      <w:r w:rsidR="00417F24">
        <w:rPr>
          <w:rFonts w:ascii="Times New Roman" w:hAnsi="Times New Roman" w:cs="Times New Roman"/>
        </w:rPr>
        <w:t>‘</w:t>
      </w:r>
      <w:r w:rsidR="00C077B4">
        <w:rPr>
          <w:rFonts w:ascii="Times New Roman" w:hAnsi="Times New Roman" w:cs="Times New Roman"/>
        </w:rPr>
        <w:t>the mother wants for the sisters to…</w:t>
      </w:r>
      <w:r w:rsidR="00417F24">
        <w:rPr>
          <w:rFonts w:ascii="Times New Roman" w:hAnsi="Times New Roman" w:cs="Times New Roman"/>
        </w:rPr>
        <w:t>’</w:t>
      </w:r>
      <w:r w:rsidR="00C077B4">
        <w:rPr>
          <w:rFonts w:ascii="Times New Roman" w:hAnsi="Times New Roman" w:cs="Times New Roman"/>
        </w:rPr>
        <w:t>)</w:t>
      </w:r>
      <w:r w:rsidR="009C720D">
        <w:rPr>
          <w:rFonts w:ascii="Times New Roman" w:hAnsi="Times New Roman" w:cs="Times New Roman"/>
        </w:rPr>
        <w:t xml:space="preserve">, and eight </w:t>
      </w:r>
      <w:r w:rsidR="00417F24">
        <w:rPr>
          <w:rFonts w:ascii="Times New Roman" w:hAnsi="Times New Roman" w:cs="Times New Roman"/>
        </w:rPr>
        <w:t xml:space="preserve">elicited </w:t>
      </w:r>
      <w:r w:rsidR="009C720D">
        <w:rPr>
          <w:rFonts w:ascii="Times New Roman" w:hAnsi="Times New Roman" w:cs="Times New Roman"/>
        </w:rPr>
        <w:t>the indicative mood</w:t>
      </w:r>
      <w:r w:rsidR="00417F24">
        <w:rPr>
          <w:rFonts w:ascii="Times New Roman" w:hAnsi="Times New Roman" w:cs="Times New Roman"/>
        </w:rPr>
        <w:t xml:space="preserve"> following the phrase </w:t>
      </w:r>
      <w:r w:rsidR="00417F24" w:rsidRPr="00564510">
        <w:rPr>
          <w:rFonts w:ascii="Times New Roman" w:hAnsi="Times New Roman" w:cs="Times New Roman"/>
          <w:i/>
          <w:iCs/>
          <w:lang w:val="es-ES"/>
        </w:rPr>
        <w:t>la mamá cree que las hermanas…</w:t>
      </w:r>
      <w:r w:rsidR="00417F24">
        <w:rPr>
          <w:rFonts w:ascii="Times New Roman" w:hAnsi="Times New Roman" w:cs="Times New Roman"/>
        </w:rPr>
        <w:t xml:space="preserve"> (‘the mother believes that the sisters…’)</w:t>
      </w:r>
      <w:r w:rsidR="009C720D">
        <w:rPr>
          <w:rFonts w:ascii="Times New Roman" w:hAnsi="Times New Roman" w:cs="Times New Roman"/>
        </w:rPr>
        <w:t>. 10 of these 16 sentences elicited DOM (</w:t>
      </w:r>
      <w:r w:rsidR="00C077B4">
        <w:rPr>
          <w:rFonts w:ascii="Times New Roman" w:hAnsi="Times New Roman" w:cs="Times New Roman"/>
        </w:rPr>
        <w:t xml:space="preserve">including </w:t>
      </w:r>
      <w:r w:rsidR="009C720D">
        <w:rPr>
          <w:rFonts w:ascii="Times New Roman" w:hAnsi="Times New Roman" w:cs="Times New Roman"/>
        </w:rPr>
        <w:t xml:space="preserve">all eight sentences </w:t>
      </w:r>
      <w:r w:rsidR="00C077B4">
        <w:rPr>
          <w:rFonts w:ascii="Times New Roman" w:hAnsi="Times New Roman" w:cs="Times New Roman"/>
        </w:rPr>
        <w:t xml:space="preserve">that elicited the subjunctive </w:t>
      </w:r>
      <w:r w:rsidR="009C720D">
        <w:rPr>
          <w:rFonts w:ascii="Times New Roman" w:hAnsi="Times New Roman" w:cs="Times New Roman"/>
        </w:rPr>
        <w:t xml:space="preserve">and two </w:t>
      </w:r>
      <w:r w:rsidR="00C077B4">
        <w:rPr>
          <w:rFonts w:ascii="Times New Roman" w:hAnsi="Times New Roman" w:cs="Times New Roman"/>
        </w:rPr>
        <w:t xml:space="preserve">that elicited the </w:t>
      </w:r>
      <w:r w:rsidR="009C720D">
        <w:rPr>
          <w:rFonts w:ascii="Times New Roman" w:hAnsi="Times New Roman" w:cs="Times New Roman"/>
        </w:rPr>
        <w:t>indicative)</w:t>
      </w:r>
      <w:r w:rsidR="0046025C">
        <w:rPr>
          <w:rFonts w:ascii="Times New Roman" w:hAnsi="Times New Roman" w:cs="Times New Roman"/>
        </w:rPr>
        <w:t>.</w:t>
      </w:r>
      <w:r w:rsidR="00C077B4">
        <w:rPr>
          <w:rFonts w:ascii="Times New Roman" w:hAnsi="Times New Roman" w:cs="Times New Roman"/>
        </w:rPr>
        <w:t xml:space="preserve"> </w:t>
      </w:r>
      <w:r w:rsidR="008F50C4">
        <w:rPr>
          <w:rFonts w:ascii="Times New Roman" w:hAnsi="Times New Roman" w:cs="Times New Roman"/>
        </w:rPr>
        <w:t xml:space="preserve">All sentences eliciting DOM had </w:t>
      </w:r>
      <w:r w:rsidR="008F50C4">
        <w:rPr>
          <w:rFonts w:ascii="Times New Roman" w:hAnsi="Times New Roman" w:cs="Times New Roman"/>
          <w:i/>
          <w:iCs/>
        </w:rPr>
        <w:t>Juanito</w:t>
      </w:r>
      <w:r w:rsidR="008F50C4">
        <w:rPr>
          <w:rFonts w:ascii="Times New Roman" w:hAnsi="Times New Roman" w:cs="Times New Roman"/>
        </w:rPr>
        <w:t xml:space="preserve"> as their direct object, therefore maximizing the animacy and specificity of the referent through a proper </w:t>
      </w:r>
      <w:r w:rsidR="0056277A">
        <w:rPr>
          <w:rFonts w:ascii="Times New Roman" w:hAnsi="Times New Roman" w:cs="Times New Roman"/>
        </w:rPr>
        <w:t>noun</w:t>
      </w:r>
      <w:r w:rsidR="000D5497">
        <w:rPr>
          <w:rFonts w:ascii="Times New Roman" w:hAnsi="Times New Roman" w:cs="Times New Roman"/>
        </w:rPr>
        <w:t>.</w:t>
      </w:r>
      <w:r w:rsidR="00290AB8">
        <w:rPr>
          <w:rFonts w:ascii="Times New Roman" w:hAnsi="Times New Roman" w:cs="Times New Roman"/>
        </w:rPr>
        <w:t xml:space="preserve"> </w:t>
      </w:r>
      <w:r w:rsidR="00C077B4">
        <w:rPr>
          <w:rFonts w:ascii="Times New Roman" w:hAnsi="Times New Roman" w:cs="Times New Roman"/>
        </w:rPr>
        <w:t>Participants needed to complet</w:t>
      </w:r>
      <w:r w:rsidR="00B80295">
        <w:rPr>
          <w:rFonts w:ascii="Times New Roman" w:hAnsi="Times New Roman" w:cs="Times New Roman"/>
        </w:rPr>
        <w:t>e</w:t>
      </w:r>
      <w:r w:rsidR="00C077B4">
        <w:rPr>
          <w:rFonts w:ascii="Times New Roman" w:hAnsi="Times New Roman" w:cs="Times New Roman"/>
        </w:rPr>
        <w:t xml:space="preserve"> </w:t>
      </w:r>
      <w:r w:rsidR="00B80295">
        <w:rPr>
          <w:rFonts w:ascii="Times New Roman" w:hAnsi="Times New Roman" w:cs="Times New Roman"/>
        </w:rPr>
        <w:t xml:space="preserve">each sentence orally </w:t>
      </w:r>
      <w:r w:rsidR="00F86DF7">
        <w:rPr>
          <w:rFonts w:ascii="Times New Roman" w:hAnsi="Times New Roman" w:cs="Times New Roman"/>
        </w:rPr>
        <w:t xml:space="preserve">using any form of the verb </w:t>
      </w:r>
      <w:r w:rsidR="00FD0563">
        <w:rPr>
          <w:rFonts w:ascii="Times New Roman" w:hAnsi="Times New Roman" w:cs="Times New Roman"/>
        </w:rPr>
        <w:t>whose infinitive</w:t>
      </w:r>
      <w:r w:rsidR="00F86DF7">
        <w:rPr>
          <w:rFonts w:ascii="Times New Roman" w:hAnsi="Times New Roman" w:cs="Times New Roman"/>
        </w:rPr>
        <w:t xml:space="preserve"> appeared on the screen, as well as any words that were missing.</w:t>
      </w:r>
      <w:r w:rsidR="006725FB">
        <w:rPr>
          <w:rFonts w:ascii="Times New Roman" w:hAnsi="Times New Roman" w:cs="Times New Roman"/>
        </w:rPr>
        <w:t xml:space="preserve"> Example sentences of the stimuli targeting subjunctive and DOM can be found in </w:t>
      </w:r>
      <w:r w:rsidR="00BB4DC0">
        <w:rPr>
          <w:rFonts w:ascii="Times New Roman" w:hAnsi="Times New Roman" w:cs="Times New Roman"/>
        </w:rPr>
        <w:t>AUTHOR</w:t>
      </w:r>
      <w:r w:rsidR="006725FB">
        <w:rPr>
          <w:rFonts w:ascii="Times New Roman" w:hAnsi="Times New Roman" w:cs="Times New Roman"/>
        </w:rPr>
        <w:t>.</w:t>
      </w:r>
    </w:p>
    <w:p w14:paraId="72C9D3A1" w14:textId="5A6D8DCF" w:rsidR="00C47541" w:rsidRDefault="00C47541" w:rsidP="005A59A5">
      <w:pPr>
        <w:ind w:firstLine="720"/>
        <w:jc w:val="both"/>
        <w:rPr>
          <w:rFonts w:ascii="Times New Roman" w:hAnsi="Times New Roman" w:cs="Times New Roman"/>
        </w:rPr>
      </w:pPr>
      <w:r>
        <w:rPr>
          <w:rFonts w:ascii="Times New Roman" w:hAnsi="Times New Roman" w:cs="Times New Roman"/>
        </w:rPr>
        <w:t xml:space="preserve">The final task involved </w:t>
      </w:r>
      <w:r w:rsidR="00F441E3">
        <w:rPr>
          <w:rFonts w:ascii="Times New Roman" w:hAnsi="Times New Roman" w:cs="Times New Roman"/>
        </w:rPr>
        <w:t>distinguishing between</w:t>
      </w:r>
      <w:r w:rsidR="00155C9E">
        <w:rPr>
          <w:rFonts w:ascii="Times New Roman" w:hAnsi="Times New Roman" w:cs="Times New Roman"/>
        </w:rPr>
        <w:t xml:space="preserve"> a</w:t>
      </w:r>
      <w:r w:rsidR="00F441E3">
        <w:rPr>
          <w:rFonts w:ascii="Times New Roman" w:hAnsi="Times New Roman" w:cs="Times New Roman"/>
        </w:rPr>
        <w:t xml:space="preserve"> grammatical </w:t>
      </w:r>
      <w:r w:rsidR="00155C9E">
        <w:rPr>
          <w:rFonts w:ascii="Times New Roman" w:hAnsi="Times New Roman" w:cs="Times New Roman"/>
        </w:rPr>
        <w:t>and an</w:t>
      </w:r>
      <w:r w:rsidR="00F441E3">
        <w:rPr>
          <w:rFonts w:ascii="Times New Roman" w:hAnsi="Times New Roman" w:cs="Times New Roman"/>
        </w:rPr>
        <w:t xml:space="preserve"> ungrammatical sentence. This selection task required that participants again review a </w:t>
      </w:r>
      <w:r w:rsidR="006B7BA2">
        <w:rPr>
          <w:rFonts w:ascii="Times New Roman" w:hAnsi="Times New Roman" w:cs="Times New Roman"/>
        </w:rPr>
        <w:t>preamble</w:t>
      </w:r>
      <w:r w:rsidR="009F25B6">
        <w:rPr>
          <w:rFonts w:ascii="Times New Roman" w:hAnsi="Times New Roman" w:cs="Times New Roman"/>
        </w:rPr>
        <w:t>,</w:t>
      </w:r>
      <w:r w:rsidR="006B7BA2">
        <w:rPr>
          <w:rFonts w:ascii="Times New Roman" w:hAnsi="Times New Roman" w:cs="Times New Roman"/>
        </w:rPr>
        <w:t xml:space="preserve"> </w:t>
      </w:r>
      <w:r w:rsidR="009F25B6">
        <w:rPr>
          <w:rFonts w:ascii="Times New Roman" w:hAnsi="Times New Roman" w:cs="Times New Roman"/>
        </w:rPr>
        <w:t>which ended with a question. Participants needed to</w:t>
      </w:r>
      <w:r w:rsidR="00D83AF9">
        <w:rPr>
          <w:rFonts w:ascii="Times New Roman" w:hAnsi="Times New Roman" w:cs="Times New Roman"/>
        </w:rPr>
        <w:t xml:space="preserve"> </w:t>
      </w:r>
      <w:r w:rsidR="003152EE">
        <w:rPr>
          <w:rFonts w:ascii="Times New Roman" w:hAnsi="Times New Roman" w:cs="Times New Roman"/>
        </w:rPr>
        <w:t xml:space="preserve">select which of two written sentences that answered the question sounded best. </w:t>
      </w:r>
      <w:r w:rsidR="0053735D">
        <w:rPr>
          <w:rFonts w:ascii="Times New Roman" w:hAnsi="Times New Roman" w:cs="Times New Roman"/>
        </w:rPr>
        <w:t>F</w:t>
      </w:r>
      <w:r w:rsidR="003152EE">
        <w:rPr>
          <w:rFonts w:ascii="Times New Roman" w:hAnsi="Times New Roman" w:cs="Times New Roman"/>
        </w:rPr>
        <w:t xml:space="preserve">or mood, the </w:t>
      </w:r>
      <w:r w:rsidR="0053735D">
        <w:rPr>
          <w:rFonts w:ascii="Times New Roman" w:hAnsi="Times New Roman" w:cs="Times New Roman"/>
        </w:rPr>
        <w:t>two sentences differed only in the presence of subjunctive and indicative</w:t>
      </w:r>
      <w:r w:rsidR="00ED53EE">
        <w:rPr>
          <w:rFonts w:ascii="Times New Roman" w:hAnsi="Times New Roman" w:cs="Times New Roman"/>
        </w:rPr>
        <w:t>. F</w:t>
      </w:r>
      <w:r w:rsidR="003152EE">
        <w:rPr>
          <w:rFonts w:ascii="Times New Roman" w:hAnsi="Times New Roman" w:cs="Times New Roman"/>
        </w:rPr>
        <w:t xml:space="preserve">or case, </w:t>
      </w:r>
      <w:r w:rsidR="00ED53EE">
        <w:rPr>
          <w:rFonts w:ascii="Times New Roman" w:hAnsi="Times New Roman" w:cs="Times New Roman"/>
        </w:rPr>
        <w:t xml:space="preserve">sentences differed in </w:t>
      </w:r>
      <w:r w:rsidR="003152EE">
        <w:rPr>
          <w:rFonts w:ascii="Times New Roman" w:hAnsi="Times New Roman" w:cs="Times New Roman"/>
        </w:rPr>
        <w:t xml:space="preserve">the presence or absence of DOM between the phrase “tienen que + </w:t>
      </w:r>
      <w:r w:rsidR="000B777C">
        <w:rPr>
          <w:rFonts w:ascii="Times New Roman" w:hAnsi="Times New Roman" w:cs="Times New Roman"/>
        </w:rPr>
        <w:t>i</w:t>
      </w:r>
      <w:r w:rsidR="003152EE">
        <w:rPr>
          <w:rFonts w:ascii="Times New Roman" w:hAnsi="Times New Roman" w:cs="Times New Roman"/>
        </w:rPr>
        <w:t>nfinitive” (‘</w:t>
      </w:r>
      <w:r w:rsidR="003152EE">
        <w:rPr>
          <w:rFonts w:ascii="Times New Roman" w:hAnsi="Times New Roman" w:cs="Times New Roman"/>
          <w:i/>
          <w:iCs/>
        </w:rPr>
        <w:t>they have to</w:t>
      </w:r>
      <w:r w:rsidR="003152EE">
        <w:rPr>
          <w:rFonts w:ascii="Times New Roman" w:hAnsi="Times New Roman" w:cs="Times New Roman"/>
        </w:rPr>
        <w:t xml:space="preserve">’ + infinitive) </w:t>
      </w:r>
      <w:r w:rsidR="00C823DC">
        <w:rPr>
          <w:rFonts w:ascii="Times New Roman" w:hAnsi="Times New Roman" w:cs="Times New Roman"/>
        </w:rPr>
        <w:t xml:space="preserve">and the proper noun </w:t>
      </w:r>
      <w:r w:rsidR="00C823DC">
        <w:rPr>
          <w:rFonts w:ascii="Times New Roman" w:hAnsi="Times New Roman" w:cs="Times New Roman"/>
          <w:i/>
          <w:iCs/>
        </w:rPr>
        <w:t>Jua</w:t>
      </w:r>
      <w:r w:rsidR="00591828">
        <w:rPr>
          <w:rFonts w:ascii="Times New Roman" w:hAnsi="Times New Roman" w:cs="Times New Roman"/>
          <w:i/>
          <w:iCs/>
        </w:rPr>
        <w:t>n</w:t>
      </w:r>
      <w:r w:rsidR="00D95F54">
        <w:rPr>
          <w:rFonts w:ascii="Times New Roman" w:hAnsi="Times New Roman" w:cs="Times New Roman"/>
          <w:i/>
          <w:iCs/>
        </w:rPr>
        <w:t>ito</w:t>
      </w:r>
      <w:r w:rsidR="00F441E3">
        <w:rPr>
          <w:rFonts w:ascii="Times New Roman" w:hAnsi="Times New Roman" w:cs="Times New Roman"/>
        </w:rPr>
        <w:t>.</w:t>
      </w:r>
    </w:p>
    <w:p w14:paraId="44422B5E" w14:textId="2AF2DDAB" w:rsidR="00050870" w:rsidRDefault="00F441E3" w:rsidP="005A59A5">
      <w:pPr>
        <w:ind w:firstLine="720"/>
        <w:jc w:val="both"/>
        <w:rPr>
          <w:rFonts w:ascii="Times New Roman" w:hAnsi="Times New Roman" w:cs="Times New Roman"/>
        </w:rPr>
      </w:pPr>
      <w:r>
        <w:rPr>
          <w:rFonts w:ascii="Times New Roman" w:hAnsi="Times New Roman" w:cs="Times New Roman"/>
        </w:rPr>
        <w:t xml:space="preserve">Concerted effort was made to make the two tasks maximally </w:t>
      </w:r>
      <w:r w:rsidR="00DF6741">
        <w:rPr>
          <w:rFonts w:ascii="Times New Roman" w:hAnsi="Times New Roman" w:cs="Times New Roman"/>
        </w:rPr>
        <w:t>comparable</w:t>
      </w:r>
      <w:r>
        <w:rPr>
          <w:rFonts w:ascii="Times New Roman" w:hAnsi="Times New Roman" w:cs="Times New Roman"/>
        </w:rPr>
        <w:t xml:space="preserve">, such that any differences reported between productive and receptive knowledge were not due to conspiring factors such as </w:t>
      </w:r>
      <w:r w:rsidR="003F43AC">
        <w:rPr>
          <w:rFonts w:ascii="Times New Roman" w:hAnsi="Times New Roman" w:cs="Times New Roman"/>
        </w:rPr>
        <w:t xml:space="preserve">verb </w:t>
      </w:r>
      <w:r>
        <w:rPr>
          <w:rFonts w:ascii="Times New Roman" w:hAnsi="Times New Roman" w:cs="Times New Roman"/>
        </w:rPr>
        <w:t xml:space="preserve">type or token frequency. The same </w:t>
      </w:r>
      <w:r w:rsidR="006B7BA2">
        <w:rPr>
          <w:rFonts w:ascii="Times New Roman" w:hAnsi="Times New Roman" w:cs="Times New Roman"/>
        </w:rPr>
        <w:t xml:space="preserve">disyllabic, transitive </w:t>
      </w:r>
      <w:r>
        <w:rPr>
          <w:rFonts w:ascii="Times New Roman" w:hAnsi="Times New Roman" w:cs="Times New Roman"/>
        </w:rPr>
        <w:t xml:space="preserve">subordinate verbs </w:t>
      </w:r>
      <w:r w:rsidR="003F43AC">
        <w:rPr>
          <w:rFonts w:ascii="Times New Roman" w:hAnsi="Times New Roman" w:cs="Times New Roman"/>
        </w:rPr>
        <w:t xml:space="preserve">with canonical –ar inflections, the most frequent in Spanish, </w:t>
      </w:r>
      <w:r>
        <w:rPr>
          <w:rFonts w:ascii="Times New Roman" w:hAnsi="Times New Roman" w:cs="Times New Roman"/>
        </w:rPr>
        <w:t>were used on each task</w:t>
      </w:r>
      <w:r w:rsidR="00317BC5">
        <w:rPr>
          <w:rFonts w:ascii="Times New Roman" w:hAnsi="Times New Roman" w:cs="Times New Roman"/>
        </w:rPr>
        <w:t xml:space="preserve">. </w:t>
      </w:r>
      <w:r w:rsidR="006B7BA2">
        <w:rPr>
          <w:rFonts w:ascii="Times New Roman" w:hAnsi="Times New Roman" w:cs="Times New Roman"/>
        </w:rPr>
        <w:t>Therefore, differences between the production and selection tasks could not be attributable to type of verbal inflection, vocabulary frequency, or syllable count</w:t>
      </w:r>
      <w:r>
        <w:rPr>
          <w:rFonts w:ascii="Times New Roman" w:hAnsi="Times New Roman" w:cs="Times New Roman"/>
        </w:rPr>
        <w:t>.</w:t>
      </w:r>
    </w:p>
    <w:p w14:paraId="0E03B24C" w14:textId="77777777" w:rsidR="00840E68" w:rsidRDefault="00840E68" w:rsidP="00840E68">
      <w:pPr>
        <w:jc w:val="both"/>
        <w:rPr>
          <w:rFonts w:ascii="Times New Roman" w:hAnsi="Times New Roman" w:cs="Times New Roman"/>
        </w:rPr>
      </w:pPr>
    </w:p>
    <w:p w14:paraId="1F4ACFCC" w14:textId="77777777" w:rsidR="00E5363C" w:rsidRDefault="00E5363C" w:rsidP="00840E68">
      <w:pPr>
        <w:jc w:val="both"/>
        <w:rPr>
          <w:rFonts w:ascii="Times New Roman" w:hAnsi="Times New Roman" w:cs="Times New Roman"/>
        </w:rPr>
      </w:pPr>
    </w:p>
    <w:p w14:paraId="7BDA9CDB" w14:textId="2AF1EC38" w:rsidR="00050870" w:rsidRDefault="00840E68" w:rsidP="00840E68">
      <w:pPr>
        <w:rPr>
          <w:rFonts w:ascii="Times New Roman" w:hAnsi="Times New Roman" w:cs="Times New Roman"/>
        </w:rPr>
      </w:pPr>
      <w:r>
        <w:rPr>
          <w:rFonts w:ascii="Times New Roman" w:hAnsi="Times New Roman" w:cs="Times New Roman"/>
          <w:b/>
          <w:bCs/>
        </w:rPr>
        <w:t xml:space="preserve">4 </w:t>
      </w:r>
      <w:r w:rsidR="00050870">
        <w:rPr>
          <w:rFonts w:ascii="Times New Roman" w:hAnsi="Times New Roman" w:cs="Times New Roman"/>
          <w:b/>
          <w:bCs/>
        </w:rPr>
        <w:t>Results</w:t>
      </w:r>
    </w:p>
    <w:p w14:paraId="00A38973" w14:textId="77777777" w:rsidR="00840E68" w:rsidRDefault="00840E68" w:rsidP="00840E68">
      <w:pPr>
        <w:jc w:val="both"/>
        <w:rPr>
          <w:rFonts w:ascii="Times New Roman" w:hAnsi="Times New Roman" w:cs="Times New Roman"/>
        </w:rPr>
      </w:pPr>
    </w:p>
    <w:p w14:paraId="1EEF9F5B" w14:textId="6EE81737" w:rsidR="00836B5B" w:rsidRDefault="008C4E2B" w:rsidP="005A59A5">
      <w:pPr>
        <w:ind w:firstLine="720"/>
        <w:jc w:val="both"/>
        <w:rPr>
          <w:rFonts w:ascii="Times New Roman" w:hAnsi="Times New Roman" w:cs="Times New Roman"/>
        </w:rPr>
      </w:pPr>
      <w:r>
        <w:rPr>
          <w:rFonts w:ascii="Times New Roman" w:hAnsi="Times New Roman" w:cs="Times New Roman"/>
        </w:rPr>
        <w:t>A</w:t>
      </w:r>
      <w:r w:rsidR="00F550A9">
        <w:rPr>
          <w:rFonts w:ascii="Times New Roman" w:hAnsi="Times New Roman" w:cs="Times New Roman"/>
        </w:rPr>
        <w:t>ll responses were awarded a score of 1 if the subjunctive and/or DOM were produced</w:t>
      </w:r>
      <w:r>
        <w:rPr>
          <w:rFonts w:ascii="Times New Roman" w:hAnsi="Times New Roman" w:cs="Times New Roman"/>
        </w:rPr>
        <w:t xml:space="preserve"> or </w:t>
      </w:r>
      <w:r w:rsidR="00F550A9">
        <w:rPr>
          <w:rFonts w:ascii="Times New Roman" w:hAnsi="Times New Roman" w:cs="Times New Roman"/>
        </w:rPr>
        <w:t xml:space="preserve">0 if any alternative structure was produced. In instances where participants did not </w:t>
      </w:r>
      <w:r w:rsidR="00836B5B">
        <w:rPr>
          <w:rFonts w:ascii="Times New Roman" w:hAnsi="Times New Roman" w:cs="Times New Roman"/>
        </w:rPr>
        <w:t>respond or produced sentences that did not follow the prompt,</w:t>
      </w:r>
      <w:r w:rsidR="00F87E9D">
        <w:rPr>
          <w:rFonts w:ascii="Times New Roman" w:hAnsi="Times New Roman" w:cs="Times New Roman"/>
        </w:rPr>
        <w:t xml:space="preserve"> responses were left uncoded. From this coding procedure, item-level data were available for the multivariate analyses. Descriptive results </w:t>
      </w:r>
      <w:r w:rsidR="00756BDF">
        <w:rPr>
          <w:rFonts w:ascii="Times New Roman" w:hAnsi="Times New Roman" w:cs="Times New Roman"/>
        </w:rPr>
        <w:t xml:space="preserve">are based on </w:t>
      </w:r>
      <w:r w:rsidR="00F87E9D">
        <w:rPr>
          <w:rFonts w:ascii="Times New Roman" w:hAnsi="Times New Roman" w:cs="Times New Roman"/>
        </w:rPr>
        <w:t xml:space="preserve">ratios where the number of expected responses </w:t>
      </w:r>
      <w:r w:rsidR="00756BDF">
        <w:rPr>
          <w:rFonts w:ascii="Times New Roman" w:hAnsi="Times New Roman" w:cs="Times New Roman"/>
        </w:rPr>
        <w:t>was</w:t>
      </w:r>
      <w:r w:rsidR="00F87E9D">
        <w:rPr>
          <w:rFonts w:ascii="Times New Roman" w:hAnsi="Times New Roman" w:cs="Times New Roman"/>
        </w:rPr>
        <w:t xml:space="preserve"> divided by the total number of responses </w:t>
      </w:r>
      <w:r w:rsidR="0024672C">
        <w:rPr>
          <w:rFonts w:ascii="Times New Roman" w:hAnsi="Times New Roman" w:cs="Times New Roman"/>
        </w:rPr>
        <w:t xml:space="preserve">provided by </w:t>
      </w:r>
      <w:r w:rsidR="00F87E9D">
        <w:rPr>
          <w:rFonts w:ascii="Times New Roman" w:hAnsi="Times New Roman" w:cs="Times New Roman"/>
        </w:rPr>
        <w:t>each participant</w:t>
      </w:r>
      <w:r w:rsidR="00F550A9">
        <w:rPr>
          <w:rFonts w:ascii="Times New Roman" w:hAnsi="Times New Roman" w:cs="Times New Roman"/>
        </w:rPr>
        <w:t>.</w:t>
      </w:r>
      <w:r w:rsidR="003C6E0F">
        <w:rPr>
          <w:rFonts w:ascii="Times New Roman" w:hAnsi="Times New Roman" w:cs="Times New Roman"/>
        </w:rPr>
        <w:t xml:space="preserve"> All analyses took place using RStudio (R Core Team 2022) with the</w:t>
      </w:r>
      <w:r w:rsidR="00DC02DA">
        <w:rPr>
          <w:rFonts w:ascii="Times New Roman" w:hAnsi="Times New Roman" w:cs="Times New Roman"/>
        </w:rPr>
        <w:t xml:space="preserve"> </w:t>
      </w:r>
      <w:r w:rsidR="00DB4CD9">
        <w:rPr>
          <w:rFonts w:ascii="Times New Roman" w:hAnsi="Times New Roman" w:cs="Times New Roman"/>
          <w:i/>
          <w:iCs/>
        </w:rPr>
        <w:t>emmeans</w:t>
      </w:r>
      <w:r w:rsidR="00DB4CD9">
        <w:rPr>
          <w:rFonts w:ascii="Times New Roman" w:hAnsi="Times New Roman" w:cs="Times New Roman"/>
        </w:rPr>
        <w:t xml:space="preserve"> (Lenth 2021), </w:t>
      </w:r>
      <w:r w:rsidR="00DC02DA">
        <w:rPr>
          <w:rFonts w:ascii="Times New Roman" w:hAnsi="Times New Roman" w:cs="Times New Roman"/>
          <w:i/>
          <w:iCs/>
        </w:rPr>
        <w:t>lme4</w:t>
      </w:r>
      <w:r w:rsidR="00DC02DA">
        <w:rPr>
          <w:rFonts w:ascii="Times New Roman" w:hAnsi="Times New Roman" w:cs="Times New Roman"/>
        </w:rPr>
        <w:t xml:space="preserve"> (</w:t>
      </w:r>
      <w:r w:rsidR="00EF49D0">
        <w:rPr>
          <w:rFonts w:ascii="Times New Roman" w:hAnsi="Times New Roman" w:cs="Times New Roman"/>
        </w:rPr>
        <w:t>Bates et al. 2015</w:t>
      </w:r>
      <w:r w:rsidR="00DC02DA">
        <w:rPr>
          <w:rFonts w:ascii="Times New Roman" w:hAnsi="Times New Roman" w:cs="Times New Roman"/>
        </w:rPr>
        <w:t xml:space="preserve">), </w:t>
      </w:r>
      <w:r w:rsidR="00DC02DA">
        <w:rPr>
          <w:rFonts w:ascii="Times New Roman" w:hAnsi="Times New Roman" w:cs="Times New Roman"/>
          <w:i/>
          <w:iCs/>
        </w:rPr>
        <w:t>lmerTest</w:t>
      </w:r>
      <w:r w:rsidR="00DC02DA">
        <w:rPr>
          <w:rFonts w:ascii="Times New Roman" w:hAnsi="Times New Roman" w:cs="Times New Roman"/>
        </w:rPr>
        <w:t xml:space="preserve"> (Kuznetsova et al. 2017),</w:t>
      </w:r>
      <w:r w:rsidR="003C6E0F">
        <w:rPr>
          <w:rFonts w:ascii="Times New Roman" w:hAnsi="Times New Roman" w:cs="Times New Roman"/>
        </w:rPr>
        <w:t xml:space="preserve"> </w:t>
      </w:r>
      <w:r w:rsidR="00DC02DA">
        <w:rPr>
          <w:rFonts w:ascii="Times New Roman" w:hAnsi="Times New Roman" w:cs="Times New Roman"/>
        </w:rPr>
        <w:t xml:space="preserve">and </w:t>
      </w:r>
      <w:r w:rsidR="003C6E0F">
        <w:rPr>
          <w:rFonts w:ascii="Times New Roman" w:hAnsi="Times New Roman" w:cs="Times New Roman"/>
          <w:i/>
          <w:iCs/>
        </w:rPr>
        <w:t>tidyverse</w:t>
      </w:r>
      <w:r w:rsidR="003C6E0F">
        <w:rPr>
          <w:rFonts w:ascii="Times New Roman" w:hAnsi="Times New Roman" w:cs="Times New Roman"/>
        </w:rPr>
        <w:t xml:space="preserve"> (Wickham et al.</w:t>
      </w:r>
      <w:r w:rsidR="00DA2137">
        <w:rPr>
          <w:rFonts w:ascii="Times New Roman" w:hAnsi="Times New Roman" w:cs="Times New Roman"/>
        </w:rPr>
        <w:t xml:space="preserve"> 2019</w:t>
      </w:r>
      <w:r w:rsidR="003C6E0F">
        <w:rPr>
          <w:rFonts w:ascii="Times New Roman" w:hAnsi="Times New Roman" w:cs="Times New Roman"/>
        </w:rPr>
        <w:t>) packages.</w:t>
      </w:r>
      <w:r w:rsidR="0037316C">
        <w:rPr>
          <w:rFonts w:ascii="Times New Roman" w:hAnsi="Times New Roman" w:cs="Times New Roman"/>
        </w:rPr>
        <w:t xml:space="preserve"> </w:t>
      </w:r>
      <w:r w:rsidR="008D55A7">
        <w:rPr>
          <w:rFonts w:ascii="Times New Roman" w:hAnsi="Times New Roman" w:cs="Times New Roman"/>
        </w:rPr>
        <w:t xml:space="preserve">Descriptive findings of percentages of production and selection of both structures </w:t>
      </w:r>
      <w:r w:rsidR="00B6354A">
        <w:rPr>
          <w:rFonts w:ascii="Times New Roman" w:hAnsi="Times New Roman" w:cs="Times New Roman"/>
        </w:rPr>
        <w:t xml:space="preserve">by age group (HS5, HS7/8, HSA, and SDBA) </w:t>
      </w:r>
      <w:r w:rsidR="008D55A7">
        <w:rPr>
          <w:rFonts w:ascii="Times New Roman" w:hAnsi="Times New Roman" w:cs="Times New Roman"/>
        </w:rPr>
        <w:t>are summarized in Figure 2</w:t>
      </w:r>
      <w:r w:rsidR="00B6354A">
        <w:rPr>
          <w:rFonts w:ascii="Times New Roman" w:hAnsi="Times New Roman" w:cs="Times New Roman"/>
        </w:rPr>
        <w:t xml:space="preserve"> and Table 2. The role of instruction on children’s development of subjunctive and DOM is </w:t>
      </w:r>
      <w:r w:rsidR="00B6354A">
        <w:rPr>
          <w:rFonts w:ascii="Times New Roman" w:hAnsi="Times New Roman" w:cs="Times New Roman"/>
        </w:rPr>
        <w:lastRenderedPageBreak/>
        <w:t>summarized in Figure 3</w:t>
      </w:r>
      <w:r w:rsidR="00851269">
        <w:rPr>
          <w:rFonts w:ascii="Times New Roman" w:hAnsi="Times New Roman" w:cs="Times New Roman"/>
        </w:rPr>
        <w:t xml:space="preserve"> and Table 3</w:t>
      </w:r>
      <w:r w:rsidR="008D55A7">
        <w:rPr>
          <w:rFonts w:ascii="Times New Roman" w:hAnsi="Times New Roman" w:cs="Times New Roman"/>
        </w:rPr>
        <w:t>. The role of Spanish use on individual differences in the production and selection of both structures is summarized in Figure 4.</w:t>
      </w:r>
    </w:p>
    <w:p w14:paraId="23CA9712" w14:textId="7496803D" w:rsidR="00195767" w:rsidRDefault="00C32037" w:rsidP="005A59A5">
      <w:pPr>
        <w:ind w:firstLine="720"/>
        <w:jc w:val="both"/>
        <w:rPr>
          <w:rFonts w:ascii="Times New Roman" w:hAnsi="Times New Roman" w:cs="Times New Roman"/>
        </w:rPr>
      </w:pPr>
      <w:r>
        <w:rPr>
          <w:rFonts w:ascii="Times New Roman" w:hAnsi="Times New Roman" w:cs="Times New Roman"/>
        </w:rPr>
        <w:t>Beyond these findings, t</w:t>
      </w:r>
      <w:r w:rsidR="005435F7">
        <w:rPr>
          <w:rFonts w:ascii="Times New Roman" w:hAnsi="Times New Roman" w:cs="Times New Roman"/>
        </w:rPr>
        <w:t xml:space="preserve">he present project </w:t>
      </w:r>
      <w:r>
        <w:rPr>
          <w:rFonts w:ascii="Times New Roman" w:hAnsi="Times New Roman" w:cs="Times New Roman"/>
        </w:rPr>
        <w:t>integrates</w:t>
      </w:r>
      <w:r w:rsidR="005435F7">
        <w:rPr>
          <w:rFonts w:ascii="Times New Roman" w:hAnsi="Times New Roman" w:cs="Times New Roman"/>
        </w:rPr>
        <w:t xml:space="preserve"> multivariate analyses incorporating both the subjunctive and DOM in a single model; however,</w:t>
      </w:r>
      <w:r w:rsidR="00A169DF">
        <w:rPr>
          <w:rFonts w:ascii="Times New Roman" w:hAnsi="Times New Roman" w:cs="Times New Roman"/>
        </w:rPr>
        <w:t xml:space="preserve"> </w:t>
      </w:r>
      <w:r w:rsidR="005435F7">
        <w:rPr>
          <w:rFonts w:ascii="Times New Roman" w:hAnsi="Times New Roman" w:cs="Times New Roman"/>
        </w:rPr>
        <w:t>r</w:t>
      </w:r>
      <w:r w:rsidR="003A6FEB">
        <w:rPr>
          <w:rFonts w:ascii="Times New Roman" w:hAnsi="Times New Roman" w:cs="Times New Roman"/>
        </w:rPr>
        <w:t xml:space="preserve">eaders interested in </w:t>
      </w:r>
      <w:r w:rsidR="0024672C">
        <w:rPr>
          <w:rFonts w:ascii="Times New Roman" w:hAnsi="Times New Roman" w:cs="Times New Roman"/>
        </w:rPr>
        <w:t>subjunctive</w:t>
      </w:r>
      <w:r w:rsidR="005435F7">
        <w:rPr>
          <w:rFonts w:ascii="Times New Roman" w:hAnsi="Times New Roman" w:cs="Times New Roman"/>
        </w:rPr>
        <w:t>-specific</w:t>
      </w:r>
      <w:r w:rsidR="00165D2F">
        <w:rPr>
          <w:rFonts w:ascii="Times New Roman" w:hAnsi="Times New Roman" w:cs="Times New Roman"/>
        </w:rPr>
        <w:t xml:space="preserve"> </w:t>
      </w:r>
      <w:r>
        <w:rPr>
          <w:rFonts w:ascii="Times New Roman" w:hAnsi="Times New Roman" w:cs="Times New Roman"/>
        </w:rPr>
        <w:t>results</w:t>
      </w:r>
      <w:r w:rsidR="00165D2F">
        <w:rPr>
          <w:rFonts w:ascii="Times New Roman" w:hAnsi="Times New Roman" w:cs="Times New Roman"/>
        </w:rPr>
        <w:t xml:space="preserve"> are referred to </w:t>
      </w:r>
      <w:r w:rsidR="005674B1">
        <w:rPr>
          <w:rFonts w:ascii="Times New Roman" w:hAnsi="Times New Roman" w:cs="Times New Roman"/>
        </w:rPr>
        <w:t>AUTHOR</w:t>
      </w:r>
      <w:r w:rsidR="00165D2F">
        <w:rPr>
          <w:rFonts w:ascii="Times New Roman" w:hAnsi="Times New Roman" w:cs="Times New Roman"/>
        </w:rPr>
        <w:t xml:space="preserve"> concerning </w:t>
      </w:r>
      <w:r w:rsidR="0035173E">
        <w:rPr>
          <w:rFonts w:ascii="Times New Roman" w:hAnsi="Times New Roman" w:cs="Times New Roman"/>
        </w:rPr>
        <w:t xml:space="preserve">its </w:t>
      </w:r>
      <w:r w:rsidR="0026450E">
        <w:rPr>
          <w:rFonts w:ascii="Times New Roman" w:hAnsi="Times New Roman" w:cs="Times New Roman"/>
        </w:rPr>
        <w:t xml:space="preserve">acquisition </w:t>
      </w:r>
      <w:r w:rsidR="00A169DF">
        <w:rPr>
          <w:rFonts w:ascii="Times New Roman" w:hAnsi="Times New Roman" w:cs="Times New Roman"/>
        </w:rPr>
        <w:t xml:space="preserve">from childhood to adulthood and </w:t>
      </w:r>
      <w:r w:rsidR="005674B1">
        <w:rPr>
          <w:rFonts w:ascii="Times New Roman" w:hAnsi="Times New Roman" w:cs="Times New Roman"/>
        </w:rPr>
        <w:t>AUTHOR</w:t>
      </w:r>
      <w:r w:rsidR="00A169DF">
        <w:rPr>
          <w:rFonts w:ascii="Times New Roman" w:hAnsi="Times New Roman" w:cs="Times New Roman"/>
        </w:rPr>
        <w:t xml:space="preserve"> concerning </w:t>
      </w:r>
      <w:r w:rsidR="0035173E">
        <w:rPr>
          <w:rFonts w:ascii="Times New Roman" w:hAnsi="Times New Roman" w:cs="Times New Roman"/>
        </w:rPr>
        <w:t>its</w:t>
      </w:r>
      <w:r w:rsidR="00A169DF">
        <w:rPr>
          <w:rFonts w:ascii="Times New Roman" w:hAnsi="Times New Roman" w:cs="Times New Roman"/>
        </w:rPr>
        <w:t xml:space="preserve"> acquisition in monolingually </w:t>
      </w:r>
      <w:r w:rsidR="00B63108">
        <w:rPr>
          <w:rFonts w:ascii="Times New Roman" w:hAnsi="Times New Roman" w:cs="Times New Roman"/>
        </w:rPr>
        <w:t>versus</w:t>
      </w:r>
      <w:r w:rsidR="00A169DF">
        <w:rPr>
          <w:rFonts w:ascii="Times New Roman" w:hAnsi="Times New Roman" w:cs="Times New Roman"/>
        </w:rPr>
        <w:t xml:space="preserve"> </w:t>
      </w:r>
      <w:r w:rsidR="00A64773">
        <w:rPr>
          <w:rFonts w:ascii="Times New Roman" w:hAnsi="Times New Roman" w:cs="Times New Roman"/>
        </w:rPr>
        <w:t>bilingually educated</w:t>
      </w:r>
      <w:r w:rsidR="00A169DF">
        <w:rPr>
          <w:rFonts w:ascii="Times New Roman" w:hAnsi="Times New Roman" w:cs="Times New Roman"/>
        </w:rPr>
        <w:t xml:space="preserve"> children. </w:t>
      </w:r>
      <w:r w:rsidR="00165D2F">
        <w:rPr>
          <w:rFonts w:ascii="Times New Roman" w:hAnsi="Times New Roman" w:cs="Times New Roman"/>
        </w:rPr>
        <w:t>Relatedly</w:t>
      </w:r>
      <w:r w:rsidR="00A169DF">
        <w:rPr>
          <w:rFonts w:ascii="Times New Roman" w:hAnsi="Times New Roman" w:cs="Times New Roman"/>
        </w:rPr>
        <w:t xml:space="preserve">, statistics regarding the acquisition of DOM across child and adult HSs are reported in </w:t>
      </w:r>
      <w:r w:rsidR="005674B1">
        <w:rPr>
          <w:rFonts w:ascii="Times New Roman" w:hAnsi="Times New Roman" w:cs="Times New Roman"/>
        </w:rPr>
        <w:t>AUTHOR,</w:t>
      </w:r>
      <w:r w:rsidR="00A169DF">
        <w:rPr>
          <w:rFonts w:ascii="Times New Roman" w:hAnsi="Times New Roman" w:cs="Times New Roman"/>
        </w:rPr>
        <w:t xml:space="preserve"> with data concerning the role of </w:t>
      </w:r>
      <w:r w:rsidR="00BC0C38">
        <w:rPr>
          <w:rFonts w:ascii="Times New Roman" w:hAnsi="Times New Roman" w:cs="Times New Roman"/>
        </w:rPr>
        <w:t xml:space="preserve">HL </w:t>
      </w:r>
      <w:r w:rsidR="00A169DF">
        <w:rPr>
          <w:rFonts w:ascii="Times New Roman" w:hAnsi="Times New Roman" w:cs="Times New Roman"/>
        </w:rPr>
        <w:t xml:space="preserve">education in DOM acquisition in </w:t>
      </w:r>
      <w:r w:rsidR="005674B1">
        <w:rPr>
          <w:rFonts w:ascii="Times New Roman" w:hAnsi="Times New Roman" w:cs="Times New Roman"/>
        </w:rPr>
        <w:t>AUTHOR</w:t>
      </w:r>
      <w:r w:rsidR="00A169DF">
        <w:rPr>
          <w:rFonts w:ascii="Times New Roman" w:hAnsi="Times New Roman" w:cs="Times New Roman"/>
        </w:rPr>
        <w:t>.</w:t>
      </w:r>
    </w:p>
    <w:p w14:paraId="03BC36E6" w14:textId="77777777" w:rsidR="00E5363C" w:rsidRDefault="00E5363C" w:rsidP="00E5363C">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990"/>
        <w:gridCol w:w="1023"/>
        <w:gridCol w:w="1024"/>
        <w:gridCol w:w="1024"/>
        <w:gridCol w:w="1024"/>
        <w:gridCol w:w="1024"/>
        <w:gridCol w:w="1024"/>
        <w:gridCol w:w="1024"/>
        <w:gridCol w:w="1024"/>
      </w:tblGrid>
      <w:tr w:rsidR="007E02C9" w:rsidRPr="00D77C3B" w14:paraId="334C3D83" w14:textId="77777777" w:rsidTr="009E1271">
        <w:trPr>
          <w:jc w:val="center"/>
        </w:trPr>
        <w:tc>
          <w:tcPr>
            <w:tcW w:w="990" w:type="dxa"/>
            <w:vMerge w:val="restart"/>
            <w:shd w:val="clear" w:color="auto" w:fill="auto"/>
            <w:vAlign w:val="center"/>
          </w:tcPr>
          <w:p w14:paraId="2D5A0994" w14:textId="36EC36EC" w:rsidR="007E02C9" w:rsidRPr="00D77C3B" w:rsidRDefault="007E02C9" w:rsidP="005A59A5">
            <w:pPr>
              <w:jc w:val="center"/>
              <w:rPr>
                <w:rFonts w:ascii="Times New Roman" w:hAnsi="Times New Roman" w:cs="Times New Roman"/>
                <w:b/>
                <w:bCs/>
                <w:color w:val="000000" w:themeColor="text1"/>
              </w:rPr>
            </w:pPr>
            <w:r w:rsidRPr="00D77C3B">
              <w:rPr>
                <w:rFonts w:ascii="Times New Roman" w:hAnsi="Times New Roman" w:cs="Times New Roman"/>
                <w:b/>
                <w:bCs/>
                <w:color w:val="000000" w:themeColor="text1"/>
              </w:rPr>
              <w:t>Group</w:t>
            </w:r>
          </w:p>
        </w:tc>
        <w:tc>
          <w:tcPr>
            <w:tcW w:w="4095" w:type="dxa"/>
            <w:gridSpan w:val="4"/>
            <w:shd w:val="clear" w:color="auto" w:fill="auto"/>
            <w:vAlign w:val="center"/>
          </w:tcPr>
          <w:p w14:paraId="71B150D8" w14:textId="7B677E67" w:rsidR="007E02C9" w:rsidRDefault="007E02C9" w:rsidP="005A59A5">
            <w:pPr>
              <w:jc w:val="center"/>
              <w:rPr>
                <w:rFonts w:ascii="Times New Roman" w:hAnsi="Times New Roman" w:cs="Times New Roman"/>
                <w:b/>
                <w:bCs/>
                <w:color w:val="000000" w:themeColor="text1"/>
              </w:rPr>
            </w:pPr>
            <w:r>
              <w:rPr>
                <w:rFonts w:ascii="Times New Roman" w:hAnsi="Times New Roman" w:cs="Times New Roman"/>
                <w:b/>
                <w:bCs/>
                <w:color w:val="000000" w:themeColor="text1"/>
              </w:rPr>
              <w:t>Subjunctive</w:t>
            </w:r>
          </w:p>
        </w:tc>
        <w:tc>
          <w:tcPr>
            <w:tcW w:w="4096" w:type="dxa"/>
            <w:gridSpan w:val="4"/>
            <w:shd w:val="clear" w:color="auto" w:fill="auto"/>
          </w:tcPr>
          <w:p w14:paraId="127BD2A2" w14:textId="02787D38" w:rsidR="007E02C9" w:rsidRDefault="007E02C9" w:rsidP="005A59A5">
            <w:pPr>
              <w:jc w:val="center"/>
              <w:rPr>
                <w:rFonts w:ascii="Times New Roman" w:hAnsi="Times New Roman" w:cs="Times New Roman"/>
                <w:b/>
                <w:bCs/>
                <w:color w:val="000000" w:themeColor="text1"/>
              </w:rPr>
            </w:pPr>
            <w:r>
              <w:rPr>
                <w:rFonts w:ascii="Times New Roman" w:hAnsi="Times New Roman" w:cs="Times New Roman"/>
                <w:b/>
                <w:bCs/>
                <w:color w:val="000000" w:themeColor="text1"/>
              </w:rPr>
              <w:t>DOM</w:t>
            </w:r>
          </w:p>
        </w:tc>
      </w:tr>
      <w:tr w:rsidR="007E02C9" w:rsidRPr="00D77C3B" w14:paraId="1D4DD19D" w14:textId="6162E5A5" w:rsidTr="009E1271">
        <w:trPr>
          <w:jc w:val="center"/>
        </w:trPr>
        <w:tc>
          <w:tcPr>
            <w:tcW w:w="990" w:type="dxa"/>
            <w:vMerge/>
            <w:shd w:val="clear" w:color="auto" w:fill="auto"/>
            <w:vAlign w:val="center"/>
          </w:tcPr>
          <w:p w14:paraId="281035E6" w14:textId="096D0883" w:rsidR="007E02C9" w:rsidRPr="00D77C3B" w:rsidRDefault="007E02C9" w:rsidP="005A59A5">
            <w:pPr>
              <w:jc w:val="center"/>
              <w:rPr>
                <w:rFonts w:ascii="Times New Roman" w:hAnsi="Times New Roman" w:cs="Times New Roman"/>
                <w:b/>
                <w:bCs/>
                <w:color w:val="000000" w:themeColor="text1"/>
              </w:rPr>
            </w:pPr>
          </w:p>
        </w:tc>
        <w:tc>
          <w:tcPr>
            <w:tcW w:w="2047" w:type="dxa"/>
            <w:gridSpan w:val="2"/>
            <w:shd w:val="clear" w:color="auto" w:fill="auto"/>
            <w:vAlign w:val="center"/>
          </w:tcPr>
          <w:p w14:paraId="10F07134" w14:textId="131A839B" w:rsidR="007E02C9" w:rsidRPr="00D77C3B" w:rsidRDefault="007E02C9" w:rsidP="005A59A5">
            <w:pPr>
              <w:jc w:val="center"/>
              <w:rPr>
                <w:rFonts w:ascii="Times New Roman" w:hAnsi="Times New Roman" w:cs="Times New Roman"/>
                <w:b/>
                <w:bCs/>
                <w:color w:val="000000" w:themeColor="text1"/>
              </w:rPr>
            </w:pPr>
            <w:r>
              <w:rPr>
                <w:rFonts w:ascii="Times New Roman" w:hAnsi="Times New Roman" w:cs="Times New Roman"/>
                <w:b/>
                <w:bCs/>
                <w:color w:val="000000" w:themeColor="text1"/>
              </w:rPr>
              <w:t>Production</w:t>
            </w:r>
          </w:p>
        </w:tc>
        <w:tc>
          <w:tcPr>
            <w:tcW w:w="2048" w:type="dxa"/>
            <w:gridSpan w:val="2"/>
            <w:shd w:val="clear" w:color="auto" w:fill="auto"/>
            <w:vAlign w:val="center"/>
          </w:tcPr>
          <w:p w14:paraId="733397A7" w14:textId="7FB99D68" w:rsidR="007E02C9" w:rsidRPr="00D77C3B" w:rsidRDefault="007E02C9" w:rsidP="005A59A5">
            <w:pPr>
              <w:jc w:val="center"/>
              <w:rPr>
                <w:rFonts w:ascii="Times New Roman" w:hAnsi="Times New Roman" w:cs="Times New Roman"/>
                <w:b/>
                <w:bCs/>
                <w:color w:val="000000" w:themeColor="text1"/>
              </w:rPr>
            </w:pPr>
            <w:r>
              <w:rPr>
                <w:rFonts w:ascii="Times New Roman" w:hAnsi="Times New Roman" w:cs="Times New Roman"/>
                <w:b/>
                <w:bCs/>
                <w:color w:val="000000" w:themeColor="text1"/>
              </w:rPr>
              <w:t>Selection</w:t>
            </w:r>
          </w:p>
        </w:tc>
        <w:tc>
          <w:tcPr>
            <w:tcW w:w="2048" w:type="dxa"/>
            <w:gridSpan w:val="2"/>
            <w:shd w:val="clear" w:color="auto" w:fill="auto"/>
          </w:tcPr>
          <w:p w14:paraId="2A10C9E1" w14:textId="3D044E9B" w:rsidR="007E02C9" w:rsidRPr="00D77C3B" w:rsidRDefault="007E02C9" w:rsidP="005A59A5">
            <w:pPr>
              <w:jc w:val="center"/>
              <w:rPr>
                <w:rFonts w:ascii="Times New Roman" w:hAnsi="Times New Roman" w:cs="Times New Roman"/>
                <w:b/>
                <w:bCs/>
                <w:color w:val="000000" w:themeColor="text1"/>
              </w:rPr>
            </w:pPr>
            <w:r>
              <w:rPr>
                <w:rFonts w:ascii="Times New Roman" w:hAnsi="Times New Roman" w:cs="Times New Roman"/>
                <w:b/>
                <w:bCs/>
                <w:color w:val="000000" w:themeColor="text1"/>
              </w:rPr>
              <w:t>Production</w:t>
            </w:r>
          </w:p>
        </w:tc>
        <w:tc>
          <w:tcPr>
            <w:tcW w:w="2048" w:type="dxa"/>
            <w:gridSpan w:val="2"/>
            <w:shd w:val="clear" w:color="auto" w:fill="auto"/>
          </w:tcPr>
          <w:p w14:paraId="611D7588" w14:textId="07C02957" w:rsidR="007E02C9" w:rsidRPr="00D77C3B" w:rsidRDefault="007E02C9" w:rsidP="005A59A5">
            <w:pPr>
              <w:jc w:val="center"/>
              <w:rPr>
                <w:rFonts w:ascii="Times New Roman" w:hAnsi="Times New Roman" w:cs="Times New Roman"/>
                <w:b/>
                <w:bCs/>
                <w:color w:val="000000" w:themeColor="text1"/>
              </w:rPr>
            </w:pPr>
            <w:r>
              <w:rPr>
                <w:rFonts w:ascii="Times New Roman" w:hAnsi="Times New Roman" w:cs="Times New Roman"/>
                <w:b/>
                <w:bCs/>
                <w:color w:val="000000" w:themeColor="text1"/>
              </w:rPr>
              <w:t>Selection</w:t>
            </w:r>
          </w:p>
        </w:tc>
      </w:tr>
      <w:tr w:rsidR="007E02C9" w:rsidRPr="00D77C3B" w14:paraId="08376582" w14:textId="4232D678" w:rsidTr="009E1271">
        <w:trPr>
          <w:jc w:val="center"/>
        </w:trPr>
        <w:tc>
          <w:tcPr>
            <w:tcW w:w="990" w:type="dxa"/>
            <w:vMerge/>
            <w:shd w:val="clear" w:color="auto" w:fill="auto"/>
          </w:tcPr>
          <w:p w14:paraId="4D6F35BF" w14:textId="77777777" w:rsidR="007E02C9" w:rsidRPr="00D77C3B" w:rsidRDefault="007E02C9" w:rsidP="005A59A5">
            <w:pPr>
              <w:jc w:val="center"/>
              <w:rPr>
                <w:rFonts w:ascii="Times New Roman" w:hAnsi="Times New Roman" w:cs="Times New Roman"/>
                <w:color w:val="000000" w:themeColor="text1"/>
              </w:rPr>
            </w:pPr>
          </w:p>
        </w:tc>
        <w:tc>
          <w:tcPr>
            <w:tcW w:w="1023" w:type="dxa"/>
            <w:shd w:val="clear" w:color="auto" w:fill="auto"/>
          </w:tcPr>
          <w:p w14:paraId="3E6DC5B1" w14:textId="77777777" w:rsidR="007E02C9" w:rsidRPr="00D77C3B" w:rsidRDefault="007E02C9" w:rsidP="005A59A5">
            <w:pPr>
              <w:jc w:val="center"/>
              <w:rPr>
                <w:rFonts w:ascii="Times New Roman" w:hAnsi="Times New Roman" w:cs="Times New Roman"/>
                <w:color w:val="000000" w:themeColor="text1"/>
              </w:rPr>
            </w:pPr>
            <w:r w:rsidRPr="00D77C3B">
              <w:rPr>
                <w:rFonts w:ascii="Times New Roman" w:hAnsi="Times New Roman" w:cs="Times New Roman"/>
                <w:b/>
                <w:bCs/>
                <w:color w:val="000000" w:themeColor="text1"/>
              </w:rPr>
              <w:t>Mean</w:t>
            </w:r>
          </w:p>
        </w:tc>
        <w:tc>
          <w:tcPr>
            <w:tcW w:w="1024" w:type="dxa"/>
            <w:shd w:val="clear" w:color="auto" w:fill="auto"/>
          </w:tcPr>
          <w:p w14:paraId="1445E0F5" w14:textId="77777777" w:rsidR="007E02C9" w:rsidRPr="00D77C3B" w:rsidRDefault="007E02C9" w:rsidP="005A59A5">
            <w:pPr>
              <w:jc w:val="center"/>
              <w:rPr>
                <w:rFonts w:ascii="Times New Roman" w:hAnsi="Times New Roman" w:cs="Times New Roman"/>
                <w:color w:val="000000" w:themeColor="text1"/>
              </w:rPr>
            </w:pPr>
            <w:r w:rsidRPr="00D77C3B">
              <w:rPr>
                <w:rFonts w:ascii="Times New Roman" w:hAnsi="Times New Roman" w:cs="Times New Roman"/>
                <w:b/>
                <w:bCs/>
                <w:color w:val="000000" w:themeColor="text1"/>
              </w:rPr>
              <w:t>SD</w:t>
            </w:r>
          </w:p>
        </w:tc>
        <w:tc>
          <w:tcPr>
            <w:tcW w:w="1024" w:type="dxa"/>
            <w:shd w:val="clear" w:color="auto" w:fill="auto"/>
          </w:tcPr>
          <w:p w14:paraId="57D3DFAF" w14:textId="77777777" w:rsidR="007E02C9" w:rsidRPr="00D77C3B" w:rsidRDefault="007E02C9" w:rsidP="005A59A5">
            <w:pPr>
              <w:jc w:val="center"/>
              <w:rPr>
                <w:rFonts w:ascii="Times New Roman" w:hAnsi="Times New Roman" w:cs="Times New Roman"/>
                <w:color w:val="000000" w:themeColor="text1"/>
              </w:rPr>
            </w:pPr>
            <w:r w:rsidRPr="00D77C3B">
              <w:rPr>
                <w:rFonts w:ascii="Times New Roman" w:hAnsi="Times New Roman" w:cs="Times New Roman"/>
                <w:b/>
                <w:bCs/>
                <w:color w:val="000000" w:themeColor="text1"/>
              </w:rPr>
              <w:t>Mean</w:t>
            </w:r>
          </w:p>
        </w:tc>
        <w:tc>
          <w:tcPr>
            <w:tcW w:w="1024" w:type="dxa"/>
            <w:shd w:val="clear" w:color="auto" w:fill="auto"/>
          </w:tcPr>
          <w:p w14:paraId="76391DC1" w14:textId="77777777" w:rsidR="007E02C9" w:rsidRPr="00D77C3B" w:rsidRDefault="007E02C9" w:rsidP="005A59A5">
            <w:pPr>
              <w:jc w:val="center"/>
              <w:rPr>
                <w:rFonts w:ascii="Times New Roman" w:hAnsi="Times New Roman" w:cs="Times New Roman"/>
                <w:color w:val="000000" w:themeColor="text1"/>
              </w:rPr>
            </w:pPr>
            <w:r w:rsidRPr="00D77C3B">
              <w:rPr>
                <w:rFonts w:ascii="Times New Roman" w:hAnsi="Times New Roman" w:cs="Times New Roman"/>
                <w:b/>
                <w:bCs/>
                <w:color w:val="000000" w:themeColor="text1"/>
              </w:rPr>
              <w:t>SD</w:t>
            </w:r>
          </w:p>
        </w:tc>
        <w:tc>
          <w:tcPr>
            <w:tcW w:w="1024" w:type="dxa"/>
            <w:shd w:val="clear" w:color="auto" w:fill="auto"/>
          </w:tcPr>
          <w:p w14:paraId="57CB5A51" w14:textId="344311CE" w:rsidR="007E02C9" w:rsidRPr="00D77C3B" w:rsidRDefault="007E02C9" w:rsidP="005A59A5">
            <w:pPr>
              <w:jc w:val="center"/>
              <w:rPr>
                <w:rFonts w:ascii="Times New Roman" w:hAnsi="Times New Roman" w:cs="Times New Roman"/>
                <w:b/>
                <w:bCs/>
                <w:color w:val="000000" w:themeColor="text1"/>
              </w:rPr>
            </w:pPr>
            <w:r w:rsidRPr="00D77C3B">
              <w:rPr>
                <w:rFonts w:ascii="Times New Roman" w:hAnsi="Times New Roman" w:cs="Times New Roman"/>
                <w:b/>
                <w:bCs/>
                <w:color w:val="000000" w:themeColor="text1"/>
              </w:rPr>
              <w:t>Mean</w:t>
            </w:r>
          </w:p>
        </w:tc>
        <w:tc>
          <w:tcPr>
            <w:tcW w:w="1024" w:type="dxa"/>
            <w:shd w:val="clear" w:color="auto" w:fill="auto"/>
          </w:tcPr>
          <w:p w14:paraId="2F54B6FC" w14:textId="0C0EE77A" w:rsidR="007E02C9" w:rsidRPr="00D77C3B" w:rsidRDefault="007E02C9" w:rsidP="005A59A5">
            <w:pPr>
              <w:jc w:val="center"/>
              <w:rPr>
                <w:rFonts w:ascii="Times New Roman" w:hAnsi="Times New Roman" w:cs="Times New Roman"/>
                <w:b/>
                <w:bCs/>
                <w:color w:val="000000" w:themeColor="text1"/>
              </w:rPr>
            </w:pPr>
            <w:r w:rsidRPr="00D77C3B">
              <w:rPr>
                <w:rFonts w:ascii="Times New Roman" w:hAnsi="Times New Roman" w:cs="Times New Roman"/>
                <w:b/>
                <w:bCs/>
                <w:color w:val="000000" w:themeColor="text1"/>
              </w:rPr>
              <w:t>SD</w:t>
            </w:r>
          </w:p>
        </w:tc>
        <w:tc>
          <w:tcPr>
            <w:tcW w:w="1024" w:type="dxa"/>
            <w:shd w:val="clear" w:color="auto" w:fill="auto"/>
          </w:tcPr>
          <w:p w14:paraId="5FFCA80E" w14:textId="32D2EC6B" w:rsidR="007E02C9" w:rsidRPr="00D77C3B" w:rsidRDefault="007E02C9" w:rsidP="005A59A5">
            <w:pPr>
              <w:jc w:val="center"/>
              <w:rPr>
                <w:rFonts w:ascii="Times New Roman" w:hAnsi="Times New Roman" w:cs="Times New Roman"/>
                <w:b/>
                <w:bCs/>
                <w:color w:val="000000" w:themeColor="text1"/>
              </w:rPr>
            </w:pPr>
            <w:r w:rsidRPr="00D77C3B">
              <w:rPr>
                <w:rFonts w:ascii="Times New Roman" w:hAnsi="Times New Roman" w:cs="Times New Roman"/>
                <w:b/>
                <w:bCs/>
                <w:color w:val="000000" w:themeColor="text1"/>
              </w:rPr>
              <w:t>Mean</w:t>
            </w:r>
          </w:p>
        </w:tc>
        <w:tc>
          <w:tcPr>
            <w:tcW w:w="1024" w:type="dxa"/>
            <w:shd w:val="clear" w:color="auto" w:fill="auto"/>
          </w:tcPr>
          <w:p w14:paraId="36EAA312" w14:textId="60C48815" w:rsidR="007E02C9" w:rsidRPr="00D77C3B" w:rsidRDefault="007E02C9" w:rsidP="005A59A5">
            <w:pPr>
              <w:jc w:val="center"/>
              <w:rPr>
                <w:rFonts w:ascii="Times New Roman" w:hAnsi="Times New Roman" w:cs="Times New Roman"/>
                <w:b/>
                <w:bCs/>
                <w:color w:val="000000" w:themeColor="text1"/>
              </w:rPr>
            </w:pPr>
            <w:r w:rsidRPr="00D77C3B">
              <w:rPr>
                <w:rFonts w:ascii="Times New Roman" w:hAnsi="Times New Roman" w:cs="Times New Roman"/>
                <w:b/>
                <w:bCs/>
                <w:color w:val="000000" w:themeColor="text1"/>
              </w:rPr>
              <w:t>SD</w:t>
            </w:r>
          </w:p>
        </w:tc>
      </w:tr>
      <w:tr w:rsidR="00265D3B" w:rsidRPr="00D77C3B" w14:paraId="03D05676" w14:textId="627EC7CC" w:rsidTr="00265D3B">
        <w:trPr>
          <w:jc w:val="center"/>
        </w:trPr>
        <w:tc>
          <w:tcPr>
            <w:tcW w:w="990" w:type="dxa"/>
          </w:tcPr>
          <w:p w14:paraId="503DF162" w14:textId="1A6736E9"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HS5</w:t>
            </w:r>
          </w:p>
        </w:tc>
        <w:tc>
          <w:tcPr>
            <w:tcW w:w="1023" w:type="dxa"/>
            <w:shd w:val="clear" w:color="auto" w:fill="auto"/>
            <w:vAlign w:val="center"/>
          </w:tcPr>
          <w:p w14:paraId="73622F8A" w14:textId="04B2390D"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37.8%</w:t>
            </w:r>
          </w:p>
        </w:tc>
        <w:tc>
          <w:tcPr>
            <w:tcW w:w="1024" w:type="dxa"/>
            <w:shd w:val="clear" w:color="auto" w:fill="auto"/>
            <w:vAlign w:val="center"/>
          </w:tcPr>
          <w:p w14:paraId="18C6B367" w14:textId="4443683C"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48.6%</w:t>
            </w:r>
          </w:p>
        </w:tc>
        <w:tc>
          <w:tcPr>
            <w:tcW w:w="1024" w:type="dxa"/>
            <w:shd w:val="clear" w:color="auto" w:fill="auto"/>
            <w:vAlign w:val="center"/>
          </w:tcPr>
          <w:p w14:paraId="19DD2A0C" w14:textId="6902AEB2"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56.0%</w:t>
            </w:r>
          </w:p>
        </w:tc>
        <w:tc>
          <w:tcPr>
            <w:tcW w:w="1024" w:type="dxa"/>
            <w:shd w:val="clear" w:color="auto" w:fill="auto"/>
            <w:vAlign w:val="center"/>
          </w:tcPr>
          <w:p w14:paraId="54A2C79B" w14:textId="26F4C7E5"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49.8%</w:t>
            </w:r>
          </w:p>
        </w:tc>
        <w:tc>
          <w:tcPr>
            <w:tcW w:w="1024" w:type="dxa"/>
          </w:tcPr>
          <w:p w14:paraId="76B823FA" w14:textId="19A687F1"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34.7%</w:t>
            </w:r>
          </w:p>
        </w:tc>
        <w:tc>
          <w:tcPr>
            <w:tcW w:w="1024" w:type="dxa"/>
          </w:tcPr>
          <w:p w14:paraId="114915E6" w14:textId="103546EA"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48.7%</w:t>
            </w:r>
          </w:p>
        </w:tc>
        <w:tc>
          <w:tcPr>
            <w:tcW w:w="1024" w:type="dxa"/>
          </w:tcPr>
          <w:p w14:paraId="3BD9D792" w14:textId="76FAAE70"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70.3%</w:t>
            </w:r>
          </w:p>
        </w:tc>
        <w:tc>
          <w:tcPr>
            <w:tcW w:w="1024" w:type="dxa"/>
          </w:tcPr>
          <w:p w14:paraId="5633F895" w14:textId="7D0D4C10"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45.8%</w:t>
            </w:r>
          </w:p>
        </w:tc>
      </w:tr>
      <w:tr w:rsidR="00265D3B" w:rsidRPr="00D77C3B" w14:paraId="49D2210A" w14:textId="22D45076" w:rsidTr="00265D3B">
        <w:trPr>
          <w:jc w:val="center"/>
        </w:trPr>
        <w:tc>
          <w:tcPr>
            <w:tcW w:w="990" w:type="dxa"/>
          </w:tcPr>
          <w:p w14:paraId="6A91957A" w14:textId="76AAA361"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HS7/8</w:t>
            </w:r>
          </w:p>
        </w:tc>
        <w:tc>
          <w:tcPr>
            <w:tcW w:w="1023" w:type="dxa"/>
            <w:shd w:val="clear" w:color="auto" w:fill="auto"/>
            <w:vAlign w:val="center"/>
          </w:tcPr>
          <w:p w14:paraId="6E205464" w14:textId="0B4AAC10"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58.8%</w:t>
            </w:r>
          </w:p>
        </w:tc>
        <w:tc>
          <w:tcPr>
            <w:tcW w:w="1024" w:type="dxa"/>
            <w:shd w:val="clear" w:color="auto" w:fill="auto"/>
            <w:vAlign w:val="center"/>
          </w:tcPr>
          <w:p w14:paraId="69526FD2" w14:textId="4AB7A3F9"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49.3%</w:t>
            </w:r>
          </w:p>
        </w:tc>
        <w:tc>
          <w:tcPr>
            <w:tcW w:w="1024" w:type="dxa"/>
            <w:shd w:val="clear" w:color="auto" w:fill="auto"/>
            <w:vAlign w:val="center"/>
          </w:tcPr>
          <w:p w14:paraId="1A98AFEC" w14:textId="021A7036"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76.5%</w:t>
            </w:r>
          </w:p>
        </w:tc>
        <w:tc>
          <w:tcPr>
            <w:tcW w:w="1024" w:type="dxa"/>
            <w:shd w:val="clear" w:color="auto" w:fill="auto"/>
            <w:vAlign w:val="center"/>
          </w:tcPr>
          <w:p w14:paraId="6EA1A209" w14:textId="4B4F788C"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42.5%</w:t>
            </w:r>
          </w:p>
        </w:tc>
        <w:tc>
          <w:tcPr>
            <w:tcW w:w="1024" w:type="dxa"/>
          </w:tcPr>
          <w:p w14:paraId="56AA378E" w14:textId="27524179"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43.6%</w:t>
            </w:r>
          </w:p>
        </w:tc>
        <w:tc>
          <w:tcPr>
            <w:tcW w:w="1024" w:type="dxa"/>
          </w:tcPr>
          <w:p w14:paraId="5B22232B" w14:textId="512204F9"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49.7%</w:t>
            </w:r>
          </w:p>
        </w:tc>
        <w:tc>
          <w:tcPr>
            <w:tcW w:w="1024" w:type="dxa"/>
          </w:tcPr>
          <w:p w14:paraId="47AC07A1" w14:textId="3C052D76"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83.8%</w:t>
            </w:r>
          </w:p>
        </w:tc>
        <w:tc>
          <w:tcPr>
            <w:tcW w:w="1024" w:type="dxa"/>
          </w:tcPr>
          <w:p w14:paraId="40B17D49" w14:textId="326D54F2"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36.9%</w:t>
            </w:r>
          </w:p>
        </w:tc>
      </w:tr>
      <w:tr w:rsidR="00265D3B" w:rsidRPr="00D77C3B" w14:paraId="69FF6BCD" w14:textId="77777777" w:rsidTr="00265D3B">
        <w:trPr>
          <w:jc w:val="center"/>
        </w:trPr>
        <w:tc>
          <w:tcPr>
            <w:tcW w:w="990" w:type="dxa"/>
          </w:tcPr>
          <w:p w14:paraId="47285C91" w14:textId="42D05DCA"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HSA</w:t>
            </w:r>
          </w:p>
        </w:tc>
        <w:tc>
          <w:tcPr>
            <w:tcW w:w="1023" w:type="dxa"/>
            <w:shd w:val="clear" w:color="auto" w:fill="auto"/>
            <w:vAlign w:val="center"/>
          </w:tcPr>
          <w:p w14:paraId="7274072E" w14:textId="4EAAF170"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60.2%</w:t>
            </w:r>
          </w:p>
        </w:tc>
        <w:tc>
          <w:tcPr>
            <w:tcW w:w="1024" w:type="dxa"/>
            <w:shd w:val="clear" w:color="auto" w:fill="auto"/>
            <w:vAlign w:val="center"/>
          </w:tcPr>
          <w:p w14:paraId="68446E1D" w14:textId="0EFD347A"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49.0%</w:t>
            </w:r>
          </w:p>
        </w:tc>
        <w:tc>
          <w:tcPr>
            <w:tcW w:w="1024" w:type="dxa"/>
            <w:shd w:val="clear" w:color="auto" w:fill="auto"/>
            <w:vAlign w:val="center"/>
          </w:tcPr>
          <w:p w14:paraId="244138DC" w14:textId="22D2D72E"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73.5%</w:t>
            </w:r>
          </w:p>
        </w:tc>
        <w:tc>
          <w:tcPr>
            <w:tcW w:w="1024" w:type="dxa"/>
            <w:shd w:val="clear" w:color="auto" w:fill="auto"/>
            <w:vAlign w:val="center"/>
          </w:tcPr>
          <w:p w14:paraId="752F2018" w14:textId="0D95D5A8"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44.2%</w:t>
            </w:r>
          </w:p>
        </w:tc>
        <w:tc>
          <w:tcPr>
            <w:tcW w:w="1024" w:type="dxa"/>
          </w:tcPr>
          <w:p w14:paraId="2BEF2032" w14:textId="5543DBC0"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55.5%</w:t>
            </w:r>
          </w:p>
        </w:tc>
        <w:tc>
          <w:tcPr>
            <w:tcW w:w="1024" w:type="dxa"/>
          </w:tcPr>
          <w:p w14:paraId="0FB2F229" w14:textId="72BB3EA8"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49.8%</w:t>
            </w:r>
          </w:p>
        </w:tc>
        <w:tc>
          <w:tcPr>
            <w:tcW w:w="1024" w:type="dxa"/>
          </w:tcPr>
          <w:p w14:paraId="5F00DA1F" w14:textId="3DE39DE0"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88.2%</w:t>
            </w:r>
          </w:p>
        </w:tc>
        <w:tc>
          <w:tcPr>
            <w:tcW w:w="1024" w:type="dxa"/>
          </w:tcPr>
          <w:p w14:paraId="3EBCBF30" w14:textId="7C3F6FD1"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32.7%</w:t>
            </w:r>
          </w:p>
        </w:tc>
      </w:tr>
      <w:tr w:rsidR="00265D3B" w:rsidRPr="00D77C3B" w14:paraId="577EFBF9" w14:textId="742035D4" w:rsidTr="00265D3B">
        <w:trPr>
          <w:jc w:val="center"/>
        </w:trPr>
        <w:tc>
          <w:tcPr>
            <w:tcW w:w="990" w:type="dxa"/>
          </w:tcPr>
          <w:p w14:paraId="1D4A5A85" w14:textId="48324E9F"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SDBA</w:t>
            </w:r>
          </w:p>
        </w:tc>
        <w:tc>
          <w:tcPr>
            <w:tcW w:w="1023" w:type="dxa"/>
            <w:shd w:val="clear" w:color="auto" w:fill="auto"/>
            <w:vAlign w:val="center"/>
          </w:tcPr>
          <w:p w14:paraId="487F6AA5" w14:textId="4CFEF344"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100.0%</w:t>
            </w:r>
          </w:p>
        </w:tc>
        <w:tc>
          <w:tcPr>
            <w:tcW w:w="1024" w:type="dxa"/>
            <w:shd w:val="clear" w:color="auto" w:fill="auto"/>
            <w:vAlign w:val="center"/>
          </w:tcPr>
          <w:p w14:paraId="5B2B1CF9" w14:textId="6BC758CF"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0.0%</w:t>
            </w:r>
          </w:p>
        </w:tc>
        <w:tc>
          <w:tcPr>
            <w:tcW w:w="1024" w:type="dxa"/>
            <w:shd w:val="clear" w:color="auto" w:fill="auto"/>
            <w:vAlign w:val="center"/>
          </w:tcPr>
          <w:p w14:paraId="20035EEA" w14:textId="59A6E69F"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97.9%</w:t>
            </w:r>
          </w:p>
        </w:tc>
        <w:tc>
          <w:tcPr>
            <w:tcW w:w="1024" w:type="dxa"/>
            <w:shd w:val="clear" w:color="auto" w:fill="auto"/>
            <w:vAlign w:val="center"/>
          </w:tcPr>
          <w:p w14:paraId="3C5D0469" w14:textId="72EA517A" w:rsidR="00265D3B" w:rsidRPr="00D77C3B" w:rsidRDefault="00265D3B" w:rsidP="005A59A5">
            <w:pPr>
              <w:jc w:val="center"/>
              <w:rPr>
                <w:rFonts w:ascii="Times New Roman" w:hAnsi="Times New Roman" w:cs="Times New Roman"/>
                <w:color w:val="000000" w:themeColor="text1"/>
              </w:rPr>
            </w:pPr>
            <w:r w:rsidRPr="00D77C3B">
              <w:rPr>
                <w:rFonts w:ascii="Times New Roman" w:hAnsi="Times New Roman" w:cs="Times New Roman"/>
                <w:color w:val="000000" w:themeColor="text1"/>
              </w:rPr>
              <w:t>1.4%</w:t>
            </w:r>
          </w:p>
        </w:tc>
        <w:tc>
          <w:tcPr>
            <w:tcW w:w="1024" w:type="dxa"/>
          </w:tcPr>
          <w:p w14:paraId="38BB2507" w14:textId="56ECCB66"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98.1%</w:t>
            </w:r>
          </w:p>
        </w:tc>
        <w:tc>
          <w:tcPr>
            <w:tcW w:w="1024" w:type="dxa"/>
          </w:tcPr>
          <w:p w14:paraId="7E88483E" w14:textId="65297F18"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13.7%</w:t>
            </w:r>
          </w:p>
        </w:tc>
        <w:tc>
          <w:tcPr>
            <w:tcW w:w="1024" w:type="dxa"/>
          </w:tcPr>
          <w:p w14:paraId="4D487666" w14:textId="2B571256"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100.0%</w:t>
            </w:r>
          </w:p>
        </w:tc>
        <w:tc>
          <w:tcPr>
            <w:tcW w:w="1024" w:type="dxa"/>
          </w:tcPr>
          <w:p w14:paraId="1DBF7294" w14:textId="44DAE4FC" w:rsidR="00265D3B" w:rsidRPr="00D77C3B" w:rsidRDefault="00265D3B" w:rsidP="005A59A5">
            <w:pPr>
              <w:jc w:val="center"/>
              <w:rPr>
                <w:rFonts w:ascii="Times New Roman" w:hAnsi="Times New Roman" w:cs="Times New Roman"/>
                <w:color w:val="000000" w:themeColor="text1"/>
              </w:rPr>
            </w:pPr>
            <w:r>
              <w:rPr>
                <w:rFonts w:ascii="Times New Roman" w:hAnsi="Times New Roman" w:cs="Times New Roman"/>
                <w:color w:val="000000" w:themeColor="text1"/>
              </w:rPr>
              <w:t>0.0%</w:t>
            </w:r>
          </w:p>
        </w:tc>
      </w:tr>
    </w:tbl>
    <w:p w14:paraId="4DDFA64B" w14:textId="41273155" w:rsidR="00195767" w:rsidRDefault="00341B3B" w:rsidP="005A59A5">
      <w:pPr>
        <w:jc w:val="both"/>
        <w:rPr>
          <w:rFonts w:ascii="Times New Roman" w:hAnsi="Times New Roman" w:cs="Times New Roman"/>
        </w:rPr>
      </w:pPr>
      <w:r>
        <w:rPr>
          <w:rFonts w:ascii="Times New Roman" w:hAnsi="Times New Roman" w:cs="Times New Roman"/>
          <w:b/>
          <w:bCs/>
        </w:rPr>
        <w:t>Table 2.</w:t>
      </w:r>
      <w:r w:rsidR="00B1230E">
        <w:rPr>
          <w:rFonts w:ascii="Times New Roman" w:hAnsi="Times New Roman" w:cs="Times New Roman"/>
        </w:rPr>
        <w:t xml:space="preserve"> Rates of subjunctive </w:t>
      </w:r>
      <w:r w:rsidR="00737B33">
        <w:rPr>
          <w:rFonts w:ascii="Times New Roman" w:hAnsi="Times New Roman" w:cs="Times New Roman"/>
        </w:rPr>
        <w:t xml:space="preserve">and DOM </w:t>
      </w:r>
      <w:r w:rsidR="00B1230E">
        <w:rPr>
          <w:rFonts w:ascii="Times New Roman" w:hAnsi="Times New Roman" w:cs="Times New Roman"/>
        </w:rPr>
        <w:t xml:space="preserve">production </w:t>
      </w:r>
      <w:r w:rsidR="00CE0597">
        <w:rPr>
          <w:rFonts w:ascii="Times New Roman" w:hAnsi="Times New Roman" w:cs="Times New Roman"/>
        </w:rPr>
        <w:t xml:space="preserve">and selection </w:t>
      </w:r>
      <w:r w:rsidR="00B1230E">
        <w:rPr>
          <w:rFonts w:ascii="Times New Roman" w:hAnsi="Times New Roman" w:cs="Times New Roman"/>
        </w:rPr>
        <w:t>by age group.</w:t>
      </w:r>
    </w:p>
    <w:p w14:paraId="133EE5B2" w14:textId="77777777" w:rsidR="006E402E" w:rsidRDefault="006E402E" w:rsidP="005A59A5">
      <w:pPr>
        <w:jc w:val="both"/>
        <w:rPr>
          <w:rFonts w:ascii="Times New Roman" w:hAnsi="Times New Roman" w:cs="Times New Roman"/>
        </w:rPr>
      </w:pPr>
    </w:p>
    <w:p w14:paraId="4313F6EE" w14:textId="7996585D" w:rsidR="00DF5C07" w:rsidRPr="00DF5C07" w:rsidRDefault="00C407A7" w:rsidP="005A59A5">
      <w:pPr>
        <w:jc w:val="both"/>
        <w:rPr>
          <w:rFonts w:ascii="Times New Roman" w:hAnsi="Times New Roman" w:cs="Times New Roman"/>
        </w:rPr>
      </w:pPr>
      <w:r>
        <w:rPr>
          <w:rFonts w:ascii="Times New Roman" w:hAnsi="Times New Roman" w:cs="Times New Roman"/>
          <w:noProof/>
        </w:rPr>
        <w:drawing>
          <wp:inline distT="0" distB="0" distL="0" distR="0" wp14:anchorId="17C8E811" wp14:editId="4AE1E569">
            <wp:extent cx="5943600" cy="3200400"/>
            <wp:effectExtent l="0" t="0" r="0" b="0"/>
            <wp:docPr id="246682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8202" name="Picture 24668202"/>
                    <pic:cNvPicPr/>
                  </pic:nvPicPr>
                  <pic:blipFill>
                    <a:blip r:embed="rId7"/>
                    <a:stretch>
                      <a:fillRect/>
                    </a:stretch>
                  </pic:blipFill>
                  <pic:spPr>
                    <a:xfrm>
                      <a:off x="0" y="0"/>
                      <a:ext cx="5943600" cy="3200400"/>
                    </a:xfrm>
                    <a:prstGeom prst="rect">
                      <a:avLst/>
                    </a:prstGeom>
                  </pic:spPr>
                </pic:pic>
              </a:graphicData>
            </a:graphic>
          </wp:inline>
        </w:drawing>
      </w:r>
    </w:p>
    <w:p w14:paraId="28CB8D47" w14:textId="77777777" w:rsidR="00C91A3E" w:rsidRDefault="00C91A3E" w:rsidP="00C91A3E">
      <w:pPr>
        <w:jc w:val="both"/>
        <w:rPr>
          <w:rFonts w:ascii="Times New Roman" w:hAnsi="Times New Roman" w:cs="Times New Roman"/>
        </w:rPr>
      </w:pPr>
      <w:r>
        <w:rPr>
          <w:rFonts w:ascii="Times New Roman" w:hAnsi="Times New Roman" w:cs="Times New Roman"/>
          <w:b/>
          <w:bCs/>
        </w:rPr>
        <w:t>Figure 2.</w:t>
      </w:r>
      <w:r>
        <w:rPr>
          <w:rFonts w:ascii="Times New Roman" w:hAnsi="Times New Roman" w:cs="Times New Roman"/>
        </w:rPr>
        <w:t xml:space="preserve"> Percentages of production and selection of subjunctive DOM by group of child HS.</w:t>
      </w:r>
    </w:p>
    <w:p w14:paraId="241A54B2" w14:textId="77777777" w:rsidR="00DF5C07" w:rsidRDefault="00DF5C07" w:rsidP="005A59A5">
      <w:pPr>
        <w:jc w:val="both"/>
        <w:rPr>
          <w:rFonts w:ascii="Times New Roman" w:hAnsi="Times New Roman" w:cs="Times New Roman"/>
        </w:rPr>
      </w:pPr>
    </w:p>
    <w:p w14:paraId="29CF3737" w14:textId="77777777" w:rsidR="00E5363C" w:rsidRDefault="00E5363C" w:rsidP="005A59A5">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165"/>
        <w:gridCol w:w="1002"/>
        <w:gridCol w:w="1002"/>
        <w:gridCol w:w="1002"/>
        <w:gridCol w:w="1002"/>
        <w:gridCol w:w="1002"/>
        <w:gridCol w:w="1002"/>
        <w:gridCol w:w="1002"/>
        <w:gridCol w:w="1002"/>
      </w:tblGrid>
      <w:tr w:rsidR="006E402E" w14:paraId="516AB3C1" w14:textId="77777777" w:rsidTr="009E1271">
        <w:trPr>
          <w:jc w:val="center"/>
        </w:trPr>
        <w:tc>
          <w:tcPr>
            <w:tcW w:w="1165" w:type="dxa"/>
            <w:vMerge w:val="restart"/>
            <w:shd w:val="clear" w:color="auto" w:fill="auto"/>
            <w:vAlign w:val="center"/>
          </w:tcPr>
          <w:p w14:paraId="3997563B" w14:textId="77777777" w:rsidR="006E402E" w:rsidRPr="00D77C3B" w:rsidRDefault="006E402E" w:rsidP="005A59A5">
            <w:pPr>
              <w:jc w:val="center"/>
              <w:rPr>
                <w:rFonts w:ascii="Times New Roman" w:hAnsi="Times New Roman" w:cs="Times New Roman"/>
                <w:b/>
                <w:bCs/>
                <w:color w:val="000000" w:themeColor="text1"/>
              </w:rPr>
            </w:pPr>
            <w:r w:rsidRPr="00D77C3B">
              <w:rPr>
                <w:rFonts w:ascii="Times New Roman" w:hAnsi="Times New Roman" w:cs="Times New Roman"/>
                <w:b/>
                <w:bCs/>
                <w:color w:val="000000" w:themeColor="text1"/>
              </w:rPr>
              <w:t>Group</w:t>
            </w:r>
          </w:p>
        </w:tc>
        <w:tc>
          <w:tcPr>
            <w:tcW w:w="4008" w:type="dxa"/>
            <w:gridSpan w:val="4"/>
            <w:shd w:val="clear" w:color="auto" w:fill="auto"/>
            <w:vAlign w:val="center"/>
          </w:tcPr>
          <w:p w14:paraId="7DD3D605" w14:textId="77777777" w:rsidR="006E402E" w:rsidRDefault="006E402E" w:rsidP="005A59A5">
            <w:pPr>
              <w:jc w:val="center"/>
              <w:rPr>
                <w:rFonts w:ascii="Times New Roman" w:hAnsi="Times New Roman" w:cs="Times New Roman"/>
                <w:b/>
                <w:bCs/>
                <w:color w:val="000000" w:themeColor="text1"/>
              </w:rPr>
            </w:pPr>
            <w:r>
              <w:rPr>
                <w:rFonts w:ascii="Times New Roman" w:hAnsi="Times New Roman" w:cs="Times New Roman"/>
                <w:b/>
                <w:bCs/>
                <w:color w:val="000000" w:themeColor="text1"/>
              </w:rPr>
              <w:t>Subjunctive</w:t>
            </w:r>
          </w:p>
        </w:tc>
        <w:tc>
          <w:tcPr>
            <w:tcW w:w="4008" w:type="dxa"/>
            <w:gridSpan w:val="4"/>
            <w:shd w:val="clear" w:color="auto" w:fill="auto"/>
          </w:tcPr>
          <w:p w14:paraId="42C66DAF" w14:textId="77777777" w:rsidR="006E402E" w:rsidRDefault="006E402E" w:rsidP="005A59A5">
            <w:pPr>
              <w:jc w:val="center"/>
              <w:rPr>
                <w:rFonts w:ascii="Times New Roman" w:hAnsi="Times New Roman" w:cs="Times New Roman"/>
                <w:b/>
                <w:bCs/>
                <w:color w:val="000000" w:themeColor="text1"/>
              </w:rPr>
            </w:pPr>
            <w:r>
              <w:rPr>
                <w:rFonts w:ascii="Times New Roman" w:hAnsi="Times New Roman" w:cs="Times New Roman"/>
                <w:b/>
                <w:bCs/>
                <w:color w:val="000000" w:themeColor="text1"/>
              </w:rPr>
              <w:t>DOM</w:t>
            </w:r>
          </w:p>
        </w:tc>
      </w:tr>
      <w:tr w:rsidR="006E402E" w:rsidRPr="00D77C3B" w14:paraId="74578DBB" w14:textId="77777777" w:rsidTr="009E1271">
        <w:trPr>
          <w:jc w:val="center"/>
        </w:trPr>
        <w:tc>
          <w:tcPr>
            <w:tcW w:w="1165" w:type="dxa"/>
            <w:vMerge/>
            <w:shd w:val="clear" w:color="auto" w:fill="auto"/>
            <w:vAlign w:val="center"/>
          </w:tcPr>
          <w:p w14:paraId="057EE382" w14:textId="77777777" w:rsidR="006E402E" w:rsidRPr="00D77C3B" w:rsidRDefault="006E402E" w:rsidP="005A59A5">
            <w:pPr>
              <w:jc w:val="center"/>
              <w:rPr>
                <w:rFonts w:ascii="Times New Roman" w:hAnsi="Times New Roman" w:cs="Times New Roman"/>
                <w:b/>
                <w:bCs/>
                <w:color w:val="000000" w:themeColor="text1"/>
              </w:rPr>
            </w:pPr>
          </w:p>
        </w:tc>
        <w:tc>
          <w:tcPr>
            <w:tcW w:w="2004" w:type="dxa"/>
            <w:gridSpan w:val="2"/>
            <w:shd w:val="clear" w:color="auto" w:fill="auto"/>
            <w:vAlign w:val="center"/>
          </w:tcPr>
          <w:p w14:paraId="6FEAB762" w14:textId="77777777" w:rsidR="006E402E" w:rsidRPr="00D77C3B" w:rsidRDefault="006E402E" w:rsidP="005A59A5">
            <w:pPr>
              <w:jc w:val="center"/>
              <w:rPr>
                <w:rFonts w:ascii="Times New Roman" w:hAnsi="Times New Roman" w:cs="Times New Roman"/>
                <w:b/>
                <w:bCs/>
                <w:color w:val="000000" w:themeColor="text1"/>
              </w:rPr>
            </w:pPr>
            <w:r>
              <w:rPr>
                <w:rFonts w:ascii="Times New Roman" w:hAnsi="Times New Roman" w:cs="Times New Roman"/>
                <w:b/>
                <w:bCs/>
                <w:color w:val="000000" w:themeColor="text1"/>
              </w:rPr>
              <w:t>Production</w:t>
            </w:r>
          </w:p>
        </w:tc>
        <w:tc>
          <w:tcPr>
            <w:tcW w:w="2004" w:type="dxa"/>
            <w:gridSpan w:val="2"/>
            <w:shd w:val="clear" w:color="auto" w:fill="auto"/>
            <w:vAlign w:val="center"/>
          </w:tcPr>
          <w:p w14:paraId="1A8A1D8B" w14:textId="77777777" w:rsidR="006E402E" w:rsidRPr="00D77C3B" w:rsidRDefault="006E402E" w:rsidP="005A59A5">
            <w:pPr>
              <w:jc w:val="center"/>
              <w:rPr>
                <w:rFonts w:ascii="Times New Roman" w:hAnsi="Times New Roman" w:cs="Times New Roman"/>
                <w:b/>
                <w:bCs/>
                <w:color w:val="000000" w:themeColor="text1"/>
              </w:rPr>
            </w:pPr>
            <w:r>
              <w:rPr>
                <w:rFonts w:ascii="Times New Roman" w:hAnsi="Times New Roman" w:cs="Times New Roman"/>
                <w:b/>
                <w:bCs/>
                <w:color w:val="000000" w:themeColor="text1"/>
              </w:rPr>
              <w:t>Selection</w:t>
            </w:r>
          </w:p>
        </w:tc>
        <w:tc>
          <w:tcPr>
            <w:tcW w:w="2004" w:type="dxa"/>
            <w:gridSpan w:val="2"/>
            <w:shd w:val="clear" w:color="auto" w:fill="auto"/>
          </w:tcPr>
          <w:p w14:paraId="3F9C2966" w14:textId="77777777" w:rsidR="006E402E" w:rsidRPr="00D77C3B" w:rsidRDefault="006E402E" w:rsidP="005A59A5">
            <w:pPr>
              <w:jc w:val="center"/>
              <w:rPr>
                <w:rFonts w:ascii="Times New Roman" w:hAnsi="Times New Roman" w:cs="Times New Roman"/>
                <w:b/>
                <w:bCs/>
                <w:color w:val="000000" w:themeColor="text1"/>
              </w:rPr>
            </w:pPr>
            <w:r>
              <w:rPr>
                <w:rFonts w:ascii="Times New Roman" w:hAnsi="Times New Roman" w:cs="Times New Roman"/>
                <w:b/>
                <w:bCs/>
                <w:color w:val="000000" w:themeColor="text1"/>
              </w:rPr>
              <w:t>Production</w:t>
            </w:r>
          </w:p>
        </w:tc>
        <w:tc>
          <w:tcPr>
            <w:tcW w:w="2004" w:type="dxa"/>
            <w:gridSpan w:val="2"/>
            <w:shd w:val="clear" w:color="auto" w:fill="auto"/>
          </w:tcPr>
          <w:p w14:paraId="64ED07F7" w14:textId="77777777" w:rsidR="006E402E" w:rsidRPr="00D77C3B" w:rsidRDefault="006E402E" w:rsidP="005A59A5">
            <w:pPr>
              <w:jc w:val="center"/>
              <w:rPr>
                <w:rFonts w:ascii="Times New Roman" w:hAnsi="Times New Roman" w:cs="Times New Roman"/>
                <w:b/>
                <w:bCs/>
                <w:color w:val="000000" w:themeColor="text1"/>
              </w:rPr>
            </w:pPr>
            <w:r>
              <w:rPr>
                <w:rFonts w:ascii="Times New Roman" w:hAnsi="Times New Roman" w:cs="Times New Roman"/>
                <w:b/>
                <w:bCs/>
                <w:color w:val="000000" w:themeColor="text1"/>
              </w:rPr>
              <w:t>Selection</w:t>
            </w:r>
          </w:p>
        </w:tc>
      </w:tr>
      <w:tr w:rsidR="006E402E" w:rsidRPr="00D77C3B" w14:paraId="74EF17A2" w14:textId="77777777" w:rsidTr="009E1271">
        <w:trPr>
          <w:jc w:val="center"/>
        </w:trPr>
        <w:tc>
          <w:tcPr>
            <w:tcW w:w="1165" w:type="dxa"/>
            <w:vMerge/>
            <w:shd w:val="clear" w:color="auto" w:fill="auto"/>
          </w:tcPr>
          <w:p w14:paraId="5DE53A90" w14:textId="77777777" w:rsidR="006E402E" w:rsidRPr="00D77C3B" w:rsidRDefault="006E402E" w:rsidP="005A59A5">
            <w:pPr>
              <w:jc w:val="center"/>
              <w:rPr>
                <w:rFonts w:ascii="Times New Roman" w:hAnsi="Times New Roman" w:cs="Times New Roman"/>
                <w:color w:val="000000" w:themeColor="text1"/>
              </w:rPr>
            </w:pPr>
          </w:p>
        </w:tc>
        <w:tc>
          <w:tcPr>
            <w:tcW w:w="1002" w:type="dxa"/>
            <w:shd w:val="clear" w:color="auto" w:fill="auto"/>
          </w:tcPr>
          <w:p w14:paraId="3E049B47" w14:textId="77777777" w:rsidR="006E402E" w:rsidRPr="00D77C3B" w:rsidRDefault="006E402E" w:rsidP="005A59A5">
            <w:pPr>
              <w:jc w:val="center"/>
              <w:rPr>
                <w:rFonts w:ascii="Times New Roman" w:hAnsi="Times New Roman" w:cs="Times New Roman"/>
                <w:color w:val="000000" w:themeColor="text1"/>
              </w:rPr>
            </w:pPr>
            <w:r w:rsidRPr="00D77C3B">
              <w:rPr>
                <w:rFonts w:ascii="Times New Roman" w:hAnsi="Times New Roman" w:cs="Times New Roman"/>
                <w:b/>
                <w:bCs/>
                <w:color w:val="000000" w:themeColor="text1"/>
              </w:rPr>
              <w:t>Mean</w:t>
            </w:r>
          </w:p>
        </w:tc>
        <w:tc>
          <w:tcPr>
            <w:tcW w:w="1002" w:type="dxa"/>
            <w:shd w:val="clear" w:color="auto" w:fill="auto"/>
          </w:tcPr>
          <w:p w14:paraId="51C5BB06" w14:textId="77777777" w:rsidR="006E402E" w:rsidRPr="00D77C3B" w:rsidRDefault="006E402E" w:rsidP="005A59A5">
            <w:pPr>
              <w:jc w:val="center"/>
              <w:rPr>
                <w:rFonts w:ascii="Times New Roman" w:hAnsi="Times New Roman" w:cs="Times New Roman"/>
                <w:color w:val="000000" w:themeColor="text1"/>
              </w:rPr>
            </w:pPr>
            <w:r w:rsidRPr="00D77C3B">
              <w:rPr>
                <w:rFonts w:ascii="Times New Roman" w:hAnsi="Times New Roman" w:cs="Times New Roman"/>
                <w:b/>
                <w:bCs/>
                <w:color w:val="000000" w:themeColor="text1"/>
              </w:rPr>
              <w:t>SD</w:t>
            </w:r>
          </w:p>
        </w:tc>
        <w:tc>
          <w:tcPr>
            <w:tcW w:w="1002" w:type="dxa"/>
            <w:shd w:val="clear" w:color="auto" w:fill="auto"/>
          </w:tcPr>
          <w:p w14:paraId="29A4B2EB" w14:textId="77777777" w:rsidR="006E402E" w:rsidRPr="00D77C3B" w:rsidRDefault="006E402E" w:rsidP="005A59A5">
            <w:pPr>
              <w:jc w:val="center"/>
              <w:rPr>
                <w:rFonts w:ascii="Times New Roman" w:hAnsi="Times New Roman" w:cs="Times New Roman"/>
                <w:color w:val="000000" w:themeColor="text1"/>
              </w:rPr>
            </w:pPr>
            <w:r w:rsidRPr="00D77C3B">
              <w:rPr>
                <w:rFonts w:ascii="Times New Roman" w:hAnsi="Times New Roman" w:cs="Times New Roman"/>
                <w:b/>
                <w:bCs/>
                <w:color w:val="000000" w:themeColor="text1"/>
              </w:rPr>
              <w:t>Mean</w:t>
            </w:r>
          </w:p>
        </w:tc>
        <w:tc>
          <w:tcPr>
            <w:tcW w:w="1002" w:type="dxa"/>
            <w:shd w:val="clear" w:color="auto" w:fill="auto"/>
          </w:tcPr>
          <w:p w14:paraId="2E709DC4" w14:textId="77777777" w:rsidR="006E402E" w:rsidRPr="00D77C3B" w:rsidRDefault="006E402E" w:rsidP="005A59A5">
            <w:pPr>
              <w:jc w:val="center"/>
              <w:rPr>
                <w:rFonts w:ascii="Times New Roman" w:hAnsi="Times New Roman" w:cs="Times New Roman"/>
                <w:color w:val="000000" w:themeColor="text1"/>
              </w:rPr>
            </w:pPr>
            <w:r w:rsidRPr="00D77C3B">
              <w:rPr>
                <w:rFonts w:ascii="Times New Roman" w:hAnsi="Times New Roman" w:cs="Times New Roman"/>
                <w:b/>
                <w:bCs/>
                <w:color w:val="000000" w:themeColor="text1"/>
              </w:rPr>
              <w:t>SD</w:t>
            </w:r>
          </w:p>
        </w:tc>
        <w:tc>
          <w:tcPr>
            <w:tcW w:w="1002" w:type="dxa"/>
            <w:shd w:val="clear" w:color="auto" w:fill="auto"/>
          </w:tcPr>
          <w:p w14:paraId="31612B1E" w14:textId="77777777" w:rsidR="006E402E" w:rsidRPr="00D77C3B" w:rsidRDefault="006E402E" w:rsidP="005A59A5">
            <w:pPr>
              <w:jc w:val="center"/>
              <w:rPr>
                <w:rFonts w:ascii="Times New Roman" w:hAnsi="Times New Roman" w:cs="Times New Roman"/>
                <w:b/>
                <w:bCs/>
                <w:color w:val="000000" w:themeColor="text1"/>
              </w:rPr>
            </w:pPr>
            <w:r w:rsidRPr="00D77C3B">
              <w:rPr>
                <w:rFonts w:ascii="Times New Roman" w:hAnsi="Times New Roman" w:cs="Times New Roman"/>
                <w:b/>
                <w:bCs/>
                <w:color w:val="000000" w:themeColor="text1"/>
              </w:rPr>
              <w:t>Mean</w:t>
            </w:r>
          </w:p>
        </w:tc>
        <w:tc>
          <w:tcPr>
            <w:tcW w:w="1002" w:type="dxa"/>
            <w:shd w:val="clear" w:color="auto" w:fill="auto"/>
          </w:tcPr>
          <w:p w14:paraId="77BFD93D" w14:textId="77777777" w:rsidR="006E402E" w:rsidRPr="00D77C3B" w:rsidRDefault="006E402E" w:rsidP="005A59A5">
            <w:pPr>
              <w:jc w:val="center"/>
              <w:rPr>
                <w:rFonts w:ascii="Times New Roman" w:hAnsi="Times New Roman" w:cs="Times New Roman"/>
                <w:b/>
                <w:bCs/>
                <w:color w:val="000000" w:themeColor="text1"/>
              </w:rPr>
            </w:pPr>
            <w:r w:rsidRPr="00D77C3B">
              <w:rPr>
                <w:rFonts w:ascii="Times New Roman" w:hAnsi="Times New Roman" w:cs="Times New Roman"/>
                <w:b/>
                <w:bCs/>
                <w:color w:val="000000" w:themeColor="text1"/>
              </w:rPr>
              <w:t>SD</w:t>
            </w:r>
          </w:p>
        </w:tc>
        <w:tc>
          <w:tcPr>
            <w:tcW w:w="1002" w:type="dxa"/>
            <w:shd w:val="clear" w:color="auto" w:fill="auto"/>
          </w:tcPr>
          <w:p w14:paraId="15FDF3F8" w14:textId="77777777" w:rsidR="006E402E" w:rsidRPr="00D77C3B" w:rsidRDefault="006E402E" w:rsidP="005A59A5">
            <w:pPr>
              <w:jc w:val="center"/>
              <w:rPr>
                <w:rFonts w:ascii="Times New Roman" w:hAnsi="Times New Roman" w:cs="Times New Roman"/>
                <w:b/>
                <w:bCs/>
                <w:color w:val="000000" w:themeColor="text1"/>
              </w:rPr>
            </w:pPr>
            <w:r w:rsidRPr="00D77C3B">
              <w:rPr>
                <w:rFonts w:ascii="Times New Roman" w:hAnsi="Times New Roman" w:cs="Times New Roman"/>
                <w:b/>
                <w:bCs/>
                <w:color w:val="000000" w:themeColor="text1"/>
              </w:rPr>
              <w:t>Mean</w:t>
            </w:r>
          </w:p>
        </w:tc>
        <w:tc>
          <w:tcPr>
            <w:tcW w:w="1002" w:type="dxa"/>
            <w:shd w:val="clear" w:color="auto" w:fill="auto"/>
          </w:tcPr>
          <w:p w14:paraId="4A853FD8" w14:textId="77777777" w:rsidR="006E402E" w:rsidRPr="00D77C3B" w:rsidRDefault="006E402E" w:rsidP="005A59A5">
            <w:pPr>
              <w:jc w:val="center"/>
              <w:rPr>
                <w:rFonts w:ascii="Times New Roman" w:hAnsi="Times New Roman" w:cs="Times New Roman"/>
                <w:b/>
                <w:bCs/>
                <w:color w:val="000000" w:themeColor="text1"/>
              </w:rPr>
            </w:pPr>
            <w:r w:rsidRPr="00D77C3B">
              <w:rPr>
                <w:rFonts w:ascii="Times New Roman" w:hAnsi="Times New Roman" w:cs="Times New Roman"/>
                <w:b/>
                <w:bCs/>
                <w:color w:val="000000" w:themeColor="text1"/>
              </w:rPr>
              <w:t>SD</w:t>
            </w:r>
          </w:p>
        </w:tc>
      </w:tr>
      <w:tr w:rsidR="00DF5C07" w:rsidRPr="00D77C3B" w14:paraId="3E707E25" w14:textId="77777777" w:rsidTr="00EA4CD7">
        <w:trPr>
          <w:jc w:val="center"/>
        </w:trPr>
        <w:tc>
          <w:tcPr>
            <w:tcW w:w="1165" w:type="dxa"/>
            <w:shd w:val="clear" w:color="auto" w:fill="auto"/>
          </w:tcPr>
          <w:p w14:paraId="4D70921D" w14:textId="41D61EC6" w:rsidR="00DF5C07" w:rsidRPr="00D77C3B" w:rsidRDefault="00EA4CD7" w:rsidP="005A59A5">
            <w:pPr>
              <w:jc w:val="center"/>
              <w:rPr>
                <w:rFonts w:ascii="Times New Roman" w:hAnsi="Times New Roman" w:cs="Times New Roman"/>
                <w:color w:val="000000" w:themeColor="text1"/>
              </w:rPr>
            </w:pPr>
            <w:r>
              <w:rPr>
                <w:rFonts w:ascii="Times New Roman" w:hAnsi="Times New Roman" w:cs="Times New Roman"/>
                <w:color w:val="000000" w:themeColor="text1"/>
              </w:rPr>
              <w:t>MLS-5</w:t>
            </w:r>
          </w:p>
        </w:tc>
        <w:tc>
          <w:tcPr>
            <w:tcW w:w="1002" w:type="dxa"/>
            <w:shd w:val="clear" w:color="auto" w:fill="auto"/>
          </w:tcPr>
          <w:p w14:paraId="72A2376D" w14:textId="4DBF6C48"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39.1%</w:t>
            </w:r>
          </w:p>
        </w:tc>
        <w:tc>
          <w:tcPr>
            <w:tcW w:w="1002" w:type="dxa"/>
            <w:shd w:val="clear" w:color="auto" w:fill="auto"/>
          </w:tcPr>
          <w:p w14:paraId="54354915" w14:textId="50CB7D9D"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48.9%</w:t>
            </w:r>
          </w:p>
        </w:tc>
        <w:tc>
          <w:tcPr>
            <w:tcW w:w="1002" w:type="dxa"/>
            <w:shd w:val="clear" w:color="auto" w:fill="auto"/>
          </w:tcPr>
          <w:p w14:paraId="1B418778" w14:textId="43D2053F"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56.8%</w:t>
            </w:r>
          </w:p>
        </w:tc>
        <w:tc>
          <w:tcPr>
            <w:tcW w:w="1002" w:type="dxa"/>
            <w:shd w:val="clear" w:color="auto" w:fill="auto"/>
          </w:tcPr>
          <w:p w14:paraId="3BF6BC18" w14:textId="260453E7"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49.7%</w:t>
            </w:r>
          </w:p>
        </w:tc>
        <w:tc>
          <w:tcPr>
            <w:tcW w:w="1002" w:type="dxa"/>
            <w:shd w:val="clear" w:color="auto" w:fill="auto"/>
          </w:tcPr>
          <w:p w14:paraId="039AB2B9" w14:textId="1FFACB35"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30.7%</w:t>
            </w:r>
          </w:p>
        </w:tc>
        <w:tc>
          <w:tcPr>
            <w:tcW w:w="1002" w:type="dxa"/>
            <w:shd w:val="clear" w:color="auto" w:fill="auto"/>
          </w:tcPr>
          <w:p w14:paraId="60C71A0E" w14:textId="537301A1"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46.3%</w:t>
            </w:r>
          </w:p>
        </w:tc>
        <w:tc>
          <w:tcPr>
            <w:tcW w:w="1002" w:type="dxa"/>
            <w:shd w:val="clear" w:color="auto" w:fill="auto"/>
          </w:tcPr>
          <w:p w14:paraId="513F636D" w14:textId="637B7838"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69.9%</w:t>
            </w:r>
          </w:p>
        </w:tc>
        <w:tc>
          <w:tcPr>
            <w:tcW w:w="1002" w:type="dxa"/>
            <w:shd w:val="clear" w:color="auto" w:fill="auto"/>
          </w:tcPr>
          <w:p w14:paraId="07D62C5C" w14:textId="38596560"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46.0%</w:t>
            </w:r>
          </w:p>
        </w:tc>
      </w:tr>
      <w:tr w:rsidR="00DF5C07" w:rsidRPr="00D77C3B" w14:paraId="75EC3A2A" w14:textId="77777777" w:rsidTr="00EA4CD7">
        <w:trPr>
          <w:jc w:val="center"/>
        </w:trPr>
        <w:tc>
          <w:tcPr>
            <w:tcW w:w="1165" w:type="dxa"/>
            <w:shd w:val="clear" w:color="auto" w:fill="auto"/>
          </w:tcPr>
          <w:p w14:paraId="6C4D4413" w14:textId="22196FDD" w:rsidR="00DF5C07" w:rsidRDefault="00EA4CD7" w:rsidP="005A59A5">
            <w:pPr>
              <w:jc w:val="center"/>
              <w:rPr>
                <w:rFonts w:ascii="Times New Roman" w:hAnsi="Times New Roman" w:cs="Times New Roman"/>
                <w:color w:val="000000" w:themeColor="text1"/>
              </w:rPr>
            </w:pPr>
            <w:r>
              <w:rPr>
                <w:rFonts w:ascii="Times New Roman" w:hAnsi="Times New Roman" w:cs="Times New Roman"/>
                <w:color w:val="000000" w:themeColor="text1"/>
              </w:rPr>
              <w:t>DLI-5</w:t>
            </w:r>
          </w:p>
        </w:tc>
        <w:tc>
          <w:tcPr>
            <w:tcW w:w="1002" w:type="dxa"/>
            <w:shd w:val="clear" w:color="auto" w:fill="auto"/>
          </w:tcPr>
          <w:p w14:paraId="6B398336" w14:textId="109B6E32"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36.0%</w:t>
            </w:r>
          </w:p>
        </w:tc>
        <w:tc>
          <w:tcPr>
            <w:tcW w:w="1002" w:type="dxa"/>
            <w:shd w:val="clear" w:color="auto" w:fill="auto"/>
          </w:tcPr>
          <w:p w14:paraId="186BA7A1" w14:textId="0D1B4F62"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48.2%</w:t>
            </w:r>
          </w:p>
        </w:tc>
        <w:tc>
          <w:tcPr>
            <w:tcW w:w="1002" w:type="dxa"/>
            <w:shd w:val="clear" w:color="auto" w:fill="auto"/>
          </w:tcPr>
          <w:p w14:paraId="750A8C73" w14:textId="7B40DBB1"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55.3%</w:t>
            </w:r>
          </w:p>
        </w:tc>
        <w:tc>
          <w:tcPr>
            <w:tcW w:w="1002" w:type="dxa"/>
            <w:shd w:val="clear" w:color="auto" w:fill="auto"/>
          </w:tcPr>
          <w:p w14:paraId="30BB0420" w14:textId="64CFEDAF"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49.9%</w:t>
            </w:r>
          </w:p>
        </w:tc>
        <w:tc>
          <w:tcPr>
            <w:tcW w:w="1002" w:type="dxa"/>
            <w:shd w:val="clear" w:color="auto" w:fill="auto"/>
          </w:tcPr>
          <w:p w14:paraId="119A0C21" w14:textId="622F45DF"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39.5%</w:t>
            </w:r>
          </w:p>
        </w:tc>
        <w:tc>
          <w:tcPr>
            <w:tcW w:w="1002" w:type="dxa"/>
            <w:shd w:val="clear" w:color="auto" w:fill="auto"/>
          </w:tcPr>
          <w:p w14:paraId="5DD012EC" w14:textId="0F48CD56"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49.0%</w:t>
            </w:r>
          </w:p>
        </w:tc>
        <w:tc>
          <w:tcPr>
            <w:tcW w:w="1002" w:type="dxa"/>
            <w:shd w:val="clear" w:color="auto" w:fill="auto"/>
          </w:tcPr>
          <w:p w14:paraId="1272C5C6" w14:textId="5AF22DBB"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73.7%</w:t>
            </w:r>
          </w:p>
        </w:tc>
        <w:tc>
          <w:tcPr>
            <w:tcW w:w="1002" w:type="dxa"/>
            <w:shd w:val="clear" w:color="auto" w:fill="auto"/>
          </w:tcPr>
          <w:p w14:paraId="5819EED5" w14:textId="6D6FDEC5"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45.2%</w:t>
            </w:r>
          </w:p>
        </w:tc>
      </w:tr>
      <w:tr w:rsidR="00DF5C07" w:rsidRPr="00D77C3B" w14:paraId="5A0D9DC0" w14:textId="77777777" w:rsidTr="00EA4CD7">
        <w:trPr>
          <w:jc w:val="center"/>
        </w:trPr>
        <w:tc>
          <w:tcPr>
            <w:tcW w:w="1165" w:type="dxa"/>
            <w:shd w:val="clear" w:color="auto" w:fill="auto"/>
          </w:tcPr>
          <w:p w14:paraId="5B2ED80A" w14:textId="2807AF06" w:rsidR="00DF5C07" w:rsidRDefault="00EA4CD7" w:rsidP="005A59A5">
            <w:pPr>
              <w:jc w:val="center"/>
              <w:rPr>
                <w:rFonts w:ascii="Times New Roman" w:hAnsi="Times New Roman" w:cs="Times New Roman"/>
                <w:color w:val="000000" w:themeColor="text1"/>
              </w:rPr>
            </w:pPr>
            <w:r>
              <w:rPr>
                <w:rFonts w:ascii="Times New Roman" w:hAnsi="Times New Roman" w:cs="Times New Roman"/>
                <w:color w:val="000000" w:themeColor="text1"/>
              </w:rPr>
              <w:t>MLS-7/8</w:t>
            </w:r>
          </w:p>
        </w:tc>
        <w:tc>
          <w:tcPr>
            <w:tcW w:w="1002" w:type="dxa"/>
            <w:shd w:val="clear" w:color="auto" w:fill="auto"/>
          </w:tcPr>
          <w:p w14:paraId="2F22D751" w14:textId="26CC6746"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60.6%</w:t>
            </w:r>
          </w:p>
        </w:tc>
        <w:tc>
          <w:tcPr>
            <w:tcW w:w="1002" w:type="dxa"/>
            <w:shd w:val="clear" w:color="auto" w:fill="auto"/>
          </w:tcPr>
          <w:p w14:paraId="66AB168A" w14:textId="318AE9A4"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49.0%</w:t>
            </w:r>
          </w:p>
        </w:tc>
        <w:tc>
          <w:tcPr>
            <w:tcW w:w="1002" w:type="dxa"/>
            <w:shd w:val="clear" w:color="auto" w:fill="auto"/>
          </w:tcPr>
          <w:p w14:paraId="4C8C9D59" w14:textId="0D1B95CD"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76.1%</w:t>
            </w:r>
          </w:p>
        </w:tc>
        <w:tc>
          <w:tcPr>
            <w:tcW w:w="1002" w:type="dxa"/>
            <w:shd w:val="clear" w:color="auto" w:fill="auto"/>
          </w:tcPr>
          <w:p w14:paraId="497D4AC7" w14:textId="321303B3"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42.8%</w:t>
            </w:r>
          </w:p>
        </w:tc>
        <w:tc>
          <w:tcPr>
            <w:tcW w:w="1002" w:type="dxa"/>
            <w:shd w:val="clear" w:color="auto" w:fill="auto"/>
          </w:tcPr>
          <w:p w14:paraId="66AAA043" w14:textId="4F7360BF"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34.5%</w:t>
            </w:r>
          </w:p>
        </w:tc>
        <w:tc>
          <w:tcPr>
            <w:tcW w:w="1002" w:type="dxa"/>
            <w:shd w:val="clear" w:color="auto" w:fill="auto"/>
          </w:tcPr>
          <w:p w14:paraId="3AD320BA" w14:textId="76CD47F4"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47.7%</w:t>
            </w:r>
          </w:p>
        </w:tc>
        <w:tc>
          <w:tcPr>
            <w:tcW w:w="1002" w:type="dxa"/>
            <w:shd w:val="clear" w:color="auto" w:fill="auto"/>
          </w:tcPr>
          <w:p w14:paraId="509B591C" w14:textId="58FD0115"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81.5%</w:t>
            </w:r>
          </w:p>
        </w:tc>
        <w:tc>
          <w:tcPr>
            <w:tcW w:w="1002" w:type="dxa"/>
            <w:shd w:val="clear" w:color="auto" w:fill="auto"/>
          </w:tcPr>
          <w:p w14:paraId="72B66355" w14:textId="2D13B085" w:rsidR="00DF5C0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38.9%</w:t>
            </w:r>
          </w:p>
        </w:tc>
      </w:tr>
      <w:tr w:rsidR="00EA4CD7" w:rsidRPr="00D77C3B" w14:paraId="5E9A9A5B" w14:textId="77777777" w:rsidTr="00EA4CD7">
        <w:trPr>
          <w:jc w:val="center"/>
        </w:trPr>
        <w:tc>
          <w:tcPr>
            <w:tcW w:w="1165" w:type="dxa"/>
            <w:shd w:val="clear" w:color="auto" w:fill="auto"/>
          </w:tcPr>
          <w:p w14:paraId="16953164" w14:textId="6A208D11" w:rsidR="00EA4CD7" w:rsidRDefault="00EA4CD7" w:rsidP="005A59A5">
            <w:pPr>
              <w:jc w:val="center"/>
              <w:rPr>
                <w:rFonts w:ascii="Times New Roman" w:hAnsi="Times New Roman" w:cs="Times New Roman"/>
                <w:color w:val="000000" w:themeColor="text1"/>
              </w:rPr>
            </w:pPr>
            <w:r>
              <w:rPr>
                <w:rFonts w:ascii="Times New Roman" w:hAnsi="Times New Roman" w:cs="Times New Roman"/>
                <w:color w:val="000000" w:themeColor="text1"/>
              </w:rPr>
              <w:t>DLI-7/8</w:t>
            </w:r>
          </w:p>
        </w:tc>
        <w:tc>
          <w:tcPr>
            <w:tcW w:w="1002" w:type="dxa"/>
            <w:shd w:val="clear" w:color="auto" w:fill="auto"/>
          </w:tcPr>
          <w:p w14:paraId="7494960D" w14:textId="5D7E3C60" w:rsidR="00EA4CD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55.3%</w:t>
            </w:r>
          </w:p>
        </w:tc>
        <w:tc>
          <w:tcPr>
            <w:tcW w:w="1002" w:type="dxa"/>
            <w:shd w:val="clear" w:color="auto" w:fill="auto"/>
          </w:tcPr>
          <w:p w14:paraId="034D70EE" w14:textId="16A6C90B" w:rsidR="00EA4CD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50.0%</w:t>
            </w:r>
          </w:p>
        </w:tc>
        <w:tc>
          <w:tcPr>
            <w:tcW w:w="1002" w:type="dxa"/>
            <w:shd w:val="clear" w:color="auto" w:fill="auto"/>
          </w:tcPr>
          <w:p w14:paraId="4CF205D8" w14:textId="2FF5A4E9" w:rsidR="00EA4CD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77.3%</w:t>
            </w:r>
          </w:p>
        </w:tc>
        <w:tc>
          <w:tcPr>
            <w:tcW w:w="1002" w:type="dxa"/>
            <w:shd w:val="clear" w:color="auto" w:fill="auto"/>
          </w:tcPr>
          <w:p w14:paraId="7BD70FD3" w14:textId="41CF80D4" w:rsidR="00EA4CD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42.1%</w:t>
            </w:r>
          </w:p>
        </w:tc>
        <w:tc>
          <w:tcPr>
            <w:tcW w:w="1002" w:type="dxa"/>
            <w:shd w:val="clear" w:color="auto" w:fill="auto"/>
          </w:tcPr>
          <w:p w14:paraId="04871920" w14:textId="306705AB" w:rsidR="00EA4CD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60.6%</w:t>
            </w:r>
          </w:p>
        </w:tc>
        <w:tc>
          <w:tcPr>
            <w:tcW w:w="1002" w:type="dxa"/>
            <w:shd w:val="clear" w:color="auto" w:fill="auto"/>
          </w:tcPr>
          <w:p w14:paraId="4DDBA3AF" w14:textId="2D340F1B" w:rsidR="00EA4CD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49.1%</w:t>
            </w:r>
          </w:p>
        </w:tc>
        <w:tc>
          <w:tcPr>
            <w:tcW w:w="1002" w:type="dxa"/>
            <w:shd w:val="clear" w:color="auto" w:fill="auto"/>
          </w:tcPr>
          <w:p w14:paraId="7E236037" w14:textId="59FCA032" w:rsidR="00EA4CD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88.6%</w:t>
            </w:r>
          </w:p>
        </w:tc>
        <w:tc>
          <w:tcPr>
            <w:tcW w:w="1002" w:type="dxa"/>
            <w:shd w:val="clear" w:color="auto" w:fill="auto"/>
          </w:tcPr>
          <w:p w14:paraId="2E2F108C" w14:textId="3968FA6E" w:rsidR="00EA4CD7" w:rsidRPr="00DF5C07" w:rsidRDefault="005A677E" w:rsidP="005A59A5">
            <w:pPr>
              <w:jc w:val="center"/>
              <w:rPr>
                <w:rFonts w:ascii="Times New Roman" w:hAnsi="Times New Roman" w:cs="Times New Roman"/>
                <w:color w:val="000000" w:themeColor="text1"/>
              </w:rPr>
            </w:pPr>
            <w:r>
              <w:rPr>
                <w:rFonts w:ascii="Times New Roman" w:hAnsi="Times New Roman" w:cs="Times New Roman"/>
                <w:color w:val="000000" w:themeColor="text1"/>
              </w:rPr>
              <w:t>31.9%</w:t>
            </w:r>
          </w:p>
        </w:tc>
      </w:tr>
    </w:tbl>
    <w:p w14:paraId="3674CADD" w14:textId="32059C51" w:rsidR="006E402E" w:rsidRPr="006E402E" w:rsidRDefault="006E402E" w:rsidP="005A59A5">
      <w:pPr>
        <w:jc w:val="both"/>
        <w:rPr>
          <w:rFonts w:ascii="Times New Roman" w:hAnsi="Times New Roman" w:cs="Times New Roman"/>
        </w:rPr>
      </w:pPr>
      <w:r>
        <w:rPr>
          <w:rFonts w:ascii="Times New Roman" w:hAnsi="Times New Roman" w:cs="Times New Roman"/>
          <w:b/>
          <w:bCs/>
        </w:rPr>
        <w:lastRenderedPageBreak/>
        <w:t>Table 3.</w:t>
      </w:r>
      <w:r>
        <w:rPr>
          <w:rFonts w:ascii="Times New Roman" w:hAnsi="Times New Roman" w:cs="Times New Roman"/>
        </w:rPr>
        <w:t xml:space="preserve"> Rates of subjunctive and DOM production and selection in children by age and education.</w:t>
      </w:r>
    </w:p>
    <w:p w14:paraId="309EF592" w14:textId="77777777" w:rsidR="00E06B96" w:rsidRDefault="00E06B96" w:rsidP="005A59A5">
      <w:pPr>
        <w:jc w:val="both"/>
        <w:rPr>
          <w:rFonts w:ascii="Times New Roman" w:hAnsi="Times New Roman" w:cs="Times New Roman"/>
        </w:rPr>
      </w:pPr>
    </w:p>
    <w:p w14:paraId="514AE213" w14:textId="7B954222" w:rsidR="00E06B96" w:rsidRPr="00D70235" w:rsidRDefault="00F77169" w:rsidP="005A59A5">
      <w:pPr>
        <w:jc w:val="both"/>
        <w:rPr>
          <w:rFonts w:ascii="Times New Roman" w:hAnsi="Times New Roman" w:cs="Times New Roman"/>
        </w:rPr>
      </w:pPr>
      <w:r>
        <w:rPr>
          <w:rFonts w:ascii="Times New Roman" w:hAnsi="Times New Roman" w:cs="Times New Roman"/>
          <w:noProof/>
        </w:rPr>
        <w:drawing>
          <wp:inline distT="0" distB="0" distL="0" distR="0" wp14:anchorId="2816FA34" wp14:editId="773285E6">
            <wp:extent cx="5943600" cy="3200400"/>
            <wp:effectExtent l="0" t="0" r="0" b="0"/>
            <wp:docPr id="10279154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15455" name="Picture 1027915455"/>
                    <pic:cNvPicPr/>
                  </pic:nvPicPr>
                  <pic:blipFill>
                    <a:blip r:embed="rId8"/>
                    <a:stretch>
                      <a:fillRect/>
                    </a:stretch>
                  </pic:blipFill>
                  <pic:spPr>
                    <a:xfrm>
                      <a:off x="0" y="0"/>
                      <a:ext cx="5943600" cy="3200400"/>
                    </a:xfrm>
                    <a:prstGeom prst="rect">
                      <a:avLst/>
                    </a:prstGeom>
                  </pic:spPr>
                </pic:pic>
              </a:graphicData>
            </a:graphic>
          </wp:inline>
        </w:drawing>
      </w:r>
    </w:p>
    <w:p w14:paraId="6EE2509D" w14:textId="77777777" w:rsidR="00C91A3E" w:rsidRDefault="00C91A3E" w:rsidP="00C91A3E">
      <w:pPr>
        <w:jc w:val="both"/>
        <w:rPr>
          <w:rFonts w:ascii="Times New Roman" w:hAnsi="Times New Roman" w:cs="Times New Roman"/>
        </w:rPr>
      </w:pPr>
      <w:r>
        <w:rPr>
          <w:rFonts w:ascii="Times New Roman" w:hAnsi="Times New Roman" w:cs="Times New Roman"/>
          <w:b/>
          <w:bCs/>
        </w:rPr>
        <w:t>Figure 3.</w:t>
      </w:r>
      <w:r>
        <w:rPr>
          <w:rFonts w:ascii="Times New Roman" w:hAnsi="Times New Roman" w:cs="Times New Roman"/>
        </w:rPr>
        <w:t xml:space="preserve"> Percentages of production and selection of subjunctive DOM by age and education.</w:t>
      </w:r>
    </w:p>
    <w:p w14:paraId="114067FF" w14:textId="77777777" w:rsidR="00C91A3E" w:rsidRDefault="00C91A3E" w:rsidP="005A59A5">
      <w:pPr>
        <w:jc w:val="both"/>
        <w:rPr>
          <w:rFonts w:ascii="Times New Roman" w:hAnsi="Times New Roman" w:cs="Times New Roman"/>
        </w:rPr>
      </w:pPr>
    </w:p>
    <w:p w14:paraId="4C1BCD58" w14:textId="72A2E4CC" w:rsidR="00E06B96" w:rsidRDefault="007D1864" w:rsidP="005A59A5">
      <w:pPr>
        <w:jc w:val="both"/>
        <w:rPr>
          <w:rFonts w:ascii="Times New Roman" w:hAnsi="Times New Roman" w:cs="Times New Roman"/>
        </w:rPr>
      </w:pPr>
      <w:r>
        <w:rPr>
          <w:rFonts w:ascii="Times New Roman" w:hAnsi="Times New Roman" w:cs="Times New Roman"/>
          <w:noProof/>
        </w:rPr>
        <w:lastRenderedPageBreak/>
        <w:drawing>
          <wp:inline distT="0" distB="0" distL="0" distR="0" wp14:anchorId="6E30566D" wp14:editId="28C120D0">
            <wp:extent cx="5943600" cy="4572000"/>
            <wp:effectExtent l="0" t="0" r="0" b="0"/>
            <wp:docPr id="5347680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68049" name="Picture 534768049"/>
                    <pic:cNvPicPr/>
                  </pic:nvPicPr>
                  <pic:blipFill>
                    <a:blip r:embed="rId9"/>
                    <a:stretch>
                      <a:fillRect/>
                    </a:stretch>
                  </pic:blipFill>
                  <pic:spPr>
                    <a:xfrm>
                      <a:off x="0" y="0"/>
                      <a:ext cx="5943600" cy="4572000"/>
                    </a:xfrm>
                    <a:prstGeom prst="rect">
                      <a:avLst/>
                    </a:prstGeom>
                  </pic:spPr>
                </pic:pic>
              </a:graphicData>
            </a:graphic>
          </wp:inline>
        </w:drawing>
      </w:r>
    </w:p>
    <w:p w14:paraId="13CADC1C" w14:textId="77777777" w:rsidR="00C91A3E" w:rsidRDefault="00C91A3E" w:rsidP="00C91A3E">
      <w:pPr>
        <w:jc w:val="both"/>
        <w:rPr>
          <w:rFonts w:ascii="Times New Roman" w:hAnsi="Times New Roman" w:cs="Times New Roman"/>
        </w:rPr>
      </w:pPr>
      <w:r>
        <w:rPr>
          <w:rFonts w:ascii="Times New Roman" w:hAnsi="Times New Roman" w:cs="Times New Roman"/>
          <w:b/>
          <w:bCs/>
        </w:rPr>
        <w:t>Figure 4.</w:t>
      </w:r>
      <w:r>
        <w:rPr>
          <w:rFonts w:ascii="Times New Roman" w:hAnsi="Times New Roman" w:cs="Times New Roman"/>
        </w:rPr>
        <w:t xml:space="preserve"> Production and selection of subjunctive and DOM by frequency of Spanish use.</w:t>
      </w:r>
    </w:p>
    <w:p w14:paraId="101BC114" w14:textId="77777777" w:rsidR="00C91A3E" w:rsidRPr="00195767" w:rsidRDefault="00C91A3E" w:rsidP="005A59A5">
      <w:pPr>
        <w:jc w:val="both"/>
        <w:rPr>
          <w:rFonts w:ascii="Times New Roman" w:hAnsi="Times New Roman" w:cs="Times New Roman"/>
        </w:rPr>
      </w:pPr>
    </w:p>
    <w:p w14:paraId="641AC02F" w14:textId="294C499F" w:rsidR="00EE5129" w:rsidRDefault="00E5363C" w:rsidP="005A59A5">
      <w:pPr>
        <w:jc w:val="both"/>
        <w:rPr>
          <w:rFonts w:ascii="Times New Roman" w:hAnsi="Times New Roman" w:cs="Times New Roman"/>
        </w:rPr>
      </w:pPr>
      <w:r w:rsidRPr="00E5363C">
        <w:rPr>
          <w:rFonts w:ascii="Times New Roman" w:hAnsi="Times New Roman" w:cs="Times New Roman"/>
          <w:i/>
          <w:iCs/>
        </w:rPr>
        <w:t xml:space="preserve">4.1 </w:t>
      </w:r>
      <w:r w:rsidR="00EE5129" w:rsidRPr="00E5363C">
        <w:rPr>
          <w:rFonts w:ascii="Times New Roman" w:hAnsi="Times New Roman" w:cs="Times New Roman"/>
          <w:i/>
          <w:iCs/>
        </w:rPr>
        <w:t>Multivariate Analyses</w:t>
      </w:r>
    </w:p>
    <w:p w14:paraId="46891640" w14:textId="77777777" w:rsidR="00E5363C" w:rsidRPr="00E5363C" w:rsidRDefault="00E5363C" w:rsidP="005A59A5">
      <w:pPr>
        <w:jc w:val="both"/>
        <w:rPr>
          <w:rFonts w:ascii="Times New Roman" w:hAnsi="Times New Roman" w:cs="Times New Roman"/>
        </w:rPr>
      </w:pPr>
    </w:p>
    <w:p w14:paraId="2F6134FE" w14:textId="574BB4A6" w:rsidR="00377073" w:rsidRDefault="008C4E2B" w:rsidP="005A59A5">
      <w:pPr>
        <w:ind w:firstLine="720"/>
        <w:jc w:val="both"/>
        <w:rPr>
          <w:rFonts w:ascii="Times New Roman" w:hAnsi="Times New Roman" w:cs="Times New Roman"/>
        </w:rPr>
      </w:pPr>
      <w:r>
        <w:rPr>
          <w:rFonts w:ascii="Times New Roman" w:hAnsi="Times New Roman" w:cs="Times New Roman"/>
        </w:rPr>
        <w:t>T</w:t>
      </w:r>
      <w:r w:rsidR="00EE5129">
        <w:rPr>
          <w:rFonts w:ascii="Times New Roman" w:hAnsi="Times New Roman" w:cs="Times New Roman"/>
        </w:rPr>
        <w:t xml:space="preserve">he present project </w:t>
      </w:r>
      <w:r w:rsidR="00055D04">
        <w:rPr>
          <w:rFonts w:ascii="Times New Roman" w:hAnsi="Times New Roman" w:cs="Times New Roman"/>
        </w:rPr>
        <w:t xml:space="preserve">incorporates </w:t>
      </w:r>
      <w:r w:rsidR="00EE5129">
        <w:rPr>
          <w:rFonts w:ascii="Times New Roman" w:hAnsi="Times New Roman" w:cs="Times New Roman"/>
        </w:rPr>
        <w:t>two generalized linear mixed effects binomial logistic regression models</w:t>
      </w:r>
      <w:r w:rsidR="00756BDF">
        <w:rPr>
          <w:rFonts w:ascii="Times New Roman" w:hAnsi="Times New Roman" w:cs="Times New Roman"/>
        </w:rPr>
        <w:t xml:space="preserve"> </w:t>
      </w:r>
      <w:r w:rsidR="00055D04">
        <w:rPr>
          <w:rFonts w:ascii="Times New Roman" w:hAnsi="Times New Roman" w:cs="Times New Roman"/>
        </w:rPr>
        <w:t>including</w:t>
      </w:r>
      <w:r w:rsidR="00756BDF">
        <w:rPr>
          <w:rFonts w:ascii="Times New Roman" w:hAnsi="Times New Roman" w:cs="Times New Roman"/>
        </w:rPr>
        <w:t xml:space="preserve"> both the subjunctive and DOM</w:t>
      </w:r>
      <w:r w:rsidR="0029473F">
        <w:rPr>
          <w:rFonts w:ascii="Times New Roman" w:hAnsi="Times New Roman" w:cs="Times New Roman"/>
        </w:rPr>
        <w:t xml:space="preserve"> data</w:t>
      </w:r>
      <w:r w:rsidR="00EE5129">
        <w:rPr>
          <w:rFonts w:ascii="Times New Roman" w:hAnsi="Times New Roman" w:cs="Times New Roman"/>
        </w:rPr>
        <w:t xml:space="preserve">. </w:t>
      </w:r>
      <w:r w:rsidR="007A541D">
        <w:rPr>
          <w:rFonts w:ascii="Times New Roman" w:hAnsi="Times New Roman" w:cs="Times New Roman"/>
        </w:rPr>
        <w:t>The binary independent variable for both models was the</w:t>
      </w:r>
      <w:r w:rsidR="00D27D4C">
        <w:rPr>
          <w:rFonts w:ascii="Times New Roman" w:hAnsi="Times New Roman" w:cs="Times New Roman"/>
        </w:rPr>
        <w:t xml:space="preserve"> expected use of subjunctive</w:t>
      </w:r>
      <w:r w:rsidR="007A541D">
        <w:rPr>
          <w:rFonts w:ascii="Times New Roman" w:hAnsi="Times New Roman" w:cs="Times New Roman"/>
        </w:rPr>
        <w:t>/</w:t>
      </w:r>
      <w:r w:rsidR="00D27D4C">
        <w:rPr>
          <w:rFonts w:ascii="Times New Roman" w:hAnsi="Times New Roman" w:cs="Times New Roman"/>
        </w:rPr>
        <w:t>DOM</w:t>
      </w:r>
      <w:r w:rsidR="007A541D">
        <w:rPr>
          <w:rFonts w:ascii="Times New Roman" w:hAnsi="Times New Roman" w:cs="Times New Roman"/>
        </w:rPr>
        <w:t xml:space="preserve">, </w:t>
      </w:r>
      <w:r w:rsidR="00A77A60">
        <w:rPr>
          <w:rFonts w:ascii="Times New Roman" w:hAnsi="Times New Roman" w:cs="Times New Roman"/>
        </w:rPr>
        <w:t xml:space="preserve">and participant and item </w:t>
      </w:r>
      <w:r w:rsidR="007A541D">
        <w:rPr>
          <w:rFonts w:ascii="Times New Roman" w:hAnsi="Times New Roman" w:cs="Times New Roman"/>
        </w:rPr>
        <w:t xml:space="preserve">were included </w:t>
      </w:r>
      <w:r w:rsidR="00A77A60">
        <w:rPr>
          <w:rFonts w:ascii="Times New Roman" w:hAnsi="Times New Roman" w:cs="Times New Roman"/>
        </w:rPr>
        <w:t>as random effects.</w:t>
      </w:r>
      <w:r w:rsidR="004B06FC">
        <w:rPr>
          <w:rFonts w:ascii="Times New Roman" w:hAnsi="Times New Roman" w:cs="Times New Roman"/>
        </w:rPr>
        <w:t xml:space="preserve"> The first model incorporated all participants’ data and analyzed group (SDBA as reference level, HSA, HS7/8, HS5)</w:t>
      </w:r>
      <w:r w:rsidR="00554544">
        <w:rPr>
          <w:rFonts w:ascii="Times New Roman" w:hAnsi="Times New Roman" w:cs="Times New Roman"/>
        </w:rPr>
        <w:t xml:space="preserve">, structure (subjunctive as reference level, DOM), </w:t>
      </w:r>
      <w:r w:rsidR="008E73BE">
        <w:rPr>
          <w:rFonts w:ascii="Times New Roman" w:hAnsi="Times New Roman" w:cs="Times New Roman"/>
        </w:rPr>
        <w:t>task (</w:t>
      </w:r>
      <w:r w:rsidR="00C61C28">
        <w:rPr>
          <w:rFonts w:ascii="Times New Roman" w:hAnsi="Times New Roman" w:cs="Times New Roman"/>
        </w:rPr>
        <w:t>production as reference level, selection</w:t>
      </w:r>
      <w:r w:rsidR="008E73BE">
        <w:rPr>
          <w:rFonts w:ascii="Times New Roman" w:hAnsi="Times New Roman" w:cs="Times New Roman"/>
        </w:rPr>
        <w:t xml:space="preserve">), </w:t>
      </w:r>
      <w:r w:rsidR="00554544">
        <w:rPr>
          <w:rFonts w:ascii="Times New Roman" w:hAnsi="Times New Roman" w:cs="Times New Roman"/>
        </w:rPr>
        <w:t>frequency of use of Spanish</w:t>
      </w:r>
      <w:r w:rsidR="005545BF">
        <w:rPr>
          <w:rFonts w:ascii="Times New Roman" w:hAnsi="Times New Roman" w:cs="Times New Roman"/>
        </w:rPr>
        <w:t xml:space="preserve">, and </w:t>
      </w:r>
      <w:r w:rsidR="008E73BE">
        <w:rPr>
          <w:rFonts w:ascii="Times New Roman" w:hAnsi="Times New Roman" w:cs="Times New Roman"/>
        </w:rPr>
        <w:t xml:space="preserve">the task by frequency of use interaction. The interaction was included due to its significance in </w:t>
      </w:r>
      <w:r w:rsidR="003B7368">
        <w:rPr>
          <w:rFonts w:ascii="Times New Roman" w:hAnsi="Times New Roman" w:cs="Times New Roman"/>
        </w:rPr>
        <w:t>AUTHOR</w:t>
      </w:r>
      <w:r w:rsidR="008E73BE">
        <w:rPr>
          <w:rFonts w:ascii="Times New Roman" w:hAnsi="Times New Roman" w:cs="Times New Roman"/>
        </w:rPr>
        <w:t xml:space="preserve"> accounting for variability in the production, but not sel</w:t>
      </w:r>
      <w:r w:rsidR="00E63270">
        <w:rPr>
          <w:rFonts w:ascii="Times New Roman" w:hAnsi="Times New Roman" w:cs="Times New Roman"/>
        </w:rPr>
        <w:t>e</w:t>
      </w:r>
      <w:r w:rsidR="008E73BE">
        <w:rPr>
          <w:rFonts w:ascii="Times New Roman" w:hAnsi="Times New Roman" w:cs="Times New Roman"/>
        </w:rPr>
        <w:t>ction, of DOM.</w:t>
      </w:r>
    </w:p>
    <w:p w14:paraId="56C561F9" w14:textId="4FBB551D" w:rsidR="00EE5129" w:rsidRDefault="00C61C28" w:rsidP="005A59A5">
      <w:pPr>
        <w:ind w:firstLine="720"/>
        <w:jc w:val="both"/>
        <w:rPr>
          <w:rFonts w:ascii="Times New Roman" w:hAnsi="Times New Roman" w:cs="Times New Roman"/>
        </w:rPr>
      </w:pPr>
      <w:r>
        <w:rPr>
          <w:rFonts w:ascii="Times New Roman" w:hAnsi="Times New Roman" w:cs="Times New Roman"/>
        </w:rPr>
        <w:t xml:space="preserve">Results revealed main effects for </w:t>
      </w:r>
      <w:r w:rsidR="00E63270">
        <w:rPr>
          <w:rFonts w:ascii="Times New Roman" w:hAnsi="Times New Roman" w:cs="Times New Roman"/>
        </w:rPr>
        <w:t xml:space="preserve">the HSA group </w:t>
      </w:r>
      <w:r>
        <w:rPr>
          <w:rFonts w:ascii="Times New Roman" w:hAnsi="Times New Roman" w:cs="Times New Roman"/>
        </w:rPr>
        <w:t>(</w:t>
      </w:r>
      <w:r w:rsidRPr="00C61C28">
        <w:rPr>
          <w:rFonts w:ascii="Times New Roman" w:hAnsi="Times New Roman" w:cs="Times New Roman"/>
          <w:i/>
          <w:iCs/>
        </w:rPr>
        <w:t>β</w:t>
      </w:r>
      <w:r>
        <w:rPr>
          <w:rFonts w:ascii="Times New Roman" w:hAnsi="Times New Roman" w:cs="Times New Roman"/>
        </w:rPr>
        <w:t xml:space="preserve"> = </w:t>
      </w:r>
      <w:r w:rsidR="00E63270">
        <w:rPr>
          <w:rFonts w:ascii="Times New Roman" w:hAnsi="Times New Roman" w:cs="Times New Roman"/>
        </w:rPr>
        <w:t>–</w:t>
      </w:r>
      <w:r w:rsidR="00CB0662">
        <w:rPr>
          <w:rFonts w:ascii="Times New Roman" w:hAnsi="Times New Roman" w:cs="Times New Roman"/>
        </w:rPr>
        <w:t>4.54</w:t>
      </w:r>
      <w:r w:rsidR="00E63270">
        <w:rPr>
          <w:rFonts w:ascii="Times New Roman" w:hAnsi="Times New Roman" w:cs="Times New Roman"/>
        </w:rPr>
        <w:t>, SE = 0.6</w:t>
      </w:r>
      <w:r w:rsidR="00CB0662">
        <w:rPr>
          <w:rFonts w:ascii="Times New Roman" w:hAnsi="Times New Roman" w:cs="Times New Roman"/>
        </w:rPr>
        <w:t>8</w:t>
      </w:r>
      <w:r w:rsidR="00E63270">
        <w:rPr>
          <w:rFonts w:ascii="Times New Roman" w:hAnsi="Times New Roman" w:cs="Times New Roman"/>
        </w:rPr>
        <w:t xml:space="preserve">, </w:t>
      </w:r>
      <w:r w:rsidR="00E63270">
        <w:rPr>
          <w:rFonts w:ascii="Times New Roman" w:hAnsi="Times New Roman" w:cs="Times New Roman"/>
          <w:i/>
          <w:iCs/>
        </w:rPr>
        <w:t>p</w:t>
      </w:r>
      <w:r w:rsidR="00E63270">
        <w:rPr>
          <w:rFonts w:ascii="Times New Roman" w:hAnsi="Times New Roman" w:cs="Times New Roman"/>
        </w:rPr>
        <w:t xml:space="preserve"> </w:t>
      </w:r>
      <w:r w:rsidR="00CB0662">
        <w:rPr>
          <w:rFonts w:ascii="Times New Roman" w:hAnsi="Times New Roman" w:cs="Times New Roman"/>
        </w:rPr>
        <w:t>&lt;</w:t>
      </w:r>
      <w:r w:rsidR="00E63270">
        <w:rPr>
          <w:rFonts w:ascii="Times New Roman" w:hAnsi="Times New Roman" w:cs="Times New Roman"/>
        </w:rPr>
        <w:t xml:space="preserve"> .</w:t>
      </w:r>
      <w:r w:rsidR="00CB0662">
        <w:rPr>
          <w:rFonts w:ascii="Times New Roman" w:hAnsi="Times New Roman" w:cs="Times New Roman"/>
        </w:rPr>
        <w:t>001</w:t>
      </w:r>
      <w:r>
        <w:rPr>
          <w:rFonts w:ascii="Times New Roman" w:hAnsi="Times New Roman" w:cs="Times New Roman"/>
        </w:rPr>
        <w:t>)</w:t>
      </w:r>
      <w:r w:rsidR="00E63270">
        <w:rPr>
          <w:rFonts w:ascii="Times New Roman" w:hAnsi="Times New Roman" w:cs="Times New Roman"/>
        </w:rPr>
        <w:t>, the HS7/8 group (</w:t>
      </w:r>
      <w:r w:rsidR="00E63270" w:rsidRPr="00E63270">
        <w:rPr>
          <w:rFonts w:ascii="Times New Roman" w:hAnsi="Times New Roman" w:cs="Times New Roman"/>
          <w:i/>
          <w:iCs/>
        </w:rPr>
        <w:t>β</w:t>
      </w:r>
      <w:r w:rsidR="00E63270">
        <w:rPr>
          <w:rFonts w:ascii="Times New Roman" w:hAnsi="Times New Roman" w:cs="Times New Roman"/>
        </w:rPr>
        <w:t xml:space="preserve"> = –</w:t>
      </w:r>
      <w:r w:rsidR="00CB0662">
        <w:rPr>
          <w:rFonts w:ascii="Times New Roman" w:hAnsi="Times New Roman" w:cs="Times New Roman"/>
        </w:rPr>
        <w:t>4.84</w:t>
      </w:r>
      <w:r w:rsidR="00E63270">
        <w:rPr>
          <w:rFonts w:ascii="Times New Roman" w:hAnsi="Times New Roman" w:cs="Times New Roman"/>
        </w:rPr>
        <w:t>, SE = 0.</w:t>
      </w:r>
      <w:r w:rsidR="00CB0662">
        <w:rPr>
          <w:rFonts w:ascii="Times New Roman" w:hAnsi="Times New Roman" w:cs="Times New Roman"/>
        </w:rPr>
        <w:t>6</w:t>
      </w:r>
      <w:r w:rsidR="00E63270">
        <w:rPr>
          <w:rFonts w:ascii="Times New Roman" w:hAnsi="Times New Roman" w:cs="Times New Roman"/>
        </w:rPr>
        <w:t xml:space="preserve">8, </w:t>
      </w:r>
      <w:r w:rsidR="00E63270">
        <w:rPr>
          <w:rFonts w:ascii="Times New Roman" w:hAnsi="Times New Roman" w:cs="Times New Roman"/>
          <w:i/>
          <w:iCs/>
        </w:rPr>
        <w:t>p</w:t>
      </w:r>
      <w:r w:rsidR="00E63270">
        <w:rPr>
          <w:rFonts w:ascii="Times New Roman" w:hAnsi="Times New Roman" w:cs="Times New Roman"/>
        </w:rPr>
        <w:t xml:space="preserve"> </w:t>
      </w:r>
      <w:r w:rsidR="00CB0662">
        <w:rPr>
          <w:rFonts w:ascii="Times New Roman" w:hAnsi="Times New Roman" w:cs="Times New Roman"/>
        </w:rPr>
        <w:t>&lt;</w:t>
      </w:r>
      <w:r w:rsidR="00E63270">
        <w:rPr>
          <w:rFonts w:ascii="Times New Roman" w:hAnsi="Times New Roman" w:cs="Times New Roman"/>
        </w:rPr>
        <w:t xml:space="preserve"> .00</w:t>
      </w:r>
      <w:r w:rsidR="00CB0662">
        <w:rPr>
          <w:rFonts w:ascii="Times New Roman" w:hAnsi="Times New Roman" w:cs="Times New Roman"/>
        </w:rPr>
        <w:t>1</w:t>
      </w:r>
      <w:r w:rsidR="00E63270">
        <w:rPr>
          <w:rFonts w:ascii="Times New Roman" w:hAnsi="Times New Roman" w:cs="Times New Roman"/>
        </w:rPr>
        <w:t>), the HS5 group (</w:t>
      </w:r>
      <w:r w:rsidR="00E63270" w:rsidRPr="00E63270">
        <w:rPr>
          <w:rFonts w:ascii="Times New Roman" w:hAnsi="Times New Roman" w:cs="Times New Roman"/>
          <w:i/>
          <w:iCs/>
        </w:rPr>
        <w:t>β</w:t>
      </w:r>
      <w:r w:rsidR="00E63270">
        <w:rPr>
          <w:rFonts w:ascii="Times New Roman" w:hAnsi="Times New Roman" w:cs="Times New Roman"/>
        </w:rPr>
        <w:t xml:space="preserve"> = –</w:t>
      </w:r>
      <w:r w:rsidR="00CB0662">
        <w:rPr>
          <w:rFonts w:ascii="Times New Roman" w:hAnsi="Times New Roman" w:cs="Times New Roman"/>
        </w:rPr>
        <w:t>5</w:t>
      </w:r>
      <w:r w:rsidR="00E63270">
        <w:rPr>
          <w:rFonts w:ascii="Times New Roman" w:hAnsi="Times New Roman" w:cs="Times New Roman"/>
        </w:rPr>
        <w:t>.</w:t>
      </w:r>
      <w:r w:rsidR="00CB0662">
        <w:rPr>
          <w:rFonts w:ascii="Times New Roman" w:hAnsi="Times New Roman" w:cs="Times New Roman"/>
        </w:rPr>
        <w:t>80</w:t>
      </w:r>
      <w:r w:rsidR="00E63270">
        <w:rPr>
          <w:rFonts w:ascii="Times New Roman" w:hAnsi="Times New Roman" w:cs="Times New Roman"/>
        </w:rPr>
        <w:t>, SE = 0.</w:t>
      </w:r>
      <w:r w:rsidR="00CB0662">
        <w:rPr>
          <w:rFonts w:ascii="Times New Roman" w:hAnsi="Times New Roman" w:cs="Times New Roman"/>
        </w:rPr>
        <w:t>67</w:t>
      </w:r>
      <w:r w:rsidR="00E63270">
        <w:rPr>
          <w:rFonts w:ascii="Times New Roman" w:hAnsi="Times New Roman" w:cs="Times New Roman"/>
        </w:rPr>
        <w:t xml:space="preserve">, </w:t>
      </w:r>
      <w:r w:rsidR="00E63270">
        <w:rPr>
          <w:rFonts w:ascii="Times New Roman" w:hAnsi="Times New Roman" w:cs="Times New Roman"/>
          <w:i/>
          <w:iCs/>
        </w:rPr>
        <w:t>p</w:t>
      </w:r>
      <w:r w:rsidR="00E63270">
        <w:rPr>
          <w:rFonts w:ascii="Times New Roman" w:hAnsi="Times New Roman" w:cs="Times New Roman"/>
        </w:rPr>
        <w:t xml:space="preserve"> &lt; .001), DOM (</w:t>
      </w:r>
      <w:r w:rsidR="00E63270" w:rsidRPr="00E63270">
        <w:rPr>
          <w:rFonts w:ascii="Times New Roman" w:hAnsi="Times New Roman" w:cs="Times New Roman"/>
          <w:i/>
          <w:iCs/>
        </w:rPr>
        <w:t>β</w:t>
      </w:r>
      <w:r w:rsidR="00E63270">
        <w:rPr>
          <w:rFonts w:ascii="Times New Roman" w:hAnsi="Times New Roman" w:cs="Times New Roman"/>
        </w:rPr>
        <w:t xml:space="preserve"> = –</w:t>
      </w:r>
      <w:r w:rsidR="00CB0662">
        <w:rPr>
          <w:rFonts w:ascii="Times New Roman" w:hAnsi="Times New Roman" w:cs="Times New Roman"/>
        </w:rPr>
        <w:t>0</w:t>
      </w:r>
      <w:r w:rsidR="00E63270">
        <w:rPr>
          <w:rFonts w:ascii="Times New Roman" w:hAnsi="Times New Roman" w:cs="Times New Roman"/>
        </w:rPr>
        <w:t>.</w:t>
      </w:r>
      <w:r w:rsidR="00CB0662">
        <w:rPr>
          <w:rFonts w:ascii="Times New Roman" w:hAnsi="Times New Roman" w:cs="Times New Roman"/>
        </w:rPr>
        <w:t xml:space="preserve">29, SE = 0.12, </w:t>
      </w:r>
      <w:r w:rsidR="00CB0662">
        <w:rPr>
          <w:rFonts w:ascii="Times New Roman" w:hAnsi="Times New Roman" w:cs="Times New Roman"/>
          <w:i/>
          <w:iCs/>
        </w:rPr>
        <w:t>p</w:t>
      </w:r>
      <w:r w:rsidR="00CB0662">
        <w:rPr>
          <w:rFonts w:ascii="Times New Roman" w:hAnsi="Times New Roman" w:cs="Times New Roman"/>
        </w:rPr>
        <w:t xml:space="preserve"> = .017</w:t>
      </w:r>
      <w:r w:rsidR="00E63270">
        <w:rPr>
          <w:rFonts w:ascii="Times New Roman" w:hAnsi="Times New Roman" w:cs="Times New Roman"/>
        </w:rPr>
        <w:t xml:space="preserve">), </w:t>
      </w:r>
      <w:r w:rsidR="00377073">
        <w:rPr>
          <w:rFonts w:ascii="Times New Roman" w:hAnsi="Times New Roman" w:cs="Times New Roman"/>
        </w:rPr>
        <w:t>the selection task (</w:t>
      </w:r>
      <w:r w:rsidR="00377073" w:rsidRPr="00377073">
        <w:rPr>
          <w:rFonts w:ascii="Times New Roman" w:hAnsi="Times New Roman" w:cs="Times New Roman"/>
          <w:i/>
          <w:iCs/>
        </w:rPr>
        <w:t>β</w:t>
      </w:r>
      <w:r w:rsidR="00377073" w:rsidRPr="00377073">
        <w:rPr>
          <w:rFonts w:ascii="Times New Roman" w:hAnsi="Times New Roman" w:cs="Times New Roman"/>
        </w:rPr>
        <w:t xml:space="preserve"> =</w:t>
      </w:r>
      <w:r w:rsidR="00377073">
        <w:rPr>
          <w:rFonts w:ascii="Times New Roman" w:hAnsi="Times New Roman" w:cs="Times New Roman"/>
        </w:rPr>
        <w:t xml:space="preserve"> 1.</w:t>
      </w:r>
      <w:r w:rsidR="00CB0662">
        <w:rPr>
          <w:rFonts w:ascii="Times New Roman" w:hAnsi="Times New Roman" w:cs="Times New Roman"/>
        </w:rPr>
        <w:t>62</w:t>
      </w:r>
      <w:r w:rsidR="00377073">
        <w:rPr>
          <w:rFonts w:ascii="Times New Roman" w:hAnsi="Times New Roman" w:cs="Times New Roman"/>
        </w:rPr>
        <w:t>, SE = 0.</w:t>
      </w:r>
      <w:r w:rsidR="00CB0662">
        <w:rPr>
          <w:rFonts w:ascii="Times New Roman" w:hAnsi="Times New Roman" w:cs="Times New Roman"/>
        </w:rPr>
        <w:t>27</w:t>
      </w:r>
      <w:r w:rsidR="00377073">
        <w:rPr>
          <w:rFonts w:ascii="Times New Roman" w:hAnsi="Times New Roman" w:cs="Times New Roman"/>
        </w:rPr>
        <w:t xml:space="preserve">, </w:t>
      </w:r>
      <w:r w:rsidR="00377073">
        <w:rPr>
          <w:rFonts w:ascii="Times New Roman" w:hAnsi="Times New Roman" w:cs="Times New Roman"/>
          <w:i/>
          <w:iCs/>
        </w:rPr>
        <w:t>p</w:t>
      </w:r>
      <w:r w:rsidR="00377073">
        <w:rPr>
          <w:rFonts w:ascii="Times New Roman" w:hAnsi="Times New Roman" w:cs="Times New Roman"/>
        </w:rPr>
        <w:t xml:space="preserve"> &lt; .001), and frequency of use (</w:t>
      </w:r>
      <w:r w:rsidR="00377073" w:rsidRPr="00377073">
        <w:rPr>
          <w:rFonts w:ascii="Times New Roman" w:hAnsi="Times New Roman" w:cs="Times New Roman"/>
          <w:i/>
          <w:iCs/>
        </w:rPr>
        <w:t>β</w:t>
      </w:r>
      <w:r w:rsidR="00377073">
        <w:rPr>
          <w:rFonts w:ascii="Times New Roman" w:hAnsi="Times New Roman" w:cs="Times New Roman"/>
        </w:rPr>
        <w:t xml:space="preserve"> = 0.3</w:t>
      </w:r>
      <w:r w:rsidR="00CB0662">
        <w:rPr>
          <w:rFonts w:ascii="Times New Roman" w:hAnsi="Times New Roman" w:cs="Times New Roman"/>
        </w:rPr>
        <w:t xml:space="preserve">6, SE = 0.15, </w:t>
      </w:r>
      <w:r w:rsidR="00CB0662">
        <w:rPr>
          <w:rFonts w:ascii="Times New Roman" w:hAnsi="Times New Roman" w:cs="Times New Roman"/>
          <w:i/>
          <w:iCs/>
        </w:rPr>
        <w:t>p</w:t>
      </w:r>
      <w:r w:rsidR="00CB0662">
        <w:rPr>
          <w:rFonts w:ascii="Times New Roman" w:hAnsi="Times New Roman" w:cs="Times New Roman"/>
        </w:rPr>
        <w:t xml:space="preserve"> = .013</w:t>
      </w:r>
      <w:r w:rsidR="00377073">
        <w:rPr>
          <w:rFonts w:ascii="Times New Roman" w:hAnsi="Times New Roman" w:cs="Times New Roman"/>
        </w:rPr>
        <w:t>)</w:t>
      </w:r>
      <w:r>
        <w:rPr>
          <w:rFonts w:ascii="Times New Roman" w:hAnsi="Times New Roman" w:cs="Times New Roman"/>
        </w:rPr>
        <w:t>.</w:t>
      </w:r>
      <w:r w:rsidR="00377073">
        <w:rPr>
          <w:rFonts w:ascii="Times New Roman" w:hAnsi="Times New Roman" w:cs="Times New Roman"/>
        </w:rPr>
        <w:t xml:space="preserve"> These results suggest that all groups of HSs use fewer instances of subjunctive and DOM than Spanish-dominant adults at the between-groups level, that frequency of use influence</w:t>
      </w:r>
      <w:r w:rsidR="00190863">
        <w:rPr>
          <w:rFonts w:ascii="Times New Roman" w:hAnsi="Times New Roman" w:cs="Times New Roman"/>
        </w:rPr>
        <w:t>s</w:t>
      </w:r>
      <w:r w:rsidR="00377073">
        <w:rPr>
          <w:rFonts w:ascii="Times New Roman" w:hAnsi="Times New Roman" w:cs="Times New Roman"/>
        </w:rPr>
        <w:t xml:space="preserve"> individual-level differences, and that </w:t>
      </w:r>
      <w:r w:rsidR="002F67B6">
        <w:rPr>
          <w:rFonts w:ascii="Times New Roman" w:hAnsi="Times New Roman" w:cs="Times New Roman"/>
        </w:rPr>
        <w:t>HSs</w:t>
      </w:r>
      <w:r w:rsidR="00377073">
        <w:rPr>
          <w:rFonts w:ascii="Times New Roman" w:hAnsi="Times New Roman" w:cs="Times New Roman"/>
        </w:rPr>
        <w:t xml:space="preserve"> </w:t>
      </w:r>
      <w:r w:rsidR="002F67B6">
        <w:rPr>
          <w:rFonts w:ascii="Times New Roman" w:hAnsi="Times New Roman" w:cs="Times New Roman"/>
        </w:rPr>
        <w:t>s</w:t>
      </w:r>
      <w:r w:rsidR="00377073">
        <w:rPr>
          <w:rFonts w:ascii="Times New Roman" w:hAnsi="Times New Roman" w:cs="Times New Roman"/>
        </w:rPr>
        <w:t>elec</w:t>
      </w:r>
      <w:r w:rsidR="002F67B6">
        <w:rPr>
          <w:rFonts w:ascii="Times New Roman" w:hAnsi="Times New Roman" w:cs="Times New Roman"/>
        </w:rPr>
        <w:t>t</w:t>
      </w:r>
      <w:r w:rsidR="00377073">
        <w:rPr>
          <w:rFonts w:ascii="Times New Roman" w:hAnsi="Times New Roman" w:cs="Times New Roman"/>
        </w:rPr>
        <w:t xml:space="preserve"> these structures </w:t>
      </w:r>
      <w:r w:rsidR="002F67B6">
        <w:rPr>
          <w:rFonts w:ascii="Times New Roman" w:hAnsi="Times New Roman" w:cs="Times New Roman"/>
        </w:rPr>
        <w:t>more than they produce them</w:t>
      </w:r>
      <w:r w:rsidR="00190863">
        <w:rPr>
          <w:rFonts w:ascii="Times New Roman" w:hAnsi="Times New Roman" w:cs="Times New Roman"/>
        </w:rPr>
        <w:t xml:space="preserve"> at the within-speakers level</w:t>
      </w:r>
      <w:r w:rsidR="00377073">
        <w:rPr>
          <w:rFonts w:ascii="Times New Roman" w:hAnsi="Times New Roman" w:cs="Times New Roman"/>
        </w:rPr>
        <w:t xml:space="preserve">. Task effects </w:t>
      </w:r>
      <w:r w:rsidR="00286A29">
        <w:rPr>
          <w:rFonts w:ascii="Times New Roman" w:hAnsi="Times New Roman" w:cs="Times New Roman"/>
        </w:rPr>
        <w:t>were not modulated by frequency of exposure (</w:t>
      </w:r>
      <w:r w:rsidR="00286A29" w:rsidRPr="00286A29">
        <w:rPr>
          <w:rFonts w:ascii="Times New Roman" w:hAnsi="Times New Roman" w:cs="Times New Roman"/>
          <w:i/>
          <w:iCs/>
        </w:rPr>
        <w:t>β</w:t>
      </w:r>
      <w:r w:rsidR="00286A29">
        <w:rPr>
          <w:rFonts w:ascii="Times New Roman" w:hAnsi="Times New Roman" w:cs="Times New Roman"/>
        </w:rPr>
        <w:t xml:space="preserve"> = –0.</w:t>
      </w:r>
      <w:r w:rsidR="00BD6DD0">
        <w:rPr>
          <w:rFonts w:ascii="Times New Roman" w:hAnsi="Times New Roman" w:cs="Times New Roman"/>
        </w:rPr>
        <w:t>13</w:t>
      </w:r>
      <w:r w:rsidR="00286A29">
        <w:rPr>
          <w:rFonts w:ascii="Times New Roman" w:hAnsi="Times New Roman" w:cs="Times New Roman"/>
        </w:rPr>
        <w:t>, SE = 0.</w:t>
      </w:r>
      <w:r w:rsidR="00BD6DD0">
        <w:rPr>
          <w:rFonts w:ascii="Times New Roman" w:hAnsi="Times New Roman" w:cs="Times New Roman"/>
        </w:rPr>
        <w:t>10</w:t>
      </w:r>
      <w:r w:rsidR="00286A29">
        <w:rPr>
          <w:rFonts w:ascii="Times New Roman" w:hAnsi="Times New Roman" w:cs="Times New Roman"/>
        </w:rPr>
        <w:t xml:space="preserve">, </w:t>
      </w:r>
      <w:r w:rsidR="00286A29">
        <w:rPr>
          <w:rFonts w:ascii="Times New Roman" w:hAnsi="Times New Roman" w:cs="Times New Roman"/>
          <w:i/>
          <w:iCs/>
        </w:rPr>
        <w:t>p</w:t>
      </w:r>
      <w:r w:rsidR="00286A29">
        <w:rPr>
          <w:rFonts w:ascii="Times New Roman" w:hAnsi="Times New Roman" w:cs="Times New Roman"/>
        </w:rPr>
        <w:t xml:space="preserve"> = .</w:t>
      </w:r>
      <w:r w:rsidR="00BD6DD0">
        <w:rPr>
          <w:rFonts w:ascii="Times New Roman" w:hAnsi="Times New Roman" w:cs="Times New Roman"/>
        </w:rPr>
        <w:t>16</w:t>
      </w:r>
      <w:r w:rsidR="009A04FD">
        <w:rPr>
          <w:rFonts w:ascii="Times New Roman" w:hAnsi="Times New Roman" w:cs="Times New Roman"/>
        </w:rPr>
        <w:t>5</w:t>
      </w:r>
      <w:r w:rsidR="00286A29">
        <w:rPr>
          <w:rFonts w:ascii="Times New Roman" w:hAnsi="Times New Roman" w:cs="Times New Roman"/>
        </w:rPr>
        <w:t>).</w:t>
      </w:r>
    </w:p>
    <w:p w14:paraId="55521D6F" w14:textId="64B303F3" w:rsidR="004068E8" w:rsidRDefault="004068E8" w:rsidP="005A59A5">
      <w:pPr>
        <w:ind w:firstLine="720"/>
        <w:jc w:val="both"/>
        <w:rPr>
          <w:rFonts w:ascii="Times New Roman" w:hAnsi="Times New Roman" w:cs="Times New Roman"/>
        </w:rPr>
      </w:pPr>
      <w:r>
        <w:rPr>
          <w:rFonts w:ascii="Times New Roman" w:hAnsi="Times New Roman" w:cs="Times New Roman"/>
        </w:rPr>
        <w:lastRenderedPageBreak/>
        <w:t xml:space="preserve">To determine if the differences between age groups of HSs reached significance, Tukey post-hoc pairwise comparisons were carried out. </w:t>
      </w:r>
      <w:r w:rsidR="00CF03DD">
        <w:rPr>
          <w:rFonts w:ascii="Times New Roman" w:hAnsi="Times New Roman" w:cs="Times New Roman"/>
        </w:rPr>
        <w:t xml:space="preserve">Beyond the </w:t>
      </w:r>
      <w:r w:rsidR="00A82D11">
        <w:rPr>
          <w:rFonts w:ascii="Times New Roman" w:hAnsi="Times New Roman" w:cs="Times New Roman"/>
        </w:rPr>
        <w:t>previously</w:t>
      </w:r>
      <w:r w:rsidR="00036E86">
        <w:rPr>
          <w:rFonts w:ascii="Times New Roman" w:hAnsi="Times New Roman" w:cs="Times New Roman"/>
        </w:rPr>
        <w:t xml:space="preserve"> described</w:t>
      </w:r>
      <w:r w:rsidR="00A82D11">
        <w:rPr>
          <w:rFonts w:ascii="Times New Roman" w:hAnsi="Times New Roman" w:cs="Times New Roman"/>
        </w:rPr>
        <w:t xml:space="preserve"> </w:t>
      </w:r>
      <w:r w:rsidR="00CF03DD">
        <w:rPr>
          <w:rFonts w:ascii="Times New Roman" w:hAnsi="Times New Roman" w:cs="Times New Roman"/>
        </w:rPr>
        <w:t>differences with the SDBA group, r</w:t>
      </w:r>
      <w:r>
        <w:rPr>
          <w:rFonts w:ascii="Times New Roman" w:hAnsi="Times New Roman" w:cs="Times New Roman"/>
        </w:rPr>
        <w:t xml:space="preserve">esults </w:t>
      </w:r>
      <w:r w:rsidR="006B2F32">
        <w:rPr>
          <w:rFonts w:ascii="Times New Roman" w:hAnsi="Times New Roman" w:cs="Times New Roman"/>
        </w:rPr>
        <w:t>reveal</w:t>
      </w:r>
      <w:r w:rsidR="00F97870">
        <w:rPr>
          <w:rFonts w:ascii="Times New Roman" w:hAnsi="Times New Roman" w:cs="Times New Roman"/>
        </w:rPr>
        <w:t>ed</w:t>
      </w:r>
      <w:r w:rsidR="006B2F32">
        <w:rPr>
          <w:rFonts w:ascii="Times New Roman" w:hAnsi="Times New Roman" w:cs="Times New Roman"/>
        </w:rPr>
        <w:t xml:space="preserve"> statistically</w:t>
      </w:r>
      <w:r w:rsidR="00CF03DD">
        <w:rPr>
          <w:rFonts w:ascii="Times New Roman" w:hAnsi="Times New Roman" w:cs="Times New Roman"/>
        </w:rPr>
        <w:t xml:space="preserve"> </w:t>
      </w:r>
      <w:r w:rsidR="006B2F32">
        <w:rPr>
          <w:rFonts w:ascii="Times New Roman" w:hAnsi="Times New Roman" w:cs="Times New Roman"/>
        </w:rPr>
        <w:t xml:space="preserve">significant differences </w:t>
      </w:r>
      <w:r w:rsidR="00CF03DD">
        <w:rPr>
          <w:rFonts w:ascii="Times New Roman" w:hAnsi="Times New Roman" w:cs="Times New Roman"/>
        </w:rPr>
        <w:t xml:space="preserve">at the </w:t>
      </w:r>
      <w:r w:rsidR="00CF03DD" w:rsidRPr="00CF03DD">
        <w:rPr>
          <w:rFonts w:ascii="Times New Roman" w:hAnsi="Times New Roman" w:cs="Times New Roman"/>
          <w:i/>
          <w:iCs/>
        </w:rPr>
        <w:t>p</w:t>
      </w:r>
      <w:r w:rsidR="00CF03DD">
        <w:rPr>
          <w:rFonts w:ascii="Times New Roman" w:hAnsi="Times New Roman" w:cs="Times New Roman"/>
        </w:rPr>
        <w:t xml:space="preserve"> &gt; .05 level </w:t>
      </w:r>
      <w:r w:rsidR="006B2F32">
        <w:rPr>
          <w:rFonts w:ascii="Times New Roman" w:hAnsi="Times New Roman" w:cs="Times New Roman"/>
        </w:rPr>
        <w:t xml:space="preserve">between </w:t>
      </w:r>
      <w:r w:rsidR="00A46F2A">
        <w:rPr>
          <w:rFonts w:ascii="Times New Roman" w:hAnsi="Times New Roman" w:cs="Times New Roman"/>
        </w:rPr>
        <w:t xml:space="preserve">the HSA </w:t>
      </w:r>
      <w:r w:rsidR="007B2B30">
        <w:rPr>
          <w:rFonts w:ascii="Times New Roman" w:hAnsi="Times New Roman" w:cs="Times New Roman"/>
        </w:rPr>
        <w:t xml:space="preserve">and </w:t>
      </w:r>
      <w:r w:rsidR="00CF03DD">
        <w:rPr>
          <w:rFonts w:ascii="Times New Roman" w:hAnsi="Times New Roman" w:cs="Times New Roman"/>
        </w:rPr>
        <w:t>HS5 groups (</w:t>
      </w:r>
      <w:r w:rsidR="00CF03DD" w:rsidRPr="00286A29">
        <w:rPr>
          <w:rFonts w:ascii="Times New Roman" w:hAnsi="Times New Roman" w:cs="Times New Roman"/>
          <w:i/>
          <w:iCs/>
        </w:rPr>
        <w:t>β</w:t>
      </w:r>
      <w:r w:rsidR="00CF03DD">
        <w:rPr>
          <w:rFonts w:ascii="Times New Roman" w:hAnsi="Times New Roman" w:cs="Times New Roman"/>
        </w:rPr>
        <w:t xml:space="preserve"> = 1.29, SE = 0.37, </w:t>
      </w:r>
      <w:r w:rsidR="00CF03DD">
        <w:rPr>
          <w:rFonts w:ascii="Times New Roman" w:hAnsi="Times New Roman" w:cs="Times New Roman"/>
          <w:i/>
          <w:iCs/>
        </w:rPr>
        <w:t>p</w:t>
      </w:r>
      <w:r w:rsidR="00CF03DD">
        <w:rPr>
          <w:rFonts w:ascii="Times New Roman" w:hAnsi="Times New Roman" w:cs="Times New Roman"/>
        </w:rPr>
        <w:t xml:space="preserve"> = .003) and between the HS7/8 and HS5 groups (</w:t>
      </w:r>
      <w:r w:rsidR="00CF03DD" w:rsidRPr="00286A29">
        <w:rPr>
          <w:rFonts w:ascii="Times New Roman" w:hAnsi="Times New Roman" w:cs="Times New Roman"/>
          <w:i/>
          <w:iCs/>
        </w:rPr>
        <w:t>β</w:t>
      </w:r>
      <w:r w:rsidR="00CF03DD">
        <w:rPr>
          <w:rFonts w:ascii="Times New Roman" w:hAnsi="Times New Roman" w:cs="Times New Roman"/>
        </w:rPr>
        <w:t xml:space="preserve"> = </w:t>
      </w:r>
      <w:r w:rsidR="00F51E13">
        <w:rPr>
          <w:rFonts w:ascii="Times New Roman" w:hAnsi="Times New Roman" w:cs="Times New Roman"/>
        </w:rPr>
        <w:t xml:space="preserve">0.97, SE = 0.36, </w:t>
      </w:r>
      <w:r w:rsidR="00F51E13">
        <w:rPr>
          <w:rFonts w:ascii="Times New Roman" w:hAnsi="Times New Roman" w:cs="Times New Roman"/>
          <w:i/>
          <w:iCs/>
        </w:rPr>
        <w:t>p</w:t>
      </w:r>
      <w:r w:rsidR="00F51E13">
        <w:rPr>
          <w:rFonts w:ascii="Times New Roman" w:hAnsi="Times New Roman" w:cs="Times New Roman"/>
        </w:rPr>
        <w:t xml:space="preserve"> = .037</w:t>
      </w:r>
      <w:r w:rsidR="00036E86">
        <w:rPr>
          <w:rFonts w:ascii="Times New Roman" w:hAnsi="Times New Roman" w:cs="Times New Roman"/>
        </w:rPr>
        <w:t>)</w:t>
      </w:r>
      <w:r>
        <w:rPr>
          <w:rFonts w:ascii="Times New Roman" w:hAnsi="Times New Roman" w:cs="Times New Roman"/>
        </w:rPr>
        <w:t>.</w:t>
      </w:r>
      <w:r w:rsidR="003652E9">
        <w:rPr>
          <w:rFonts w:ascii="Times New Roman" w:hAnsi="Times New Roman" w:cs="Times New Roman"/>
        </w:rPr>
        <w:t xml:space="preserve"> </w:t>
      </w:r>
      <w:r w:rsidR="0071254B">
        <w:rPr>
          <w:rFonts w:ascii="Times New Roman" w:hAnsi="Times New Roman" w:cs="Times New Roman"/>
        </w:rPr>
        <w:t xml:space="preserve">However, the difference between the HSA and HS7/8 groups </w:t>
      </w:r>
      <w:r w:rsidR="00F97870">
        <w:rPr>
          <w:rFonts w:ascii="Times New Roman" w:hAnsi="Times New Roman" w:cs="Times New Roman"/>
        </w:rPr>
        <w:t>wa</w:t>
      </w:r>
      <w:r w:rsidR="0071254B">
        <w:rPr>
          <w:rFonts w:ascii="Times New Roman" w:hAnsi="Times New Roman" w:cs="Times New Roman"/>
        </w:rPr>
        <w:t xml:space="preserve">s not significant at the </w:t>
      </w:r>
      <w:r w:rsidR="0071254B">
        <w:rPr>
          <w:rFonts w:ascii="Times New Roman" w:hAnsi="Times New Roman" w:cs="Times New Roman"/>
          <w:i/>
          <w:iCs/>
        </w:rPr>
        <w:t>p</w:t>
      </w:r>
      <w:r w:rsidR="0071254B">
        <w:rPr>
          <w:rFonts w:ascii="Times New Roman" w:hAnsi="Times New Roman" w:cs="Times New Roman"/>
        </w:rPr>
        <w:t xml:space="preserve"> &lt; .05 level (</w:t>
      </w:r>
      <w:r w:rsidR="0071254B" w:rsidRPr="00286A29">
        <w:rPr>
          <w:rFonts w:ascii="Times New Roman" w:hAnsi="Times New Roman" w:cs="Times New Roman"/>
          <w:i/>
          <w:iCs/>
        </w:rPr>
        <w:t>β</w:t>
      </w:r>
      <w:r w:rsidR="0071254B">
        <w:rPr>
          <w:rFonts w:ascii="Times New Roman" w:hAnsi="Times New Roman" w:cs="Times New Roman"/>
        </w:rPr>
        <w:t xml:space="preserve"> = </w:t>
      </w:r>
      <w:r w:rsidR="00297F25">
        <w:rPr>
          <w:rFonts w:ascii="Times New Roman" w:hAnsi="Times New Roman" w:cs="Times New Roman"/>
        </w:rPr>
        <w:t xml:space="preserve">0.30, SE = 0.39, </w:t>
      </w:r>
      <w:r w:rsidR="00297F25">
        <w:rPr>
          <w:rFonts w:ascii="Times New Roman" w:hAnsi="Times New Roman" w:cs="Times New Roman"/>
          <w:i/>
          <w:iCs/>
        </w:rPr>
        <w:t>p</w:t>
      </w:r>
      <w:r w:rsidR="00297F25">
        <w:rPr>
          <w:rFonts w:ascii="Times New Roman" w:hAnsi="Times New Roman" w:cs="Times New Roman"/>
        </w:rPr>
        <w:t xml:space="preserve"> = .868</w:t>
      </w:r>
      <w:r w:rsidR="0071254B">
        <w:rPr>
          <w:rFonts w:ascii="Times New Roman" w:hAnsi="Times New Roman" w:cs="Times New Roman"/>
        </w:rPr>
        <w:t>)</w:t>
      </w:r>
      <w:r w:rsidR="003652E9">
        <w:rPr>
          <w:rFonts w:ascii="Times New Roman" w:hAnsi="Times New Roman" w:cs="Times New Roman"/>
        </w:rPr>
        <w:t>.</w:t>
      </w:r>
    </w:p>
    <w:p w14:paraId="7D163475" w14:textId="386F9868" w:rsidR="00803B4F" w:rsidRDefault="00803B4F" w:rsidP="005A59A5">
      <w:pPr>
        <w:ind w:firstLine="720"/>
        <w:jc w:val="both"/>
        <w:rPr>
          <w:rFonts w:ascii="Times New Roman" w:hAnsi="Times New Roman" w:cs="Times New Roman"/>
        </w:rPr>
      </w:pPr>
      <w:r>
        <w:rPr>
          <w:rFonts w:ascii="Times New Roman" w:hAnsi="Times New Roman" w:cs="Times New Roman"/>
        </w:rPr>
        <w:t xml:space="preserve">The second model included the data from the </w:t>
      </w:r>
      <w:r w:rsidR="00A3054C">
        <w:rPr>
          <w:rFonts w:ascii="Times New Roman" w:hAnsi="Times New Roman" w:cs="Times New Roman"/>
        </w:rPr>
        <w:t xml:space="preserve">subgroup of </w:t>
      </w:r>
      <w:r>
        <w:rPr>
          <w:rFonts w:ascii="Times New Roman" w:hAnsi="Times New Roman" w:cs="Times New Roman"/>
        </w:rPr>
        <w:t xml:space="preserve">57 bilingual children. For this analysis, </w:t>
      </w:r>
      <w:r w:rsidR="00126A85">
        <w:rPr>
          <w:rFonts w:ascii="Times New Roman" w:hAnsi="Times New Roman" w:cs="Times New Roman"/>
        </w:rPr>
        <w:t xml:space="preserve">education (monolingual </w:t>
      </w:r>
      <w:r w:rsidR="008C4E2B">
        <w:rPr>
          <w:rFonts w:ascii="Times New Roman" w:hAnsi="Times New Roman" w:cs="Times New Roman"/>
        </w:rPr>
        <w:t xml:space="preserve">school </w:t>
      </w:r>
      <w:r w:rsidR="00126A85">
        <w:rPr>
          <w:rFonts w:ascii="Times New Roman" w:hAnsi="Times New Roman" w:cs="Times New Roman"/>
        </w:rPr>
        <w:t>as reference level</w:t>
      </w:r>
      <w:r w:rsidR="008C4E2B">
        <w:rPr>
          <w:rFonts w:ascii="Times New Roman" w:hAnsi="Times New Roman" w:cs="Times New Roman"/>
        </w:rPr>
        <w:t xml:space="preserve"> versus</w:t>
      </w:r>
      <w:r w:rsidR="00126A85">
        <w:rPr>
          <w:rFonts w:ascii="Times New Roman" w:hAnsi="Times New Roman" w:cs="Times New Roman"/>
        </w:rPr>
        <w:t xml:space="preserve"> </w:t>
      </w:r>
      <w:r w:rsidR="008C4E2B">
        <w:rPr>
          <w:rFonts w:ascii="Times New Roman" w:hAnsi="Times New Roman" w:cs="Times New Roman"/>
        </w:rPr>
        <w:t>bilingual school</w:t>
      </w:r>
      <w:r w:rsidR="00126A85">
        <w:rPr>
          <w:rFonts w:ascii="Times New Roman" w:hAnsi="Times New Roman" w:cs="Times New Roman"/>
        </w:rPr>
        <w:t xml:space="preserve">), </w:t>
      </w:r>
      <w:r w:rsidR="0009135B">
        <w:rPr>
          <w:rFonts w:ascii="Times New Roman" w:hAnsi="Times New Roman" w:cs="Times New Roman"/>
        </w:rPr>
        <w:t>task</w:t>
      </w:r>
      <w:r w:rsidR="00926927">
        <w:rPr>
          <w:rFonts w:ascii="Times New Roman" w:hAnsi="Times New Roman" w:cs="Times New Roman"/>
        </w:rPr>
        <w:t xml:space="preserve"> (production as reference level</w:t>
      </w:r>
      <w:r w:rsidR="008C4E2B">
        <w:rPr>
          <w:rFonts w:ascii="Times New Roman" w:hAnsi="Times New Roman" w:cs="Times New Roman"/>
        </w:rPr>
        <w:t xml:space="preserve"> versus</w:t>
      </w:r>
      <w:r w:rsidR="00926927">
        <w:rPr>
          <w:rFonts w:ascii="Times New Roman" w:hAnsi="Times New Roman" w:cs="Times New Roman"/>
        </w:rPr>
        <w:t xml:space="preserve"> selection)</w:t>
      </w:r>
      <w:r w:rsidR="0009135B">
        <w:rPr>
          <w:rFonts w:ascii="Times New Roman" w:hAnsi="Times New Roman" w:cs="Times New Roman"/>
        </w:rPr>
        <w:t xml:space="preserve">, </w:t>
      </w:r>
      <w:r w:rsidR="00126A85">
        <w:rPr>
          <w:rFonts w:ascii="Times New Roman" w:hAnsi="Times New Roman" w:cs="Times New Roman"/>
        </w:rPr>
        <w:t>and structure (subjunctive as reference level</w:t>
      </w:r>
      <w:r w:rsidR="008C4E2B">
        <w:rPr>
          <w:rFonts w:ascii="Times New Roman" w:hAnsi="Times New Roman" w:cs="Times New Roman"/>
        </w:rPr>
        <w:t xml:space="preserve"> versus</w:t>
      </w:r>
      <w:r w:rsidR="00126A85">
        <w:rPr>
          <w:rFonts w:ascii="Times New Roman" w:hAnsi="Times New Roman" w:cs="Times New Roman"/>
        </w:rPr>
        <w:t xml:space="preserve"> DOM), as well as all interactions between them, were categorical predictors</w:t>
      </w:r>
      <w:r>
        <w:rPr>
          <w:rFonts w:ascii="Times New Roman" w:hAnsi="Times New Roman" w:cs="Times New Roman"/>
        </w:rPr>
        <w:t>.</w:t>
      </w:r>
      <w:r w:rsidR="00126A85">
        <w:rPr>
          <w:rFonts w:ascii="Times New Roman" w:hAnsi="Times New Roman" w:cs="Times New Roman"/>
        </w:rPr>
        <w:t xml:space="preserve"> The model reported effects for </w:t>
      </w:r>
      <w:r w:rsidR="00F120D1">
        <w:rPr>
          <w:rFonts w:ascii="Times New Roman" w:hAnsi="Times New Roman" w:cs="Times New Roman"/>
        </w:rPr>
        <w:t xml:space="preserve">the </w:t>
      </w:r>
      <w:r w:rsidR="008410A6">
        <w:rPr>
          <w:rFonts w:ascii="Times New Roman" w:hAnsi="Times New Roman" w:cs="Times New Roman"/>
        </w:rPr>
        <w:t>selection task (</w:t>
      </w:r>
      <w:r w:rsidR="008410A6" w:rsidRPr="00286A29">
        <w:rPr>
          <w:rFonts w:ascii="Times New Roman" w:hAnsi="Times New Roman" w:cs="Times New Roman"/>
          <w:i/>
          <w:iCs/>
        </w:rPr>
        <w:t>β</w:t>
      </w:r>
      <w:r w:rsidR="008410A6">
        <w:rPr>
          <w:rFonts w:ascii="Times New Roman" w:hAnsi="Times New Roman" w:cs="Times New Roman"/>
        </w:rPr>
        <w:t xml:space="preserve"> = 0.83, SE = 0.32, </w:t>
      </w:r>
      <w:r w:rsidR="008410A6">
        <w:rPr>
          <w:rFonts w:ascii="Times New Roman" w:hAnsi="Times New Roman" w:cs="Times New Roman"/>
          <w:i/>
          <w:iCs/>
        </w:rPr>
        <w:t>p</w:t>
      </w:r>
      <w:r w:rsidR="008410A6">
        <w:rPr>
          <w:rFonts w:ascii="Times New Roman" w:hAnsi="Times New Roman" w:cs="Times New Roman"/>
        </w:rPr>
        <w:t xml:space="preserve"> = 0.10), DOM (</w:t>
      </w:r>
      <w:r w:rsidR="008410A6" w:rsidRPr="00286A29">
        <w:rPr>
          <w:rFonts w:ascii="Times New Roman" w:hAnsi="Times New Roman" w:cs="Times New Roman"/>
          <w:i/>
          <w:iCs/>
        </w:rPr>
        <w:t>β</w:t>
      </w:r>
      <w:r w:rsidR="008410A6">
        <w:rPr>
          <w:rFonts w:ascii="Times New Roman" w:hAnsi="Times New Roman" w:cs="Times New Roman"/>
        </w:rPr>
        <w:t xml:space="preserve"> = –1.61, SE = 0.25, </w:t>
      </w:r>
      <w:r w:rsidR="008410A6">
        <w:rPr>
          <w:rFonts w:ascii="Times New Roman" w:hAnsi="Times New Roman" w:cs="Times New Roman"/>
          <w:i/>
          <w:iCs/>
        </w:rPr>
        <w:t>p</w:t>
      </w:r>
      <w:r w:rsidR="008410A6">
        <w:rPr>
          <w:rFonts w:ascii="Times New Roman" w:hAnsi="Times New Roman" w:cs="Times New Roman"/>
        </w:rPr>
        <w:t xml:space="preserve"> &lt; .001), the </w:t>
      </w:r>
      <w:r w:rsidR="00555E22">
        <w:rPr>
          <w:rFonts w:ascii="Times New Roman" w:hAnsi="Times New Roman" w:cs="Times New Roman"/>
        </w:rPr>
        <w:t>bilingual education</w:t>
      </w:r>
      <w:r w:rsidR="008410A6">
        <w:rPr>
          <w:rFonts w:ascii="Times New Roman" w:hAnsi="Times New Roman" w:cs="Times New Roman"/>
        </w:rPr>
        <w:t xml:space="preserve"> by DOM two-way interaction (</w:t>
      </w:r>
      <w:r w:rsidR="008410A6" w:rsidRPr="00286A29">
        <w:rPr>
          <w:rFonts w:ascii="Times New Roman" w:hAnsi="Times New Roman" w:cs="Times New Roman"/>
          <w:i/>
          <w:iCs/>
        </w:rPr>
        <w:t>β</w:t>
      </w:r>
      <w:r w:rsidR="008410A6">
        <w:rPr>
          <w:rFonts w:ascii="Times New Roman" w:hAnsi="Times New Roman" w:cs="Times New Roman"/>
        </w:rPr>
        <w:t xml:space="preserve"> = 1.89, SE = 0.34, </w:t>
      </w:r>
      <w:r w:rsidR="008410A6">
        <w:rPr>
          <w:rFonts w:ascii="Times New Roman" w:hAnsi="Times New Roman" w:cs="Times New Roman"/>
          <w:i/>
          <w:iCs/>
        </w:rPr>
        <w:t>p</w:t>
      </w:r>
      <w:r w:rsidR="008410A6">
        <w:rPr>
          <w:rFonts w:ascii="Times New Roman" w:hAnsi="Times New Roman" w:cs="Times New Roman"/>
        </w:rPr>
        <w:t xml:space="preserve"> &lt; .001), and the selection by DOM two-way interaction (</w:t>
      </w:r>
      <w:r w:rsidR="008410A6" w:rsidRPr="00286A29">
        <w:rPr>
          <w:rFonts w:ascii="Times New Roman" w:hAnsi="Times New Roman" w:cs="Times New Roman"/>
          <w:i/>
          <w:iCs/>
        </w:rPr>
        <w:t>β</w:t>
      </w:r>
      <w:r w:rsidR="008410A6">
        <w:rPr>
          <w:rFonts w:ascii="Times New Roman" w:hAnsi="Times New Roman" w:cs="Times New Roman"/>
        </w:rPr>
        <w:t xml:space="preserve"> = 1.89, SE = 0.42, </w:t>
      </w:r>
      <w:r w:rsidR="008410A6">
        <w:rPr>
          <w:rFonts w:ascii="Times New Roman" w:hAnsi="Times New Roman" w:cs="Times New Roman"/>
          <w:i/>
          <w:iCs/>
        </w:rPr>
        <w:t>p</w:t>
      </w:r>
      <w:r w:rsidR="008410A6">
        <w:rPr>
          <w:rFonts w:ascii="Times New Roman" w:hAnsi="Times New Roman" w:cs="Times New Roman"/>
        </w:rPr>
        <w:t xml:space="preserve"> &lt; .001). </w:t>
      </w:r>
      <w:r w:rsidR="00555E22">
        <w:rPr>
          <w:rFonts w:ascii="Times New Roman" w:hAnsi="Times New Roman" w:cs="Times New Roman"/>
        </w:rPr>
        <w:t>T</w:t>
      </w:r>
      <w:r w:rsidR="008410A6">
        <w:rPr>
          <w:rFonts w:ascii="Times New Roman" w:hAnsi="Times New Roman" w:cs="Times New Roman"/>
        </w:rPr>
        <w:t xml:space="preserve">he role of </w:t>
      </w:r>
      <w:r w:rsidR="00555E22">
        <w:rPr>
          <w:rFonts w:ascii="Times New Roman" w:hAnsi="Times New Roman" w:cs="Times New Roman"/>
        </w:rPr>
        <w:t>bilingual education</w:t>
      </w:r>
      <w:r w:rsidR="008410A6">
        <w:rPr>
          <w:rFonts w:ascii="Times New Roman" w:hAnsi="Times New Roman" w:cs="Times New Roman"/>
        </w:rPr>
        <w:t xml:space="preserve"> </w:t>
      </w:r>
      <w:r w:rsidR="002F67B6">
        <w:rPr>
          <w:rFonts w:ascii="Times New Roman" w:hAnsi="Times New Roman" w:cs="Times New Roman"/>
        </w:rPr>
        <w:t>wa</w:t>
      </w:r>
      <w:r w:rsidR="008410A6">
        <w:rPr>
          <w:rFonts w:ascii="Times New Roman" w:hAnsi="Times New Roman" w:cs="Times New Roman"/>
        </w:rPr>
        <w:t xml:space="preserve">s not significant at the </w:t>
      </w:r>
      <w:r w:rsidR="008410A6">
        <w:rPr>
          <w:rFonts w:ascii="Times New Roman" w:hAnsi="Times New Roman" w:cs="Times New Roman"/>
          <w:i/>
          <w:iCs/>
        </w:rPr>
        <w:t>p</w:t>
      </w:r>
      <w:r w:rsidR="008410A6">
        <w:rPr>
          <w:rFonts w:ascii="Times New Roman" w:hAnsi="Times New Roman" w:cs="Times New Roman"/>
        </w:rPr>
        <w:t xml:space="preserve"> &lt; .05 level</w:t>
      </w:r>
      <w:r w:rsidR="00667ECA">
        <w:rPr>
          <w:rFonts w:ascii="Times New Roman" w:hAnsi="Times New Roman" w:cs="Times New Roman"/>
        </w:rPr>
        <w:t xml:space="preserve"> (</w:t>
      </w:r>
      <w:r w:rsidR="00667ECA" w:rsidRPr="00286A29">
        <w:rPr>
          <w:rFonts w:ascii="Times New Roman" w:hAnsi="Times New Roman" w:cs="Times New Roman"/>
          <w:i/>
          <w:iCs/>
        </w:rPr>
        <w:t>β</w:t>
      </w:r>
      <w:r w:rsidR="00667ECA">
        <w:rPr>
          <w:rFonts w:ascii="Times New Roman" w:hAnsi="Times New Roman" w:cs="Times New Roman"/>
        </w:rPr>
        <w:t xml:space="preserve"> = –0.25, SE = 0.45, </w:t>
      </w:r>
      <w:r w:rsidR="00667ECA">
        <w:rPr>
          <w:rFonts w:ascii="Times New Roman" w:hAnsi="Times New Roman" w:cs="Times New Roman"/>
          <w:i/>
          <w:iCs/>
        </w:rPr>
        <w:t>p</w:t>
      </w:r>
      <w:r w:rsidR="00667ECA">
        <w:rPr>
          <w:rFonts w:ascii="Times New Roman" w:hAnsi="Times New Roman" w:cs="Times New Roman"/>
        </w:rPr>
        <w:t xml:space="preserve"> = .572)</w:t>
      </w:r>
      <w:r w:rsidR="00FB7E18">
        <w:rPr>
          <w:rFonts w:ascii="Times New Roman" w:hAnsi="Times New Roman" w:cs="Times New Roman"/>
        </w:rPr>
        <w:t>.</w:t>
      </w:r>
    </w:p>
    <w:p w14:paraId="486790D2" w14:textId="77777777" w:rsidR="00E5363C" w:rsidRDefault="00E5363C" w:rsidP="00E5363C">
      <w:pPr>
        <w:jc w:val="both"/>
        <w:rPr>
          <w:rFonts w:ascii="Times New Roman" w:hAnsi="Times New Roman" w:cs="Times New Roman"/>
        </w:rPr>
      </w:pPr>
    </w:p>
    <w:p w14:paraId="79E4CF99" w14:textId="77777777" w:rsidR="00E5363C" w:rsidRPr="00286A29" w:rsidRDefault="00E5363C" w:rsidP="00E5363C">
      <w:pPr>
        <w:jc w:val="both"/>
        <w:rPr>
          <w:rFonts w:ascii="Times New Roman" w:hAnsi="Times New Roman" w:cs="Times New Roman"/>
        </w:rPr>
      </w:pPr>
    </w:p>
    <w:p w14:paraId="1516104E" w14:textId="67413CCE" w:rsidR="00E1789C" w:rsidRDefault="00E5363C" w:rsidP="00E5363C">
      <w:pPr>
        <w:rPr>
          <w:rFonts w:ascii="Times New Roman" w:hAnsi="Times New Roman" w:cs="Times New Roman"/>
        </w:rPr>
      </w:pPr>
      <w:r>
        <w:rPr>
          <w:rFonts w:ascii="Times New Roman" w:hAnsi="Times New Roman" w:cs="Times New Roman"/>
          <w:b/>
          <w:bCs/>
        </w:rPr>
        <w:t xml:space="preserve">5 </w:t>
      </w:r>
      <w:r w:rsidR="00E1789C">
        <w:rPr>
          <w:rFonts w:ascii="Times New Roman" w:hAnsi="Times New Roman" w:cs="Times New Roman"/>
          <w:b/>
          <w:bCs/>
        </w:rPr>
        <w:t>Discussion</w:t>
      </w:r>
    </w:p>
    <w:p w14:paraId="5EC891CD" w14:textId="77777777" w:rsidR="00E5363C" w:rsidRDefault="00E5363C" w:rsidP="00E5363C">
      <w:pPr>
        <w:jc w:val="both"/>
        <w:rPr>
          <w:rFonts w:ascii="Times New Roman" w:hAnsi="Times New Roman" w:cs="Times New Roman"/>
        </w:rPr>
      </w:pPr>
    </w:p>
    <w:p w14:paraId="029B9AA0" w14:textId="59FD202F" w:rsidR="00D27E40" w:rsidRDefault="007D4ABD" w:rsidP="005A59A5">
      <w:pPr>
        <w:ind w:firstLine="720"/>
        <w:jc w:val="both"/>
        <w:rPr>
          <w:rFonts w:ascii="Times New Roman" w:hAnsi="Times New Roman" w:cs="Times New Roman"/>
        </w:rPr>
      </w:pPr>
      <w:r>
        <w:rPr>
          <w:rFonts w:ascii="Times New Roman" w:hAnsi="Times New Roman" w:cs="Times New Roman"/>
        </w:rPr>
        <w:t xml:space="preserve">The present project expands upon findings </w:t>
      </w:r>
      <w:r w:rsidR="00A3054C">
        <w:rPr>
          <w:rFonts w:ascii="Times New Roman" w:hAnsi="Times New Roman" w:cs="Times New Roman"/>
        </w:rPr>
        <w:t xml:space="preserve">in </w:t>
      </w:r>
      <w:r w:rsidR="003B7368">
        <w:rPr>
          <w:rFonts w:ascii="Times New Roman" w:hAnsi="Times New Roman" w:cs="Times New Roman"/>
        </w:rPr>
        <w:t>AUTHOR</w:t>
      </w:r>
      <w:r w:rsidR="00A3054C">
        <w:rPr>
          <w:rFonts w:ascii="Times New Roman" w:hAnsi="Times New Roman" w:cs="Times New Roman"/>
        </w:rPr>
        <w:t xml:space="preserve"> </w:t>
      </w:r>
      <w:r>
        <w:rPr>
          <w:rFonts w:ascii="Times New Roman" w:hAnsi="Times New Roman" w:cs="Times New Roman"/>
        </w:rPr>
        <w:t>by comparing data from both the subjunctive mood and DOM in Spanish HSs. Five questions are addressed</w:t>
      </w:r>
      <w:r w:rsidR="00D64C63">
        <w:rPr>
          <w:rFonts w:ascii="Times New Roman" w:hAnsi="Times New Roman" w:cs="Times New Roman"/>
        </w:rPr>
        <w:t xml:space="preserve">, and findings underscore the need </w:t>
      </w:r>
      <w:r w:rsidR="004844FF">
        <w:rPr>
          <w:rFonts w:ascii="Times New Roman" w:hAnsi="Times New Roman" w:cs="Times New Roman"/>
        </w:rPr>
        <w:t xml:space="preserve">to integrate components from </w:t>
      </w:r>
      <w:r w:rsidR="002E4CC4">
        <w:rPr>
          <w:rFonts w:ascii="Times New Roman" w:hAnsi="Times New Roman" w:cs="Times New Roman"/>
        </w:rPr>
        <w:t>each of the</w:t>
      </w:r>
      <w:r w:rsidR="004844FF">
        <w:rPr>
          <w:rFonts w:ascii="Times New Roman" w:hAnsi="Times New Roman" w:cs="Times New Roman"/>
        </w:rPr>
        <w:t xml:space="preserve"> theories of </w:t>
      </w:r>
      <w:r w:rsidR="002E4CC4">
        <w:rPr>
          <w:rFonts w:ascii="Times New Roman" w:hAnsi="Times New Roman" w:cs="Times New Roman"/>
        </w:rPr>
        <w:t>HL</w:t>
      </w:r>
      <w:r w:rsidR="004844FF">
        <w:rPr>
          <w:rFonts w:ascii="Times New Roman" w:hAnsi="Times New Roman" w:cs="Times New Roman"/>
        </w:rPr>
        <w:t xml:space="preserve"> acquisition </w:t>
      </w:r>
      <w:r w:rsidR="002E4CC4">
        <w:rPr>
          <w:rFonts w:ascii="Times New Roman" w:hAnsi="Times New Roman" w:cs="Times New Roman"/>
        </w:rPr>
        <w:t xml:space="preserve">reviewed </w:t>
      </w:r>
      <w:r w:rsidR="004844FF">
        <w:rPr>
          <w:rFonts w:ascii="Times New Roman" w:hAnsi="Times New Roman" w:cs="Times New Roman"/>
        </w:rPr>
        <w:t xml:space="preserve">to </w:t>
      </w:r>
      <w:r w:rsidR="00340928">
        <w:rPr>
          <w:rFonts w:ascii="Times New Roman" w:hAnsi="Times New Roman" w:cs="Times New Roman"/>
        </w:rPr>
        <w:t>develop a complete panorama of the course of child HL development</w:t>
      </w:r>
      <w:r>
        <w:rPr>
          <w:rFonts w:ascii="Times New Roman" w:hAnsi="Times New Roman" w:cs="Times New Roman"/>
        </w:rPr>
        <w:t>.</w:t>
      </w:r>
      <w:r w:rsidR="002E4CC4">
        <w:rPr>
          <w:rFonts w:ascii="Times New Roman" w:hAnsi="Times New Roman" w:cs="Times New Roman"/>
        </w:rPr>
        <w:t xml:space="preserve"> </w:t>
      </w:r>
      <w:r w:rsidR="00B97C8E">
        <w:rPr>
          <w:rFonts w:ascii="Times New Roman" w:hAnsi="Times New Roman" w:cs="Times New Roman"/>
        </w:rPr>
        <w:t>By evaluating all three levels of variability in HL acquisition, data from the present project indicate that an account of HL acquisition in childhood must consider some tenets of each of the existing theories.</w:t>
      </w:r>
    </w:p>
    <w:p w14:paraId="4AF219DE" w14:textId="569BE646" w:rsidR="003840C8" w:rsidRDefault="00D27E40" w:rsidP="005A59A5">
      <w:pPr>
        <w:ind w:firstLine="720"/>
        <w:jc w:val="both"/>
        <w:rPr>
          <w:rFonts w:ascii="Times New Roman" w:hAnsi="Times New Roman" w:cs="Times New Roman"/>
        </w:rPr>
      </w:pPr>
      <w:r w:rsidRPr="00D27E40">
        <w:rPr>
          <w:rFonts w:ascii="Times New Roman" w:hAnsi="Times New Roman" w:cs="Times New Roman"/>
        </w:rPr>
        <w:t xml:space="preserve">The first research question addressed </w:t>
      </w:r>
      <w:r w:rsidRPr="00D27E40">
        <w:rPr>
          <w:rFonts w:ascii="Times New Roman" w:hAnsi="Times New Roman" w:cs="Times New Roman"/>
          <w:i/>
          <w:iCs/>
        </w:rPr>
        <w:t>between-groups</w:t>
      </w:r>
      <w:r w:rsidRPr="00D27E40">
        <w:rPr>
          <w:rFonts w:ascii="Times New Roman" w:hAnsi="Times New Roman" w:cs="Times New Roman"/>
        </w:rPr>
        <w:t xml:space="preserve"> variability, specifically whether there are differences between Spanish HSs and </w:t>
      </w:r>
      <w:r w:rsidR="00B97C8E">
        <w:rPr>
          <w:rFonts w:ascii="Times New Roman" w:hAnsi="Times New Roman" w:cs="Times New Roman"/>
        </w:rPr>
        <w:t xml:space="preserve">the </w:t>
      </w:r>
      <w:r w:rsidR="00C75264">
        <w:rPr>
          <w:rFonts w:ascii="Times New Roman" w:hAnsi="Times New Roman" w:cs="Times New Roman"/>
        </w:rPr>
        <w:t>SDBA group</w:t>
      </w:r>
      <w:r w:rsidRPr="00D27E40">
        <w:rPr>
          <w:rFonts w:ascii="Times New Roman" w:hAnsi="Times New Roman" w:cs="Times New Roman"/>
        </w:rPr>
        <w:t xml:space="preserve"> regarding their command of subjunctive and DOM.</w:t>
      </w:r>
      <w:r>
        <w:rPr>
          <w:rFonts w:ascii="Times New Roman" w:hAnsi="Times New Roman" w:cs="Times New Roman"/>
        </w:rPr>
        <w:t xml:space="preserve"> In alignment with the hypothesis</w:t>
      </w:r>
      <w:r w:rsidR="00B97C8E">
        <w:rPr>
          <w:rFonts w:ascii="Times New Roman" w:hAnsi="Times New Roman" w:cs="Times New Roman"/>
        </w:rPr>
        <w:t xml:space="preserve"> as well as </w:t>
      </w:r>
      <w:r w:rsidR="00F97870">
        <w:rPr>
          <w:rFonts w:ascii="Times New Roman" w:hAnsi="Times New Roman" w:cs="Times New Roman"/>
        </w:rPr>
        <w:t>most</w:t>
      </w:r>
      <w:r w:rsidR="00B97C8E">
        <w:rPr>
          <w:rFonts w:ascii="Times New Roman" w:hAnsi="Times New Roman" w:cs="Times New Roman"/>
        </w:rPr>
        <w:t xml:space="preserve"> generative research on HL acquisition</w:t>
      </w:r>
      <w:r>
        <w:rPr>
          <w:rFonts w:ascii="Times New Roman" w:hAnsi="Times New Roman" w:cs="Times New Roman"/>
        </w:rPr>
        <w:t xml:space="preserve">, group-level differences were revealed, </w:t>
      </w:r>
      <w:r w:rsidR="001A532B">
        <w:rPr>
          <w:rFonts w:ascii="Times New Roman" w:hAnsi="Times New Roman" w:cs="Times New Roman"/>
        </w:rPr>
        <w:t xml:space="preserve">suggesting that HSs’ heterogeneous acquisitional outcomes are more varied than those of the SDBA, who represent a key source of </w:t>
      </w:r>
      <w:r w:rsidR="00A340DA">
        <w:rPr>
          <w:rFonts w:ascii="Times New Roman" w:hAnsi="Times New Roman" w:cs="Times New Roman"/>
        </w:rPr>
        <w:t xml:space="preserve">their </w:t>
      </w:r>
      <w:r w:rsidR="001A532B">
        <w:rPr>
          <w:rFonts w:ascii="Times New Roman" w:hAnsi="Times New Roman" w:cs="Times New Roman"/>
        </w:rPr>
        <w:t>input</w:t>
      </w:r>
      <w:r w:rsidR="00B97C8E">
        <w:rPr>
          <w:rFonts w:ascii="Times New Roman" w:hAnsi="Times New Roman" w:cs="Times New Roman"/>
        </w:rPr>
        <w:t xml:space="preserve">. However, this finding does not represent </w:t>
      </w:r>
      <w:r w:rsidR="001A532B">
        <w:rPr>
          <w:rFonts w:ascii="Times New Roman" w:hAnsi="Times New Roman" w:cs="Times New Roman"/>
        </w:rPr>
        <w:t xml:space="preserve">the individual-level data that reveal that approximately 25% of HSs in </w:t>
      </w:r>
      <w:r w:rsidR="00E07CB5">
        <w:rPr>
          <w:rFonts w:ascii="Times New Roman" w:hAnsi="Times New Roman" w:cs="Times New Roman"/>
        </w:rPr>
        <w:t>AUTHOR</w:t>
      </w:r>
      <w:r w:rsidR="001A532B">
        <w:rPr>
          <w:rFonts w:ascii="Times New Roman" w:hAnsi="Times New Roman" w:cs="Times New Roman"/>
        </w:rPr>
        <w:t xml:space="preserve"> perform</w:t>
      </w:r>
      <w:r w:rsidR="00A340DA">
        <w:rPr>
          <w:rFonts w:ascii="Times New Roman" w:hAnsi="Times New Roman" w:cs="Times New Roman"/>
        </w:rPr>
        <w:t>ed</w:t>
      </w:r>
      <w:r w:rsidR="001A532B">
        <w:rPr>
          <w:rFonts w:ascii="Times New Roman" w:hAnsi="Times New Roman" w:cs="Times New Roman"/>
        </w:rPr>
        <w:t xml:space="preserve"> within the range of the SDBAs </w:t>
      </w:r>
      <w:r w:rsidR="00747B41">
        <w:rPr>
          <w:rFonts w:ascii="Times New Roman" w:hAnsi="Times New Roman" w:cs="Times New Roman"/>
        </w:rPr>
        <w:t>in the production and selection of</w:t>
      </w:r>
      <w:r w:rsidR="001A532B">
        <w:rPr>
          <w:rFonts w:ascii="Times New Roman" w:hAnsi="Times New Roman" w:cs="Times New Roman"/>
        </w:rPr>
        <w:t xml:space="preserve"> each structure</w:t>
      </w:r>
      <w:r>
        <w:rPr>
          <w:rFonts w:ascii="Times New Roman" w:hAnsi="Times New Roman" w:cs="Times New Roman"/>
        </w:rPr>
        <w:t>.</w:t>
      </w:r>
      <w:r w:rsidR="00217D32">
        <w:rPr>
          <w:rFonts w:ascii="Times New Roman" w:hAnsi="Times New Roman" w:cs="Times New Roman"/>
        </w:rPr>
        <w:t xml:space="preserve"> </w:t>
      </w:r>
      <w:r w:rsidR="00885920">
        <w:rPr>
          <w:rFonts w:ascii="Times New Roman" w:hAnsi="Times New Roman" w:cs="Times New Roman"/>
        </w:rPr>
        <w:t xml:space="preserve">These findings support differential acquisition as a viable account for group-level differences, </w:t>
      </w:r>
      <w:r w:rsidR="00EB6723">
        <w:rPr>
          <w:rFonts w:ascii="Times New Roman" w:hAnsi="Times New Roman" w:cs="Times New Roman"/>
        </w:rPr>
        <w:t>rather than a process of language loss or restructuring over the childhood years</w:t>
      </w:r>
      <w:r w:rsidR="00E967E7">
        <w:rPr>
          <w:rFonts w:ascii="Times New Roman" w:hAnsi="Times New Roman" w:cs="Times New Roman"/>
        </w:rPr>
        <w:t>.</w:t>
      </w:r>
      <w:r w:rsidR="00064F09">
        <w:rPr>
          <w:rFonts w:ascii="Times New Roman" w:hAnsi="Times New Roman" w:cs="Times New Roman"/>
        </w:rPr>
        <w:t xml:space="preserve"> However, they also illustrate that these differences are not </w:t>
      </w:r>
      <w:r w:rsidR="00555E22">
        <w:rPr>
          <w:rFonts w:ascii="Times New Roman" w:hAnsi="Times New Roman" w:cs="Times New Roman"/>
        </w:rPr>
        <w:t>sufficient</w:t>
      </w:r>
      <w:r w:rsidR="00064F09">
        <w:rPr>
          <w:rFonts w:ascii="Times New Roman" w:hAnsi="Times New Roman" w:cs="Times New Roman"/>
        </w:rPr>
        <w:t xml:space="preserve"> for fully understanding the heterogeneity of HSs</w:t>
      </w:r>
      <w:r w:rsidR="00555E22">
        <w:rPr>
          <w:rFonts w:ascii="Times New Roman" w:hAnsi="Times New Roman" w:cs="Times New Roman"/>
        </w:rPr>
        <w:t>’</w:t>
      </w:r>
      <w:r w:rsidR="00064F09">
        <w:rPr>
          <w:rFonts w:ascii="Times New Roman" w:hAnsi="Times New Roman" w:cs="Times New Roman"/>
        </w:rPr>
        <w:t xml:space="preserve"> results.</w:t>
      </w:r>
    </w:p>
    <w:p w14:paraId="69DFA5A3" w14:textId="1D2712B1" w:rsidR="00D27E40" w:rsidRDefault="00555E22" w:rsidP="005A59A5">
      <w:pPr>
        <w:ind w:firstLine="720"/>
        <w:jc w:val="both"/>
        <w:rPr>
          <w:rFonts w:ascii="Times New Roman" w:hAnsi="Times New Roman" w:cs="Times New Roman"/>
        </w:rPr>
      </w:pPr>
      <w:r>
        <w:rPr>
          <w:rFonts w:ascii="Times New Roman" w:hAnsi="Times New Roman" w:cs="Times New Roman"/>
        </w:rPr>
        <w:t>T</w:t>
      </w:r>
      <w:r w:rsidR="003840C8">
        <w:rPr>
          <w:rFonts w:ascii="Times New Roman" w:hAnsi="Times New Roman" w:cs="Times New Roman"/>
        </w:rPr>
        <w:t xml:space="preserve">he second research question addressed </w:t>
      </w:r>
      <w:r w:rsidR="00D27E40" w:rsidRPr="003840C8">
        <w:rPr>
          <w:rFonts w:ascii="Times New Roman" w:hAnsi="Times New Roman" w:cs="Times New Roman"/>
          <w:i/>
          <w:iCs/>
        </w:rPr>
        <w:t>individual</w:t>
      </w:r>
      <w:r w:rsidR="00D27E40" w:rsidRPr="003840C8">
        <w:rPr>
          <w:rFonts w:ascii="Times New Roman" w:hAnsi="Times New Roman" w:cs="Times New Roman"/>
        </w:rPr>
        <w:t xml:space="preserve"> </w:t>
      </w:r>
      <w:r w:rsidR="003840C8">
        <w:rPr>
          <w:rFonts w:ascii="Times New Roman" w:hAnsi="Times New Roman" w:cs="Times New Roman"/>
        </w:rPr>
        <w:t>variability, evaluating the role of age in</w:t>
      </w:r>
      <w:r w:rsidR="00D27E40" w:rsidRPr="003840C8">
        <w:rPr>
          <w:rFonts w:ascii="Times New Roman" w:hAnsi="Times New Roman" w:cs="Times New Roman"/>
        </w:rPr>
        <w:t xml:space="preserve"> the acquisition of subjunctive and DOM </w:t>
      </w:r>
      <w:r w:rsidR="00211BAB">
        <w:rPr>
          <w:rFonts w:ascii="Times New Roman" w:hAnsi="Times New Roman" w:cs="Times New Roman"/>
        </w:rPr>
        <w:t>from</w:t>
      </w:r>
      <w:r w:rsidR="00D27E40" w:rsidRPr="003840C8">
        <w:rPr>
          <w:rFonts w:ascii="Times New Roman" w:hAnsi="Times New Roman" w:cs="Times New Roman"/>
        </w:rPr>
        <w:t xml:space="preserve"> child</w:t>
      </w:r>
      <w:r w:rsidR="00211BAB">
        <w:rPr>
          <w:rFonts w:ascii="Times New Roman" w:hAnsi="Times New Roman" w:cs="Times New Roman"/>
        </w:rPr>
        <w:t>hood</w:t>
      </w:r>
      <w:r w:rsidR="00D27E40" w:rsidRPr="003840C8">
        <w:rPr>
          <w:rFonts w:ascii="Times New Roman" w:hAnsi="Times New Roman" w:cs="Times New Roman"/>
        </w:rPr>
        <w:t xml:space="preserve"> through adulthood</w:t>
      </w:r>
      <w:r w:rsidR="00211BAB">
        <w:rPr>
          <w:rFonts w:ascii="Times New Roman" w:hAnsi="Times New Roman" w:cs="Times New Roman"/>
        </w:rPr>
        <w:t>.</w:t>
      </w:r>
      <w:r w:rsidR="00217D32">
        <w:rPr>
          <w:rFonts w:ascii="Times New Roman" w:hAnsi="Times New Roman" w:cs="Times New Roman"/>
        </w:rPr>
        <w:t xml:space="preserve"> </w:t>
      </w:r>
      <w:r w:rsidR="007F0329">
        <w:rPr>
          <w:rFonts w:ascii="Times New Roman" w:hAnsi="Times New Roman" w:cs="Times New Roman"/>
        </w:rPr>
        <w:t xml:space="preserve">In </w:t>
      </w:r>
      <w:r>
        <w:rPr>
          <w:rFonts w:ascii="Times New Roman" w:hAnsi="Times New Roman" w:cs="Times New Roman"/>
        </w:rPr>
        <w:t xml:space="preserve">partial </w:t>
      </w:r>
      <w:r w:rsidR="007F0329">
        <w:rPr>
          <w:rFonts w:ascii="Times New Roman" w:hAnsi="Times New Roman" w:cs="Times New Roman"/>
        </w:rPr>
        <w:t xml:space="preserve">alignment with the hypothesis, </w:t>
      </w:r>
      <w:r>
        <w:rPr>
          <w:rFonts w:ascii="Times New Roman" w:hAnsi="Times New Roman" w:cs="Times New Roman"/>
        </w:rPr>
        <w:t>the HSA and HS7/8 had similar production and selection tendencies that exceeded those of the HS5 group. As a result, the acquisition of HL inflection continues into early adolescence, at which point it appears to converge on</w:t>
      </w:r>
      <w:r w:rsidR="007F0329">
        <w:rPr>
          <w:rFonts w:ascii="Times New Roman" w:hAnsi="Times New Roman" w:cs="Times New Roman"/>
        </w:rPr>
        <w:t xml:space="preserve"> </w:t>
      </w:r>
      <w:r w:rsidR="005A10F8">
        <w:rPr>
          <w:rFonts w:ascii="Times New Roman" w:hAnsi="Times New Roman" w:cs="Times New Roman"/>
        </w:rPr>
        <w:t xml:space="preserve">the </w:t>
      </w:r>
      <w:r w:rsidR="007F0329">
        <w:rPr>
          <w:rFonts w:ascii="Times New Roman" w:hAnsi="Times New Roman" w:cs="Times New Roman"/>
        </w:rPr>
        <w:t xml:space="preserve">adult HS system by this age range. </w:t>
      </w:r>
      <w:r w:rsidR="00E93915">
        <w:rPr>
          <w:rFonts w:ascii="Times New Roman" w:hAnsi="Times New Roman" w:cs="Times New Roman"/>
        </w:rPr>
        <w:t xml:space="preserve">Data from </w:t>
      </w:r>
      <w:r w:rsidR="00E07CB5">
        <w:rPr>
          <w:rFonts w:ascii="Times New Roman" w:hAnsi="Times New Roman" w:cs="Times New Roman"/>
        </w:rPr>
        <w:t>AUTHOR</w:t>
      </w:r>
      <w:r w:rsidR="00E93915">
        <w:rPr>
          <w:rFonts w:ascii="Times New Roman" w:hAnsi="Times New Roman" w:cs="Times New Roman"/>
        </w:rPr>
        <w:t xml:space="preserve"> suggest that, i</w:t>
      </w:r>
      <w:r w:rsidR="00EB6723">
        <w:rPr>
          <w:rFonts w:ascii="Times New Roman" w:hAnsi="Times New Roman" w:cs="Times New Roman"/>
        </w:rPr>
        <w:t xml:space="preserve">n the </w:t>
      </w:r>
      <w:r w:rsidR="00E57E21">
        <w:rPr>
          <w:rFonts w:ascii="Times New Roman" w:hAnsi="Times New Roman" w:cs="Times New Roman"/>
        </w:rPr>
        <w:t xml:space="preserve">specific </w:t>
      </w:r>
      <w:r w:rsidR="00EB6723">
        <w:rPr>
          <w:rFonts w:ascii="Times New Roman" w:hAnsi="Times New Roman" w:cs="Times New Roman"/>
        </w:rPr>
        <w:t>instance of DOM, the developmental process extends into the early adult years.</w:t>
      </w:r>
      <w:r w:rsidR="003977A9">
        <w:rPr>
          <w:rFonts w:ascii="Times New Roman" w:hAnsi="Times New Roman" w:cs="Times New Roman"/>
        </w:rPr>
        <w:t xml:space="preserve"> These findings support </w:t>
      </w:r>
      <w:r w:rsidR="00E1546E">
        <w:rPr>
          <w:rFonts w:ascii="Times New Roman" w:hAnsi="Times New Roman" w:cs="Times New Roman"/>
        </w:rPr>
        <w:t xml:space="preserve">previous accounts of </w:t>
      </w:r>
      <w:r w:rsidR="003977A9" w:rsidRPr="00E1546E">
        <w:rPr>
          <w:rFonts w:ascii="Times New Roman" w:hAnsi="Times New Roman" w:cs="Times New Roman"/>
        </w:rPr>
        <w:t>protracted development</w:t>
      </w:r>
      <w:r w:rsidR="00B55A87">
        <w:rPr>
          <w:rFonts w:ascii="Times New Roman" w:hAnsi="Times New Roman" w:cs="Times New Roman"/>
        </w:rPr>
        <w:t xml:space="preserve">, </w:t>
      </w:r>
      <w:r w:rsidR="00E82B3F">
        <w:rPr>
          <w:rFonts w:ascii="Times New Roman" w:hAnsi="Times New Roman" w:cs="Times New Roman"/>
        </w:rPr>
        <w:t>and imply</w:t>
      </w:r>
      <w:r w:rsidR="003613AE">
        <w:rPr>
          <w:rFonts w:ascii="Times New Roman" w:hAnsi="Times New Roman" w:cs="Times New Roman"/>
        </w:rPr>
        <w:t xml:space="preserve"> </w:t>
      </w:r>
      <w:r w:rsidR="005D3AEE">
        <w:rPr>
          <w:rFonts w:ascii="Times New Roman" w:hAnsi="Times New Roman" w:cs="Times New Roman"/>
        </w:rPr>
        <w:t xml:space="preserve">that the </w:t>
      </w:r>
      <w:r w:rsidR="005D3AEE" w:rsidRPr="00E93915">
        <w:rPr>
          <w:rFonts w:ascii="Times New Roman" w:hAnsi="Times New Roman" w:cs="Times New Roman"/>
        </w:rPr>
        <w:t>rate</w:t>
      </w:r>
      <w:r w:rsidR="005D3AEE">
        <w:rPr>
          <w:rFonts w:ascii="Times New Roman" w:hAnsi="Times New Roman" w:cs="Times New Roman"/>
        </w:rPr>
        <w:t xml:space="preserve"> of </w:t>
      </w:r>
      <w:r w:rsidR="003A1EA7">
        <w:rPr>
          <w:rFonts w:ascii="Times New Roman" w:hAnsi="Times New Roman" w:cs="Times New Roman"/>
        </w:rPr>
        <w:t>HL development</w:t>
      </w:r>
      <w:r w:rsidR="005D3AEE">
        <w:rPr>
          <w:rFonts w:ascii="Times New Roman" w:hAnsi="Times New Roman" w:cs="Times New Roman"/>
        </w:rPr>
        <w:t xml:space="preserve"> </w:t>
      </w:r>
      <w:r w:rsidR="003A1EA7">
        <w:rPr>
          <w:rFonts w:ascii="Times New Roman" w:hAnsi="Times New Roman" w:cs="Times New Roman"/>
        </w:rPr>
        <w:t xml:space="preserve">extends well beyond the milestones of </w:t>
      </w:r>
      <w:r w:rsidR="00E93915">
        <w:rPr>
          <w:rFonts w:ascii="Times New Roman" w:hAnsi="Times New Roman" w:cs="Times New Roman"/>
        </w:rPr>
        <w:t>typically developing</w:t>
      </w:r>
      <w:r w:rsidR="003A1EA7">
        <w:rPr>
          <w:rFonts w:ascii="Times New Roman" w:hAnsi="Times New Roman" w:cs="Times New Roman"/>
        </w:rPr>
        <w:t xml:space="preserve"> monolingual children. When considering the first and second</w:t>
      </w:r>
      <w:r w:rsidR="000B1933">
        <w:rPr>
          <w:rFonts w:ascii="Times New Roman" w:hAnsi="Times New Roman" w:cs="Times New Roman"/>
        </w:rPr>
        <w:t xml:space="preserve"> research questions together, </w:t>
      </w:r>
      <w:r w:rsidR="00870303">
        <w:rPr>
          <w:rFonts w:ascii="Times New Roman" w:hAnsi="Times New Roman" w:cs="Times New Roman"/>
        </w:rPr>
        <w:t xml:space="preserve">it is evident that bilingual children differ in both their </w:t>
      </w:r>
      <w:r w:rsidR="00870303">
        <w:rPr>
          <w:rFonts w:ascii="Times New Roman" w:hAnsi="Times New Roman" w:cs="Times New Roman"/>
          <w:i/>
          <w:iCs/>
        </w:rPr>
        <w:t>rate</w:t>
      </w:r>
      <w:r w:rsidR="00870303">
        <w:rPr>
          <w:rFonts w:ascii="Times New Roman" w:hAnsi="Times New Roman" w:cs="Times New Roman"/>
        </w:rPr>
        <w:t xml:space="preserve"> (i.e., protracted development) and </w:t>
      </w:r>
      <w:r w:rsidR="00870303">
        <w:rPr>
          <w:rFonts w:ascii="Times New Roman" w:hAnsi="Times New Roman" w:cs="Times New Roman"/>
          <w:i/>
          <w:iCs/>
        </w:rPr>
        <w:t>route</w:t>
      </w:r>
      <w:r w:rsidR="00870303">
        <w:rPr>
          <w:rFonts w:ascii="Times New Roman" w:hAnsi="Times New Roman" w:cs="Times New Roman"/>
        </w:rPr>
        <w:t xml:space="preserve"> (i.e., differential acquisition)</w:t>
      </w:r>
      <w:r w:rsidR="00C44AA7">
        <w:rPr>
          <w:rFonts w:ascii="Times New Roman" w:hAnsi="Times New Roman" w:cs="Times New Roman"/>
        </w:rPr>
        <w:t xml:space="preserve"> of</w:t>
      </w:r>
      <w:r w:rsidR="007F0329">
        <w:rPr>
          <w:rFonts w:ascii="Times New Roman" w:hAnsi="Times New Roman" w:cs="Times New Roman"/>
        </w:rPr>
        <w:t xml:space="preserve"> development</w:t>
      </w:r>
      <w:r w:rsidR="00D023BE">
        <w:rPr>
          <w:rFonts w:ascii="Times New Roman" w:hAnsi="Times New Roman" w:cs="Times New Roman"/>
        </w:rPr>
        <w:t xml:space="preserve">. These findings argue against a group-level </w:t>
      </w:r>
      <w:r w:rsidR="00D023BE">
        <w:rPr>
          <w:rFonts w:ascii="Times New Roman" w:hAnsi="Times New Roman" w:cs="Times New Roman"/>
        </w:rPr>
        <w:lastRenderedPageBreak/>
        <w:t>trend of HL attrition during the late childhood period</w:t>
      </w:r>
      <w:r w:rsidR="00D23A86">
        <w:rPr>
          <w:rFonts w:ascii="Times New Roman" w:hAnsi="Times New Roman" w:cs="Times New Roman"/>
        </w:rPr>
        <w:t xml:space="preserve">, </w:t>
      </w:r>
      <w:r w:rsidR="0073398B">
        <w:rPr>
          <w:rFonts w:ascii="Times New Roman" w:hAnsi="Times New Roman" w:cs="Times New Roman"/>
        </w:rPr>
        <w:t xml:space="preserve">yet there </w:t>
      </w:r>
      <w:r w:rsidR="00614746">
        <w:rPr>
          <w:rFonts w:ascii="Times New Roman" w:hAnsi="Times New Roman" w:cs="Times New Roman"/>
        </w:rPr>
        <w:t>are</w:t>
      </w:r>
      <w:r w:rsidR="0073398B">
        <w:rPr>
          <w:rFonts w:ascii="Times New Roman" w:hAnsi="Times New Roman" w:cs="Times New Roman"/>
        </w:rPr>
        <w:t xml:space="preserve"> </w:t>
      </w:r>
      <w:r w:rsidR="00E93915">
        <w:rPr>
          <w:rFonts w:ascii="Times New Roman" w:hAnsi="Times New Roman" w:cs="Times New Roman"/>
        </w:rPr>
        <w:t xml:space="preserve">additional </w:t>
      </w:r>
      <w:r w:rsidR="0073398B">
        <w:rPr>
          <w:rFonts w:ascii="Times New Roman" w:hAnsi="Times New Roman" w:cs="Times New Roman"/>
        </w:rPr>
        <w:t>opportunities for considering the factors that influence individual and within-speaker differences</w:t>
      </w:r>
      <w:r w:rsidR="004A0D41">
        <w:rPr>
          <w:rFonts w:ascii="Times New Roman" w:hAnsi="Times New Roman" w:cs="Times New Roman"/>
        </w:rPr>
        <w:t>.</w:t>
      </w:r>
      <w:r w:rsidR="000B4896">
        <w:rPr>
          <w:rFonts w:ascii="Times New Roman" w:hAnsi="Times New Roman" w:cs="Times New Roman"/>
        </w:rPr>
        <w:t xml:space="preserve"> It should be noted</w:t>
      </w:r>
      <w:r w:rsidR="00CE67D9">
        <w:rPr>
          <w:rFonts w:ascii="Times New Roman" w:hAnsi="Times New Roman" w:cs="Times New Roman"/>
        </w:rPr>
        <w:t>, however, tha</w:t>
      </w:r>
      <w:r w:rsidR="001A3913">
        <w:rPr>
          <w:rFonts w:ascii="Times New Roman" w:hAnsi="Times New Roman" w:cs="Times New Roman"/>
        </w:rPr>
        <w:t>t protracted development and attrition are also individual-level phenomena, as Castilla-Earls et al. (2023: 15) demonstrate</w:t>
      </w:r>
      <w:r w:rsidR="00440E66">
        <w:rPr>
          <w:rFonts w:ascii="Times New Roman" w:hAnsi="Times New Roman" w:cs="Times New Roman"/>
        </w:rPr>
        <w:t xml:space="preserve"> in longitudinal development of multiple structures</w:t>
      </w:r>
      <w:r w:rsidR="00CE67D9">
        <w:rPr>
          <w:rFonts w:ascii="Times New Roman" w:hAnsi="Times New Roman" w:cs="Times New Roman"/>
        </w:rPr>
        <w:t>.</w:t>
      </w:r>
    </w:p>
    <w:p w14:paraId="5A2CC0EB" w14:textId="543E1803" w:rsidR="00866C12" w:rsidRDefault="0073398B" w:rsidP="005A59A5">
      <w:pPr>
        <w:ind w:firstLine="720"/>
        <w:jc w:val="both"/>
        <w:rPr>
          <w:rFonts w:ascii="Times New Roman" w:hAnsi="Times New Roman" w:cs="Times New Roman"/>
        </w:rPr>
      </w:pPr>
      <w:r>
        <w:rPr>
          <w:rFonts w:ascii="Times New Roman" w:hAnsi="Times New Roman" w:cs="Times New Roman"/>
        </w:rPr>
        <w:t xml:space="preserve">To this end, the third research question investigated whether </w:t>
      </w:r>
      <w:r w:rsidR="00D27E40">
        <w:rPr>
          <w:rFonts w:ascii="Times New Roman" w:hAnsi="Times New Roman" w:cs="Times New Roman"/>
        </w:rPr>
        <w:t xml:space="preserve">frequency of </w:t>
      </w:r>
      <w:r w:rsidR="00D27E40" w:rsidRPr="004C3A5D">
        <w:rPr>
          <w:rFonts w:ascii="Times New Roman" w:hAnsi="Times New Roman" w:cs="Times New Roman"/>
        </w:rPr>
        <w:t>HL use</w:t>
      </w:r>
      <w:r w:rsidR="00D27E40">
        <w:rPr>
          <w:rFonts w:ascii="Times New Roman" w:hAnsi="Times New Roman" w:cs="Times New Roman"/>
        </w:rPr>
        <w:t xml:space="preserve"> </w:t>
      </w:r>
      <w:r w:rsidR="00302ED0">
        <w:rPr>
          <w:rFonts w:ascii="Times New Roman" w:hAnsi="Times New Roman" w:cs="Times New Roman"/>
        </w:rPr>
        <w:t xml:space="preserve">and bilingual education </w:t>
      </w:r>
      <w:r>
        <w:rPr>
          <w:rFonts w:ascii="Times New Roman" w:hAnsi="Times New Roman" w:cs="Times New Roman"/>
        </w:rPr>
        <w:t xml:space="preserve">could </w:t>
      </w:r>
      <w:r w:rsidR="00D27E40">
        <w:rPr>
          <w:rFonts w:ascii="Times New Roman" w:hAnsi="Times New Roman" w:cs="Times New Roman"/>
        </w:rPr>
        <w:t>influence the production and selection of subjunctive and DOM</w:t>
      </w:r>
      <w:r w:rsidR="00511553">
        <w:rPr>
          <w:rFonts w:ascii="Times New Roman" w:hAnsi="Times New Roman" w:cs="Times New Roman"/>
        </w:rPr>
        <w:t xml:space="preserve"> at the individual level</w:t>
      </w:r>
      <w:r>
        <w:rPr>
          <w:rFonts w:ascii="Times New Roman" w:hAnsi="Times New Roman" w:cs="Times New Roman"/>
        </w:rPr>
        <w:t>.</w:t>
      </w:r>
      <w:r w:rsidR="00A56472">
        <w:rPr>
          <w:rFonts w:ascii="Times New Roman" w:hAnsi="Times New Roman" w:cs="Times New Roman"/>
        </w:rPr>
        <w:t xml:space="preserve"> In the overall data presented here, </w:t>
      </w:r>
      <w:r w:rsidR="002B38C2">
        <w:rPr>
          <w:rFonts w:ascii="Times New Roman" w:hAnsi="Times New Roman" w:cs="Times New Roman"/>
        </w:rPr>
        <w:t xml:space="preserve">use of Spanish modulated </w:t>
      </w:r>
      <w:r w:rsidR="00E93915">
        <w:rPr>
          <w:rFonts w:ascii="Times New Roman" w:hAnsi="Times New Roman" w:cs="Times New Roman"/>
        </w:rPr>
        <w:t>production and selection</w:t>
      </w:r>
      <w:r w:rsidR="00E036AF">
        <w:rPr>
          <w:rFonts w:ascii="Times New Roman" w:hAnsi="Times New Roman" w:cs="Times New Roman"/>
        </w:rPr>
        <w:t xml:space="preserve">, which supports Putnam and Sánchez’s (2013) feature reassembly </w:t>
      </w:r>
      <w:r w:rsidR="00276205">
        <w:rPr>
          <w:rFonts w:ascii="Times New Roman" w:hAnsi="Times New Roman" w:cs="Times New Roman"/>
        </w:rPr>
        <w:t>approach</w:t>
      </w:r>
      <w:r w:rsidR="000C1DB7">
        <w:rPr>
          <w:rFonts w:ascii="Times New Roman" w:hAnsi="Times New Roman" w:cs="Times New Roman"/>
        </w:rPr>
        <w:t xml:space="preserve"> as well as the hypothesis</w:t>
      </w:r>
      <w:r w:rsidR="00CF31E9">
        <w:rPr>
          <w:rFonts w:ascii="Times New Roman" w:hAnsi="Times New Roman" w:cs="Times New Roman"/>
        </w:rPr>
        <w:t xml:space="preserve"> here</w:t>
      </w:r>
      <w:r w:rsidR="00E036AF">
        <w:rPr>
          <w:rFonts w:ascii="Times New Roman" w:hAnsi="Times New Roman" w:cs="Times New Roman"/>
        </w:rPr>
        <w:t>.</w:t>
      </w:r>
      <w:r w:rsidR="00E93915">
        <w:rPr>
          <w:rFonts w:ascii="Times New Roman" w:hAnsi="Times New Roman" w:cs="Times New Roman"/>
        </w:rPr>
        <w:t xml:space="preserve"> </w:t>
      </w:r>
      <w:r w:rsidR="000C1DB7">
        <w:rPr>
          <w:rFonts w:ascii="Times New Roman" w:hAnsi="Times New Roman" w:cs="Times New Roman"/>
        </w:rPr>
        <w:t>Contrary to the</w:t>
      </w:r>
      <w:r w:rsidR="00530330">
        <w:rPr>
          <w:rFonts w:ascii="Times New Roman" w:hAnsi="Times New Roman" w:cs="Times New Roman"/>
        </w:rPr>
        <w:t xml:space="preserve"> predicted role of bilingual education, </w:t>
      </w:r>
      <w:r w:rsidR="00E93915">
        <w:rPr>
          <w:rFonts w:ascii="Times New Roman" w:hAnsi="Times New Roman" w:cs="Times New Roman"/>
        </w:rPr>
        <w:t xml:space="preserve">however, </w:t>
      </w:r>
      <w:r w:rsidR="001E36F8">
        <w:rPr>
          <w:rFonts w:ascii="Times New Roman" w:hAnsi="Times New Roman" w:cs="Times New Roman"/>
        </w:rPr>
        <w:t xml:space="preserve">there is no effect of </w:t>
      </w:r>
      <w:r w:rsidR="00CF31E9">
        <w:rPr>
          <w:rFonts w:ascii="Times New Roman" w:hAnsi="Times New Roman" w:cs="Times New Roman"/>
        </w:rPr>
        <w:t>immersion schooling</w:t>
      </w:r>
      <w:r w:rsidR="001E36F8">
        <w:rPr>
          <w:rFonts w:ascii="Times New Roman" w:hAnsi="Times New Roman" w:cs="Times New Roman"/>
        </w:rPr>
        <w:t xml:space="preserve"> </w:t>
      </w:r>
      <w:r w:rsidR="00325EB9">
        <w:rPr>
          <w:rFonts w:ascii="Times New Roman" w:hAnsi="Times New Roman" w:cs="Times New Roman"/>
        </w:rPr>
        <w:t xml:space="preserve">that emerges as significant at the </w:t>
      </w:r>
      <w:r w:rsidR="00325EB9" w:rsidRPr="00325EB9">
        <w:rPr>
          <w:rFonts w:ascii="Times New Roman" w:hAnsi="Times New Roman" w:cs="Times New Roman"/>
          <w:i/>
          <w:iCs/>
        </w:rPr>
        <w:t>p</w:t>
      </w:r>
      <w:r w:rsidR="00325EB9">
        <w:rPr>
          <w:rFonts w:ascii="Times New Roman" w:hAnsi="Times New Roman" w:cs="Times New Roman"/>
        </w:rPr>
        <w:t xml:space="preserve"> &gt; .05 level </w:t>
      </w:r>
      <w:r w:rsidR="001E36F8">
        <w:rPr>
          <w:rFonts w:ascii="Times New Roman" w:hAnsi="Times New Roman" w:cs="Times New Roman"/>
        </w:rPr>
        <w:t xml:space="preserve">on the aggregated dataset combining both mood and case data. </w:t>
      </w:r>
      <w:r w:rsidR="0078363E">
        <w:rPr>
          <w:rFonts w:ascii="Times New Roman" w:hAnsi="Times New Roman" w:cs="Times New Roman"/>
        </w:rPr>
        <w:t xml:space="preserve">In line with </w:t>
      </w:r>
      <w:r w:rsidR="00E07CB5">
        <w:rPr>
          <w:rFonts w:ascii="Times New Roman" w:hAnsi="Times New Roman" w:cs="Times New Roman"/>
        </w:rPr>
        <w:t>AUTHOR</w:t>
      </w:r>
      <w:r w:rsidR="0078363E">
        <w:rPr>
          <w:rFonts w:ascii="Times New Roman" w:hAnsi="Times New Roman" w:cs="Times New Roman"/>
        </w:rPr>
        <w:t>, which evaluates children’s mastery of DOM only, the present findings</w:t>
      </w:r>
      <w:r w:rsidR="001E36F8">
        <w:rPr>
          <w:rFonts w:ascii="Times New Roman" w:hAnsi="Times New Roman" w:cs="Times New Roman"/>
        </w:rPr>
        <w:t xml:space="preserve"> reported a</w:t>
      </w:r>
      <w:r w:rsidR="0078363E">
        <w:rPr>
          <w:rFonts w:ascii="Times New Roman" w:hAnsi="Times New Roman" w:cs="Times New Roman"/>
        </w:rPr>
        <w:t xml:space="preserve">n interaction between immersion education and DOM. </w:t>
      </w:r>
      <w:r w:rsidR="00E07CB5">
        <w:rPr>
          <w:rFonts w:ascii="Times New Roman" w:hAnsi="Times New Roman" w:cs="Times New Roman"/>
        </w:rPr>
        <w:t>AUTHOR</w:t>
      </w:r>
      <w:r w:rsidR="0078363E">
        <w:rPr>
          <w:rFonts w:ascii="Times New Roman" w:hAnsi="Times New Roman" w:cs="Times New Roman"/>
        </w:rPr>
        <w:t xml:space="preserve"> reported that the oldest children who had previously attended the immersion program had a</w:t>
      </w:r>
      <w:r w:rsidR="00010D29">
        <w:rPr>
          <w:rFonts w:ascii="Times New Roman" w:hAnsi="Times New Roman" w:cs="Times New Roman"/>
        </w:rPr>
        <w:t xml:space="preserve">n </w:t>
      </w:r>
      <w:r w:rsidR="0078363E">
        <w:rPr>
          <w:rFonts w:ascii="Times New Roman" w:hAnsi="Times New Roman" w:cs="Times New Roman"/>
        </w:rPr>
        <w:t>advantage in the production and selection of DOM, implying a “</w:t>
      </w:r>
      <w:r w:rsidR="002F7586">
        <w:rPr>
          <w:rFonts w:ascii="Times New Roman" w:hAnsi="Times New Roman" w:cs="Times New Roman"/>
        </w:rPr>
        <w:t>lagged</w:t>
      </w:r>
      <w:r w:rsidR="0078363E">
        <w:rPr>
          <w:rFonts w:ascii="Times New Roman" w:hAnsi="Times New Roman" w:cs="Times New Roman"/>
        </w:rPr>
        <w:t xml:space="preserve">” </w:t>
      </w:r>
      <w:r w:rsidR="00010D29">
        <w:rPr>
          <w:rFonts w:ascii="Times New Roman" w:hAnsi="Times New Roman" w:cs="Times New Roman"/>
        </w:rPr>
        <w:t>bilingual education</w:t>
      </w:r>
      <w:r w:rsidR="0078363E">
        <w:rPr>
          <w:rFonts w:ascii="Times New Roman" w:hAnsi="Times New Roman" w:cs="Times New Roman"/>
        </w:rPr>
        <w:t xml:space="preserve"> effect</w:t>
      </w:r>
      <w:r w:rsidR="00BD132B">
        <w:rPr>
          <w:rFonts w:ascii="Times New Roman" w:hAnsi="Times New Roman" w:cs="Times New Roman"/>
        </w:rPr>
        <w:t>. These findings, together with the absence of an overall effect in the present study</w:t>
      </w:r>
      <w:r w:rsidR="00010D29">
        <w:rPr>
          <w:rFonts w:ascii="Times New Roman" w:hAnsi="Times New Roman" w:cs="Times New Roman"/>
        </w:rPr>
        <w:t xml:space="preserve">, do not line up with </w:t>
      </w:r>
      <w:r w:rsidR="00CF6AD6">
        <w:rPr>
          <w:rFonts w:ascii="Times New Roman" w:hAnsi="Times New Roman" w:cs="Times New Roman"/>
        </w:rPr>
        <w:t>the anticipated quantitative and qualitative input advantage that has been presupposed in previous literature (e.g., Kupisch &amp; Rothman 2018).</w:t>
      </w:r>
      <w:r w:rsidR="00010D29">
        <w:rPr>
          <w:rStyle w:val="FootnoteReference"/>
          <w:rFonts w:ascii="Times New Roman" w:hAnsi="Times New Roman" w:cs="Times New Roman"/>
        </w:rPr>
        <w:footnoteReference w:id="3"/>
      </w:r>
      <w:r w:rsidR="00CF6AD6">
        <w:rPr>
          <w:rFonts w:ascii="Times New Roman" w:hAnsi="Times New Roman" w:cs="Times New Roman"/>
        </w:rPr>
        <w:t xml:space="preserve"> </w:t>
      </w:r>
      <w:r w:rsidR="00527404">
        <w:rPr>
          <w:rFonts w:ascii="Times New Roman" w:hAnsi="Times New Roman" w:cs="Times New Roman"/>
        </w:rPr>
        <w:t xml:space="preserve">These findings </w:t>
      </w:r>
      <w:r w:rsidR="00527404" w:rsidRPr="00F7417B">
        <w:rPr>
          <w:rFonts w:ascii="Times New Roman" w:hAnsi="Times New Roman" w:cs="Times New Roman"/>
          <w:i/>
          <w:iCs/>
        </w:rPr>
        <w:t>need not</w:t>
      </w:r>
      <w:r w:rsidR="00527404">
        <w:rPr>
          <w:rFonts w:ascii="Times New Roman" w:hAnsi="Times New Roman" w:cs="Times New Roman"/>
        </w:rPr>
        <w:t xml:space="preserve"> be considered a counterargument to the effectiveness of immersion education; the myriad </w:t>
      </w:r>
      <w:r w:rsidR="000D48B1">
        <w:rPr>
          <w:rFonts w:ascii="Times New Roman" w:hAnsi="Times New Roman" w:cs="Times New Roman"/>
        </w:rPr>
        <w:t xml:space="preserve">linguistic and extralinguistic </w:t>
      </w:r>
      <w:r w:rsidR="00527404">
        <w:rPr>
          <w:rFonts w:ascii="Times New Roman" w:hAnsi="Times New Roman" w:cs="Times New Roman"/>
        </w:rPr>
        <w:t xml:space="preserve">benefits of this method of schooling are synthesized in </w:t>
      </w:r>
      <w:r w:rsidR="00E07CB5">
        <w:rPr>
          <w:rFonts w:ascii="Times New Roman" w:hAnsi="Times New Roman" w:cs="Times New Roman"/>
        </w:rPr>
        <w:t>AUTHOR</w:t>
      </w:r>
      <w:r w:rsidR="00300552">
        <w:rPr>
          <w:rFonts w:ascii="Times New Roman" w:hAnsi="Times New Roman" w:cs="Times New Roman"/>
        </w:rPr>
        <w:t>.</w:t>
      </w:r>
      <w:r w:rsidR="003F5173">
        <w:rPr>
          <w:rFonts w:ascii="Times New Roman" w:hAnsi="Times New Roman" w:cs="Times New Roman"/>
        </w:rPr>
        <w:t xml:space="preserve"> Rather, they present a</w:t>
      </w:r>
      <w:r w:rsidR="00FC53A3">
        <w:rPr>
          <w:rFonts w:ascii="Times New Roman" w:hAnsi="Times New Roman" w:cs="Times New Roman"/>
        </w:rPr>
        <w:t xml:space="preserve"> call to action </w:t>
      </w:r>
      <w:r w:rsidR="003F5173">
        <w:rPr>
          <w:rFonts w:ascii="Times New Roman" w:hAnsi="Times New Roman" w:cs="Times New Roman"/>
        </w:rPr>
        <w:t xml:space="preserve">for </w:t>
      </w:r>
      <w:r w:rsidR="00274493">
        <w:rPr>
          <w:rFonts w:ascii="Times New Roman" w:hAnsi="Times New Roman" w:cs="Times New Roman"/>
        </w:rPr>
        <w:t xml:space="preserve">establishing </w:t>
      </w:r>
      <w:r w:rsidR="003F5173">
        <w:rPr>
          <w:rFonts w:ascii="Times New Roman" w:hAnsi="Times New Roman" w:cs="Times New Roman"/>
        </w:rPr>
        <w:t xml:space="preserve">an interdisciplinary research agenda that would </w:t>
      </w:r>
      <w:r w:rsidR="004D2538">
        <w:rPr>
          <w:rFonts w:ascii="Times New Roman" w:hAnsi="Times New Roman" w:cs="Times New Roman"/>
        </w:rPr>
        <w:t xml:space="preserve">involve both acquisitionists and </w:t>
      </w:r>
      <w:r w:rsidR="00107C9E">
        <w:rPr>
          <w:rFonts w:ascii="Times New Roman" w:hAnsi="Times New Roman" w:cs="Times New Roman"/>
        </w:rPr>
        <w:t>pedagog</w:t>
      </w:r>
      <w:r w:rsidR="00FD2B54">
        <w:rPr>
          <w:rFonts w:ascii="Times New Roman" w:hAnsi="Times New Roman" w:cs="Times New Roman"/>
        </w:rPr>
        <w:t>ues</w:t>
      </w:r>
      <w:r w:rsidR="00107C9E">
        <w:rPr>
          <w:rFonts w:ascii="Times New Roman" w:hAnsi="Times New Roman" w:cs="Times New Roman"/>
        </w:rPr>
        <w:t xml:space="preserve"> in </w:t>
      </w:r>
      <w:r w:rsidR="0027560E">
        <w:rPr>
          <w:rFonts w:ascii="Times New Roman" w:hAnsi="Times New Roman" w:cs="Times New Roman"/>
        </w:rPr>
        <w:t xml:space="preserve">determining the best strategies for facilitating HL </w:t>
      </w:r>
      <w:r w:rsidR="008F466F">
        <w:rPr>
          <w:rFonts w:ascii="Times New Roman" w:hAnsi="Times New Roman" w:cs="Times New Roman"/>
        </w:rPr>
        <w:t xml:space="preserve">morphosyntactic </w:t>
      </w:r>
      <w:r w:rsidR="0027560E">
        <w:rPr>
          <w:rFonts w:ascii="Times New Roman" w:hAnsi="Times New Roman" w:cs="Times New Roman"/>
        </w:rPr>
        <w:t>development in instructional contexts.</w:t>
      </w:r>
    </w:p>
    <w:p w14:paraId="17DBB5FB" w14:textId="0F60AE0C" w:rsidR="004F3E63" w:rsidRDefault="00866C12" w:rsidP="005A59A5">
      <w:pPr>
        <w:ind w:firstLine="720"/>
        <w:jc w:val="both"/>
        <w:rPr>
          <w:rFonts w:ascii="Times New Roman" w:hAnsi="Times New Roman" w:cs="Times New Roman"/>
        </w:rPr>
      </w:pPr>
      <w:r>
        <w:rPr>
          <w:rFonts w:ascii="Times New Roman" w:hAnsi="Times New Roman" w:cs="Times New Roman"/>
        </w:rPr>
        <w:t>The fourth research question addressed whether a</w:t>
      </w:r>
      <w:r w:rsidR="00D27E40" w:rsidRPr="00866C12">
        <w:rPr>
          <w:rFonts w:ascii="Times New Roman" w:hAnsi="Times New Roman" w:cs="Times New Roman"/>
        </w:rPr>
        <w:t xml:space="preserve">t the </w:t>
      </w:r>
      <w:r w:rsidR="00D27E40" w:rsidRPr="00866C12">
        <w:rPr>
          <w:rFonts w:ascii="Times New Roman" w:hAnsi="Times New Roman" w:cs="Times New Roman"/>
          <w:i/>
          <w:iCs/>
        </w:rPr>
        <w:t>within-speakers</w:t>
      </w:r>
      <w:r w:rsidR="00D27E40" w:rsidRPr="00866C12">
        <w:rPr>
          <w:rFonts w:ascii="Times New Roman" w:hAnsi="Times New Roman" w:cs="Times New Roman"/>
        </w:rPr>
        <w:t xml:space="preserve"> level</w:t>
      </w:r>
      <w:r>
        <w:rPr>
          <w:rFonts w:ascii="Times New Roman" w:hAnsi="Times New Roman" w:cs="Times New Roman"/>
        </w:rPr>
        <w:t xml:space="preserve">, </w:t>
      </w:r>
      <w:r w:rsidR="00D27E40" w:rsidRPr="00866C12">
        <w:rPr>
          <w:rFonts w:ascii="Times New Roman" w:hAnsi="Times New Roman" w:cs="Times New Roman"/>
        </w:rPr>
        <w:t xml:space="preserve">there </w:t>
      </w:r>
      <w:r>
        <w:rPr>
          <w:rFonts w:ascii="Times New Roman" w:hAnsi="Times New Roman" w:cs="Times New Roman"/>
        </w:rPr>
        <w:t xml:space="preserve">are </w:t>
      </w:r>
      <w:r w:rsidR="00D27E40" w:rsidRPr="00866C12">
        <w:rPr>
          <w:rFonts w:ascii="Times New Roman" w:hAnsi="Times New Roman" w:cs="Times New Roman"/>
        </w:rPr>
        <w:t>differences between HSs’ productive and receptive knowledge of subjunctive and DOM</w:t>
      </w:r>
      <w:r>
        <w:rPr>
          <w:rFonts w:ascii="Times New Roman" w:hAnsi="Times New Roman" w:cs="Times New Roman"/>
        </w:rPr>
        <w:t xml:space="preserve">. The data in </w:t>
      </w:r>
      <w:r w:rsidR="000F2CD8">
        <w:rPr>
          <w:rFonts w:ascii="Times New Roman" w:hAnsi="Times New Roman" w:cs="Times New Roman"/>
        </w:rPr>
        <w:t>AUTHOR</w:t>
      </w:r>
      <w:r>
        <w:rPr>
          <w:rFonts w:ascii="Times New Roman" w:hAnsi="Times New Roman" w:cs="Times New Roman"/>
        </w:rPr>
        <w:t xml:space="preserve"> and the present study </w:t>
      </w:r>
      <w:r w:rsidR="00DA4AAB">
        <w:rPr>
          <w:rFonts w:ascii="Times New Roman" w:hAnsi="Times New Roman" w:cs="Times New Roman"/>
        </w:rPr>
        <w:t xml:space="preserve">indicate stronger receptive knowledge </w:t>
      </w:r>
      <w:r w:rsidR="003F5173">
        <w:rPr>
          <w:rFonts w:ascii="Times New Roman" w:hAnsi="Times New Roman" w:cs="Times New Roman"/>
        </w:rPr>
        <w:t>than</w:t>
      </w:r>
      <w:r w:rsidR="00DA4AAB">
        <w:rPr>
          <w:rFonts w:ascii="Times New Roman" w:hAnsi="Times New Roman" w:cs="Times New Roman"/>
        </w:rPr>
        <w:t xml:space="preserve"> producti</w:t>
      </w:r>
      <w:r w:rsidR="003F5173">
        <w:rPr>
          <w:rFonts w:ascii="Times New Roman" w:hAnsi="Times New Roman" w:cs="Times New Roman"/>
        </w:rPr>
        <w:t>on</w:t>
      </w:r>
      <w:r>
        <w:rPr>
          <w:rFonts w:ascii="Times New Roman" w:hAnsi="Times New Roman" w:cs="Times New Roman"/>
        </w:rPr>
        <w:t xml:space="preserve">, which </w:t>
      </w:r>
      <w:r w:rsidR="00E718EF">
        <w:rPr>
          <w:rFonts w:ascii="Times New Roman" w:hAnsi="Times New Roman" w:cs="Times New Roman"/>
        </w:rPr>
        <w:t>supports</w:t>
      </w:r>
      <w:r>
        <w:rPr>
          <w:rFonts w:ascii="Times New Roman" w:hAnsi="Times New Roman" w:cs="Times New Roman"/>
        </w:rPr>
        <w:t xml:space="preserve"> Putnam and Sánchez’s (2013) approach to HL acquisition and maintenance. </w:t>
      </w:r>
      <w:r w:rsidR="00DA4AAB">
        <w:rPr>
          <w:rFonts w:ascii="Times New Roman" w:hAnsi="Times New Roman" w:cs="Times New Roman"/>
        </w:rPr>
        <w:t xml:space="preserve">That </w:t>
      </w:r>
      <w:r>
        <w:rPr>
          <w:rFonts w:ascii="Times New Roman" w:hAnsi="Times New Roman" w:cs="Times New Roman"/>
        </w:rPr>
        <w:t xml:space="preserve">HSs’ receptive knowledge appears to exhibit less morphological optionality can be interpreted as evidence of a dissociation between syntactic representation at the underlying receptive level and morphological realization in production. </w:t>
      </w:r>
      <w:r w:rsidR="00D12E59">
        <w:rPr>
          <w:rFonts w:ascii="Times New Roman" w:hAnsi="Times New Roman" w:cs="Times New Roman"/>
        </w:rPr>
        <w:t xml:space="preserve">It should </w:t>
      </w:r>
      <w:r w:rsidR="00DA4AAB">
        <w:rPr>
          <w:rFonts w:ascii="Times New Roman" w:hAnsi="Times New Roman" w:cs="Times New Roman"/>
        </w:rPr>
        <w:t xml:space="preserve">also </w:t>
      </w:r>
      <w:r w:rsidR="00D12E59">
        <w:rPr>
          <w:rFonts w:ascii="Times New Roman" w:hAnsi="Times New Roman" w:cs="Times New Roman"/>
        </w:rPr>
        <w:t>be noted</w:t>
      </w:r>
      <w:r w:rsidR="00DA4AAB">
        <w:rPr>
          <w:rFonts w:ascii="Times New Roman" w:hAnsi="Times New Roman" w:cs="Times New Roman"/>
        </w:rPr>
        <w:t xml:space="preserve"> </w:t>
      </w:r>
      <w:r w:rsidR="00D12E59">
        <w:rPr>
          <w:rFonts w:ascii="Times New Roman" w:hAnsi="Times New Roman" w:cs="Times New Roman"/>
        </w:rPr>
        <w:t xml:space="preserve">that there was an interaction between DOM and the selection task, arguing that the dissociation between syntax and morphology is greater for this structure than the volitional subjunctive. A possible explanation for this finding is that DOM </w:t>
      </w:r>
      <w:r w:rsidR="00270D6C">
        <w:rPr>
          <w:rFonts w:ascii="Times New Roman" w:hAnsi="Times New Roman" w:cs="Times New Roman"/>
        </w:rPr>
        <w:t>is situated at the interface between syntax and semantics, and the integration of both syntactic and semantic information</w:t>
      </w:r>
      <w:r w:rsidR="00D12E59">
        <w:rPr>
          <w:rFonts w:ascii="Times New Roman" w:hAnsi="Times New Roman" w:cs="Times New Roman"/>
        </w:rPr>
        <w:t xml:space="preserve"> may be harder to </w:t>
      </w:r>
      <w:r w:rsidR="00270D6C">
        <w:rPr>
          <w:rFonts w:ascii="Times New Roman" w:hAnsi="Times New Roman" w:cs="Times New Roman"/>
        </w:rPr>
        <w:t>map onto morphology</w:t>
      </w:r>
      <w:r w:rsidR="00D12E59">
        <w:rPr>
          <w:rFonts w:ascii="Times New Roman" w:hAnsi="Times New Roman" w:cs="Times New Roman"/>
        </w:rPr>
        <w:t xml:space="preserve"> in real-time production</w:t>
      </w:r>
      <w:r w:rsidR="00414992">
        <w:rPr>
          <w:rFonts w:ascii="Times New Roman" w:hAnsi="Times New Roman" w:cs="Times New Roman"/>
        </w:rPr>
        <w:t xml:space="preserve"> (</w:t>
      </w:r>
      <w:r w:rsidR="00191837">
        <w:rPr>
          <w:rFonts w:ascii="Times New Roman" w:hAnsi="Times New Roman" w:cs="Times New Roman"/>
        </w:rPr>
        <w:t xml:space="preserve">see Chamorro and Sorace 2020 </w:t>
      </w:r>
      <w:r w:rsidR="00493D28">
        <w:rPr>
          <w:rFonts w:ascii="Times New Roman" w:hAnsi="Times New Roman" w:cs="Times New Roman"/>
        </w:rPr>
        <w:t>or Montrul 2011</w:t>
      </w:r>
      <w:r w:rsidR="008A418A">
        <w:rPr>
          <w:rFonts w:ascii="Times New Roman" w:hAnsi="Times New Roman" w:cs="Times New Roman"/>
        </w:rPr>
        <w:t xml:space="preserve"> </w:t>
      </w:r>
      <w:r w:rsidR="00191837">
        <w:rPr>
          <w:rFonts w:ascii="Times New Roman" w:hAnsi="Times New Roman" w:cs="Times New Roman"/>
        </w:rPr>
        <w:t xml:space="preserve">concerning the role of interfaces in </w:t>
      </w:r>
      <w:r w:rsidR="00C60B28">
        <w:rPr>
          <w:rFonts w:ascii="Times New Roman" w:hAnsi="Times New Roman" w:cs="Times New Roman"/>
        </w:rPr>
        <w:t>bilingual</w:t>
      </w:r>
      <w:r w:rsidR="00191837">
        <w:rPr>
          <w:rFonts w:ascii="Times New Roman" w:hAnsi="Times New Roman" w:cs="Times New Roman"/>
        </w:rPr>
        <w:t xml:space="preserve"> acquisition and attrition</w:t>
      </w:r>
      <w:r w:rsidR="00414992">
        <w:rPr>
          <w:rFonts w:ascii="Times New Roman" w:hAnsi="Times New Roman" w:cs="Times New Roman"/>
        </w:rPr>
        <w:t>)</w:t>
      </w:r>
      <w:r w:rsidR="00D12E59">
        <w:rPr>
          <w:rFonts w:ascii="Times New Roman" w:hAnsi="Times New Roman" w:cs="Times New Roman"/>
        </w:rPr>
        <w:t>. The volitional subjunctive, on the other hand, is an example of core syntax that does not have a semantic component</w:t>
      </w:r>
      <w:r w:rsidR="002A2822">
        <w:rPr>
          <w:rFonts w:ascii="Times New Roman" w:hAnsi="Times New Roman" w:cs="Times New Roman"/>
        </w:rPr>
        <w:t xml:space="preserve">, which might involve a less-complex </w:t>
      </w:r>
      <w:r w:rsidR="00CF6134">
        <w:rPr>
          <w:rFonts w:ascii="Times New Roman" w:hAnsi="Times New Roman" w:cs="Times New Roman"/>
        </w:rPr>
        <w:t>mapping process of representation onto morphology</w:t>
      </w:r>
      <w:r w:rsidR="00D12E59">
        <w:rPr>
          <w:rFonts w:ascii="Times New Roman" w:hAnsi="Times New Roman" w:cs="Times New Roman"/>
        </w:rPr>
        <w:t>.</w:t>
      </w:r>
    </w:p>
    <w:p w14:paraId="79D37AF4" w14:textId="75B4724A" w:rsidR="00D27E40" w:rsidRDefault="004F3E63" w:rsidP="005A59A5">
      <w:pPr>
        <w:ind w:firstLine="720"/>
        <w:jc w:val="both"/>
        <w:rPr>
          <w:rFonts w:ascii="Times New Roman" w:hAnsi="Times New Roman" w:cs="Times New Roman"/>
        </w:rPr>
      </w:pPr>
      <w:r>
        <w:rPr>
          <w:rFonts w:ascii="Times New Roman" w:hAnsi="Times New Roman" w:cs="Times New Roman"/>
        </w:rPr>
        <w:t>Finally, the fifth research question, also si</w:t>
      </w:r>
      <w:r w:rsidRPr="004F3E63">
        <w:rPr>
          <w:rFonts w:ascii="Times New Roman" w:hAnsi="Times New Roman" w:cs="Times New Roman"/>
        </w:rPr>
        <w:t>t</w:t>
      </w:r>
      <w:r>
        <w:rPr>
          <w:rFonts w:ascii="Times New Roman" w:hAnsi="Times New Roman" w:cs="Times New Roman"/>
        </w:rPr>
        <w:t>uated at</w:t>
      </w:r>
      <w:r w:rsidRPr="004F3E63">
        <w:rPr>
          <w:rFonts w:ascii="Times New Roman" w:hAnsi="Times New Roman" w:cs="Times New Roman"/>
        </w:rPr>
        <w:t xml:space="preserve"> the </w:t>
      </w:r>
      <w:r w:rsidRPr="004F3E63">
        <w:rPr>
          <w:rFonts w:ascii="Times New Roman" w:hAnsi="Times New Roman" w:cs="Times New Roman"/>
          <w:i/>
          <w:iCs/>
        </w:rPr>
        <w:t>within-speakers</w:t>
      </w:r>
      <w:r w:rsidRPr="004F3E63">
        <w:rPr>
          <w:rFonts w:ascii="Times New Roman" w:hAnsi="Times New Roman" w:cs="Times New Roman"/>
        </w:rPr>
        <w:t xml:space="preserve"> level</w:t>
      </w:r>
      <w:r>
        <w:rPr>
          <w:rFonts w:ascii="Times New Roman" w:hAnsi="Times New Roman" w:cs="Times New Roman"/>
        </w:rPr>
        <w:t xml:space="preserve">, concerned whether </w:t>
      </w:r>
      <w:r w:rsidR="004E20B4">
        <w:rPr>
          <w:rFonts w:ascii="Times New Roman" w:hAnsi="Times New Roman" w:cs="Times New Roman"/>
        </w:rPr>
        <w:t xml:space="preserve">the impact of bilingual </w:t>
      </w:r>
      <w:r w:rsidR="00D27E40" w:rsidRPr="004F3E63">
        <w:rPr>
          <w:rFonts w:ascii="Times New Roman" w:hAnsi="Times New Roman" w:cs="Times New Roman"/>
        </w:rPr>
        <w:t>education</w:t>
      </w:r>
      <w:r>
        <w:rPr>
          <w:rFonts w:ascii="Times New Roman" w:hAnsi="Times New Roman" w:cs="Times New Roman"/>
        </w:rPr>
        <w:t xml:space="preserve"> affected</w:t>
      </w:r>
      <w:r w:rsidR="00D27E40" w:rsidRPr="004F3E63">
        <w:rPr>
          <w:rFonts w:ascii="Times New Roman" w:hAnsi="Times New Roman" w:cs="Times New Roman"/>
        </w:rPr>
        <w:t xml:space="preserve"> HSs’ acquisition of core syntactic and interface structures equally</w:t>
      </w:r>
      <w:r>
        <w:rPr>
          <w:rFonts w:ascii="Times New Roman" w:hAnsi="Times New Roman" w:cs="Times New Roman"/>
        </w:rPr>
        <w:t>.</w:t>
      </w:r>
      <w:r w:rsidR="00D12E59">
        <w:rPr>
          <w:rFonts w:ascii="Times New Roman" w:hAnsi="Times New Roman" w:cs="Times New Roman"/>
        </w:rPr>
        <w:t xml:space="preserve"> The interaction between</w:t>
      </w:r>
      <w:r w:rsidR="00EF3136">
        <w:rPr>
          <w:rFonts w:ascii="Times New Roman" w:hAnsi="Times New Roman" w:cs="Times New Roman"/>
        </w:rPr>
        <w:t xml:space="preserve"> DOM and immersion, as well as a comparison of the results of </w:t>
      </w:r>
      <w:r w:rsidR="00A7626A">
        <w:rPr>
          <w:rFonts w:ascii="Times New Roman" w:hAnsi="Times New Roman" w:cs="Times New Roman"/>
        </w:rPr>
        <w:t>AUTHOR</w:t>
      </w:r>
      <w:r w:rsidR="00C32BB1">
        <w:rPr>
          <w:rFonts w:ascii="Times New Roman" w:hAnsi="Times New Roman" w:cs="Times New Roman"/>
        </w:rPr>
        <w:t xml:space="preserve"> (1, 2)</w:t>
      </w:r>
      <w:r w:rsidR="00EF3136">
        <w:rPr>
          <w:rFonts w:ascii="Times New Roman" w:hAnsi="Times New Roman" w:cs="Times New Roman"/>
        </w:rPr>
        <w:t xml:space="preserve">, suggests that </w:t>
      </w:r>
      <w:r w:rsidR="00EA7F94">
        <w:rPr>
          <w:rFonts w:ascii="Times New Roman" w:hAnsi="Times New Roman" w:cs="Times New Roman"/>
        </w:rPr>
        <w:t xml:space="preserve">education influences </w:t>
      </w:r>
      <w:r w:rsidR="00A963A7">
        <w:rPr>
          <w:rFonts w:ascii="Times New Roman" w:hAnsi="Times New Roman" w:cs="Times New Roman"/>
        </w:rPr>
        <w:t xml:space="preserve">semantically-determined </w:t>
      </w:r>
      <w:r w:rsidR="00AB165C">
        <w:rPr>
          <w:rFonts w:ascii="Times New Roman" w:hAnsi="Times New Roman" w:cs="Times New Roman"/>
        </w:rPr>
        <w:t>case</w:t>
      </w:r>
      <w:r w:rsidR="00EF3136">
        <w:rPr>
          <w:rFonts w:ascii="Times New Roman" w:hAnsi="Times New Roman" w:cs="Times New Roman"/>
        </w:rPr>
        <w:t xml:space="preserve"> </w:t>
      </w:r>
      <w:r w:rsidR="00416832">
        <w:rPr>
          <w:rFonts w:ascii="Times New Roman" w:hAnsi="Times New Roman" w:cs="Times New Roman"/>
        </w:rPr>
        <w:t xml:space="preserve">more </w:t>
      </w:r>
      <w:r w:rsidR="00EA7F94">
        <w:rPr>
          <w:rFonts w:ascii="Times New Roman" w:hAnsi="Times New Roman" w:cs="Times New Roman"/>
        </w:rPr>
        <w:t xml:space="preserve">than core syntactic instances of </w:t>
      </w:r>
      <w:r w:rsidR="00416832">
        <w:rPr>
          <w:rFonts w:ascii="Times New Roman" w:hAnsi="Times New Roman" w:cs="Times New Roman"/>
        </w:rPr>
        <w:t>subjunctive</w:t>
      </w:r>
      <w:r w:rsidR="00AB165C">
        <w:rPr>
          <w:rFonts w:ascii="Times New Roman" w:hAnsi="Times New Roman" w:cs="Times New Roman"/>
        </w:rPr>
        <w:t xml:space="preserve"> mood</w:t>
      </w:r>
      <w:r w:rsidR="00EF3136">
        <w:rPr>
          <w:rFonts w:ascii="Times New Roman" w:hAnsi="Times New Roman" w:cs="Times New Roman"/>
        </w:rPr>
        <w:t xml:space="preserve">. </w:t>
      </w:r>
      <w:r w:rsidR="009B7E91">
        <w:rPr>
          <w:rFonts w:ascii="Times New Roman" w:hAnsi="Times New Roman" w:cs="Times New Roman"/>
        </w:rPr>
        <w:t>T</w:t>
      </w:r>
      <w:r w:rsidR="00EF3136">
        <w:rPr>
          <w:rFonts w:ascii="Times New Roman" w:hAnsi="Times New Roman" w:cs="Times New Roman"/>
        </w:rPr>
        <w:t xml:space="preserve">his finding lends support to Torregrossa et </w:t>
      </w:r>
      <w:r w:rsidR="00EF3136">
        <w:rPr>
          <w:rFonts w:ascii="Times New Roman" w:hAnsi="Times New Roman" w:cs="Times New Roman"/>
        </w:rPr>
        <w:lastRenderedPageBreak/>
        <w:t xml:space="preserve">al.’s (2023) and Rinke et al.’s (2022) claim that </w:t>
      </w:r>
      <w:r w:rsidR="00DD02A2">
        <w:rPr>
          <w:rFonts w:ascii="Times New Roman" w:hAnsi="Times New Roman" w:cs="Times New Roman"/>
        </w:rPr>
        <w:t xml:space="preserve">interface structures are among those that are most influenced by HL education. It is useful to recognize that the present study only incorporated two structures – one at the syntax-semantics interface and one with core syntactic properties – and future work </w:t>
      </w:r>
      <w:r w:rsidR="00C33D74">
        <w:rPr>
          <w:rFonts w:ascii="Times New Roman" w:hAnsi="Times New Roman" w:cs="Times New Roman"/>
        </w:rPr>
        <w:t>would benefit</w:t>
      </w:r>
      <w:r w:rsidR="00DD02A2">
        <w:rPr>
          <w:rFonts w:ascii="Times New Roman" w:hAnsi="Times New Roman" w:cs="Times New Roman"/>
        </w:rPr>
        <w:t xml:space="preserve"> </w:t>
      </w:r>
      <w:r w:rsidR="00C33D74">
        <w:rPr>
          <w:rFonts w:ascii="Times New Roman" w:hAnsi="Times New Roman" w:cs="Times New Roman"/>
        </w:rPr>
        <w:t xml:space="preserve">from a broader </w:t>
      </w:r>
      <w:r w:rsidR="00D0538B">
        <w:rPr>
          <w:rFonts w:ascii="Times New Roman" w:hAnsi="Times New Roman" w:cs="Times New Roman"/>
        </w:rPr>
        <w:t>array</w:t>
      </w:r>
      <w:r w:rsidR="000E254E">
        <w:rPr>
          <w:rFonts w:ascii="Times New Roman" w:hAnsi="Times New Roman" w:cs="Times New Roman"/>
        </w:rPr>
        <w:t xml:space="preserve"> of linguistic forms</w:t>
      </w:r>
      <w:r w:rsidR="003501D3">
        <w:rPr>
          <w:rFonts w:ascii="Times New Roman" w:hAnsi="Times New Roman" w:cs="Times New Roman"/>
        </w:rPr>
        <w:t xml:space="preserve"> to support this claim</w:t>
      </w:r>
      <w:r w:rsidR="000E254E">
        <w:rPr>
          <w:rFonts w:ascii="Times New Roman" w:hAnsi="Times New Roman" w:cs="Times New Roman"/>
        </w:rPr>
        <w:t xml:space="preserve">. </w:t>
      </w:r>
      <w:r w:rsidR="009A3428">
        <w:rPr>
          <w:rFonts w:ascii="Times New Roman" w:hAnsi="Times New Roman" w:cs="Times New Roman"/>
        </w:rPr>
        <w:t>While a</w:t>
      </w:r>
      <w:r w:rsidR="000E254E">
        <w:rPr>
          <w:rFonts w:ascii="Times New Roman" w:hAnsi="Times New Roman" w:cs="Times New Roman"/>
        </w:rPr>
        <w:t xml:space="preserve"> logical implication is that </w:t>
      </w:r>
      <w:r w:rsidR="007B3DF2">
        <w:rPr>
          <w:rFonts w:ascii="Times New Roman" w:hAnsi="Times New Roman" w:cs="Times New Roman"/>
        </w:rPr>
        <w:t xml:space="preserve">HL education programs </w:t>
      </w:r>
      <w:r w:rsidR="00F13858">
        <w:rPr>
          <w:rFonts w:ascii="Times New Roman" w:hAnsi="Times New Roman" w:cs="Times New Roman"/>
        </w:rPr>
        <w:t xml:space="preserve">are particularly important for the acquisition and maintenance of </w:t>
      </w:r>
      <w:r w:rsidR="007058D2">
        <w:rPr>
          <w:rFonts w:ascii="Times New Roman" w:hAnsi="Times New Roman" w:cs="Times New Roman"/>
        </w:rPr>
        <w:t>structures that involve more than core syntactic properties</w:t>
      </w:r>
      <w:r w:rsidR="009A3428">
        <w:rPr>
          <w:rFonts w:ascii="Times New Roman" w:hAnsi="Times New Roman" w:cs="Times New Roman"/>
        </w:rPr>
        <w:t>, it should be noted that all groups showed considerable optionality with the subjunctive regardless of education</w:t>
      </w:r>
      <w:r w:rsidR="002234B0">
        <w:rPr>
          <w:rFonts w:ascii="Times New Roman" w:hAnsi="Times New Roman" w:cs="Times New Roman"/>
        </w:rPr>
        <w:t>al experience</w:t>
      </w:r>
      <w:r w:rsidR="009A3428">
        <w:rPr>
          <w:rFonts w:ascii="Times New Roman" w:hAnsi="Times New Roman" w:cs="Times New Roman"/>
        </w:rPr>
        <w:t>.</w:t>
      </w:r>
      <w:r w:rsidR="00EA7F94">
        <w:rPr>
          <w:rFonts w:ascii="Times New Roman" w:hAnsi="Times New Roman" w:cs="Times New Roman"/>
        </w:rPr>
        <w:t xml:space="preserve"> Therefore, core syntactic development may not come “for free,” even if it is less complex than mastering interface structures, and the bilingual education setting represents a promising context to facilitate development through </w:t>
      </w:r>
      <w:r w:rsidR="00972A06">
        <w:rPr>
          <w:rFonts w:ascii="Times New Roman" w:hAnsi="Times New Roman" w:cs="Times New Roman"/>
        </w:rPr>
        <w:t>instruction</w:t>
      </w:r>
      <w:r w:rsidR="00236477">
        <w:rPr>
          <w:rFonts w:ascii="Times New Roman" w:hAnsi="Times New Roman" w:cs="Times New Roman"/>
        </w:rPr>
        <w:t xml:space="preserve"> and literacy exposure</w:t>
      </w:r>
      <w:r w:rsidR="00EA7F94">
        <w:rPr>
          <w:rFonts w:ascii="Times New Roman" w:hAnsi="Times New Roman" w:cs="Times New Roman"/>
        </w:rPr>
        <w:t>.</w:t>
      </w:r>
    </w:p>
    <w:p w14:paraId="31FA0FCB" w14:textId="5D169F92" w:rsidR="006E76C8" w:rsidRDefault="00FA6C50" w:rsidP="005A59A5">
      <w:pPr>
        <w:ind w:firstLine="720"/>
        <w:jc w:val="both"/>
        <w:rPr>
          <w:rFonts w:ascii="Times New Roman" w:hAnsi="Times New Roman" w:cs="Times New Roman"/>
        </w:rPr>
      </w:pPr>
      <w:r>
        <w:rPr>
          <w:rFonts w:ascii="Times New Roman" w:hAnsi="Times New Roman" w:cs="Times New Roman"/>
        </w:rPr>
        <w:t xml:space="preserve">By evaluating HL acquisition and development at all three levels of variability, it becomes evident that the present data support some components of three </w:t>
      </w:r>
      <w:r w:rsidR="00A63A4F">
        <w:rPr>
          <w:rFonts w:ascii="Times New Roman" w:hAnsi="Times New Roman" w:cs="Times New Roman"/>
        </w:rPr>
        <w:t xml:space="preserve">of the generative </w:t>
      </w:r>
      <w:r>
        <w:rPr>
          <w:rFonts w:ascii="Times New Roman" w:hAnsi="Times New Roman" w:cs="Times New Roman"/>
        </w:rPr>
        <w:t>accounts of HL acquisition</w:t>
      </w:r>
      <w:r w:rsidR="00A63A4F">
        <w:rPr>
          <w:rFonts w:ascii="Times New Roman" w:hAnsi="Times New Roman" w:cs="Times New Roman"/>
        </w:rPr>
        <w:t xml:space="preserve"> surveyed above</w:t>
      </w:r>
      <w:r>
        <w:rPr>
          <w:rFonts w:ascii="Times New Roman" w:hAnsi="Times New Roman" w:cs="Times New Roman"/>
        </w:rPr>
        <w:t xml:space="preserve">. </w:t>
      </w:r>
      <w:r w:rsidR="001827CF">
        <w:rPr>
          <w:rFonts w:ascii="Times New Roman" w:hAnsi="Times New Roman" w:cs="Times New Roman"/>
        </w:rPr>
        <w:t xml:space="preserve">That HSs differ at the group level from the SDBA group aligns with differential acquisition, yet not all bilinguals exhibit differences from </w:t>
      </w:r>
      <w:r w:rsidR="00C4695F">
        <w:rPr>
          <w:rFonts w:ascii="Times New Roman" w:hAnsi="Times New Roman" w:cs="Times New Roman"/>
        </w:rPr>
        <w:t>an adult baseline from whom they receive input</w:t>
      </w:r>
      <w:r w:rsidR="009B7E91">
        <w:rPr>
          <w:rFonts w:ascii="Times New Roman" w:hAnsi="Times New Roman" w:cs="Times New Roman"/>
        </w:rPr>
        <w:t xml:space="preserve"> (see </w:t>
      </w:r>
      <w:r w:rsidR="00C87198">
        <w:rPr>
          <w:rFonts w:ascii="Times New Roman" w:hAnsi="Times New Roman" w:cs="Times New Roman"/>
        </w:rPr>
        <w:t>AUTHOR</w:t>
      </w:r>
      <w:r w:rsidR="009B7E91">
        <w:rPr>
          <w:rFonts w:ascii="Times New Roman" w:hAnsi="Times New Roman" w:cs="Times New Roman"/>
        </w:rPr>
        <w:t>)</w:t>
      </w:r>
      <w:r w:rsidR="00B06EA4">
        <w:rPr>
          <w:rFonts w:ascii="Times New Roman" w:hAnsi="Times New Roman" w:cs="Times New Roman"/>
        </w:rPr>
        <w:t xml:space="preserve">. </w:t>
      </w:r>
      <w:r w:rsidR="00C0295F">
        <w:rPr>
          <w:rFonts w:ascii="Times New Roman" w:hAnsi="Times New Roman" w:cs="Times New Roman"/>
        </w:rPr>
        <w:t xml:space="preserve">Therefore, it is crucial that work evaluating group-level differences also consider the heterogeneity across and within HSs. </w:t>
      </w:r>
      <w:r w:rsidR="00B06EA4">
        <w:rPr>
          <w:rFonts w:ascii="Times New Roman" w:hAnsi="Times New Roman" w:cs="Times New Roman"/>
        </w:rPr>
        <w:t>T</w:t>
      </w:r>
      <w:r w:rsidR="00B2333C">
        <w:rPr>
          <w:rFonts w:ascii="Times New Roman" w:hAnsi="Times New Roman" w:cs="Times New Roman"/>
        </w:rPr>
        <w:t>hat HSs continue to master both structures into adolescence</w:t>
      </w:r>
      <w:r w:rsidR="00CA5CF2">
        <w:rPr>
          <w:rFonts w:ascii="Times New Roman" w:hAnsi="Times New Roman" w:cs="Times New Roman"/>
        </w:rPr>
        <w:t xml:space="preserve"> </w:t>
      </w:r>
      <w:r w:rsidR="00B2333C">
        <w:rPr>
          <w:rFonts w:ascii="Times New Roman" w:hAnsi="Times New Roman" w:cs="Times New Roman"/>
        </w:rPr>
        <w:t>provides evidence of protracted development. Finally, the between-speaker and within-speaker results support Putnam and Sánchez’s (2013) approach, yet the effect of age is not in alignment with the feature reassembly hypothesis predicting increasing crosslinguistic influence over time.</w:t>
      </w:r>
      <w:r w:rsidR="008B7B59">
        <w:rPr>
          <w:rFonts w:ascii="Times New Roman" w:hAnsi="Times New Roman" w:cs="Times New Roman"/>
        </w:rPr>
        <w:t xml:space="preserve"> </w:t>
      </w:r>
      <w:r w:rsidR="00555FCF">
        <w:rPr>
          <w:rFonts w:ascii="Times New Roman" w:hAnsi="Times New Roman" w:cs="Times New Roman"/>
        </w:rPr>
        <w:t>That is</w:t>
      </w:r>
      <w:r w:rsidR="008B7B59">
        <w:rPr>
          <w:rFonts w:ascii="Times New Roman" w:hAnsi="Times New Roman" w:cs="Times New Roman"/>
        </w:rPr>
        <w:t xml:space="preserve">, the data herein do not </w:t>
      </w:r>
      <w:r w:rsidR="00B06EA4">
        <w:rPr>
          <w:rFonts w:ascii="Times New Roman" w:hAnsi="Times New Roman" w:cs="Times New Roman"/>
        </w:rPr>
        <w:t>depict</w:t>
      </w:r>
      <w:r w:rsidR="008B7B59">
        <w:rPr>
          <w:rFonts w:ascii="Times New Roman" w:hAnsi="Times New Roman" w:cs="Times New Roman"/>
        </w:rPr>
        <w:t xml:space="preserve"> a </w:t>
      </w:r>
      <w:r w:rsidR="008B7B59">
        <w:rPr>
          <w:rFonts w:ascii="Times New Roman" w:hAnsi="Times New Roman" w:cs="Times New Roman"/>
          <w:i/>
          <w:iCs/>
        </w:rPr>
        <w:t>reassembly</w:t>
      </w:r>
      <w:r w:rsidR="008B7B59">
        <w:rPr>
          <w:rFonts w:ascii="Times New Roman" w:hAnsi="Times New Roman" w:cs="Times New Roman"/>
        </w:rPr>
        <w:t xml:space="preserve"> of features</w:t>
      </w:r>
      <w:r w:rsidR="00CA5CF2">
        <w:rPr>
          <w:rFonts w:ascii="Times New Roman" w:hAnsi="Times New Roman" w:cs="Times New Roman"/>
        </w:rPr>
        <w:t xml:space="preserve">, </w:t>
      </w:r>
      <w:r w:rsidR="00811BB3">
        <w:rPr>
          <w:rFonts w:ascii="Times New Roman" w:hAnsi="Times New Roman" w:cs="Times New Roman"/>
        </w:rPr>
        <w:t>but rather imply a less rapid yet steady mastery of these structures.</w:t>
      </w:r>
      <w:r w:rsidR="008B7B59">
        <w:rPr>
          <w:rFonts w:ascii="Times New Roman" w:hAnsi="Times New Roman" w:cs="Times New Roman"/>
        </w:rPr>
        <w:t xml:space="preserve"> </w:t>
      </w:r>
      <w:r>
        <w:rPr>
          <w:rFonts w:ascii="Times New Roman" w:hAnsi="Times New Roman" w:cs="Times New Roman"/>
        </w:rPr>
        <w:t xml:space="preserve">As a result, future work </w:t>
      </w:r>
      <w:r w:rsidR="00555FCF">
        <w:rPr>
          <w:rFonts w:ascii="Times New Roman" w:hAnsi="Times New Roman" w:cs="Times New Roman"/>
        </w:rPr>
        <w:t>should</w:t>
      </w:r>
      <w:r>
        <w:rPr>
          <w:rFonts w:ascii="Times New Roman" w:hAnsi="Times New Roman" w:cs="Times New Roman"/>
        </w:rPr>
        <w:t xml:space="preserve"> focus on a “unified” approach to joining the tenets of these theories into a model that can account for between-group, individual, and within-speaker variability</w:t>
      </w:r>
      <w:r w:rsidR="00140CAC">
        <w:rPr>
          <w:rFonts w:ascii="Times New Roman" w:hAnsi="Times New Roman" w:cs="Times New Roman"/>
        </w:rPr>
        <w:t xml:space="preserve"> in child HL development</w:t>
      </w:r>
      <w:r w:rsidR="00980613">
        <w:rPr>
          <w:rFonts w:ascii="Times New Roman" w:hAnsi="Times New Roman" w:cs="Times New Roman"/>
        </w:rPr>
        <w:t>.</w:t>
      </w:r>
    </w:p>
    <w:p w14:paraId="304F63F9" w14:textId="1BD90C37" w:rsidR="009F3EAC" w:rsidRDefault="009F3EAC" w:rsidP="009F3EAC">
      <w:pPr>
        <w:ind w:firstLine="720"/>
        <w:jc w:val="both"/>
        <w:rPr>
          <w:rFonts w:ascii="Times New Roman" w:hAnsi="Times New Roman" w:cs="Times New Roman"/>
        </w:rPr>
      </w:pPr>
      <w:r>
        <w:rPr>
          <w:rFonts w:ascii="Times New Roman" w:hAnsi="Times New Roman" w:cs="Times New Roman"/>
        </w:rPr>
        <w:t xml:space="preserve">A possible account that </w:t>
      </w:r>
      <w:r w:rsidR="00DE2477">
        <w:rPr>
          <w:rFonts w:ascii="Times New Roman" w:hAnsi="Times New Roman" w:cs="Times New Roman"/>
        </w:rPr>
        <w:t>c</w:t>
      </w:r>
      <w:r>
        <w:rPr>
          <w:rFonts w:ascii="Times New Roman" w:hAnsi="Times New Roman" w:cs="Times New Roman"/>
        </w:rPr>
        <w:t xml:space="preserve">ould be useful for future research could be that Putnam and Sánchez’s (2013) feature reassembly approach is bidirectional, and can run in reverse in the initial acquisition of Spanish HSs’ morphosyntactic knowledge. Speakers with high HL exposure may not present differences from other populations of speakers of the same languages, while those with lower exposure may experience greater crosslinguistic influence. Specifically, in the face of crosslinguistic influence, HSs may master structures at the receptive level gradually before they consistently map these features onto surface-level morphology. Patterns of exposure may modulate the </w:t>
      </w:r>
      <w:r w:rsidRPr="00AC3D73">
        <w:rPr>
          <w:rFonts w:ascii="Times New Roman" w:hAnsi="Times New Roman" w:cs="Times New Roman"/>
        </w:rPr>
        <w:t>rate</w:t>
      </w:r>
      <w:r>
        <w:rPr>
          <w:rFonts w:ascii="Times New Roman" w:hAnsi="Times New Roman" w:cs="Times New Roman"/>
        </w:rPr>
        <w:t xml:space="preserve"> </w:t>
      </w:r>
      <w:r w:rsidR="00AC3D73">
        <w:rPr>
          <w:rFonts w:ascii="Times New Roman" w:hAnsi="Times New Roman" w:cs="Times New Roman"/>
        </w:rPr>
        <w:t xml:space="preserve">as well as route </w:t>
      </w:r>
      <w:r>
        <w:rPr>
          <w:rFonts w:ascii="Times New Roman" w:hAnsi="Times New Roman" w:cs="Times New Roman"/>
        </w:rPr>
        <w:t>of development, that is how and to what extend to certain features are activated in HL grammars when compared to monolingual or bilingual speakers. This approach aligns with data in Portuguese HSs (Flores et al. 2017; Torregrossa et al. 2023), in which rates of development are tied to experiences speaking and learning the HL. It also aligns with Lohndal and Putnam’s (2021) claim that variable form-function mappings are a typical characteristic of mature heritage grammars.</w:t>
      </w:r>
    </w:p>
    <w:p w14:paraId="70BB18C0" w14:textId="659A84DF" w:rsidR="009F3EAC" w:rsidRDefault="009F3EAC" w:rsidP="009F3EAC">
      <w:pPr>
        <w:ind w:firstLine="720"/>
        <w:jc w:val="both"/>
        <w:rPr>
          <w:rFonts w:ascii="Times New Roman" w:hAnsi="Times New Roman" w:cs="Times New Roman"/>
        </w:rPr>
      </w:pPr>
      <w:r>
        <w:rPr>
          <w:rFonts w:ascii="Times New Roman" w:hAnsi="Times New Roman" w:cs="Times New Roman"/>
        </w:rPr>
        <w:t xml:space="preserve">This approach has a number of advantages. Firstly, </w:t>
      </w:r>
      <w:r w:rsidR="00D53DD2">
        <w:rPr>
          <w:rFonts w:ascii="Times New Roman" w:hAnsi="Times New Roman" w:cs="Times New Roman"/>
        </w:rPr>
        <w:t xml:space="preserve">since the approach is bidirectional, </w:t>
      </w:r>
      <w:r>
        <w:rPr>
          <w:rFonts w:ascii="Times New Roman" w:hAnsi="Times New Roman" w:cs="Times New Roman"/>
        </w:rPr>
        <w:t xml:space="preserve">it obviates the need for separate frameworks of HL acquisition (e.g., Montrul 2008, 2013) and attrition (e.g., Hicks &amp; Domínguez 2020; Polinsky 2011). By this account, </w:t>
      </w:r>
      <w:r w:rsidR="00D53DD2">
        <w:rPr>
          <w:rFonts w:ascii="Times New Roman" w:hAnsi="Times New Roman" w:cs="Times New Roman"/>
        </w:rPr>
        <w:t>fluctuations in exposure are expected, and decreased access to HL input</w:t>
      </w:r>
      <w:r>
        <w:rPr>
          <w:rFonts w:ascii="Times New Roman" w:hAnsi="Times New Roman" w:cs="Times New Roman"/>
        </w:rPr>
        <w:t xml:space="preserve"> </w:t>
      </w:r>
      <w:r w:rsidR="00D53DD2">
        <w:rPr>
          <w:rFonts w:ascii="Times New Roman" w:hAnsi="Times New Roman" w:cs="Times New Roman"/>
        </w:rPr>
        <w:t xml:space="preserve">and/or output </w:t>
      </w:r>
      <w:r>
        <w:rPr>
          <w:rFonts w:ascii="Times New Roman" w:hAnsi="Times New Roman" w:cs="Times New Roman"/>
        </w:rPr>
        <w:t>could also explain a gradual process of</w:t>
      </w:r>
      <w:r w:rsidR="00C613B0">
        <w:rPr>
          <w:rFonts w:ascii="Times New Roman" w:hAnsi="Times New Roman" w:cs="Times New Roman"/>
        </w:rPr>
        <w:t xml:space="preserve"> feature</w:t>
      </w:r>
      <w:r>
        <w:rPr>
          <w:rFonts w:ascii="Times New Roman" w:hAnsi="Times New Roman" w:cs="Times New Roman"/>
        </w:rPr>
        <w:t xml:space="preserve"> reassembly</w:t>
      </w:r>
      <w:r w:rsidR="00C613B0">
        <w:rPr>
          <w:rFonts w:ascii="Times New Roman" w:hAnsi="Times New Roman" w:cs="Times New Roman"/>
        </w:rPr>
        <w:t xml:space="preserve">. Furthermore, it is possible that these decreases in exposure could account for emergent optionality </w:t>
      </w:r>
      <w:r>
        <w:rPr>
          <w:rFonts w:ascii="Times New Roman" w:hAnsi="Times New Roman" w:cs="Times New Roman"/>
        </w:rPr>
        <w:t>by populations who provide input to HSs, leading to qualitative differences in the input</w:t>
      </w:r>
      <w:r w:rsidR="00ED18C2">
        <w:rPr>
          <w:rFonts w:ascii="Times New Roman" w:hAnsi="Times New Roman" w:cs="Times New Roman"/>
        </w:rPr>
        <w:t xml:space="preserve"> that HSs receive</w:t>
      </w:r>
      <w:r>
        <w:rPr>
          <w:rFonts w:ascii="Times New Roman" w:hAnsi="Times New Roman" w:cs="Times New Roman"/>
        </w:rPr>
        <w:t>.</w:t>
      </w:r>
      <w:r w:rsidR="00227274">
        <w:rPr>
          <w:rFonts w:ascii="Times New Roman" w:hAnsi="Times New Roman" w:cs="Times New Roman"/>
        </w:rPr>
        <w:t xml:space="preserve"> Alternatively, recent </w:t>
      </w:r>
      <w:r w:rsidR="007C10D1">
        <w:rPr>
          <w:rFonts w:ascii="Times New Roman" w:hAnsi="Times New Roman" w:cs="Times New Roman"/>
        </w:rPr>
        <w:t xml:space="preserve">proposals (Montrul 2024) </w:t>
      </w:r>
      <w:r w:rsidR="00227274">
        <w:rPr>
          <w:rFonts w:ascii="Times New Roman" w:hAnsi="Times New Roman" w:cs="Times New Roman"/>
        </w:rPr>
        <w:t xml:space="preserve">have argued that HSs enact </w:t>
      </w:r>
      <w:r w:rsidR="00A24F94">
        <w:rPr>
          <w:rFonts w:ascii="Times New Roman" w:hAnsi="Times New Roman" w:cs="Times New Roman"/>
        </w:rPr>
        <w:t>change in the linguistic systems of their caretakers</w:t>
      </w:r>
      <w:r w:rsidR="00E32BF7">
        <w:rPr>
          <w:rFonts w:ascii="Times New Roman" w:hAnsi="Times New Roman" w:cs="Times New Roman"/>
        </w:rPr>
        <w:t xml:space="preserve">, </w:t>
      </w:r>
      <w:r w:rsidR="00CC79ED">
        <w:rPr>
          <w:rFonts w:ascii="Times New Roman" w:hAnsi="Times New Roman" w:cs="Times New Roman"/>
        </w:rPr>
        <w:t>a possibility that</w:t>
      </w:r>
      <w:r w:rsidR="00E32BF7">
        <w:rPr>
          <w:rFonts w:ascii="Times New Roman" w:hAnsi="Times New Roman" w:cs="Times New Roman"/>
        </w:rPr>
        <w:t xml:space="preserve"> </w:t>
      </w:r>
      <w:r w:rsidR="00A24F94">
        <w:rPr>
          <w:rFonts w:ascii="Times New Roman" w:hAnsi="Times New Roman" w:cs="Times New Roman"/>
        </w:rPr>
        <w:t xml:space="preserve">can be accommodated </w:t>
      </w:r>
      <w:r w:rsidR="00CC79ED">
        <w:rPr>
          <w:rFonts w:ascii="Times New Roman" w:hAnsi="Times New Roman" w:cs="Times New Roman"/>
        </w:rPr>
        <w:t>with</w:t>
      </w:r>
      <w:r w:rsidR="00A24F94">
        <w:rPr>
          <w:rFonts w:ascii="Times New Roman" w:hAnsi="Times New Roman" w:cs="Times New Roman"/>
        </w:rPr>
        <w:t>in this framework</w:t>
      </w:r>
      <w:r w:rsidR="00CC79ED">
        <w:rPr>
          <w:rFonts w:ascii="Times New Roman" w:hAnsi="Times New Roman" w:cs="Times New Roman"/>
        </w:rPr>
        <w:t>: l</w:t>
      </w:r>
      <w:r>
        <w:rPr>
          <w:rFonts w:ascii="Times New Roman" w:hAnsi="Times New Roman" w:cs="Times New Roman"/>
        </w:rPr>
        <w:t xml:space="preserve">ower levels of language activation </w:t>
      </w:r>
      <w:r w:rsidR="00175403">
        <w:rPr>
          <w:rFonts w:ascii="Times New Roman" w:hAnsi="Times New Roman" w:cs="Times New Roman"/>
        </w:rPr>
        <w:t xml:space="preserve">as well as </w:t>
      </w:r>
      <w:r w:rsidR="000E24A2">
        <w:rPr>
          <w:rFonts w:ascii="Times New Roman" w:hAnsi="Times New Roman" w:cs="Times New Roman"/>
        </w:rPr>
        <w:t xml:space="preserve">contact with other speakers </w:t>
      </w:r>
      <w:r w:rsidR="00175403">
        <w:rPr>
          <w:rFonts w:ascii="Times New Roman" w:hAnsi="Times New Roman" w:cs="Times New Roman"/>
        </w:rPr>
        <w:t xml:space="preserve">who experience crosslinguistic influence could result in incipient reassembly of </w:t>
      </w:r>
      <w:r w:rsidR="00175403">
        <w:rPr>
          <w:rFonts w:ascii="Times New Roman" w:hAnsi="Times New Roman" w:cs="Times New Roman"/>
        </w:rPr>
        <w:lastRenderedPageBreak/>
        <w:t>features</w:t>
      </w:r>
      <w:r w:rsidR="007B7BC3">
        <w:rPr>
          <w:rFonts w:ascii="Times New Roman" w:hAnsi="Times New Roman" w:cs="Times New Roman"/>
        </w:rPr>
        <w:t xml:space="preserve"> by adults dominant in the HL. This could result in </w:t>
      </w:r>
      <w:r w:rsidR="00175403">
        <w:rPr>
          <w:rFonts w:ascii="Times New Roman" w:hAnsi="Times New Roman" w:cs="Times New Roman"/>
        </w:rPr>
        <w:t>increased optionality of morphosyntactic features in production</w:t>
      </w:r>
      <w:r w:rsidR="00CC633B">
        <w:rPr>
          <w:rFonts w:ascii="Times New Roman" w:hAnsi="Times New Roman" w:cs="Times New Roman"/>
        </w:rPr>
        <w:t xml:space="preserve"> by </w:t>
      </w:r>
      <w:r w:rsidR="00AD5150">
        <w:rPr>
          <w:rFonts w:ascii="Times New Roman" w:hAnsi="Times New Roman" w:cs="Times New Roman"/>
        </w:rPr>
        <w:t>adults who transmit input to HSs</w:t>
      </w:r>
      <w:r>
        <w:rPr>
          <w:rFonts w:ascii="Times New Roman" w:hAnsi="Times New Roman" w:cs="Times New Roman"/>
        </w:rPr>
        <w:t>. In fact, Montr</w:t>
      </w:r>
      <w:r w:rsidR="003A09AE">
        <w:rPr>
          <w:rFonts w:ascii="Times New Roman" w:hAnsi="Times New Roman" w:cs="Times New Roman"/>
        </w:rPr>
        <w:t>u</w:t>
      </w:r>
      <w:r>
        <w:rPr>
          <w:rFonts w:ascii="Times New Roman" w:hAnsi="Times New Roman" w:cs="Times New Roman"/>
        </w:rPr>
        <w:t>l and Sánchez-Walker (2013) demonstrate such a tendency in some of the Spanish-dominant adults who provide input to HSs in their study on the acquisition of DOM. This claim is also consistent with Hicks and Domínguez’s (2020) approach to emergent optionality in contexts of HL attrition</w:t>
      </w:r>
      <w:r w:rsidR="00EB4EAC">
        <w:rPr>
          <w:rFonts w:ascii="Times New Roman" w:hAnsi="Times New Roman" w:cs="Times New Roman"/>
        </w:rPr>
        <w:t xml:space="preserve"> (i.e., attrition is set into motion by the acquisition of other </w:t>
      </w:r>
      <w:r w:rsidR="002554AF">
        <w:rPr>
          <w:rFonts w:ascii="Times New Roman" w:hAnsi="Times New Roman" w:cs="Times New Roman"/>
        </w:rPr>
        <w:t xml:space="preserve">“competing” </w:t>
      </w:r>
      <w:r w:rsidR="00EB4EAC">
        <w:rPr>
          <w:rFonts w:ascii="Times New Roman" w:hAnsi="Times New Roman" w:cs="Times New Roman"/>
        </w:rPr>
        <w:t>linguistic forms)</w:t>
      </w:r>
      <w:r>
        <w:rPr>
          <w:rFonts w:ascii="Times New Roman" w:hAnsi="Times New Roman" w:cs="Times New Roman"/>
        </w:rPr>
        <w:t>.</w:t>
      </w:r>
    </w:p>
    <w:p w14:paraId="07FDD7E0" w14:textId="12E14B5F" w:rsidR="009F3EAC" w:rsidRDefault="009F3EAC" w:rsidP="009F3EAC">
      <w:pPr>
        <w:ind w:firstLine="720"/>
        <w:jc w:val="both"/>
        <w:rPr>
          <w:rFonts w:ascii="Times New Roman" w:hAnsi="Times New Roman" w:cs="Times New Roman"/>
        </w:rPr>
      </w:pPr>
      <w:r>
        <w:rPr>
          <w:rFonts w:ascii="Times New Roman" w:hAnsi="Times New Roman" w:cs="Times New Roman"/>
        </w:rPr>
        <w:t xml:space="preserve">If this approach is along the right lines, it presents a number of testable questions for future research. The first is if HLs are continually vulnerable to the influence of crosslinguistic influence, or if there are particular developmental stages or a “threshold” of input that prevent language </w:t>
      </w:r>
      <w:r w:rsidR="00365DD3">
        <w:rPr>
          <w:rFonts w:ascii="Times New Roman" w:hAnsi="Times New Roman" w:cs="Times New Roman"/>
        </w:rPr>
        <w:t>differential acquisition or feature reassembly</w:t>
      </w:r>
      <w:r>
        <w:rPr>
          <w:rFonts w:ascii="Times New Roman" w:hAnsi="Times New Roman" w:cs="Times New Roman"/>
        </w:rPr>
        <w:t xml:space="preserve">. A related question is if the protracted development of the HL in childhood is maintained across the adult years, or if this is a time period </w:t>
      </w:r>
      <w:r w:rsidR="00DE61FC">
        <w:rPr>
          <w:rFonts w:ascii="Times New Roman" w:hAnsi="Times New Roman" w:cs="Times New Roman"/>
        </w:rPr>
        <w:t>where feature reassembly is more likely (see Montrul 202</w:t>
      </w:r>
      <w:r w:rsidR="00FE730A">
        <w:rPr>
          <w:rFonts w:ascii="Times New Roman" w:hAnsi="Times New Roman" w:cs="Times New Roman"/>
        </w:rPr>
        <w:t>2, 2024</w:t>
      </w:r>
      <w:r w:rsidR="00DE61FC">
        <w:rPr>
          <w:rFonts w:ascii="Times New Roman" w:hAnsi="Times New Roman" w:cs="Times New Roman"/>
        </w:rPr>
        <w:t>)</w:t>
      </w:r>
      <w:r>
        <w:rPr>
          <w:rFonts w:ascii="Times New Roman" w:hAnsi="Times New Roman" w:cs="Times New Roman"/>
        </w:rPr>
        <w:t>. Finally, it is not clear at which point in the developmental process within-speaker variables such as lexical and type frequency influence gradience in HL knowledge, although recent research such as studies cited previously (e.g., Giancaspro, 2020; Giancaspro et al., 2022; Hur, 2020</w:t>
      </w:r>
      <w:r w:rsidR="002C227E">
        <w:rPr>
          <w:rFonts w:ascii="Times New Roman" w:hAnsi="Times New Roman" w:cs="Times New Roman"/>
        </w:rPr>
        <w:t>; AUTHOR</w:t>
      </w:r>
      <w:r>
        <w:rPr>
          <w:rFonts w:ascii="Times New Roman" w:hAnsi="Times New Roman" w:cs="Times New Roman"/>
        </w:rPr>
        <w:t>) has found that these variables influence HSs’ linguistic knowledge. Each of these questions presents opportunities for future studies that aim to sketch out a more holistic approach to child HL development evaluating all levels of research.</w:t>
      </w:r>
    </w:p>
    <w:p w14:paraId="2C3B3831" w14:textId="77777777" w:rsidR="00441D1C" w:rsidRDefault="00123757" w:rsidP="005A59A5">
      <w:pPr>
        <w:ind w:firstLine="720"/>
        <w:jc w:val="both"/>
        <w:rPr>
          <w:rFonts w:ascii="Times New Roman" w:hAnsi="Times New Roman" w:cs="Times New Roman"/>
        </w:rPr>
      </w:pPr>
      <w:r>
        <w:rPr>
          <w:rFonts w:ascii="Times New Roman" w:hAnsi="Times New Roman" w:cs="Times New Roman"/>
        </w:rPr>
        <w:t>Before concluding, it is vital to acknowledge limitations of the present work.</w:t>
      </w:r>
      <w:r w:rsidR="003549CD">
        <w:rPr>
          <w:rFonts w:ascii="Times New Roman" w:hAnsi="Times New Roman" w:cs="Times New Roman"/>
        </w:rPr>
        <w:t xml:space="preserve"> </w:t>
      </w:r>
      <w:r w:rsidR="00C72299">
        <w:rPr>
          <w:rFonts w:ascii="Times New Roman" w:hAnsi="Times New Roman" w:cs="Times New Roman"/>
        </w:rPr>
        <w:t>Firstly</w:t>
      </w:r>
      <w:r w:rsidR="00940E3B">
        <w:rPr>
          <w:rFonts w:ascii="Times New Roman" w:hAnsi="Times New Roman" w:cs="Times New Roman"/>
        </w:rPr>
        <w:t>, verb regularity was held constant, as all stimuli us</w:t>
      </w:r>
      <w:r w:rsidR="007E4471">
        <w:rPr>
          <w:rFonts w:ascii="Times New Roman" w:hAnsi="Times New Roman" w:cs="Times New Roman"/>
        </w:rPr>
        <w:t>ed</w:t>
      </w:r>
      <w:r w:rsidR="00940E3B">
        <w:rPr>
          <w:rFonts w:ascii="Times New Roman" w:hAnsi="Times New Roman" w:cs="Times New Roman"/>
        </w:rPr>
        <w:t xml:space="preserve"> morphologically-regular –ar verbs. However, recent research (</w:t>
      </w:r>
      <w:r w:rsidR="004957E3">
        <w:rPr>
          <w:rFonts w:ascii="Times New Roman" w:hAnsi="Times New Roman" w:cs="Times New Roman"/>
        </w:rPr>
        <w:t>Giancaspro et al., 2022</w:t>
      </w:r>
      <w:r w:rsidR="00940E3B">
        <w:rPr>
          <w:rFonts w:ascii="Times New Roman" w:hAnsi="Times New Roman" w:cs="Times New Roman"/>
        </w:rPr>
        <w:t xml:space="preserve">; </w:t>
      </w:r>
      <w:r w:rsidR="00C87198">
        <w:rPr>
          <w:rFonts w:ascii="Times New Roman" w:hAnsi="Times New Roman" w:cs="Times New Roman"/>
        </w:rPr>
        <w:t>AUTHOR</w:t>
      </w:r>
      <w:r w:rsidR="00940E3B">
        <w:rPr>
          <w:rFonts w:ascii="Times New Roman" w:hAnsi="Times New Roman" w:cs="Times New Roman"/>
        </w:rPr>
        <w:t xml:space="preserve">) has shown that </w:t>
      </w:r>
      <w:r w:rsidR="00AC6717">
        <w:rPr>
          <w:rFonts w:ascii="Times New Roman" w:hAnsi="Times New Roman" w:cs="Times New Roman"/>
        </w:rPr>
        <w:t xml:space="preserve">both child and adult </w:t>
      </w:r>
      <w:r w:rsidR="005B7DC4">
        <w:rPr>
          <w:rFonts w:ascii="Times New Roman" w:hAnsi="Times New Roman" w:cs="Times New Roman"/>
        </w:rPr>
        <w:t xml:space="preserve">HSs are more likely to produce the subjunctive with irregular verbs, </w:t>
      </w:r>
      <w:r w:rsidR="00AC6717">
        <w:rPr>
          <w:rFonts w:ascii="Times New Roman" w:hAnsi="Times New Roman" w:cs="Times New Roman"/>
        </w:rPr>
        <w:t xml:space="preserve">such that this study may not have </w:t>
      </w:r>
      <w:r w:rsidR="00516828">
        <w:rPr>
          <w:rFonts w:ascii="Times New Roman" w:hAnsi="Times New Roman" w:cs="Times New Roman"/>
        </w:rPr>
        <w:t>maximized the likelihood of subjunctive use</w:t>
      </w:r>
      <w:r w:rsidR="00940E3B">
        <w:rPr>
          <w:rFonts w:ascii="Times New Roman" w:hAnsi="Times New Roman" w:cs="Times New Roman"/>
        </w:rPr>
        <w:t>.</w:t>
      </w:r>
      <w:r w:rsidR="00AC6717">
        <w:rPr>
          <w:rFonts w:ascii="Times New Roman" w:hAnsi="Times New Roman" w:cs="Times New Roman"/>
        </w:rPr>
        <w:t xml:space="preserve"> </w:t>
      </w:r>
      <w:r w:rsidR="00664B9B">
        <w:rPr>
          <w:rFonts w:ascii="Times New Roman" w:hAnsi="Times New Roman" w:cs="Times New Roman"/>
        </w:rPr>
        <w:t>Secondly,</w:t>
      </w:r>
      <w:r w:rsidR="003C21F6">
        <w:rPr>
          <w:rFonts w:ascii="Times New Roman" w:hAnsi="Times New Roman" w:cs="Times New Roman"/>
        </w:rPr>
        <w:t xml:space="preserve"> perhaps the primary challenge in the establishment of a theory of child HL acquisition is the overall absence of longitudinal data. This project adopts an approach that compares groups of </w:t>
      </w:r>
      <w:r w:rsidR="009C3332">
        <w:rPr>
          <w:rFonts w:ascii="Times New Roman" w:hAnsi="Times New Roman" w:cs="Times New Roman"/>
        </w:rPr>
        <w:t>HSs who share many sociolinguistic characteristics but who differ in age, yet it is not possible to make direct conclusions about language growth or loss in the absence of data from a single set of participants at multiple time points. Future work, such as the</w:t>
      </w:r>
      <w:r w:rsidR="009057FB">
        <w:rPr>
          <w:rFonts w:ascii="Times New Roman" w:hAnsi="Times New Roman" w:cs="Times New Roman"/>
        </w:rPr>
        <w:t xml:space="preserve"> </w:t>
      </w:r>
      <w:r w:rsidR="009C3332">
        <w:rPr>
          <w:rFonts w:ascii="Times New Roman" w:hAnsi="Times New Roman" w:cs="Times New Roman"/>
        </w:rPr>
        <w:t xml:space="preserve">findings reported </w:t>
      </w:r>
      <w:r w:rsidR="00807778">
        <w:rPr>
          <w:rFonts w:ascii="Times New Roman" w:hAnsi="Times New Roman" w:cs="Times New Roman"/>
        </w:rPr>
        <w:t xml:space="preserve">with school-aged children </w:t>
      </w:r>
      <w:r w:rsidR="009C3332">
        <w:rPr>
          <w:rFonts w:ascii="Times New Roman" w:hAnsi="Times New Roman" w:cs="Times New Roman"/>
        </w:rPr>
        <w:t>in Castilla-Earls et al. (202</w:t>
      </w:r>
      <w:r w:rsidR="009057FB">
        <w:rPr>
          <w:rFonts w:ascii="Times New Roman" w:hAnsi="Times New Roman" w:cs="Times New Roman"/>
        </w:rPr>
        <w:t>3</w:t>
      </w:r>
      <w:r w:rsidR="009C3332">
        <w:rPr>
          <w:rFonts w:ascii="Times New Roman" w:hAnsi="Times New Roman" w:cs="Times New Roman"/>
        </w:rPr>
        <w:t xml:space="preserve">), </w:t>
      </w:r>
      <w:r w:rsidR="00842A25">
        <w:rPr>
          <w:rFonts w:ascii="Times New Roman" w:hAnsi="Times New Roman" w:cs="Times New Roman"/>
        </w:rPr>
        <w:t>are</w:t>
      </w:r>
      <w:r w:rsidR="009C3332">
        <w:rPr>
          <w:rFonts w:ascii="Times New Roman" w:hAnsi="Times New Roman" w:cs="Times New Roman"/>
        </w:rPr>
        <w:t xml:space="preserve"> essential for elucidating the path of HL acquisition and maintenance</w:t>
      </w:r>
      <w:r w:rsidR="003A4405">
        <w:rPr>
          <w:rFonts w:ascii="Times New Roman" w:hAnsi="Times New Roman" w:cs="Times New Roman"/>
        </w:rPr>
        <w:t xml:space="preserve"> over time.</w:t>
      </w:r>
    </w:p>
    <w:p w14:paraId="25E4F4EC" w14:textId="25803438" w:rsidR="00760A86" w:rsidRDefault="00A979D7" w:rsidP="000F5CBB">
      <w:pPr>
        <w:ind w:firstLine="720"/>
        <w:jc w:val="both"/>
        <w:rPr>
          <w:rFonts w:ascii="Times New Roman" w:hAnsi="Times New Roman" w:cs="Times New Roman"/>
        </w:rPr>
      </w:pPr>
      <w:r>
        <w:rPr>
          <w:rFonts w:ascii="Times New Roman" w:hAnsi="Times New Roman" w:cs="Times New Roman"/>
        </w:rPr>
        <w:t>These limitations notwithstanding, t</w:t>
      </w:r>
      <w:r w:rsidR="00052BB1">
        <w:rPr>
          <w:rFonts w:ascii="Times New Roman" w:hAnsi="Times New Roman" w:cs="Times New Roman"/>
        </w:rPr>
        <w:t xml:space="preserve">his paper </w:t>
      </w:r>
      <w:r w:rsidR="00441D1C">
        <w:rPr>
          <w:rFonts w:ascii="Times New Roman" w:hAnsi="Times New Roman" w:cs="Times New Roman"/>
        </w:rPr>
        <w:t>brings together findings from AUTHOR (1, 2, 3, 4)</w:t>
      </w:r>
      <w:r w:rsidR="00141E3F">
        <w:rPr>
          <w:rFonts w:ascii="Times New Roman" w:hAnsi="Times New Roman" w:cs="Times New Roman"/>
        </w:rPr>
        <w:t xml:space="preserve"> that emphasize</w:t>
      </w:r>
      <w:r w:rsidR="00052BB1">
        <w:rPr>
          <w:rFonts w:ascii="Times New Roman" w:hAnsi="Times New Roman" w:cs="Times New Roman"/>
        </w:rPr>
        <w:t xml:space="preserve"> the need for a “unified” account of HL acquisition and maintenance in the childhood and adolescent years. </w:t>
      </w:r>
      <w:r>
        <w:rPr>
          <w:rFonts w:ascii="Times New Roman" w:hAnsi="Times New Roman" w:cs="Times New Roman"/>
        </w:rPr>
        <w:t>D</w:t>
      </w:r>
      <w:r w:rsidR="00F143B7">
        <w:rPr>
          <w:rFonts w:ascii="Times New Roman" w:hAnsi="Times New Roman" w:cs="Times New Roman"/>
        </w:rPr>
        <w:t>ifferential acquisition (</w:t>
      </w:r>
      <w:r w:rsidR="00391DE3">
        <w:rPr>
          <w:rFonts w:ascii="Times New Roman" w:hAnsi="Times New Roman" w:cs="Times New Roman"/>
        </w:rPr>
        <w:t>Montrul, 2008, 2013)</w:t>
      </w:r>
      <w:r>
        <w:rPr>
          <w:rFonts w:ascii="Times New Roman" w:hAnsi="Times New Roman" w:cs="Times New Roman"/>
        </w:rPr>
        <w:t xml:space="preserve">, </w:t>
      </w:r>
      <w:r w:rsidR="00391DE3">
        <w:rPr>
          <w:rFonts w:ascii="Times New Roman" w:hAnsi="Times New Roman" w:cs="Times New Roman"/>
        </w:rPr>
        <w:t>protracted development (Cuza &amp; Miller 2015; Daskalaki et al. 2022; Flores et al. 2017)</w:t>
      </w:r>
      <w:r>
        <w:rPr>
          <w:rFonts w:ascii="Times New Roman" w:hAnsi="Times New Roman" w:cs="Times New Roman"/>
        </w:rPr>
        <w:t>, and feature reassembly (</w:t>
      </w:r>
      <w:r w:rsidR="00B97BA0">
        <w:rPr>
          <w:rFonts w:ascii="Times New Roman" w:hAnsi="Times New Roman" w:cs="Times New Roman"/>
        </w:rPr>
        <w:t xml:space="preserve">Putnam </w:t>
      </w:r>
      <w:r>
        <w:rPr>
          <w:rFonts w:ascii="Times New Roman" w:hAnsi="Times New Roman" w:cs="Times New Roman"/>
        </w:rPr>
        <w:t>&amp;</w:t>
      </w:r>
      <w:r w:rsidR="00B97BA0">
        <w:rPr>
          <w:rFonts w:ascii="Times New Roman" w:hAnsi="Times New Roman" w:cs="Times New Roman"/>
        </w:rPr>
        <w:t xml:space="preserve"> Sánchez</w:t>
      </w:r>
      <w:r>
        <w:rPr>
          <w:rFonts w:ascii="Times New Roman" w:hAnsi="Times New Roman" w:cs="Times New Roman"/>
        </w:rPr>
        <w:t xml:space="preserve">, </w:t>
      </w:r>
      <w:r w:rsidR="00B97BA0">
        <w:rPr>
          <w:rFonts w:ascii="Times New Roman" w:hAnsi="Times New Roman" w:cs="Times New Roman"/>
        </w:rPr>
        <w:t xml:space="preserve">2013) </w:t>
      </w:r>
      <w:r>
        <w:rPr>
          <w:rFonts w:ascii="Times New Roman" w:hAnsi="Times New Roman" w:cs="Times New Roman"/>
        </w:rPr>
        <w:t xml:space="preserve">are all essential frameworks for accounting for the findings of </w:t>
      </w:r>
      <w:r w:rsidR="000D4A51">
        <w:rPr>
          <w:rFonts w:ascii="Times New Roman" w:hAnsi="Times New Roman" w:cs="Times New Roman"/>
        </w:rPr>
        <w:t>the results synthesized here</w:t>
      </w:r>
      <w:r>
        <w:rPr>
          <w:rFonts w:ascii="Times New Roman" w:hAnsi="Times New Roman" w:cs="Times New Roman"/>
        </w:rPr>
        <w:t xml:space="preserve">, and reveal a need for </w:t>
      </w:r>
      <w:r w:rsidR="00A63461">
        <w:rPr>
          <w:rFonts w:ascii="Times New Roman" w:hAnsi="Times New Roman" w:cs="Times New Roman"/>
        </w:rPr>
        <w:t>a comprehensive account for HL acquisition and maintenance</w:t>
      </w:r>
      <w:r w:rsidR="000F5CBB">
        <w:rPr>
          <w:rFonts w:ascii="Times New Roman" w:hAnsi="Times New Roman" w:cs="Times New Roman"/>
        </w:rPr>
        <w:t xml:space="preserve">. This paper </w:t>
      </w:r>
      <w:r w:rsidR="00605E20">
        <w:rPr>
          <w:rFonts w:ascii="Times New Roman" w:hAnsi="Times New Roman" w:cs="Times New Roman"/>
        </w:rPr>
        <w:t xml:space="preserve">aims to </w:t>
      </w:r>
      <w:r w:rsidR="000F5CBB">
        <w:rPr>
          <w:rFonts w:ascii="Times New Roman" w:hAnsi="Times New Roman" w:cs="Times New Roman"/>
        </w:rPr>
        <w:t>present possible ways to bring these frameworks together that facilitate testable predictions for future research</w:t>
      </w:r>
      <w:r w:rsidR="00F143B7">
        <w:rPr>
          <w:rFonts w:ascii="Times New Roman" w:hAnsi="Times New Roman" w:cs="Times New Roman"/>
        </w:rPr>
        <w:t>.</w:t>
      </w:r>
      <w:r w:rsidR="00760A86">
        <w:rPr>
          <w:rFonts w:ascii="Times New Roman" w:hAnsi="Times New Roman" w:cs="Times New Roman"/>
        </w:rPr>
        <w:br w:type="page"/>
      </w:r>
    </w:p>
    <w:p w14:paraId="6E39EE3F" w14:textId="76C42E58" w:rsidR="00760A86" w:rsidRDefault="00760A86" w:rsidP="005A59A5">
      <w:pPr>
        <w:jc w:val="center"/>
        <w:rPr>
          <w:rFonts w:ascii="Times New Roman" w:hAnsi="Times New Roman" w:cs="Times New Roman"/>
        </w:rPr>
      </w:pPr>
      <w:r w:rsidRPr="00E66E4E">
        <w:rPr>
          <w:rFonts w:ascii="Times New Roman" w:hAnsi="Times New Roman" w:cs="Times New Roman"/>
        </w:rPr>
        <w:lastRenderedPageBreak/>
        <w:t>References</w:t>
      </w:r>
    </w:p>
    <w:p w14:paraId="7D56499F" w14:textId="77777777" w:rsidR="00CB7BFD" w:rsidRPr="00E66E4E" w:rsidRDefault="00CB7BFD" w:rsidP="00CB7BFD">
      <w:pPr>
        <w:rPr>
          <w:rFonts w:ascii="Times New Roman" w:hAnsi="Times New Roman" w:cs="Times New Roman"/>
        </w:rPr>
      </w:pPr>
    </w:p>
    <w:p w14:paraId="5CE2D832" w14:textId="38AD195C"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Arechabaleta Regulez, Begoña</w:t>
      </w:r>
      <w:r w:rsidR="00313FA5" w:rsidRPr="00E66E4E">
        <w:rPr>
          <w:rFonts w:ascii="Times New Roman" w:hAnsi="Times New Roman" w:cs="Times New Roman"/>
          <w:kern w:val="0"/>
        </w:rPr>
        <w:t xml:space="preserve"> &amp;</w:t>
      </w:r>
      <w:r w:rsidRPr="00E66E4E">
        <w:rPr>
          <w:rFonts w:ascii="Times New Roman" w:hAnsi="Times New Roman" w:cs="Times New Roman"/>
          <w:kern w:val="0"/>
        </w:rPr>
        <w:t xml:space="preserve"> Silvina Montrul. 2023. “Production, </w:t>
      </w:r>
      <w:r w:rsidR="00313FA5" w:rsidRPr="00E66E4E">
        <w:rPr>
          <w:rFonts w:ascii="Times New Roman" w:hAnsi="Times New Roman" w:cs="Times New Roman"/>
          <w:kern w:val="0"/>
        </w:rPr>
        <w:t>a</w:t>
      </w:r>
      <w:r w:rsidRPr="00E66E4E">
        <w:rPr>
          <w:rFonts w:ascii="Times New Roman" w:hAnsi="Times New Roman" w:cs="Times New Roman"/>
          <w:kern w:val="0"/>
        </w:rPr>
        <w:t xml:space="preserve">cceptability, and </w:t>
      </w:r>
      <w:r w:rsidR="00313FA5" w:rsidRPr="00E66E4E">
        <w:rPr>
          <w:rFonts w:ascii="Times New Roman" w:hAnsi="Times New Roman" w:cs="Times New Roman"/>
          <w:kern w:val="0"/>
        </w:rPr>
        <w:t>o</w:t>
      </w:r>
      <w:r w:rsidRPr="00E66E4E">
        <w:rPr>
          <w:rFonts w:ascii="Times New Roman" w:hAnsi="Times New Roman" w:cs="Times New Roman"/>
          <w:kern w:val="0"/>
        </w:rPr>
        <w:t xml:space="preserve">nline </w:t>
      </w:r>
      <w:r w:rsidR="00313FA5" w:rsidRPr="00E66E4E">
        <w:rPr>
          <w:rFonts w:ascii="Times New Roman" w:hAnsi="Times New Roman" w:cs="Times New Roman"/>
          <w:kern w:val="0"/>
        </w:rPr>
        <w:t>c</w:t>
      </w:r>
      <w:r w:rsidRPr="00E66E4E">
        <w:rPr>
          <w:rFonts w:ascii="Times New Roman" w:hAnsi="Times New Roman" w:cs="Times New Roman"/>
          <w:kern w:val="0"/>
        </w:rPr>
        <w:t xml:space="preserve">omprehension of Spanish </w:t>
      </w:r>
      <w:r w:rsidR="00313FA5" w:rsidRPr="00E66E4E">
        <w:rPr>
          <w:rFonts w:ascii="Times New Roman" w:hAnsi="Times New Roman" w:cs="Times New Roman"/>
          <w:kern w:val="0"/>
        </w:rPr>
        <w:t>d</w:t>
      </w:r>
      <w:r w:rsidRPr="00E66E4E">
        <w:rPr>
          <w:rFonts w:ascii="Times New Roman" w:hAnsi="Times New Roman" w:cs="Times New Roman"/>
          <w:kern w:val="0"/>
        </w:rPr>
        <w:t xml:space="preserve">ifferential </w:t>
      </w:r>
      <w:r w:rsidR="00313FA5" w:rsidRPr="00E66E4E">
        <w:rPr>
          <w:rFonts w:ascii="Times New Roman" w:hAnsi="Times New Roman" w:cs="Times New Roman"/>
          <w:kern w:val="0"/>
        </w:rPr>
        <w:t>o</w:t>
      </w:r>
      <w:r w:rsidRPr="00E66E4E">
        <w:rPr>
          <w:rFonts w:ascii="Times New Roman" w:hAnsi="Times New Roman" w:cs="Times New Roman"/>
          <w:kern w:val="0"/>
        </w:rPr>
        <w:t xml:space="preserve">bject </w:t>
      </w:r>
      <w:r w:rsidR="00313FA5" w:rsidRPr="00E66E4E">
        <w:rPr>
          <w:rFonts w:ascii="Times New Roman" w:hAnsi="Times New Roman" w:cs="Times New Roman"/>
          <w:kern w:val="0"/>
        </w:rPr>
        <w:t>m</w:t>
      </w:r>
      <w:r w:rsidRPr="00E66E4E">
        <w:rPr>
          <w:rFonts w:ascii="Times New Roman" w:hAnsi="Times New Roman" w:cs="Times New Roman"/>
          <w:kern w:val="0"/>
        </w:rPr>
        <w:t xml:space="preserve">arking by </w:t>
      </w:r>
      <w:r w:rsidR="00313FA5" w:rsidRPr="00E66E4E">
        <w:rPr>
          <w:rFonts w:ascii="Times New Roman" w:hAnsi="Times New Roman" w:cs="Times New Roman"/>
          <w:kern w:val="0"/>
        </w:rPr>
        <w:t>h</w:t>
      </w:r>
      <w:r w:rsidRPr="00E66E4E">
        <w:rPr>
          <w:rFonts w:ascii="Times New Roman" w:hAnsi="Times New Roman" w:cs="Times New Roman"/>
          <w:kern w:val="0"/>
        </w:rPr>
        <w:t xml:space="preserve">eritage </w:t>
      </w:r>
      <w:r w:rsidR="00313FA5" w:rsidRPr="00E66E4E">
        <w:rPr>
          <w:rFonts w:ascii="Times New Roman" w:hAnsi="Times New Roman" w:cs="Times New Roman"/>
          <w:kern w:val="0"/>
        </w:rPr>
        <w:t>s</w:t>
      </w:r>
      <w:r w:rsidRPr="00E66E4E">
        <w:rPr>
          <w:rFonts w:ascii="Times New Roman" w:hAnsi="Times New Roman" w:cs="Times New Roman"/>
          <w:kern w:val="0"/>
        </w:rPr>
        <w:t xml:space="preserve">peakers and L2 </w:t>
      </w:r>
      <w:r w:rsidR="00313FA5" w:rsidRPr="00E66E4E">
        <w:rPr>
          <w:rFonts w:ascii="Times New Roman" w:hAnsi="Times New Roman" w:cs="Times New Roman"/>
          <w:kern w:val="0"/>
        </w:rPr>
        <w:t>l</w:t>
      </w:r>
      <w:r w:rsidRPr="00E66E4E">
        <w:rPr>
          <w:rFonts w:ascii="Times New Roman" w:hAnsi="Times New Roman" w:cs="Times New Roman"/>
          <w:kern w:val="0"/>
        </w:rPr>
        <w:t xml:space="preserve">earners.” </w:t>
      </w:r>
      <w:r w:rsidRPr="00E66E4E">
        <w:rPr>
          <w:rFonts w:ascii="Times New Roman" w:hAnsi="Times New Roman" w:cs="Times New Roman"/>
          <w:i/>
          <w:iCs/>
          <w:kern w:val="0"/>
        </w:rPr>
        <w:t>Frontiers in Psychology</w:t>
      </w:r>
      <w:r w:rsidRPr="00E66E4E">
        <w:rPr>
          <w:rFonts w:ascii="Times New Roman" w:hAnsi="Times New Roman" w:cs="Times New Roman"/>
          <w:kern w:val="0"/>
        </w:rPr>
        <w:t xml:space="preserve"> 14</w:t>
      </w:r>
      <w:r w:rsidR="00313FA5" w:rsidRPr="00E66E4E">
        <w:rPr>
          <w:rFonts w:ascii="Times New Roman" w:hAnsi="Times New Roman" w:cs="Times New Roman"/>
          <w:kern w:val="0"/>
        </w:rPr>
        <w:t xml:space="preserve">. </w:t>
      </w:r>
      <w:r w:rsidRPr="00E66E4E">
        <w:rPr>
          <w:rFonts w:ascii="Times New Roman" w:hAnsi="Times New Roman" w:cs="Times New Roman"/>
          <w:kern w:val="0"/>
        </w:rPr>
        <w:t>1106613. https://doi.org/10.3389/fpsyg.2023.1106613</w:t>
      </w:r>
    </w:p>
    <w:p w14:paraId="058CD04F" w14:textId="5CC87D14"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Bates, Douglas, Martin Mächler, Ben Bolker, </w:t>
      </w:r>
      <w:r w:rsidR="00313FA5" w:rsidRPr="00E66E4E">
        <w:rPr>
          <w:rFonts w:ascii="Times New Roman" w:hAnsi="Times New Roman" w:cs="Times New Roman"/>
          <w:kern w:val="0"/>
        </w:rPr>
        <w:t>&amp;</w:t>
      </w:r>
      <w:r w:rsidRPr="00E66E4E">
        <w:rPr>
          <w:rFonts w:ascii="Times New Roman" w:hAnsi="Times New Roman" w:cs="Times New Roman"/>
          <w:kern w:val="0"/>
        </w:rPr>
        <w:t xml:space="preserve"> Steve Walker. 2015. “Fitting </w:t>
      </w:r>
      <w:r w:rsidR="00313FA5" w:rsidRPr="00E66E4E">
        <w:rPr>
          <w:rFonts w:ascii="Times New Roman" w:hAnsi="Times New Roman" w:cs="Times New Roman"/>
          <w:kern w:val="0"/>
        </w:rPr>
        <w:t>l</w:t>
      </w:r>
      <w:r w:rsidRPr="00E66E4E">
        <w:rPr>
          <w:rFonts w:ascii="Times New Roman" w:hAnsi="Times New Roman" w:cs="Times New Roman"/>
          <w:kern w:val="0"/>
        </w:rPr>
        <w:t xml:space="preserve">inear </w:t>
      </w:r>
      <w:r w:rsidR="00313FA5" w:rsidRPr="00E66E4E">
        <w:rPr>
          <w:rFonts w:ascii="Times New Roman" w:hAnsi="Times New Roman" w:cs="Times New Roman"/>
          <w:kern w:val="0"/>
        </w:rPr>
        <w:t>m</w:t>
      </w:r>
      <w:r w:rsidRPr="00E66E4E">
        <w:rPr>
          <w:rFonts w:ascii="Times New Roman" w:hAnsi="Times New Roman" w:cs="Times New Roman"/>
          <w:kern w:val="0"/>
        </w:rPr>
        <w:t>ixed-</w:t>
      </w:r>
      <w:r w:rsidR="00313FA5" w:rsidRPr="00E66E4E">
        <w:rPr>
          <w:rFonts w:ascii="Times New Roman" w:hAnsi="Times New Roman" w:cs="Times New Roman"/>
          <w:kern w:val="0"/>
        </w:rPr>
        <w:t>e</w:t>
      </w:r>
      <w:r w:rsidRPr="00E66E4E">
        <w:rPr>
          <w:rFonts w:ascii="Times New Roman" w:hAnsi="Times New Roman" w:cs="Times New Roman"/>
          <w:kern w:val="0"/>
        </w:rPr>
        <w:t xml:space="preserve">ffects </w:t>
      </w:r>
      <w:r w:rsidR="00313FA5" w:rsidRPr="00E66E4E">
        <w:rPr>
          <w:rFonts w:ascii="Times New Roman" w:hAnsi="Times New Roman" w:cs="Times New Roman"/>
          <w:kern w:val="0"/>
        </w:rPr>
        <w:t>m</w:t>
      </w:r>
      <w:r w:rsidRPr="00E66E4E">
        <w:rPr>
          <w:rFonts w:ascii="Times New Roman" w:hAnsi="Times New Roman" w:cs="Times New Roman"/>
          <w:kern w:val="0"/>
        </w:rPr>
        <w:t xml:space="preserve">odels </w:t>
      </w:r>
      <w:r w:rsidR="00313FA5" w:rsidRPr="00E66E4E">
        <w:rPr>
          <w:rFonts w:ascii="Times New Roman" w:hAnsi="Times New Roman" w:cs="Times New Roman"/>
          <w:kern w:val="0"/>
        </w:rPr>
        <w:t>u</w:t>
      </w:r>
      <w:r w:rsidRPr="00E66E4E">
        <w:rPr>
          <w:rFonts w:ascii="Times New Roman" w:hAnsi="Times New Roman" w:cs="Times New Roman"/>
          <w:kern w:val="0"/>
        </w:rPr>
        <w:t xml:space="preserve">sing </w:t>
      </w:r>
      <w:r w:rsidR="00313FA5" w:rsidRPr="00E66E4E">
        <w:rPr>
          <w:rFonts w:ascii="Times New Roman" w:hAnsi="Times New Roman" w:cs="Times New Roman"/>
          <w:kern w:val="0"/>
        </w:rPr>
        <w:t>l</w:t>
      </w:r>
      <w:r w:rsidRPr="00E66E4E">
        <w:rPr>
          <w:rFonts w:ascii="Times New Roman" w:hAnsi="Times New Roman" w:cs="Times New Roman"/>
          <w:kern w:val="0"/>
        </w:rPr>
        <w:t xml:space="preserve">me4.” </w:t>
      </w:r>
      <w:r w:rsidRPr="00E66E4E">
        <w:rPr>
          <w:rFonts w:ascii="Times New Roman" w:hAnsi="Times New Roman" w:cs="Times New Roman"/>
          <w:i/>
          <w:iCs/>
          <w:kern w:val="0"/>
        </w:rPr>
        <w:t>Journal of Statistical Software</w:t>
      </w:r>
      <w:r w:rsidRPr="00E66E4E">
        <w:rPr>
          <w:rFonts w:ascii="Times New Roman" w:hAnsi="Times New Roman" w:cs="Times New Roman"/>
          <w:kern w:val="0"/>
        </w:rPr>
        <w:t xml:space="preserve"> 67</w:t>
      </w:r>
      <w:r w:rsidR="00313FA5" w:rsidRPr="00E66E4E">
        <w:rPr>
          <w:rFonts w:ascii="Times New Roman" w:hAnsi="Times New Roman" w:cs="Times New Roman"/>
          <w:kern w:val="0"/>
        </w:rPr>
        <w:t>:</w:t>
      </w:r>
      <w:r w:rsidRPr="00E66E4E">
        <w:rPr>
          <w:rFonts w:ascii="Times New Roman" w:hAnsi="Times New Roman" w:cs="Times New Roman"/>
          <w:kern w:val="0"/>
        </w:rPr>
        <w:t>1</w:t>
      </w:r>
      <w:r w:rsidR="00313FA5" w:rsidRPr="00E66E4E">
        <w:rPr>
          <w:rFonts w:ascii="Times New Roman" w:hAnsi="Times New Roman" w:cs="Times New Roman"/>
          <w:kern w:val="0"/>
        </w:rPr>
        <w:t>.</w:t>
      </w:r>
      <w:r w:rsidRPr="00E66E4E">
        <w:rPr>
          <w:rFonts w:ascii="Times New Roman" w:hAnsi="Times New Roman" w:cs="Times New Roman"/>
          <w:kern w:val="0"/>
        </w:rPr>
        <w:t xml:space="preserve"> 1</w:t>
      </w:r>
      <w:r w:rsidR="00313FA5" w:rsidRPr="00E66E4E">
        <w:rPr>
          <w:rFonts w:ascii="Times New Roman" w:hAnsi="Times New Roman" w:cs="Times New Roman"/>
          <w:kern w:val="0"/>
        </w:rPr>
        <w:t>-</w:t>
      </w:r>
      <w:r w:rsidRPr="00E66E4E">
        <w:rPr>
          <w:rFonts w:ascii="Times New Roman" w:hAnsi="Times New Roman" w:cs="Times New Roman"/>
          <w:kern w:val="0"/>
        </w:rPr>
        <w:t>48. https://doi.org/10.18637/jss.v067.i01</w:t>
      </w:r>
    </w:p>
    <w:p w14:paraId="06200786" w14:textId="4795E28D"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Bayram, Fatih, Jason Rothman, Michael Iverson, Tanja Kupisch, David Miller, Eloi Puig-Mayenco </w:t>
      </w:r>
      <w:r w:rsidR="00313FA5" w:rsidRPr="00E66E4E">
        <w:rPr>
          <w:rFonts w:ascii="Times New Roman" w:hAnsi="Times New Roman" w:cs="Times New Roman"/>
          <w:kern w:val="0"/>
        </w:rPr>
        <w:t>&amp;</w:t>
      </w:r>
      <w:r w:rsidRPr="00E66E4E">
        <w:rPr>
          <w:rFonts w:ascii="Times New Roman" w:hAnsi="Times New Roman" w:cs="Times New Roman"/>
          <w:kern w:val="0"/>
        </w:rPr>
        <w:t xml:space="preserve"> Marit Westergaard. 2017. “Differences in </w:t>
      </w:r>
      <w:r w:rsidR="00313FA5" w:rsidRPr="00E66E4E">
        <w:rPr>
          <w:rFonts w:ascii="Times New Roman" w:hAnsi="Times New Roman" w:cs="Times New Roman"/>
          <w:kern w:val="0"/>
        </w:rPr>
        <w:t>u</w:t>
      </w:r>
      <w:r w:rsidRPr="00E66E4E">
        <w:rPr>
          <w:rFonts w:ascii="Times New Roman" w:hAnsi="Times New Roman" w:cs="Times New Roman"/>
          <w:kern w:val="0"/>
        </w:rPr>
        <w:t xml:space="preserve">se without </w:t>
      </w:r>
      <w:r w:rsidR="00313FA5" w:rsidRPr="00E66E4E">
        <w:rPr>
          <w:rFonts w:ascii="Times New Roman" w:hAnsi="Times New Roman" w:cs="Times New Roman"/>
          <w:kern w:val="0"/>
        </w:rPr>
        <w:t>d</w:t>
      </w:r>
      <w:r w:rsidRPr="00E66E4E">
        <w:rPr>
          <w:rFonts w:ascii="Times New Roman" w:hAnsi="Times New Roman" w:cs="Times New Roman"/>
          <w:kern w:val="0"/>
        </w:rPr>
        <w:t xml:space="preserve">eficiencies in </w:t>
      </w:r>
      <w:r w:rsidR="00313FA5" w:rsidRPr="00E66E4E">
        <w:rPr>
          <w:rFonts w:ascii="Times New Roman" w:hAnsi="Times New Roman" w:cs="Times New Roman"/>
          <w:kern w:val="0"/>
        </w:rPr>
        <w:t>c</w:t>
      </w:r>
      <w:r w:rsidRPr="00E66E4E">
        <w:rPr>
          <w:rFonts w:ascii="Times New Roman" w:hAnsi="Times New Roman" w:cs="Times New Roman"/>
          <w:kern w:val="0"/>
        </w:rPr>
        <w:t xml:space="preserve">ompetence: Passives in the Turkish and German of Turkish </w:t>
      </w:r>
      <w:r w:rsidR="00313FA5" w:rsidRPr="00E66E4E">
        <w:rPr>
          <w:rFonts w:ascii="Times New Roman" w:hAnsi="Times New Roman" w:cs="Times New Roman"/>
          <w:kern w:val="0"/>
        </w:rPr>
        <w:t>h</w:t>
      </w:r>
      <w:r w:rsidRPr="00E66E4E">
        <w:rPr>
          <w:rFonts w:ascii="Times New Roman" w:hAnsi="Times New Roman" w:cs="Times New Roman"/>
          <w:kern w:val="0"/>
        </w:rPr>
        <w:t xml:space="preserve">eritage </w:t>
      </w:r>
      <w:r w:rsidR="00313FA5" w:rsidRPr="00E66E4E">
        <w:rPr>
          <w:rFonts w:ascii="Times New Roman" w:hAnsi="Times New Roman" w:cs="Times New Roman"/>
          <w:kern w:val="0"/>
        </w:rPr>
        <w:t>s</w:t>
      </w:r>
      <w:r w:rsidRPr="00E66E4E">
        <w:rPr>
          <w:rFonts w:ascii="Times New Roman" w:hAnsi="Times New Roman" w:cs="Times New Roman"/>
          <w:kern w:val="0"/>
        </w:rPr>
        <w:t xml:space="preserve">peakers in Germany.” </w:t>
      </w:r>
      <w:r w:rsidRPr="00E66E4E">
        <w:rPr>
          <w:rFonts w:ascii="Times New Roman" w:hAnsi="Times New Roman" w:cs="Times New Roman"/>
          <w:i/>
          <w:iCs/>
          <w:kern w:val="0"/>
        </w:rPr>
        <w:t>International Journal of Bilingual Education and Bilingualism</w:t>
      </w:r>
      <w:r w:rsidRPr="00E66E4E">
        <w:rPr>
          <w:rFonts w:ascii="Times New Roman" w:hAnsi="Times New Roman" w:cs="Times New Roman"/>
          <w:kern w:val="0"/>
        </w:rPr>
        <w:t xml:space="preserve"> 22</w:t>
      </w:r>
      <w:r w:rsidR="00313FA5" w:rsidRPr="00E66E4E">
        <w:rPr>
          <w:rFonts w:ascii="Times New Roman" w:hAnsi="Times New Roman" w:cs="Times New Roman"/>
          <w:kern w:val="0"/>
        </w:rPr>
        <w:t>:</w:t>
      </w:r>
      <w:r w:rsidRPr="00E66E4E">
        <w:rPr>
          <w:rFonts w:ascii="Times New Roman" w:hAnsi="Times New Roman" w:cs="Times New Roman"/>
          <w:kern w:val="0"/>
        </w:rPr>
        <w:t>8</w:t>
      </w:r>
      <w:r w:rsidR="00313FA5" w:rsidRPr="00E66E4E">
        <w:rPr>
          <w:rFonts w:ascii="Times New Roman" w:hAnsi="Times New Roman" w:cs="Times New Roman"/>
          <w:kern w:val="0"/>
        </w:rPr>
        <w:t>.</w:t>
      </w:r>
      <w:r w:rsidRPr="00E66E4E">
        <w:rPr>
          <w:rFonts w:ascii="Times New Roman" w:hAnsi="Times New Roman" w:cs="Times New Roman"/>
          <w:kern w:val="0"/>
        </w:rPr>
        <w:t xml:space="preserve"> 919</w:t>
      </w:r>
      <w:r w:rsidR="00313FA5" w:rsidRPr="00E66E4E">
        <w:rPr>
          <w:rFonts w:ascii="Times New Roman" w:hAnsi="Times New Roman" w:cs="Times New Roman"/>
          <w:kern w:val="0"/>
        </w:rPr>
        <w:t>-9</w:t>
      </w:r>
      <w:r w:rsidRPr="00E66E4E">
        <w:rPr>
          <w:rFonts w:ascii="Times New Roman" w:hAnsi="Times New Roman" w:cs="Times New Roman"/>
          <w:kern w:val="0"/>
        </w:rPr>
        <w:t>39. https://doi.org/10.1080/13670050.2017.1324403</w:t>
      </w:r>
    </w:p>
    <w:p w14:paraId="15CD4239" w14:textId="29D43A75"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Biber, Douglas, Mark Davies, James K. Jones</w:t>
      </w:r>
      <w:r w:rsidR="001E45F0" w:rsidRPr="00E66E4E">
        <w:rPr>
          <w:rFonts w:ascii="Times New Roman" w:hAnsi="Times New Roman" w:cs="Times New Roman"/>
          <w:kern w:val="0"/>
        </w:rPr>
        <w:t xml:space="preserve"> &amp;</w:t>
      </w:r>
      <w:r w:rsidRPr="00E66E4E">
        <w:rPr>
          <w:rFonts w:ascii="Times New Roman" w:hAnsi="Times New Roman" w:cs="Times New Roman"/>
          <w:kern w:val="0"/>
        </w:rPr>
        <w:t xml:space="preserve"> Nicole Tracy-Ventura. 2006. “Spoken and </w:t>
      </w:r>
      <w:r w:rsidR="001E45F0" w:rsidRPr="00E66E4E">
        <w:rPr>
          <w:rFonts w:ascii="Times New Roman" w:hAnsi="Times New Roman" w:cs="Times New Roman"/>
          <w:kern w:val="0"/>
        </w:rPr>
        <w:t>w</w:t>
      </w:r>
      <w:r w:rsidRPr="00E66E4E">
        <w:rPr>
          <w:rFonts w:ascii="Times New Roman" w:hAnsi="Times New Roman" w:cs="Times New Roman"/>
          <w:kern w:val="0"/>
        </w:rPr>
        <w:t xml:space="preserve">ritten </w:t>
      </w:r>
      <w:r w:rsidR="001E45F0" w:rsidRPr="00E66E4E">
        <w:rPr>
          <w:rFonts w:ascii="Times New Roman" w:hAnsi="Times New Roman" w:cs="Times New Roman"/>
          <w:kern w:val="0"/>
        </w:rPr>
        <w:t>r</w:t>
      </w:r>
      <w:r w:rsidRPr="00E66E4E">
        <w:rPr>
          <w:rFonts w:ascii="Times New Roman" w:hAnsi="Times New Roman" w:cs="Times New Roman"/>
          <w:kern w:val="0"/>
        </w:rPr>
        <w:t xml:space="preserve">egister </w:t>
      </w:r>
      <w:r w:rsidR="001E45F0" w:rsidRPr="00E66E4E">
        <w:rPr>
          <w:rFonts w:ascii="Times New Roman" w:hAnsi="Times New Roman" w:cs="Times New Roman"/>
          <w:kern w:val="0"/>
        </w:rPr>
        <w:t>v</w:t>
      </w:r>
      <w:r w:rsidRPr="00E66E4E">
        <w:rPr>
          <w:rFonts w:ascii="Times New Roman" w:hAnsi="Times New Roman" w:cs="Times New Roman"/>
          <w:kern w:val="0"/>
        </w:rPr>
        <w:t xml:space="preserve">ariation in Spanish: A </w:t>
      </w:r>
      <w:r w:rsidR="001E45F0" w:rsidRPr="00E66E4E">
        <w:rPr>
          <w:rFonts w:ascii="Times New Roman" w:hAnsi="Times New Roman" w:cs="Times New Roman"/>
          <w:kern w:val="0"/>
        </w:rPr>
        <w:t>m</w:t>
      </w:r>
      <w:r w:rsidRPr="00E66E4E">
        <w:rPr>
          <w:rFonts w:ascii="Times New Roman" w:hAnsi="Times New Roman" w:cs="Times New Roman"/>
          <w:kern w:val="0"/>
        </w:rPr>
        <w:t>ulti-</w:t>
      </w:r>
      <w:r w:rsidR="001E45F0" w:rsidRPr="00E66E4E">
        <w:rPr>
          <w:rFonts w:ascii="Times New Roman" w:hAnsi="Times New Roman" w:cs="Times New Roman"/>
          <w:kern w:val="0"/>
        </w:rPr>
        <w:t>di</w:t>
      </w:r>
      <w:r w:rsidRPr="00E66E4E">
        <w:rPr>
          <w:rFonts w:ascii="Times New Roman" w:hAnsi="Times New Roman" w:cs="Times New Roman"/>
          <w:kern w:val="0"/>
        </w:rPr>
        <w:t xml:space="preserve">mensional </w:t>
      </w:r>
      <w:r w:rsidR="001E45F0" w:rsidRPr="00E66E4E">
        <w:rPr>
          <w:rFonts w:ascii="Times New Roman" w:hAnsi="Times New Roman" w:cs="Times New Roman"/>
          <w:kern w:val="0"/>
        </w:rPr>
        <w:t>a</w:t>
      </w:r>
      <w:r w:rsidRPr="00E66E4E">
        <w:rPr>
          <w:rFonts w:ascii="Times New Roman" w:hAnsi="Times New Roman" w:cs="Times New Roman"/>
          <w:kern w:val="0"/>
        </w:rPr>
        <w:t xml:space="preserve">nalysis.” </w:t>
      </w:r>
      <w:r w:rsidRPr="00E66E4E">
        <w:rPr>
          <w:rFonts w:ascii="Times New Roman" w:hAnsi="Times New Roman" w:cs="Times New Roman"/>
          <w:i/>
          <w:iCs/>
          <w:kern w:val="0"/>
        </w:rPr>
        <w:t>Corpora</w:t>
      </w:r>
      <w:r w:rsidRPr="00E66E4E">
        <w:rPr>
          <w:rFonts w:ascii="Times New Roman" w:hAnsi="Times New Roman" w:cs="Times New Roman"/>
          <w:kern w:val="0"/>
        </w:rPr>
        <w:t xml:space="preserve"> 1</w:t>
      </w:r>
      <w:r w:rsidR="001E45F0" w:rsidRPr="00E66E4E">
        <w:rPr>
          <w:rFonts w:ascii="Times New Roman" w:hAnsi="Times New Roman" w:cs="Times New Roman"/>
          <w:kern w:val="0"/>
        </w:rPr>
        <w:t>:</w:t>
      </w:r>
      <w:r w:rsidRPr="00E66E4E">
        <w:rPr>
          <w:rFonts w:ascii="Times New Roman" w:hAnsi="Times New Roman" w:cs="Times New Roman"/>
          <w:kern w:val="0"/>
        </w:rPr>
        <w:t>1</w:t>
      </w:r>
      <w:r w:rsidR="001E45F0" w:rsidRPr="00E66E4E">
        <w:rPr>
          <w:rFonts w:ascii="Times New Roman" w:hAnsi="Times New Roman" w:cs="Times New Roman"/>
          <w:kern w:val="0"/>
        </w:rPr>
        <w:t>.</w:t>
      </w:r>
      <w:r w:rsidRPr="00E66E4E">
        <w:rPr>
          <w:rFonts w:ascii="Times New Roman" w:hAnsi="Times New Roman" w:cs="Times New Roman"/>
          <w:kern w:val="0"/>
        </w:rPr>
        <w:t xml:space="preserve"> 1</w:t>
      </w:r>
      <w:r w:rsidR="001E45F0" w:rsidRPr="00E66E4E">
        <w:rPr>
          <w:rFonts w:ascii="Times New Roman" w:hAnsi="Times New Roman" w:cs="Times New Roman"/>
          <w:kern w:val="0"/>
        </w:rPr>
        <w:t>-</w:t>
      </w:r>
      <w:r w:rsidRPr="00E66E4E">
        <w:rPr>
          <w:rFonts w:ascii="Times New Roman" w:hAnsi="Times New Roman" w:cs="Times New Roman"/>
          <w:kern w:val="0"/>
        </w:rPr>
        <w:t>37. https://doi.org/10.3366/cor.2006.1.1.1</w:t>
      </w:r>
    </w:p>
    <w:p w14:paraId="7E72546D" w14:textId="7E2FC3F1"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Blake, Robert. 1983. “Mood </w:t>
      </w:r>
      <w:r w:rsidR="005007AD" w:rsidRPr="00E66E4E">
        <w:rPr>
          <w:rFonts w:ascii="Times New Roman" w:hAnsi="Times New Roman" w:cs="Times New Roman"/>
          <w:kern w:val="0"/>
        </w:rPr>
        <w:t>s</w:t>
      </w:r>
      <w:r w:rsidRPr="00E66E4E">
        <w:rPr>
          <w:rFonts w:ascii="Times New Roman" w:hAnsi="Times New Roman" w:cs="Times New Roman"/>
          <w:kern w:val="0"/>
        </w:rPr>
        <w:t>election among Spanish-</w:t>
      </w:r>
      <w:r w:rsidR="005007AD" w:rsidRPr="00E66E4E">
        <w:rPr>
          <w:rFonts w:ascii="Times New Roman" w:hAnsi="Times New Roman" w:cs="Times New Roman"/>
          <w:kern w:val="0"/>
        </w:rPr>
        <w:t>s</w:t>
      </w:r>
      <w:r w:rsidRPr="00E66E4E">
        <w:rPr>
          <w:rFonts w:ascii="Times New Roman" w:hAnsi="Times New Roman" w:cs="Times New Roman"/>
          <w:kern w:val="0"/>
        </w:rPr>
        <w:t xml:space="preserve">peaking </w:t>
      </w:r>
      <w:r w:rsidR="005007AD" w:rsidRPr="00E66E4E">
        <w:rPr>
          <w:rFonts w:ascii="Times New Roman" w:hAnsi="Times New Roman" w:cs="Times New Roman"/>
          <w:kern w:val="0"/>
        </w:rPr>
        <w:t>c</w:t>
      </w:r>
      <w:r w:rsidRPr="00E66E4E">
        <w:rPr>
          <w:rFonts w:ascii="Times New Roman" w:hAnsi="Times New Roman" w:cs="Times New Roman"/>
          <w:kern w:val="0"/>
        </w:rPr>
        <w:t xml:space="preserve">hildren, </w:t>
      </w:r>
      <w:r w:rsidR="005007AD" w:rsidRPr="00E66E4E">
        <w:rPr>
          <w:rFonts w:ascii="Times New Roman" w:hAnsi="Times New Roman" w:cs="Times New Roman"/>
          <w:kern w:val="0"/>
        </w:rPr>
        <w:t>a</w:t>
      </w:r>
      <w:r w:rsidRPr="00E66E4E">
        <w:rPr>
          <w:rFonts w:ascii="Times New Roman" w:hAnsi="Times New Roman" w:cs="Times New Roman"/>
          <w:kern w:val="0"/>
        </w:rPr>
        <w:t xml:space="preserve">ges 4 to 12.” </w:t>
      </w:r>
      <w:r w:rsidRPr="00E66E4E">
        <w:rPr>
          <w:rFonts w:ascii="Times New Roman" w:hAnsi="Times New Roman" w:cs="Times New Roman"/>
          <w:i/>
          <w:iCs/>
          <w:kern w:val="0"/>
        </w:rPr>
        <w:t>The Bilingual Language Review</w:t>
      </w:r>
      <w:r w:rsidRPr="00E66E4E">
        <w:rPr>
          <w:rFonts w:ascii="Times New Roman" w:hAnsi="Times New Roman" w:cs="Times New Roman"/>
          <w:kern w:val="0"/>
        </w:rPr>
        <w:t xml:space="preserve"> 10</w:t>
      </w:r>
      <w:r w:rsidR="005007AD" w:rsidRPr="00E66E4E">
        <w:rPr>
          <w:rFonts w:ascii="Times New Roman" w:hAnsi="Times New Roman" w:cs="Times New Roman"/>
          <w:kern w:val="0"/>
        </w:rPr>
        <w:t xml:space="preserve">. </w:t>
      </w:r>
      <w:r w:rsidRPr="00E66E4E">
        <w:rPr>
          <w:rFonts w:ascii="Times New Roman" w:hAnsi="Times New Roman" w:cs="Times New Roman"/>
          <w:kern w:val="0"/>
        </w:rPr>
        <w:t>21</w:t>
      </w:r>
      <w:r w:rsidR="005007AD" w:rsidRPr="00E66E4E">
        <w:rPr>
          <w:rFonts w:ascii="Times New Roman" w:hAnsi="Times New Roman" w:cs="Times New Roman"/>
          <w:kern w:val="0"/>
        </w:rPr>
        <w:t>-</w:t>
      </w:r>
      <w:r w:rsidRPr="00E66E4E">
        <w:rPr>
          <w:rFonts w:ascii="Times New Roman" w:hAnsi="Times New Roman" w:cs="Times New Roman"/>
          <w:kern w:val="0"/>
        </w:rPr>
        <w:t>32.</w:t>
      </w:r>
    </w:p>
    <w:p w14:paraId="031DE3FF" w14:textId="16E3A306"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Bossong, Georg. 1991. “Differential Object Marking in Romance and Beyond.” </w:t>
      </w:r>
      <w:r w:rsidRPr="00E66E4E">
        <w:rPr>
          <w:rFonts w:ascii="Times New Roman" w:hAnsi="Times New Roman" w:cs="Times New Roman"/>
          <w:i/>
          <w:iCs/>
          <w:kern w:val="0"/>
        </w:rPr>
        <w:t>Current Issues in Linguistic Theory</w:t>
      </w:r>
      <w:r w:rsidRPr="00E66E4E">
        <w:rPr>
          <w:rFonts w:ascii="Times New Roman" w:hAnsi="Times New Roman" w:cs="Times New Roman"/>
          <w:kern w:val="0"/>
        </w:rPr>
        <w:t>, ed</w:t>
      </w:r>
      <w:r w:rsidR="00313FA5" w:rsidRPr="00E66E4E">
        <w:rPr>
          <w:rFonts w:ascii="Times New Roman" w:hAnsi="Times New Roman" w:cs="Times New Roman"/>
          <w:kern w:val="0"/>
        </w:rPr>
        <w:t>.</w:t>
      </w:r>
      <w:r w:rsidRPr="00E66E4E">
        <w:rPr>
          <w:rFonts w:ascii="Times New Roman" w:hAnsi="Times New Roman" w:cs="Times New Roman"/>
          <w:kern w:val="0"/>
        </w:rPr>
        <w:t xml:space="preserve"> by Dieter Wanner </w:t>
      </w:r>
      <w:r w:rsidR="00313FA5" w:rsidRPr="00E66E4E">
        <w:rPr>
          <w:rFonts w:ascii="Times New Roman" w:hAnsi="Times New Roman" w:cs="Times New Roman"/>
          <w:kern w:val="0"/>
        </w:rPr>
        <w:t>&amp;</w:t>
      </w:r>
      <w:r w:rsidRPr="00E66E4E">
        <w:rPr>
          <w:rFonts w:ascii="Times New Roman" w:hAnsi="Times New Roman" w:cs="Times New Roman"/>
          <w:kern w:val="0"/>
        </w:rPr>
        <w:t xml:space="preserve"> Douglas A. Kibbee, 69</w:t>
      </w:r>
      <w:r w:rsidR="005007AD" w:rsidRPr="00E66E4E">
        <w:rPr>
          <w:rFonts w:ascii="Times New Roman" w:hAnsi="Times New Roman" w:cs="Times New Roman"/>
          <w:kern w:val="0"/>
        </w:rPr>
        <w:t>-</w:t>
      </w:r>
      <w:r w:rsidRPr="00E66E4E">
        <w:rPr>
          <w:rFonts w:ascii="Times New Roman" w:hAnsi="Times New Roman" w:cs="Times New Roman"/>
          <w:kern w:val="0"/>
        </w:rPr>
        <w:t>143. Amsterdam: John Benjamins. https://doi.org/10.1075/cilt.69.14bos</w:t>
      </w:r>
    </w:p>
    <w:p w14:paraId="2CC04DA2" w14:textId="1C4B4743"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Castilla-Earls, Anny, Ana Teresa Pérez-Leroux, Maria Adelaida Restrepo, Daniel Gaile</w:t>
      </w:r>
      <w:r w:rsidR="00313FA5" w:rsidRPr="00E66E4E">
        <w:rPr>
          <w:rFonts w:ascii="Times New Roman" w:hAnsi="Times New Roman" w:cs="Times New Roman"/>
          <w:kern w:val="0"/>
        </w:rPr>
        <w:t>, &amp;</w:t>
      </w:r>
      <w:r w:rsidRPr="00E66E4E">
        <w:rPr>
          <w:rFonts w:ascii="Times New Roman" w:hAnsi="Times New Roman" w:cs="Times New Roman"/>
          <w:kern w:val="0"/>
        </w:rPr>
        <w:t xml:space="preserve"> Ziqiang Chen. 2018. “The </w:t>
      </w:r>
      <w:r w:rsidR="00313FA5" w:rsidRPr="00E66E4E">
        <w:rPr>
          <w:rFonts w:ascii="Times New Roman" w:hAnsi="Times New Roman" w:cs="Times New Roman"/>
          <w:kern w:val="0"/>
        </w:rPr>
        <w:t>c</w:t>
      </w:r>
      <w:r w:rsidRPr="00E66E4E">
        <w:rPr>
          <w:rFonts w:ascii="Times New Roman" w:hAnsi="Times New Roman" w:cs="Times New Roman"/>
          <w:kern w:val="0"/>
        </w:rPr>
        <w:t xml:space="preserve">omplexity of the Spanish </w:t>
      </w:r>
      <w:r w:rsidR="00313FA5" w:rsidRPr="00E66E4E">
        <w:rPr>
          <w:rFonts w:ascii="Times New Roman" w:hAnsi="Times New Roman" w:cs="Times New Roman"/>
          <w:kern w:val="0"/>
        </w:rPr>
        <w:t>s</w:t>
      </w:r>
      <w:r w:rsidRPr="00E66E4E">
        <w:rPr>
          <w:rFonts w:ascii="Times New Roman" w:hAnsi="Times New Roman" w:cs="Times New Roman"/>
          <w:kern w:val="0"/>
        </w:rPr>
        <w:t xml:space="preserve">ubjunctive in </w:t>
      </w:r>
      <w:r w:rsidR="00313FA5" w:rsidRPr="00E66E4E">
        <w:rPr>
          <w:rFonts w:ascii="Times New Roman" w:hAnsi="Times New Roman" w:cs="Times New Roman"/>
          <w:kern w:val="0"/>
        </w:rPr>
        <w:t>b</w:t>
      </w:r>
      <w:r w:rsidRPr="00E66E4E">
        <w:rPr>
          <w:rFonts w:ascii="Times New Roman" w:hAnsi="Times New Roman" w:cs="Times New Roman"/>
          <w:kern w:val="0"/>
        </w:rPr>
        <w:t xml:space="preserve">ilingual </w:t>
      </w:r>
      <w:r w:rsidR="00313FA5" w:rsidRPr="00E66E4E">
        <w:rPr>
          <w:rFonts w:ascii="Times New Roman" w:hAnsi="Times New Roman" w:cs="Times New Roman"/>
          <w:kern w:val="0"/>
        </w:rPr>
        <w:t>c</w:t>
      </w:r>
      <w:r w:rsidRPr="00E66E4E">
        <w:rPr>
          <w:rFonts w:ascii="Times New Roman" w:hAnsi="Times New Roman" w:cs="Times New Roman"/>
          <w:kern w:val="0"/>
        </w:rPr>
        <w:t xml:space="preserve">hildren with SLI.” </w:t>
      </w:r>
      <w:r w:rsidRPr="00E66E4E">
        <w:rPr>
          <w:rFonts w:ascii="Times New Roman" w:hAnsi="Times New Roman" w:cs="Times New Roman"/>
          <w:i/>
          <w:iCs/>
          <w:kern w:val="0"/>
        </w:rPr>
        <w:t>Language Acquisition</w:t>
      </w:r>
      <w:r w:rsidRPr="00E66E4E">
        <w:rPr>
          <w:rFonts w:ascii="Times New Roman" w:hAnsi="Times New Roman" w:cs="Times New Roman"/>
          <w:kern w:val="0"/>
        </w:rPr>
        <w:t xml:space="preserve"> 25</w:t>
      </w:r>
      <w:r w:rsidR="00313FA5" w:rsidRPr="00E66E4E">
        <w:rPr>
          <w:rFonts w:ascii="Times New Roman" w:hAnsi="Times New Roman" w:cs="Times New Roman"/>
          <w:kern w:val="0"/>
        </w:rPr>
        <w:t>:</w:t>
      </w:r>
      <w:r w:rsidRPr="00E66E4E">
        <w:rPr>
          <w:rFonts w:ascii="Times New Roman" w:hAnsi="Times New Roman" w:cs="Times New Roman"/>
          <w:kern w:val="0"/>
        </w:rPr>
        <w:t>1</w:t>
      </w:r>
      <w:r w:rsidR="00313FA5" w:rsidRPr="00E66E4E">
        <w:rPr>
          <w:rFonts w:ascii="Times New Roman" w:hAnsi="Times New Roman" w:cs="Times New Roman"/>
          <w:kern w:val="0"/>
        </w:rPr>
        <w:t>.</w:t>
      </w:r>
      <w:r w:rsidRPr="00E66E4E">
        <w:rPr>
          <w:rFonts w:ascii="Times New Roman" w:hAnsi="Times New Roman" w:cs="Times New Roman"/>
          <w:kern w:val="0"/>
        </w:rPr>
        <w:t xml:space="preserve"> 72</w:t>
      </w:r>
      <w:r w:rsidR="005007AD" w:rsidRPr="00E66E4E">
        <w:rPr>
          <w:rFonts w:ascii="Times New Roman" w:hAnsi="Times New Roman" w:cs="Times New Roman"/>
          <w:kern w:val="0"/>
        </w:rPr>
        <w:t>-</w:t>
      </w:r>
      <w:r w:rsidRPr="00E66E4E">
        <w:rPr>
          <w:rFonts w:ascii="Times New Roman" w:hAnsi="Times New Roman" w:cs="Times New Roman"/>
          <w:kern w:val="0"/>
        </w:rPr>
        <w:t>84. https://doi.org/10.1080/10489223.2016.1192636</w:t>
      </w:r>
    </w:p>
    <w:p w14:paraId="686F08D5" w14:textId="174D1CBA"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Castilla-Earls, Anny, Juliana Ronderos, </w:t>
      </w:r>
      <w:r w:rsidR="00313FA5" w:rsidRPr="00E66E4E">
        <w:rPr>
          <w:rFonts w:ascii="Times New Roman" w:hAnsi="Times New Roman" w:cs="Times New Roman"/>
          <w:kern w:val="0"/>
        </w:rPr>
        <w:t>&amp;</w:t>
      </w:r>
      <w:r w:rsidRPr="00E66E4E">
        <w:rPr>
          <w:rFonts w:ascii="Times New Roman" w:hAnsi="Times New Roman" w:cs="Times New Roman"/>
          <w:kern w:val="0"/>
        </w:rPr>
        <w:t xml:space="preserve"> Lisa Fitton. 2023. “Spanish </w:t>
      </w:r>
      <w:r w:rsidR="00313FA5" w:rsidRPr="00E66E4E">
        <w:rPr>
          <w:rFonts w:ascii="Times New Roman" w:hAnsi="Times New Roman" w:cs="Times New Roman"/>
          <w:kern w:val="0"/>
        </w:rPr>
        <w:t>b</w:t>
      </w:r>
      <w:r w:rsidRPr="00E66E4E">
        <w:rPr>
          <w:rFonts w:ascii="Times New Roman" w:hAnsi="Times New Roman" w:cs="Times New Roman"/>
          <w:kern w:val="0"/>
        </w:rPr>
        <w:t xml:space="preserve">ilingual </w:t>
      </w:r>
      <w:r w:rsidR="00313FA5" w:rsidRPr="00E66E4E">
        <w:rPr>
          <w:rFonts w:ascii="Times New Roman" w:hAnsi="Times New Roman" w:cs="Times New Roman"/>
          <w:kern w:val="0"/>
        </w:rPr>
        <w:t>m</w:t>
      </w:r>
      <w:r w:rsidRPr="00E66E4E">
        <w:rPr>
          <w:rFonts w:ascii="Times New Roman" w:hAnsi="Times New Roman" w:cs="Times New Roman"/>
          <w:kern w:val="0"/>
        </w:rPr>
        <w:t xml:space="preserve">orphosyntactic Development in </w:t>
      </w:r>
      <w:r w:rsidR="00313FA5" w:rsidRPr="00E66E4E">
        <w:rPr>
          <w:rFonts w:ascii="Times New Roman" w:hAnsi="Times New Roman" w:cs="Times New Roman"/>
          <w:kern w:val="0"/>
        </w:rPr>
        <w:t>b</w:t>
      </w:r>
      <w:r w:rsidRPr="00E66E4E">
        <w:rPr>
          <w:rFonts w:ascii="Times New Roman" w:hAnsi="Times New Roman" w:cs="Times New Roman"/>
          <w:kern w:val="0"/>
        </w:rPr>
        <w:t>ilingual</w:t>
      </w:r>
      <w:r w:rsidR="00313FA5" w:rsidRPr="00E66E4E">
        <w:rPr>
          <w:rFonts w:ascii="Times New Roman" w:hAnsi="Times New Roman" w:cs="Times New Roman"/>
          <w:kern w:val="0"/>
        </w:rPr>
        <w:t xml:space="preserve"> c</w:t>
      </w:r>
      <w:r w:rsidRPr="00E66E4E">
        <w:rPr>
          <w:rFonts w:ascii="Times New Roman" w:hAnsi="Times New Roman" w:cs="Times New Roman"/>
          <w:kern w:val="0"/>
        </w:rPr>
        <w:t xml:space="preserve">hildren with and without </w:t>
      </w:r>
      <w:r w:rsidR="00313FA5" w:rsidRPr="00E66E4E">
        <w:rPr>
          <w:rFonts w:ascii="Times New Roman" w:hAnsi="Times New Roman" w:cs="Times New Roman"/>
          <w:kern w:val="0"/>
        </w:rPr>
        <w:t>d</w:t>
      </w:r>
      <w:r w:rsidRPr="00E66E4E">
        <w:rPr>
          <w:rFonts w:ascii="Times New Roman" w:hAnsi="Times New Roman" w:cs="Times New Roman"/>
          <w:kern w:val="0"/>
        </w:rPr>
        <w:t xml:space="preserve">evelopmental </w:t>
      </w:r>
      <w:r w:rsidR="00313FA5" w:rsidRPr="00E66E4E">
        <w:rPr>
          <w:rFonts w:ascii="Times New Roman" w:hAnsi="Times New Roman" w:cs="Times New Roman"/>
          <w:kern w:val="0"/>
        </w:rPr>
        <w:t>l</w:t>
      </w:r>
      <w:r w:rsidRPr="00E66E4E">
        <w:rPr>
          <w:rFonts w:ascii="Times New Roman" w:hAnsi="Times New Roman" w:cs="Times New Roman"/>
          <w:kern w:val="0"/>
        </w:rPr>
        <w:t xml:space="preserve">anguage </w:t>
      </w:r>
      <w:r w:rsidR="00313FA5" w:rsidRPr="00E66E4E">
        <w:rPr>
          <w:rFonts w:ascii="Times New Roman" w:hAnsi="Times New Roman" w:cs="Times New Roman"/>
          <w:kern w:val="0"/>
        </w:rPr>
        <w:t>d</w:t>
      </w:r>
      <w:r w:rsidRPr="00E66E4E">
        <w:rPr>
          <w:rFonts w:ascii="Times New Roman" w:hAnsi="Times New Roman" w:cs="Times New Roman"/>
          <w:kern w:val="0"/>
        </w:rPr>
        <w:t xml:space="preserve">isorder: Articles, </w:t>
      </w:r>
      <w:r w:rsidR="00313FA5" w:rsidRPr="00E66E4E">
        <w:rPr>
          <w:rFonts w:ascii="Times New Roman" w:hAnsi="Times New Roman" w:cs="Times New Roman"/>
          <w:kern w:val="0"/>
        </w:rPr>
        <w:t>c</w:t>
      </w:r>
      <w:r w:rsidRPr="00E66E4E">
        <w:rPr>
          <w:rFonts w:ascii="Times New Roman" w:hAnsi="Times New Roman" w:cs="Times New Roman"/>
          <w:kern w:val="0"/>
        </w:rPr>
        <w:t xml:space="preserve">litics, </w:t>
      </w:r>
      <w:r w:rsidR="00313FA5" w:rsidRPr="00E66E4E">
        <w:rPr>
          <w:rFonts w:ascii="Times New Roman" w:hAnsi="Times New Roman" w:cs="Times New Roman"/>
          <w:kern w:val="0"/>
        </w:rPr>
        <w:t>v</w:t>
      </w:r>
      <w:r w:rsidRPr="00E66E4E">
        <w:rPr>
          <w:rFonts w:ascii="Times New Roman" w:hAnsi="Times New Roman" w:cs="Times New Roman"/>
          <w:kern w:val="0"/>
        </w:rPr>
        <w:t xml:space="preserve">erbs, and the </w:t>
      </w:r>
      <w:r w:rsidR="00313FA5" w:rsidRPr="00E66E4E">
        <w:rPr>
          <w:rFonts w:ascii="Times New Roman" w:hAnsi="Times New Roman" w:cs="Times New Roman"/>
          <w:kern w:val="0"/>
        </w:rPr>
        <w:t>s</w:t>
      </w:r>
      <w:r w:rsidRPr="00E66E4E">
        <w:rPr>
          <w:rFonts w:ascii="Times New Roman" w:hAnsi="Times New Roman" w:cs="Times New Roman"/>
          <w:kern w:val="0"/>
        </w:rPr>
        <w:t xml:space="preserve">ubjunctive Mood.” </w:t>
      </w:r>
      <w:r w:rsidRPr="00E66E4E">
        <w:rPr>
          <w:rFonts w:ascii="Times New Roman" w:hAnsi="Times New Roman" w:cs="Times New Roman"/>
          <w:i/>
          <w:iCs/>
          <w:kern w:val="0"/>
        </w:rPr>
        <w:t>Journal of Speech, Language, and Hearing Research</w:t>
      </w:r>
      <w:r w:rsidR="00313FA5" w:rsidRPr="00E66E4E">
        <w:rPr>
          <w:rFonts w:ascii="Times New Roman" w:hAnsi="Times New Roman" w:cs="Times New Roman"/>
          <w:kern w:val="0"/>
        </w:rPr>
        <w:t>.</w:t>
      </w:r>
      <w:r w:rsidRPr="00E66E4E">
        <w:rPr>
          <w:rFonts w:ascii="Times New Roman" w:hAnsi="Times New Roman" w:cs="Times New Roman"/>
          <w:kern w:val="0"/>
        </w:rPr>
        <w:t xml:space="preserve"> 1</w:t>
      </w:r>
      <w:r w:rsidR="005007AD" w:rsidRPr="00E66E4E">
        <w:rPr>
          <w:rFonts w:ascii="Times New Roman" w:hAnsi="Times New Roman" w:cs="Times New Roman"/>
          <w:kern w:val="0"/>
        </w:rPr>
        <w:t>-</w:t>
      </w:r>
      <w:r w:rsidRPr="00E66E4E">
        <w:rPr>
          <w:rFonts w:ascii="Times New Roman" w:hAnsi="Times New Roman" w:cs="Times New Roman"/>
          <w:kern w:val="0"/>
        </w:rPr>
        <w:t>21. https://doi.org/10.1044/2023_JSLHR-23-00091</w:t>
      </w:r>
    </w:p>
    <w:p w14:paraId="06B2C114" w14:textId="1F7B3701"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Chamorro, Gloria</w:t>
      </w:r>
      <w:r w:rsidR="00313FA5" w:rsidRPr="00E66E4E">
        <w:rPr>
          <w:rFonts w:ascii="Times New Roman" w:hAnsi="Times New Roman" w:cs="Times New Roman"/>
          <w:kern w:val="0"/>
        </w:rPr>
        <w:t xml:space="preserve"> </w:t>
      </w:r>
      <w:r w:rsidRPr="00E66E4E">
        <w:rPr>
          <w:rFonts w:ascii="Times New Roman" w:hAnsi="Times New Roman" w:cs="Times New Roman"/>
          <w:kern w:val="0"/>
        </w:rPr>
        <w:t xml:space="preserve">and Antonella Sorace. 2019. “The Interface Hypothesis as a Framework for Studying L1 Attrition.” In </w:t>
      </w:r>
      <w:r w:rsidRPr="00E66E4E">
        <w:rPr>
          <w:rFonts w:ascii="Times New Roman" w:hAnsi="Times New Roman" w:cs="Times New Roman"/>
          <w:i/>
          <w:iCs/>
          <w:kern w:val="0"/>
        </w:rPr>
        <w:t>The Oxford Handbook of Language Attrition</w:t>
      </w:r>
      <w:r w:rsidRPr="00E66E4E">
        <w:rPr>
          <w:rFonts w:ascii="Times New Roman" w:hAnsi="Times New Roman" w:cs="Times New Roman"/>
          <w:kern w:val="0"/>
        </w:rPr>
        <w:t xml:space="preserve">, </w:t>
      </w:r>
      <w:r w:rsidR="00313FA5" w:rsidRPr="00E66E4E">
        <w:rPr>
          <w:rFonts w:ascii="Times New Roman" w:hAnsi="Times New Roman" w:cs="Times New Roman"/>
          <w:kern w:val="0"/>
        </w:rPr>
        <w:t>ed.</w:t>
      </w:r>
      <w:r w:rsidRPr="00E66E4E">
        <w:rPr>
          <w:rFonts w:ascii="Times New Roman" w:hAnsi="Times New Roman" w:cs="Times New Roman"/>
          <w:kern w:val="0"/>
        </w:rPr>
        <w:t xml:space="preserve"> by Monika S. Schmid and Barbara Köpke, 24</w:t>
      </w:r>
      <w:r w:rsidR="005007AD" w:rsidRPr="00E66E4E">
        <w:rPr>
          <w:rFonts w:ascii="Times New Roman" w:hAnsi="Times New Roman" w:cs="Times New Roman"/>
          <w:kern w:val="0"/>
        </w:rPr>
        <w:t>-</w:t>
      </w:r>
      <w:r w:rsidRPr="00E66E4E">
        <w:rPr>
          <w:rFonts w:ascii="Times New Roman" w:hAnsi="Times New Roman" w:cs="Times New Roman"/>
          <w:kern w:val="0"/>
        </w:rPr>
        <w:t>35. Oxford University Press. https://doi.org/10.1093/oxfordhb/9780198793595.013.42</w:t>
      </w:r>
    </w:p>
    <w:p w14:paraId="12A5CCBF" w14:textId="3D67BFF2"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Cuza, Alejandro</w:t>
      </w:r>
      <w:r w:rsidR="00313FA5" w:rsidRPr="00E66E4E">
        <w:rPr>
          <w:rFonts w:ascii="Times New Roman" w:hAnsi="Times New Roman" w:cs="Times New Roman"/>
          <w:kern w:val="0"/>
        </w:rPr>
        <w:t xml:space="preserve"> &amp;</w:t>
      </w:r>
      <w:r w:rsidRPr="00E66E4E">
        <w:rPr>
          <w:rFonts w:ascii="Times New Roman" w:hAnsi="Times New Roman" w:cs="Times New Roman"/>
          <w:kern w:val="0"/>
        </w:rPr>
        <w:t xml:space="preserve"> Lauren Miller. 2015. “The Protracted Acquisition of Past Tense Aspectual Values in Child Heritage Spanish.” </w:t>
      </w:r>
      <w:r w:rsidRPr="00E66E4E">
        <w:rPr>
          <w:rFonts w:ascii="Times New Roman" w:hAnsi="Times New Roman" w:cs="Times New Roman"/>
          <w:i/>
          <w:iCs/>
          <w:kern w:val="0"/>
        </w:rPr>
        <w:t>Issues in Hispanic and Lusophone Linguistics</w:t>
      </w:r>
      <w:r w:rsidRPr="00E66E4E">
        <w:rPr>
          <w:rFonts w:ascii="Times New Roman" w:hAnsi="Times New Roman" w:cs="Times New Roman"/>
          <w:kern w:val="0"/>
        </w:rPr>
        <w:t>, ed</w:t>
      </w:r>
      <w:r w:rsidR="00313FA5" w:rsidRPr="00E66E4E">
        <w:rPr>
          <w:rFonts w:ascii="Times New Roman" w:hAnsi="Times New Roman" w:cs="Times New Roman"/>
          <w:kern w:val="0"/>
        </w:rPr>
        <w:t>.</w:t>
      </w:r>
      <w:r w:rsidRPr="00E66E4E">
        <w:rPr>
          <w:rFonts w:ascii="Times New Roman" w:hAnsi="Times New Roman" w:cs="Times New Roman"/>
          <w:kern w:val="0"/>
        </w:rPr>
        <w:t xml:space="preserve"> by Rachel Klassen, Juana M. Liceras</w:t>
      </w:r>
      <w:r w:rsidR="00313FA5" w:rsidRPr="00E66E4E">
        <w:rPr>
          <w:rFonts w:ascii="Times New Roman" w:hAnsi="Times New Roman" w:cs="Times New Roman"/>
          <w:kern w:val="0"/>
        </w:rPr>
        <w:t>,</w:t>
      </w:r>
      <w:r w:rsidRPr="00E66E4E">
        <w:rPr>
          <w:rFonts w:ascii="Times New Roman" w:hAnsi="Times New Roman" w:cs="Times New Roman"/>
          <w:kern w:val="0"/>
        </w:rPr>
        <w:t xml:space="preserve"> </w:t>
      </w:r>
      <w:r w:rsidR="00313FA5" w:rsidRPr="00E66E4E">
        <w:rPr>
          <w:rFonts w:ascii="Times New Roman" w:hAnsi="Times New Roman" w:cs="Times New Roman"/>
          <w:kern w:val="0"/>
        </w:rPr>
        <w:t>&amp;</w:t>
      </w:r>
      <w:r w:rsidRPr="00E66E4E">
        <w:rPr>
          <w:rFonts w:ascii="Times New Roman" w:hAnsi="Times New Roman" w:cs="Times New Roman"/>
          <w:kern w:val="0"/>
        </w:rPr>
        <w:t xml:space="preserve"> Elena Valenzuela, 4</w:t>
      </w:r>
      <w:r w:rsidR="00313FA5" w:rsidRPr="00E66E4E">
        <w:rPr>
          <w:rFonts w:ascii="Times New Roman" w:hAnsi="Times New Roman" w:cs="Times New Roman"/>
          <w:kern w:val="0"/>
        </w:rPr>
        <w:t xml:space="preserve">. </w:t>
      </w:r>
      <w:r w:rsidRPr="00E66E4E">
        <w:rPr>
          <w:rFonts w:ascii="Times New Roman" w:hAnsi="Times New Roman" w:cs="Times New Roman"/>
          <w:kern w:val="0"/>
        </w:rPr>
        <w:t>211</w:t>
      </w:r>
      <w:r w:rsidR="00313FA5" w:rsidRPr="00E66E4E">
        <w:rPr>
          <w:rFonts w:ascii="Times New Roman" w:hAnsi="Times New Roman" w:cs="Times New Roman"/>
          <w:kern w:val="0"/>
        </w:rPr>
        <w:t>-2</w:t>
      </w:r>
      <w:r w:rsidRPr="00E66E4E">
        <w:rPr>
          <w:rFonts w:ascii="Times New Roman" w:hAnsi="Times New Roman" w:cs="Times New Roman"/>
          <w:kern w:val="0"/>
        </w:rPr>
        <w:t>30. Amsterdam: John Benjamins. https://doi.org/10.1075/ihll.4.11cuz</w:t>
      </w:r>
    </w:p>
    <w:p w14:paraId="7DAC82DD" w14:textId="22912F54"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Cuza, Alejandro, Lauren Miller, Rocío Pérez-Tattam, and Mariluz Ortiz Vergara. 2019. “Structure </w:t>
      </w:r>
      <w:r w:rsidR="00313FA5" w:rsidRPr="00E66E4E">
        <w:rPr>
          <w:rFonts w:ascii="Times New Roman" w:hAnsi="Times New Roman" w:cs="Times New Roman"/>
          <w:kern w:val="0"/>
        </w:rPr>
        <w:t>c</w:t>
      </w:r>
      <w:r w:rsidRPr="00E66E4E">
        <w:rPr>
          <w:rFonts w:ascii="Times New Roman" w:hAnsi="Times New Roman" w:cs="Times New Roman"/>
          <w:kern w:val="0"/>
        </w:rPr>
        <w:t xml:space="preserve">omplexity </w:t>
      </w:r>
      <w:r w:rsidR="00313FA5" w:rsidRPr="00E66E4E">
        <w:rPr>
          <w:rFonts w:ascii="Times New Roman" w:hAnsi="Times New Roman" w:cs="Times New Roman"/>
          <w:kern w:val="0"/>
        </w:rPr>
        <w:t>e</w:t>
      </w:r>
      <w:r w:rsidRPr="00E66E4E">
        <w:rPr>
          <w:rFonts w:ascii="Times New Roman" w:hAnsi="Times New Roman" w:cs="Times New Roman"/>
          <w:kern w:val="0"/>
        </w:rPr>
        <w:t xml:space="preserve">ffects in </w:t>
      </w:r>
      <w:r w:rsidR="00313FA5" w:rsidRPr="00E66E4E">
        <w:rPr>
          <w:rFonts w:ascii="Times New Roman" w:hAnsi="Times New Roman" w:cs="Times New Roman"/>
          <w:kern w:val="0"/>
        </w:rPr>
        <w:t>c</w:t>
      </w:r>
      <w:r w:rsidRPr="00E66E4E">
        <w:rPr>
          <w:rFonts w:ascii="Times New Roman" w:hAnsi="Times New Roman" w:cs="Times New Roman"/>
          <w:kern w:val="0"/>
        </w:rPr>
        <w:t xml:space="preserve">hild </w:t>
      </w:r>
      <w:r w:rsidR="00313FA5" w:rsidRPr="00E66E4E">
        <w:rPr>
          <w:rFonts w:ascii="Times New Roman" w:hAnsi="Times New Roman" w:cs="Times New Roman"/>
          <w:kern w:val="0"/>
        </w:rPr>
        <w:t>h</w:t>
      </w:r>
      <w:r w:rsidRPr="00E66E4E">
        <w:rPr>
          <w:rFonts w:ascii="Times New Roman" w:hAnsi="Times New Roman" w:cs="Times New Roman"/>
          <w:kern w:val="0"/>
        </w:rPr>
        <w:t xml:space="preserve">eritage Spanish: The </w:t>
      </w:r>
      <w:r w:rsidR="00313FA5" w:rsidRPr="00E66E4E">
        <w:rPr>
          <w:rFonts w:ascii="Times New Roman" w:hAnsi="Times New Roman" w:cs="Times New Roman"/>
          <w:kern w:val="0"/>
        </w:rPr>
        <w:t>c</w:t>
      </w:r>
      <w:r w:rsidRPr="00E66E4E">
        <w:rPr>
          <w:rFonts w:ascii="Times New Roman" w:hAnsi="Times New Roman" w:cs="Times New Roman"/>
          <w:kern w:val="0"/>
        </w:rPr>
        <w:t xml:space="preserve">ase of the Spanish </w:t>
      </w:r>
      <w:r w:rsidR="00313FA5" w:rsidRPr="00E66E4E">
        <w:rPr>
          <w:rFonts w:ascii="Times New Roman" w:hAnsi="Times New Roman" w:cs="Times New Roman"/>
          <w:kern w:val="0"/>
        </w:rPr>
        <w:t>p</w:t>
      </w:r>
      <w:r w:rsidRPr="00E66E4E">
        <w:rPr>
          <w:rFonts w:ascii="Times New Roman" w:hAnsi="Times New Roman" w:cs="Times New Roman"/>
          <w:kern w:val="0"/>
        </w:rPr>
        <w:t xml:space="preserve">ersonal </w:t>
      </w:r>
      <w:r w:rsidRPr="00E66E4E">
        <w:rPr>
          <w:rFonts w:ascii="Times New Roman" w:hAnsi="Times New Roman" w:cs="Times New Roman"/>
          <w:i/>
          <w:iCs/>
          <w:kern w:val="0"/>
        </w:rPr>
        <w:t>a</w:t>
      </w:r>
      <w:r w:rsidRPr="00E66E4E">
        <w:rPr>
          <w:rFonts w:ascii="Times New Roman" w:hAnsi="Times New Roman" w:cs="Times New Roman"/>
          <w:kern w:val="0"/>
        </w:rPr>
        <w:t xml:space="preserve">.” </w:t>
      </w:r>
      <w:r w:rsidRPr="00E66E4E">
        <w:rPr>
          <w:rFonts w:ascii="Times New Roman" w:hAnsi="Times New Roman" w:cs="Times New Roman"/>
          <w:i/>
          <w:iCs/>
          <w:kern w:val="0"/>
        </w:rPr>
        <w:t>International Journal of Bilingualism</w:t>
      </w:r>
      <w:r w:rsidRPr="00E66E4E">
        <w:rPr>
          <w:rFonts w:ascii="Times New Roman" w:hAnsi="Times New Roman" w:cs="Times New Roman"/>
          <w:kern w:val="0"/>
        </w:rPr>
        <w:t xml:space="preserve"> 23</w:t>
      </w:r>
      <w:r w:rsidR="00313FA5" w:rsidRPr="00E66E4E">
        <w:rPr>
          <w:rFonts w:ascii="Times New Roman" w:hAnsi="Times New Roman" w:cs="Times New Roman"/>
          <w:kern w:val="0"/>
        </w:rPr>
        <w:t xml:space="preserve">: </w:t>
      </w:r>
      <w:r w:rsidRPr="00E66E4E">
        <w:rPr>
          <w:rFonts w:ascii="Times New Roman" w:hAnsi="Times New Roman" w:cs="Times New Roman"/>
          <w:kern w:val="0"/>
        </w:rPr>
        <w:t>6</w:t>
      </w:r>
      <w:r w:rsidR="00313FA5" w:rsidRPr="00E66E4E">
        <w:rPr>
          <w:rFonts w:ascii="Times New Roman" w:hAnsi="Times New Roman" w:cs="Times New Roman"/>
          <w:kern w:val="0"/>
        </w:rPr>
        <w:t>.</w:t>
      </w:r>
      <w:r w:rsidRPr="00E66E4E">
        <w:rPr>
          <w:rFonts w:ascii="Times New Roman" w:hAnsi="Times New Roman" w:cs="Times New Roman"/>
          <w:kern w:val="0"/>
        </w:rPr>
        <w:t xml:space="preserve"> 1333</w:t>
      </w:r>
      <w:r w:rsidR="00313FA5" w:rsidRPr="00E66E4E">
        <w:rPr>
          <w:rFonts w:ascii="Times New Roman" w:hAnsi="Times New Roman" w:cs="Times New Roman"/>
          <w:kern w:val="0"/>
        </w:rPr>
        <w:t>-13</w:t>
      </w:r>
      <w:r w:rsidRPr="00E66E4E">
        <w:rPr>
          <w:rFonts w:ascii="Times New Roman" w:hAnsi="Times New Roman" w:cs="Times New Roman"/>
          <w:kern w:val="0"/>
        </w:rPr>
        <w:t>57. https://doi.org/10.1177/1367006918786467</w:t>
      </w:r>
    </w:p>
    <w:p w14:paraId="5E25636D" w14:textId="4B554D89"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Daskalaki, Evangelia,</w:t>
      </w:r>
      <w:r w:rsidR="00313FA5" w:rsidRPr="00E66E4E">
        <w:rPr>
          <w:rFonts w:ascii="Times New Roman" w:hAnsi="Times New Roman" w:cs="Times New Roman"/>
          <w:kern w:val="0"/>
        </w:rPr>
        <w:t xml:space="preserve"> </w:t>
      </w:r>
      <w:r w:rsidRPr="00E66E4E">
        <w:rPr>
          <w:rFonts w:ascii="Times New Roman" w:hAnsi="Times New Roman" w:cs="Times New Roman"/>
          <w:kern w:val="0"/>
        </w:rPr>
        <w:t>Vasiliki Chondrogianni</w:t>
      </w:r>
      <w:r w:rsidR="00313FA5" w:rsidRPr="00E66E4E">
        <w:rPr>
          <w:rFonts w:ascii="Times New Roman" w:hAnsi="Times New Roman" w:cs="Times New Roman"/>
          <w:kern w:val="0"/>
        </w:rPr>
        <w:t xml:space="preserve"> &amp;</w:t>
      </w:r>
      <w:r w:rsidRPr="00E66E4E">
        <w:rPr>
          <w:rFonts w:ascii="Times New Roman" w:hAnsi="Times New Roman" w:cs="Times New Roman"/>
          <w:kern w:val="0"/>
        </w:rPr>
        <w:t xml:space="preserve"> Elma Blom. 2023. “Path and </w:t>
      </w:r>
      <w:r w:rsidR="00313FA5" w:rsidRPr="00E66E4E">
        <w:rPr>
          <w:rFonts w:ascii="Times New Roman" w:hAnsi="Times New Roman" w:cs="Times New Roman"/>
          <w:kern w:val="0"/>
        </w:rPr>
        <w:t>r</w:t>
      </w:r>
      <w:r w:rsidRPr="00E66E4E">
        <w:rPr>
          <w:rFonts w:ascii="Times New Roman" w:hAnsi="Times New Roman" w:cs="Times New Roman"/>
          <w:kern w:val="0"/>
        </w:rPr>
        <w:t xml:space="preserve">ate of </w:t>
      </w:r>
      <w:r w:rsidR="00313FA5" w:rsidRPr="00E66E4E">
        <w:rPr>
          <w:rFonts w:ascii="Times New Roman" w:hAnsi="Times New Roman" w:cs="Times New Roman"/>
          <w:kern w:val="0"/>
        </w:rPr>
        <w:t>d</w:t>
      </w:r>
      <w:r w:rsidRPr="00E66E4E">
        <w:rPr>
          <w:rFonts w:ascii="Times New Roman" w:hAnsi="Times New Roman" w:cs="Times New Roman"/>
          <w:kern w:val="0"/>
        </w:rPr>
        <w:t xml:space="preserve">evelopment in </w:t>
      </w:r>
      <w:r w:rsidR="00313FA5" w:rsidRPr="00E66E4E">
        <w:rPr>
          <w:rFonts w:ascii="Times New Roman" w:hAnsi="Times New Roman" w:cs="Times New Roman"/>
          <w:kern w:val="0"/>
        </w:rPr>
        <w:t>c</w:t>
      </w:r>
      <w:r w:rsidRPr="00E66E4E">
        <w:rPr>
          <w:rFonts w:ascii="Times New Roman" w:hAnsi="Times New Roman" w:cs="Times New Roman"/>
          <w:kern w:val="0"/>
        </w:rPr>
        <w:t xml:space="preserve">hild </w:t>
      </w:r>
      <w:r w:rsidR="00313FA5" w:rsidRPr="00E66E4E">
        <w:rPr>
          <w:rFonts w:ascii="Times New Roman" w:hAnsi="Times New Roman" w:cs="Times New Roman"/>
          <w:kern w:val="0"/>
        </w:rPr>
        <w:t>h</w:t>
      </w:r>
      <w:r w:rsidRPr="00E66E4E">
        <w:rPr>
          <w:rFonts w:ascii="Times New Roman" w:hAnsi="Times New Roman" w:cs="Times New Roman"/>
          <w:kern w:val="0"/>
        </w:rPr>
        <w:t xml:space="preserve">eritage </w:t>
      </w:r>
      <w:r w:rsidR="00313FA5" w:rsidRPr="00E66E4E">
        <w:rPr>
          <w:rFonts w:ascii="Times New Roman" w:hAnsi="Times New Roman" w:cs="Times New Roman"/>
          <w:kern w:val="0"/>
        </w:rPr>
        <w:t>s</w:t>
      </w:r>
      <w:r w:rsidRPr="00E66E4E">
        <w:rPr>
          <w:rFonts w:ascii="Times New Roman" w:hAnsi="Times New Roman" w:cs="Times New Roman"/>
          <w:kern w:val="0"/>
        </w:rPr>
        <w:t xml:space="preserve">peakers: Evidence from Greek </w:t>
      </w:r>
      <w:r w:rsidR="00313FA5" w:rsidRPr="00E66E4E">
        <w:rPr>
          <w:rFonts w:ascii="Times New Roman" w:hAnsi="Times New Roman" w:cs="Times New Roman"/>
          <w:kern w:val="0"/>
        </w:rPr>
        <w:t>s</w:t>
      </w:r>
      <w:r w:rsidRPr="00E66E4E">
        <w:rPr>
          <w:rFonts w:ascii="Times New Roman" w:hAnsi="Times New Roman" w:cs="Times New Roman"/>
          <w:kern w:val="0"/>
        </w:rPr>
        <w:t>ubject/</w:t>
      </w:r>
      <w:r w:rsidR="00313FA5" w:rsidRPr="00E66E4E">
        <w:rPr>
          <w:rFonts w:ascii="Times New Roman" w:hAnsi="Times New Roman" w:cs="Times New Roman"/>
          <w:kern w:val="0"/>
        </w:rPr>
        <w:t>ob</w:t>
      </w:r>
      <w:r w:rsidRPr="00E66E4E">
        <w:rPr>
          <w:rFonts w:ascii="Times New Roman" w:hAnsi="Times New Roman" w:cs="Times New Roman"/>
          <w:kern w:val="0"/>
        </w:rPr>
        <w:t xml:space="preserve">ject </w:t>
      </w:r>
      <w:r w:rsidR="00313FA5" w:rsidRPr="00E66E4E">
        <w:rPr>
          <w:rFonts w:ascii="Times New Roman" w:hAnsi="Times New Roman" w:cs="Times New Roman"/>
          <w:kern w:val="0"/>
        </w:rPr>
        <w:t>f</w:t>
      </w:r>
      <w:r w:rsidRPr="00E66E4E">
        <w:rPr>
          <w:rFonts w:ascii="Times New Roman" w:hAnsi="Times New Roman" w:cs="Times New Roman"/>
          <w:kern w:val="0"/>
        </w:rPr>
        <w:t xml:space="preserve">orm and </w:t>
      </w:r>
      <w:r w:rsidR="00313FA5" w:rsidRPr="00E66E4E">
        <w:rPr>
          <w:rFonts w:ascii="Times New Roman" w:hAnsi="Times New Roman" w:cs="Times New Roman"/>
          <w:kern w:val="0"/>
        </w:rPr>
        <w:t>p</w:t>
      </w:r>
      <w:r w:rsidRPr="00E66E4E">
        <w:rPr>
          <w:rFonts w:ascii="Times New Roman" w:hAnsi="Times New Roman" w:cs="Times New Roman"/>
          <w:kern w:val="0"/>
        </w:rPr>
        <w:t xml:space="preserve">lacement.” </w:t>
      </w:r>
      <w:r w:rsidRPr="00E66E4E">
        <w:rPr>
          <w:rFonts w:ascii="Times New Roman" w:hAnsi="Times New Roman" w:cs="Times New Roman"/>
          <w:i/>
          <w:iCs/>
          <w:kern w:val="0"/>
        </w:rPr>
        <w:t>International Journal of Bilingualism</w:t>
      </w:r>
      <w:r w:rsidRPr="00E66E4E">
        <w:rPr>
          <w:rFonts w:ascii="Times New Roman" w:hAnsi="Times New Roman" w:cs="Times New Roman"/>
          <w:kern w:val="0"/>
        </w:rPr>
        <w:t xml:space="preserve"> 27</w:t>
      </w:r>
      <w:r w:rsidR="00313FA5" w:rsidRPr="00E66E4E">
        <w:rPr>
          <w:rFonts w:ascii="Times New Roman" w:hAnsi="Times New Roman" w:cs="Times New Roman"/>
          <w:kern w:val="0"/>
        </w:rPr>
        <w:t>:</w:t>
      </w:r>
      <w:r w:rsidRPr="00E66E4E">
        <w:rPr>
          <w:rFonts w:ascii="Times New Roman" w:hAnsi="Times New Roman" w:cs="Times New Roman"/>
          <w:kern w:val="0"/>
        </w:rPr>
        <w:t>5</w:t>
      </w:r>
      <w:r w:rsidR="00313FA5" w:rsidRPr="00E66E4E">
        <w:rPr>
          <w:rFonts w:ascii="Times New Roman" w:hAnsi="Times New Roman" w:cs="Times New Roman"/>
          <w:kern w:val="0"/>
        </w:rPr>
        <w:t>.</w:t>
      </w:r>
      <w:r w:rsidRPr="00E66E4E">
        <w:rPr>
          <w:rFonts w:ascii="Times New Roman" w:hAnsi="Times New Roman" w:cs="Times New Roman"/>
          <w:kern w:val="0"/>
        </w:rPr>
        <w:t xml:space="preserve"> 634</w:t>
      </w:r>
      <w:r w:rsidR="00313FA5" w:rsidRPr="00E66E4E">
        <w:rPr>
          <w:rFonts w:ascii="Times New Roman" w:hAnsi="Times New Roman" w:cs="Times New Roman"/>
          <w:kern w:val="0"/>
        </w:rPr>
        <w:t>-6</w:t>
      </w:r>
      <w:r w:rsidRPr="00E66E4E">
        <w:rPr>
          <w:rFonts w:ascii="Times New Roman" w:hAnsi="Times New Roman" w:cs="Times New Roman"/>
          <w:kern w:val="0"/>
        </w:rPr>
        <w:t>62. https://doi.org/10.1177/13670069221111648</w:t>
      </w:r>
    </w:p>
    <w:p w14:paraId="5B643246" w14:textId="0FD728BD"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lastRenderedPageBreak/>
        <w:t>Dracos, Melisa</w:t>
      </w:r>
      <w:r w:rsidR="00B93D02" w:rsidRPr="00E66E4E">
        <w:rPr>
          <w:rFonts w:ascii="Times New Roman" w:hAnsi="Times New Roman" w:cs="Times New Roman"/>
          <w:kern w:val="0"/>
        </w:rPr>
        <w:t xml:space="preserve"> &amp;</w:t>
      </w:r>
      <w:r w:rsidRPr="00E66E4E">
        <w:rPr>
          <w:rFonts w:ascii="Times New Roman" w:hAnsi="Times New Roman" w:cs="Times New Roman"/>
          <w:kern w:val="0"/>
        </w:rPr>
        <w:t xml:space="preserve"> Pablo E. Requena. 2023. “Child </w:t>
      </w:r>
      <w:r w:rsidR="00B93D02" w:rsidRPr="00E66E4E">
        <w:rPr>
          <w:rFonts w:ascii="Times New Roman" w:hAnsi="Times New Roman" w:cs="Times New Roman"/>
          <w:kern w:val="0"/>
        </w:rPr>
        <w:t>h</w:t>
      </w:r>
      <w:r w:rsidRPr="00E66E4E">
        <w:rPr>
          <w:rFonts w:ascii="Times New Roman" w:hAnsi="Times New Roman" w:cs="Times New Roman"/>
          <w:kern w:val="0"/>
        </w:rPr>
        <w:t xml:space="preserve">eritage </w:t>
      </w:r>
      <w:r w:rsidR="00B93D02" w:rsidRPr="00E66E4E">
        <w:rPr>
          <w:rFonts w:ascii="Times New Roman" w:hAnsi="Times New Roman" w:cs="Times New Roman"/>
          <w:kern w:val="0"/>
        </w:rPr>
        <w:t>s</w:t>
      </w:r>
      <w:r w:rsidRPr="00E66E4E">
        <w:rPr>
          <w:rFonts w:ascii="Times New Roman" w:hAnsi="Times New Roman" w:cs="Times New Roman"/>
          <w:kern w:val="0"/>
        </w:rPr>
        <w:t xml:space="preserve">peakers’ </w:t>
      </w:r>
      <w:r w:rsidR="00B93D02" w:rsidRPr="00E66E4E">
        <w:rPr>
          <w:rFonts w:ascii="Times New Roman" w:hAnsi="Times New Roman" w:cs="Times New Roman"/>
          <w:kern w:val="0"/>
        </w:rPr>
        <w:t>a</w:t>
      </w:r>
      <w:r w:rsidRPr="00E66E4E">
        <w:rPr>
          <w:rFonts w:ascii="Times New Roman" w:hAnsi="Times New Roman" w:cs="Times New Roman"/>
          <w:kern w:val="0"/>
        </w:rPr>
        <w:t>cquisition of the Spanish</w:t>
      </w:r>
      <w:r w:rsidR="00B93D02" w:rsidRPr="00E66E4E">
        <w:rPr>
          <w:rFonts w:ascii="Times New Roman" w:hAnsi="Times New Roman" w:cs="Times New Roman"/>
          <w:kern w:val="0"/>
        </w:rPr>
        <w:t xml:space="preserve"> s</w:t>
      </w:r>
      <w:r w:rsidRPr="00E66E4E">
        <w:rPr>
          <w:rFonts w:ascii="Times New Roman" w:hAnsi="Times New Roman" w:cs="Times New Roman"/>
          <w:kern w:val="0"/>
        </w:rPr>
        <w:t xml:space="preserve">ubjunctive in </w:t>
      </w:r>
      <w:r w:rsidR="00B93D02" w:rsidRPr="00E66E4E">
        <w:rPr>
          <w:rFonts w:ascii="Times New Roman" w:hAnsi="Times New Roman" w:cs="Times New Roman"/>
          <w:kern w:val="0"/>
        </w:rPr>
        <w:t>v</w:t>
      </w:r>
      <w:r w:rsidRPr="00E66E4E">
        <w:rPr>
          <w:rFonts w:ascii="Times New Roman" w:hAnsi="Times New Roman" w:cs="Times New Roman"/>
          <w:kern w:val="0"/>
        </w:rPr>
        <w:t xml:space="preserve">olitional and </w:t>
      </w:r>
      <w:r w:rsidR="00B93D02" w:rsidRPr="00E66E4E">
        <w:rPr>
          <w:rFonts w:ascii="Times New Roman" w:hAnsi="Times New Roman" w:cs="Times New Roman"/>
          <w:kern w:val="0"/>
        </w:rPr>
        <w:t>a</w:t>
      </w:r>
      <w:r w:rsidRPr="00E66E4E">
        <w:rPr>
          <w:rFonts w:ascii="Times New Roman" w:hAnsi="Times New Roman" w:cs="Times New Roman"/>
          <w:kern w:val="0"/>
        </w:rPr>
        <w:t xml:space="preserve">dverbial </w:t>
      </w:r>
      <w:r w:rsidR="00B93D02" w:rsidRPr="00E66E4E">
        <w:rPr>
          <w:rFonts w:ascii="Times New Roman" w:hAnsi="Times New Roman" w:cs="Times New Roman"/>
          <w:kern w:val="0"/>
        </w:rPr>
        <w:t>c</w:t>
      </w:r>
      <w:r w:rsidRPr="00E66E4E">
        <w:rPr>
          <w:rFonts w:ascii="Times New Roman" w:hAnsi="Times New Roman" w:cs="Times New Roman"/>
          <w:kern w:val="0"/>
        </w:rPr>
        <w:t xml:space="preserve">lauses.” </w:t>
      </w:r>
      <w:r w:rsidRPr="00E66E4E">
        <w:rPr>
          <w:rFonts w:ascii="Times New Roman" w:hAnsi="Times New Roman" w:cs="Times New Roman"/>
          <w:i/>
          <w:iCs/>
          <w:kern w:val="0"/>
        </w:rPr>
        <w:t>Language Acquisition</w:t>
      </w:r>
      <w:r w:rsidRPr="00E66E4E">
        <w:rPr>
          <w:rFonts w:ascii="Times New Roman" w:hAnsi="Times New Roman" w:cs="Times New Roman"/>
          <w:kern w:val="0"/>
        </w:rPr>
        <w:t xml:space="preserve"> 30</w:t>
      </w:r>
      <w:r w:rsidR="00B93D02" w:rsidRPr="00E66E4E">
        <w:rPr>
          <w:rFonts w:ascii="Times New Roman" w:hAnsi="Times New Roman" w:cs="Times New Roman"/>
          <w:kern w:val="0"/>
        </w:rPr>
        <w:t>:</w:t>
      </w:r>
      <w:r w:rsidRPr="00E66E4E">
        <w:rPr>
          <w:rFonts w:ascii="Times New Roman" w:hAnsi="Times New Roman" w:cs="Times New Roman"/>
          <w:kern w:val="0"/>
        </w:rPr>
        <w:t>1</w:t>
      </w:r>
      <w:r w:rsidR="00B93D02" w:rsidRPr="00E66E4E">
        <w:rPr>
          <w:rFonts w:ascii="Times New Roman" w:hAnsi="Times New Roman" w:cs="Times New Roman"/>
          <w:kern w:val="0"/>
        </w:rPr>
        <w:t>.</w:t>
      </w:r>
      <w:r w:rsidRPr="00E66E4E">
        <w:rPr>
          <w:rFonts w:ascii="Times New Roman" w:hAnsi="Times New Roman" w:cs="Times New Roman"/>
          <w:kern w:val="0"/>
        </w:rPr>
        <w:t xml:space="preserve"> 1</w:t>
      </w:r>
      <w:r w:rsidR="005007AD" w:rsidRPr="00E66E4E">
        <w:rPr>
          <w:rFonts w:ascii="Times New Roman" w:hAnsi="Times New Roman" w:cs="Times New Roman"/>
          <w:kern w:val="0"/>
        </w:rPr>
        <w:t>-</w:t>
      </w:r>
      <w:r w:rsidRPr="00E66E4E">
        <w:rPr>
          <w:rFonts w:ascii="Times New Roman" w:hAnsi="Times New Roman" w:cs="Times New Roman"/>
          <w:kern w:val="0"/>
        </w:rPr>
        <w:t>28. https://doi.org/10.1080/10489223.2022.2071156</w:t>
      </w:r>
    </w:p>
    <w:p w14:paraId="2DE993ED" w14:textId="0FD39049"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Fábregas, Antonio. 2014. “A </w:t>
      </w:r>
      <w:r w:rsidR="001715B4" w:rsidRPr="00E66E4E">
        <w:rPr>
          <w:rFonts w:ascii="Times New Roman" w:hAnsi="Times New Roman" w:cs="Times New Roman"/>
          <w:kern w:val="0"/>
        </w:rPr>
        <w:t>g</w:t>
      </w:r>
      <w:r w:rsidRPr="00E66E4E">
        <w:rPr>
          <w:rFonts w:ascii="Times New Roman" w:hAnsi="Times New Roman" w:cs="Times New Roman"/>
          <w:kern w:val="0"/>
        </w:rPr>
        <w:t xml:space="preserve">uide to </w:t>
      </w:r>
      <w:r w:rsidR="001715B4" w:rsidRPr="00E66E4E">
        <w:rPr>
          <w:rFonts w:ascii="Times New Roman" w:hAnsi="Times New Roman" w:cs="Times New Roman"/>
          <w:kern w:val="0"/>
        </w:rPr>
        <w:t>s</w:t>
      </w:r>
      <w:r w:rsidRPr="00E66E4E">
        <w:rPr>
          <w:rFonts w:ascii="Times New Roman" w:hAnsi="Times New Roman" w:cs="Times New Roman"/>
          <w:kern w:val="0"/>
        </w:rPr>
        <w:t xml:space="preserve">ubjunctive and </w:t>
      </w:r>
      <w:r w:rsidR="001715B4" w:rsidRPr="00E66E4E">
        <w:rPr>
          <w:rFonts w:ascii="Times New Roman" w:hAnsi="Times New Roman" w:cs="Times New Roman"/>
          <w:kern w:val="0"/>
        </w:rPr>
        <w:t>m</w:t>
      </w:r>
      <w:r w:rsidRPr="00E66E4E">
        <w:rPr>
          <w:rFonts w:ascii="Times New Roman" w:hAnsi="Times New Roman" w:cs="Times New Roman"/>
          <w:kern w:val="0"/>
        </w:rPr>
        <w:t xml:space="preserve">odals in Spanish: Questions and </w:t>
      </w:r>
      <w:r w:rsidR="001715B4" w:rsidRPr="00E66E4E">
        <w:rPr>
          <w:rFonts w:ascii="Times New Roman" w:hAnsi="Times New Roman" w:cs="Times New Roman"/>
          <w:kern w:val="0"/>
        </w:rPr>
        <w:t>a</w:t>
      </w:r>
      <w:r w:rsidRPr="00E66E4E">
        <w:rPr>
          <w:rFonts w:ascii="Times New Roman" w:hAnsi="Times New Roman" w:cs="Times New Roman"/>
          <w:kern w:val="0"/>
        </w:rPr>
        <w:t xml:space="preserve">nalyses.” </w:t>
      </w:r>
      <w:r w:rsidRPr="00E66E4E">
        <w:rPr>
          <w:rFonts w:ascii="Times New Roman" w:hAnsi="Times New Roman" w:cs="Times New Roman"/>
          <w:i/>
          <w:iCs/>
          <w:kern w:val="0"/>
        </w:rPr>
        <w:t>Borealis – An International Journal of Hispanic Linguistics</w:t>
      </w:r>
      <w:r w:rsidRPr="00E66E4E">
        <w:rPr>
          <w:rFonts w:ascii="Times New Roman" w:hAnsi="Times New Roman" w:cs="Times New Roman"/>
          <w:kern w:val="0"/>
        </w:rPr>
        <w:t xml:space="preserve"> 3</w:t>
      </w:r>
      <w:r w:rsidR="001715B4" w:rsidRPr="00E66E4E">
        <w:rPr>
          <w:rFonts w:ascii="Times New Roman" w:hAnsi="Times New Roman" w:cs="Times New Roman"/>
          <w:kern w:val="0"/>
        </w:rPr>
        <w:t>:</w:t>
      </w:r>
      <w:r w:rsidRPr="00E66E4E">
        <w:rPr>
          <w:rFonts w:ascii="Times New Roman" w:hAnsi="Times New Roman" w:cs="Times New Roman"/>
          <w:kern w:val="0"/>
        </w:rPr>
        <w:t>2</w:t>
      </w:r>
      <w:r w:rsidR="001715B4" w:rsidRPr="00E66E4E">
        <w:rPr>
          <w:rFonts w:ascii="Times New Roman" w:hAnsi="Times New Roman" w:cs="Times New Roman"/>
          <w:kern w:val="0"/>
        </w:rPr>
        <w:t>.</w:t>
      </w:r>
      <w:r w:rsidRPr="00E66E4E">
        <w:rPr>
          <w:rFonts w:ascii="Times New Roman" w:hAnsi="Times New Roman" w:cs="Times New Roman"/>
          <w:kern w:val="0"/>
        </w:rPr>
        <w:t xml:space="preserve"> 1</w:t>
      </w:r>
      <w:r w:rsidR="001715B4" w:rsidRPr="00E66E4E">
        <w:rPr>
          <w:rFonts w:ascii="Times New Roman" w:hAnsi="Times New Roman" w:cs="Times New Roman"/>
          <w:kern w:val="0"/>
        </w:rPr>
        <w:t>-</w:t>
      </w:r>
      <w:r w:rsidRPr="00E66E4E">
        <w:rPr>
          <w:rFonts w:ascii="Times New Roman" w:hAnsi="Times New Roman" w:cs="Times New Roman"/>
          <w:kern w:val="0"/>
        </w:rPr>
        <w:t>94. https://doi.org/10.7557/1.3.2.3064.</w:t>
      </w:r>
    </w:p>
    <w:p w14:paraId="74DCC589" w14:textId="234136AD"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Giancaspro, David. 2019. “The </w:t>
      </w:r>
      <w:r w:rsidR="006E4309" w:rsidRPr="00E66E4E">
        <w:rPr>
          <w:rFonts w:ascii="Times New Roman" w:hAnsi="Times New Roman" w:cs="Times New Roman"/>
          <w:kern w:val="0"/>
        </w:rPr>
        <w:t>l</w:t>
      </w:r>
      <w:r w:rsidRPr="00E66E4E">
        <w:rPr>
          <w:rFonts w:ascii="Times New Roman" w:hAnsi="Times New Roman" w:cs="Times New Roman"/>
          <w:kern w:val="0"/>
        </w:rPr>
        <w:t xml:space="preserve">ate(r) </w:t>
      </w:r>
      <w:r w:rsidR="006E4309" w:rsidRPr="00E66E4E">
        <w:rPr>
          <w:rFonts w:ascii="Times New Roman" w:hAnsi="Times New Roman" w:cs="Times New Roman"/>
          <w:kern w:val="0"/>
        </w:rPr>
        <w:t>b</w:t>
      </w:r>
      <w:r w:rsidRPr="00E66E4E">
        <w:rPr>
          <w:rFonts w:ascii="Times New Roman" w:hAnsi="Times New Roman" w:cs="Times New Roman"/>
          <w:kern w:val="0"/>
        </w:rPr>
        <w:t xml:space="preserve">ird </w:t>
      </w:r>
      <w:r w:rsidR="006E4309" w:rsidRPr="00E66E4E">
        <w:rPr>
          <w:rFonts w:ascii="Times New Roman" w:hAnsi="Times New Roman" w:cs="Times New Roman"/>
          <w:kern w:val="0"/>
        </w:rPr>
        <w:t>g</w:t>
      </w:r>
      <w:r w:rsidRPr="00E66E4E">
        <w:rPr>
          <w:rFonts w:ascii="Times New Roman" w:hAnsi="Times New Roman" w:cs="Times New Roman"/>
          <w:kern w:val="0"/>
        </w:rPr>
        <w:t xml:space="preserve">ets the </w:t>
      </w:r>
      <w:r w:rsidR="006E4309" w:rsidRPr="00E66E4E">
        <w:rPr>
          <w:rFonts w:ascii="Times New Roman" w:hAnsi="Times New Roman" w:cs="Times New Roman"/>
          <w:kern w:val="0"/>
        </w:rPr>
        <w:t>v</w:t>
      </w:r>
      <w:r w:rsidRPr="00E66E4E">
        <w:rPr>
          <w:rFonts w:ascii="Times New Roman" w:hAnsi="Times New Roman" w:cs="Times New Roman"/>
          <w:kern w:val="0"/>
        </w:rPr>
        <w:t>erb? Effects of</w:t>
      </w:r>
      <w:r w:rsidR="006E4309" w:rsidRPr="00E66E4E">
        <w:rPr>
          <w:rFonts w:ascii="Times New Roman" w:hAnsi="Times New Roman" w:cs="Times New Roman"/>
          <w:kern w:val="0"/>
        </w:rPr>
        <w:t xml:space="preserve"> a</w:t>
      </w:r>
      <w:r w:rsidRPr="00E66E4E">
        <w:rPr>
          <w:rFonts w:ascii="Times New Roman" w:hAnsi="Times New Roman" w:cs="Times New Roman"/>
          <w:kern w:val="0"/>
        </w:rPr>
        <w:t xml:space="preserve">ge of </w:t>
      </w:r>
      <w:r w:rsidR="006E4309" w:rsidRPr="00E66E4E">
        <w:rPr>
          <w:rFonts w:ascii="Times New Roman" w:hAnsi="Times New Roman" w:cs="Times New Roman"/>
          <w:kern w:val="0"/>
        </w:rPr>
        <w:t>a</w:t>
      </w:r>
      <w:r w:rsidRPr="00E66E4E">
        <w:rPr>
          <w:rFonts w:ascii="Times New Roman" w:hAnsi="Times New Roman" w:cs="Times New Roman"/>
          <w:kern w:val="0"/>
        </w:rPr>
        <w:t xml:space="preserve">cquisition of English on </w:t>
      </w:r>
      <w:r w:rsidR="006E4309" w:rsidRPr="00E66E4E">
        <w:rPr>
          <w:rFonts w:ascii="Times New Roman" w:hAnsi="Times New Roman" w:cs="Times New Roman"/>
          <w:kern w:val="0"/>
        </w:rPr>
        <w:t>a</w:t>
      </w:r>
      <w:r w:rsidRPr="00E66E4E">
        <w:rPr>
          <w:rFonts w:ascii="Times New Roman" w:hAnsi="Times New Roman" w:cs="Times New Roman"/>
          <w:kern w:val="0"/>
        </w:rPr>
        <w:t xml:space="preserve">dult </w:t>
      </w:r>
      <w:r w:rsidR="006E4309" w:rsidRPr="00E66E4E">
        <w:rPr>
          <w:rFonts w:ascii="Times New Roman" w:hAnsi="Times New Roman" w:cs="Times New Roman"/>
          <w:kern w:val="0"/>
        </w:rPr>
        <w:t>h</w:t>
      </w:r>
      <w:r w:rsidRPr="00E66E4E">
        <w:rPr>
          <w:rFonts w:ascii="Times New Roman" w:hAnsi="Times New Roman" w:cs="Times New Roman"/>
          <w:kern w:val="0"/>
        </w:rPr>
        <w:t xml:space="preserve">eritage </w:t>
      </w:r>
      <w:r w:rsidR="006E4309" w:rsidRPr="00E66E4E">
        <w:rPr>
          <w:rFonts w:ascii="Times New Roman" w:hAnsi="Times New Roman" w:cs="Times New Roman"/>
          <w:kern w:val="0"/>
        </w:rPr>
        <w:t>s</w:t>
      </w:r>
      <w:r w:rsidRPr="00E66E4E">
        <w:rPr>
          <w:rFonts w:ascii="Times New Roman" w:hAnsi="Times New Roman" w:cs="Times New Roman"/>
          <w:kern w:val="0"/>
        </w:rPr>
        <w:t xml:space="preserve">peakers’ </w:t>
      </w:r>
      <w:r w:rsidR="006E4309" w:rsidRPr="00E66E4E">
        <w:rPr>
          <w:rFonts w:ascii="Times New Roman" w:hAnsi="Times New Roman" w:cs="Times New Roman"/>
          <w:kern w:val="0"/>
        </w:rPr>
        <w:t>k</w:t>
      </w:r>
      <w:r w:rsidRPr="00E66E4E">
        <w:rPr>
          <w:rFonts w:ascii="Times New Roman" w:hAnsi="Times New Roman" w:cs="Times New Roman"/>
          <w:kern w:val="0"/>
        </w:rPr>
        <w:t xml:space="preserve">nowledge of </w:t>
      </w:r>
      <w:r w:rsidR="006E4309" w:rsidRPr="00E66E4E">
        <w:rPr>
          <w:rFonts w:ascii="Times New Roman" w:hAnsi="Times New Roman" w:cs="Times New Roman"/>
          <w:kern w:val="0"/>
        </w:rPr>
        <w:t>s</w:t>
      </w:r>
      <w:r w:rsidRPr="00E66E4E">
        <w:rPr>
          <w:rFonts w:ascii="Times New Roman" w:hAnsi="Times New Roman" w:cs="Times New Roman"/>
          <w:kern w:val="0"/>
        </w:rPr>
        <w:t xml:space="preserve">ubjunctive </w:t>
      </w:r>
      <w:r w:rsidR="006E4309" w:rsidRPr="00E66E4E">
        <w:rPr>
          <w:rFonts w:ascii="Times New Roman" w:hAnsi="Times New Roman" w:cs="Times New Roman"/>
          <w:kern w:val="0"/>
        </w:rPr>
        <w:t>m</w:t>
      </w:r>
      <w:r w:rsidRPr="00E66E4E">
        <w:rPr>
          <w:rFonts w:ascii="Times New Roman" w:hAnsi="Times New Roman" w:cs="Times New Roman"/>
          <w:kern w:val="0"/>
        </w:rPr>
        <w:t xml:space="preserve">ood in Spanish.” </w:t>
      </w:r>
      <w:r w:rsidRPr="00E66E4E">
        <w:rPr>
          <w:rFonts w:ascii="Times New Roman" w:hAnsi="Times New Roman" w:cs="Times New Roman"/>
          <w:i/>
          <w:iCs/>
          <w:kern w:val="0"/>
        </w:rPr>
        <w:t>Languages</w:t>
      </w:r>
      <w:r w:rsidRPr="00E66E4E">
        <w:rPr>
          <w:rFonts w:ascii="Times New Roman" w:hAnsi="Times New Roman" w:cs="Times New Roman"/>
          <w:kern w:val="0"/>
        </w:rPr>
        <w:t xml:space="preserve"> 4</w:t>
      </w:r>
      <w:r w:rsidR="006E4309" w:rsidRPr="00E66E4E">
        <w:rPr>
          <w:rFonts w:ascii="Times New Roman" w:hAnsi="Times New Roman" w:cs="Times New Roman"/>
          <w:kern w:val="0"/>
        </w:rPr>
        <w:t>:</w:t>
      </w:r>
      <w:r w:rsidRPr="00E66E4E">
        <w:rPr>
          <w:rFonts w:ascii="Times New Roman" w:hAnsi="Times New Roman" w:cs="Times New Roman"/>
          <w:kern w:val="0"/>
        </w:rPr>
        <w:t>69</w:t>
      </w:r>
      <w:r w:rsidR="006E4309" w:rsidRPr="00E66E4E">
        <w:rPr>
          <w:rFonts w:ascii="Times New Roman" w:hAnsi="Times New Roman" w:cs="Times New Roman"/>
          <w:kern w:val="0"/>
        </w:rPr>
        <w:t>.</w:t>
      </w:r>
      <w:r w:rsidRPr="00E66E4E">
        <w:rPr>
          <w:rFonts w:ascii="Times New Roman" w:hAnsi="Times New Roman" w:cs="Times New Roman"/>
          <w:kern w:val="0"/>
        </w:rPr>
        <w:t xml:space="preserve"> 1</w:t>
      </w:r>
      <w:r w:rsidR="006E4309" w:rsidRPr="00E66E4E">
        <w:rPr>
          <w:rFonts w:ascii="Times New Roman" w:hAnsi="Times New Roman" w:cs="Times New Roman"/>
          <w:kern w:val="0"/>
        </w:rPr>
        <w:t>-</w:t>
      </w:r>
      <w:r w:rsidRPr="00E66E4E">
        <w:rPr>
          <w:rFonts w:ascii="Times New Roman" w:hAnsi="Times New Roman" w:cs="Times New Roman"/>
          <w:kern w:val="0"/>
        </w:rPr>
        <w:t>34. https://doi.org/10.3390/languages4030069</w:t>
      </w:r>
    </w:p>
    <w:p w14:paraId="5492FBD3" w14:textId="2200C1D2"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 2020. “Not in the Mood: Frequency Effects in Heritage Speakers’ Subjunctive Knowledge.” In </w:t>
      </w:r>
      <w:r w:rsidRPr="00E66E4E">
        <w:rPr>
          <w:rFonts w:ascii="Times New Roman" w:hAnsi="Times New Roman" w:cs="Times New Roman"/>
          <w:i/>
          <w:iCs/>
          <w:kern w:val="0"/>
        </w:rPr>
        <w:t>Studies in Bilingualism</w:t>
      </w:r>
      <w:r w:rsidRPr="00E66E4E">
        <w:rPr>
          <w:rFonts w:ascii="Times New Roman" w:hAnsi="Times New Roman" w:cs="Times New Roman"/>
          <w:kern w:val="0"/>
        </w:rPr>
        <w:t>, ed</w:t>
      </w:r>
      <w:r w:rsidR="001715B4" w:rsidRPr="00E66E4E">
        <w:rPr>
          <w:rFonts w:ascii="Times New Roman" w:hAnsi="Times New Roman" w:cs="Times New Roman"/>
          <w:kern w:val="0"/>
        </w:rPr>
        <w:t>.</w:t>
      </w:r>
      <w:r w:rsidRPr="00E66E4E">
        <w:rPr>
          <w:rFonts w:ascii="Times New Roman" w:hAnsi="Times New Roman" w:cs="Times New Roman"/>
          <w:kern w:val="0"/>
        </w:rPr>
        <w:t xml:space="preserve"> by Bernhard Brehmer </w:t>
      </w:r>
      <w:r w:rsidR="001715B4" w:rsidRPr="00E66E4E">
        <w:rPr>
          <w:rFonts w:ascii="Times New Roman" w:hAnsi="Times New Roman" w:cs="Times New Roman"/>
          <w:kern w:val="0"/>
        </w:rPr>
        <w:t>&amp;</w:t>
      </w:r>
      <w:r w:rsidRPr="00E66E4E">
        <w:rPr>
          <w:rFonts w:ascii="Times New Roman" w:hAnsi="Times New Roman" w:cs="Times New Roman"/>
          <w:kern w:val="0"/>
        </w:rPr>
        <w:t xml:space="preserve"> Jeanine Treffers-Daller</w:t>
      </w:r>
      <w:r w:rsidR="001715B4" w:rsidRPr="00E66E4E">
        <w:rPr>
          <w:rFonts w:ascii="Times New Roman" w:hAnsi="Times New Roman" w:cs="Times New Roman"/>
          <w:kern w:val="0"/>
        </w:rPr>
        <w:t xml:space="preserve">, </w:t>
      </w:r>
      <w:r w:rsidRPr="00E66E4E">
        <w:rPr>
          <w:rFonts w:ascii="Times New Roman" w:hAnsi="Times New Roman" w:cs="Times New Roman"/>
          <w:kern w:val="0"/>
        </w:rPr>
        <w:t>72</w:t>
      </w:r>
      <w:r w:rsidR="001715B4" w:rsidRPr="00E66E4E">
        <w:rPr>
          <w:rFonts w:ascii="Times New Roman" w:hAnsi="Times New Roman" w:cs="Times New Roman"/>
          <w:kern w:val="0"/>
        </w:rPr>
        <w:t>-</w:t>
      </w:r>
      <w:r w:rsidRPr="00E66E4E">
        <w:rPr>
          <w:rFonts w:ascii="Times New Roman" w:hAnsi="Times New Roman" w:cs="Times New Roman"/>
          <w:kern w:val="0"/>
        </w:rPr>
        <w:t>97. Amsterdam: John Benjamins. https://doi.org/10.1075/sibil.59.03gia</w:t>
      </w:r>
    </w:p>
    <w:p w14:paraId="25D3AC70" w14:textId="50BF1C13"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Giancaspro, David, Silvia Perez‐Cortes, </w:t>
      </w:r>
      <w:r w:rsidR="006E4309" w:rsidRPr="00E66E4E">
        <w:rPr>
          <w:rFonts w:ascii="Times New Roman" w:hAnsi="Times New Roman" w:cs="Times New Roman"/>
          <w:kern w:val="0"/>
        </w:rPr>
        <w:t>&amp;</w:t>
      </w:r>
      <w:r w:rsidRPr="00E66E4E">
        <w:rPr>
          <w:rFonts w:ascii="Times New Roman" w:hAnsi="Times New Roman" w:cs="Times New Roman"/>
          <w:kern w:val="0"/>
        </w:rPr>
        <w:t xml:space="preserve"> Josh Higdon. 2022. “(Ir)Regular </w:t>
      </w:r>
      <w:r w:rsidR="006E4309" w:rsidRPr="00E66E4E">
        <w:rPr>
          <w:rFonts w:ascii="Times New Roman" w:hAnsi="Times New Roman" w:cs="Times New Roman"/>
          <w:kern w:val="0"/>
        </w:rPr>
        <w:t>m</w:t>
      </w:r>
      <w:r w:rsidRPr="00E66E4E">
        <w:rPr>
          <w:rFonts w:ascii="Times New Roman" w:hAnsi="Times New Roman" w:cs="Times New Roman"/>
          <w:kern w:val="0"/>
        </w:rPr>
        <w:t xml:space="preserve">ood </w:t>
      </w:r>
      <w:r w:rsidR="006E4309" w:rsidRPr="00E66E4E">
        <w:rPr>
          <w:rFonts w:ascii="Times New Roman" w:hAnsi="Times New Roman" w:cs="Times New Roman"/>
          <w:kern w:val="0"/>
        </w:rPr>
        <w:t>s</w:t>
      </w:r>
      <w:r w:rsidRPr="00E66E4E">
        <w:rPr>
          <w:rFonts w:ascii="Times New Roman" w:hAnsi="Times New Roman" w:cs="Times New Roman"/>
          <w:kern w:val="0"/>
        </w:rPr>
        <w:t xml:space="preserve">wings: Lexical </w:t>
      </w:r>
      <w:r w:rsidR="006E4309" w:rsidRPr="00E66E4E">
        <w:rPr>
          <w:rFonts w:ascii="Times New Roman" w:hAnsi="Times New Roman" w:cs="Times New Roman"/>
          <w:kern w:val="0"/>
        </w:rPr>
        <w:t>v</w:t>
      </w:r>
      <w:r w:rsidRPr="00E66E4E">
        <w:rPr>
          <w:rFonts w:ascii="Times New Roman" w:hAnsi="Times New Roman" w:cs="Times New Roman"/>
          <w:kern w:val="0"/>
        </w:rPr>
        <w:t xml:space="preserve">ariability in </w:t>
      </w:r>
      <w:r w:rsidR="006E4309" w:rsidRPr="00E66E4E">
        <w:rPr>
          <w:rFonts w:ascii="Times New Roman" w:hAnsi="Times New Roman" w:cs="Times New Roman"/>
          <w:kern w:val="0"/>
        </w:rPr>
        <w:t>h</w:t>
      </w:r>
      <w:r w:rsidRPr="00E66E4E">
        <w:rPr>
          <w:rFonts w:ascii="Times New Roman" w:hAnsi="Times New Roman" w:cs="Times New Roman"/>
          <w:kern w:val="0"/>
        </w:rPr>
        <w:t xml:space="preserve">eritage </w:t>
      </w:r>
      <w:r w:rsidR="006E4309" w:rsidRPr="00E66E4E">
        <w:rPr>
          <w:rFonts w:ascii="Times New Roman" w:hAnsi="Times New Roman" w:cs="Times New Roman"/>
          <w:kern w:val="0"/>
        </w:rPr>
        <w:t>s</w:t>
      </w:r>
      <w:r w:rsidRPr="00E66E4E">
        <w:rPr>
          <w:rFonts w:ascii="Times New Roman" w:hAnsi="Times New Roman" w:cs="Times New Roman"/>
          <w:kern w:val="0"/>
        </w:rPr>
        <w:t xml:space="preserve">peakers’ </w:t>
      </w:r>
      <w:r w:rsidR="006E4309" w:rsidRPr="00E66E4E">
        <w:rPr>
          <w:rFonts w:ascii="Times New Roman" w:hAnsi="Times New Roman" w:cs="Times New Roman"/>
          <w:kern w:val="0"/>
        </w:rPr>
        <w:t>o</w:t>
      </w:r>
      <w:r w:rsidRPr="00E66E4E">
        <w:rPr>
          <w:rFonts w:ascii="Times New Roman" w:hAnsi="Times New Roman" w:cs="Times New Roman"/>
          <w:kern w:val="0"/>
        </w:rPr>
        <w:t xml:space="preserve">ral </w:t>
      </w:r>
      <w:r w:rsidR="006E4309" w:rsidRPr="00E66E4E">
        <w:rPr>
          <w:rFonts w:ascii="Times New Roman" w:hAnsi="Times New Roman" w:cs="Times New Roman"/>
          <w:kern w:val="0"/>
        </w:rPr>
        <w:t>p</w:t>
      </w:r>
      <w:r w:rsidRPr="00E66E4E">
        <w:rPr>
          <w:rFonts w:ascii="Times New Roman" w:hAnsi="Times New Roman" w:cs="Times New Roman"/>
          <w:kern w:val="0"/>
        </w:rPr>
        <w:t xml:space="preserve">roduction of </w:t>
      </w:r>
      <w:r w:rsidR="006E4309" w:rsidRPr="00E66E4E">
        <w:rPr>
          <w:rFonts w:ascii="Times New Roman" w:hAnsi="Times New Roman" w:cs="Times New Roman"/>
          <w:kern w:val="0"/>
        </w:rPr>
        <w:t>s</w:t>
      </w:r>
      <w:r w:rsidRPr="00E66E4E">
        <w:rPr>
          <w:rFonts w:ascii="Times New Roman" w:hAnsi="Times New Roman" w:cs="Times New Roman"/>
          <w:kern w:val="0"/>
        </w:rPr>
        <w:t xml:space="preserve">ubjunctive </w:t>
      </w:r>
      <w:r w:rsidR="006E4309" w:rsidRPr="00E66E4E">
        <w:rPr>
          <w:rFonts w:ascii="Times New Roman" w:hAnsi="Times New Roman" w:cs="Times New Roman"/>
          <w:kern w:val="0"/>
        </w:rPr>
        <w:t>m</w:t>
      </w:r>
      <w:r w:rsidRPr="00E66E4E">
        <w:rPr>
          <w:rFonts w:ascii="Times New Roman" w:hAnsi="Times New Roman" w:cs="Times New Roman"/>
          <w:kern w:val="0"/>
        </w:rPr>
        <w:t xml:space="preserve">ood.” </w:t>
      </w:r>
      <w:r w:rsidRPr="00E66E4E">
        <w:rPr>
          <w:rFonts w:ascii="Times New Roman" w:hAnsi="Times New Roman" w:cs="Times New Roman"/>
          <w:i/>
          <w:iCs/>
          <w:kern w:val="0"/>
        </w:rPr>
        <w:t>Language Learning</w:t>
      </w:r>
      <w:r w:rsidRPr="00E66E4E">
        <w:rPr>
          <w:rFonts w:ascii="Times New Roman" w:hAnsi="Times New Roman" w:cs="Times New Roman"/>
          <w:kern w:val="0"/>
        </w:rPr>
        <w:t xml:space="preserve"> 72</w:t>
      </w:r>
      <w:r w:rsidR="006E4309" w:rsidRPr="00E66E4E">
        <w:rPr>
          <w:rFonts w:ascii="Times New Roman" w:hAnsi="Times New Roman" w:cs="Times New Roman"/>
          <w:kern w:val="0"/>
        </w:rPr>
        <w:t>:</w:t>
      </w:r>
      <w:r w:rsidRPr="00E66E4E">
        <w:rPr>
          <w:rFonts w:ascii="Times New Roman" w:hAnsi="Times New Roman" w:cs="Times New Roman"/>
          <w:kern w:val="0"/>
        </w:rPr>
        <w:t>2</w:t>
      </w:r>
      <w:r w:rsidR="006E4309" w:rsidRPr="00E66E4E">
        <w:rPr>
          <w:rFonts w:ascii="Times New Roman" w:hAnsi="Times New Roman" w:cs="Times New Roman"/>
          <w:kern w:val="0"/>
        </w:rPr>
        <w:t>.</w:t>
      </w:r>
      <w:r w:rsidRPr="00E66E4E">
        <w:rPr>
          <w:rFonts w:ascii="Times New Roman" w:hAnsi="Times New Roman" w:cs="Times New Roman"/>
          <w:kern w:val="0"/>
        </w:rPr>
        <w:t xml:space="preserve"> 456</w:t>
      </w:r>
      <w:r w:rsidR="006E4309" w:rsidRPr="00E66E4E">
        <w:rPr>
          <w:rFonts w:ascii="Times New Roman" w:hAnsi="Times New Roman" w:cs="Times New Roman"/>
          <w:kern w:val="0"/>
        </w:rPr>
        <w:t>-4</w:t>
      </w:r>
      <w:r w:rsidRPr="00E66E4E">
        <w:rPr>
          <w:rFonts w:ascii="Times New Roman" w:hAnsi="Times New Roman" w:cs="Times New Roman"/>
          <w:kern w:val="0"/>
        </w:rPr>
        <w:t>96. https://doi.org/10.1111/lang.12489</w:t>
      </w:r>
    </w:p>
    <w:p w14:paraId="448B15E9" w14:textId="168C694B"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Guijarro-Fuentes, Pedro, Acrisio Pires</w:t>
      </w:r>
      <w:r w:rsidR="006E4309" w:rsidRPr="00E66E4E">
        <w:rPr>
          <w:rFonts w:ascii="Times New Roman" w:hAnsi="Times New Roman" w:cs="Times New Roman"/>
          <w:kern w:val="0"/>
        </w:rPr>
        <w:t xml:space="preserve"> &amp; </w:t>
      </w:r>
      <w:r w:rsidRPr="00E66E4E">
        <w:rPr>
          <w:rFonts w:ascii="Times New Roman" w:hAnsi="Times New Roman" w:cs="Times New Roman"/>
          <w:kern w:val="0"/>
        </w:rPr>
        <w:t xml:space="preserve">Will Nediger. 2017. “Delay in the </w:t>
      </w:r>
      <w:r w:rsidR="006E4309" w:rsidRPr="00E66E4E">
        <w:rPr>
          <w:rFonts w:ascii="Times New Roman" w:hAnsi="Times New Roman" w:cs="Times New Roman"/>
          <w:kern w:val="0"/>
        </w:rPr>
        <w:t>a</w:t>
      </w:r>
      <w:r w:rsidRPr="00E66E4E">
        <w:rPr>
          <w:rFonts w:ascii="Times New Roman" w:hAnsi="Times New Roman" w:cs="Times New Roman"/>
          <w:kern w:val="0"/>
        </w:rPr>
        <w:t xml:space="preserve">cquisition of </w:t>
      </w:r>
      <w:r w:rsidR="006E4309" w:rsidRPr="00E66E4E">
        <w:rPr>
          <w:rFonts w:ascii="Times New Roman" w:hAnsi="Times New Roman" w:cs="Times New Roman"/>
          <w:kern w:val="0"/>
        </w:rPr>
        <w:t>d</w:t>
      </w:r>
      <w:r w:rsidRPr="00E66E4E">
        <w:rPr>
          <w:rFonts w:ascii="Times New Roman" w:hAnsi="Times New Roman" w:cs="Times New Roman"/>
          <w:kern w:val="0"/>
        </w:rPr>
        <w:t xml:space="preserve">ifferential </w:t>
      </w:r>
      <w:r w:rsidR="006E4309" w:rsidRPr="00E66E4E">
        <w:rPr>
          <w:rFonts w:ascii="Times New Roman" w:hAnsi="Times New Roman" w:cs="Times New Roman"/>
          <w:kern w:val="0"/>
        </w:rPr>
        <w:t>o</w:t>
      </w:r>
      <w:r w:rsidRPr="00E66E4E">
        <w:rPr>
          <w:rFonts w:ascii="Times New Roman" w:hAnsi="Times New Roman" w:cs="Times New Roman"/>
          <w:kern w:val="0"/>
        </w:rPr>
        <w:t xml:space="preserve">bject </w:t>
      </w:r>
      <w:r w:rsidR="006E4309" w:rsidRPr="00E66E4E">
        <w:rPr>
          <w:rFonts w:ascii="Times New Roman" w:hAnsi="Times New Roman" w:cs="Times New Roman"/>
          <w:kern w:val="0"/>
        </w:rPr>
        <w:t>m</w:t>
      </w:r>
      <w:r w:rsidRPr="00E66E4E">
        <w:rPr>
          <w:rFonts w:ascii="Times New Roman" w:hAnsi="Times New Roman" w:cs="Times New Roman"/>
          <w:kern w:val="0"/>
        </w:rPr>
        <w:t xml:space="preserve">arking by Spanish </w:t>
      </w:r>
      <w:r w:rsidR="006E4309" w:rsidRPr="00E66E4E">
        <w:rPr>
          <w:rFonts w:ascii="Times New Roman" w:hAnsi="Times New Roman" w:cs="Times New Roman"/>
          <w:kern w:val="0"/>
        </w:rPr>
        <w:t>m</w:t>
      </w:r>
      <w:r w:rsidRPr="00E66E4E">
        <w:rPr>
          <w:rFonts w:ascii="Times New Roman" w:hAnsi="Times New Roman" w:cs="Times New Roman"/>
          <w:kern w:val="0"/>
        </w:rPr>
        <w:t>onolingual and</w:t>
      </w:r>
      <w:r w:rsidR="006E4309" w:rsidRPr="00E66E4E">
        <w:rPr>
          <w:rFonts w:ascii="Times New Roman" w:hAnsi="Times New Roman" w:cs="Times New Roman"/>
          <w:kern w:val="0"/>
        </w:rPr>
        <w:t xml:space="preserve"> b</w:t>
      </w:r>
      <w:r w:rsidRPr="00E66E4E">
        <w:rPr>
          <w:rFonts w:ascii="Times New Roman" w:hAnsi="Times New Roman" w:cs="Times New Roman"/>
          <w:kern w:val="0"/>
        </w:rPr>
        <w:t xml:space="preserve">ilingual </w:t>
      </w:r>
      <w:r w:rsidR="006E4309" w:rsidRPr="00E66E4E">
        <w:rPr>
          <w:rFonts w:ascii="Times New Roman" w:hAnsi="Times New Roman" w:cs="Times New Roman"/>
          <w:kern w:val="0"/>
        </w:rPr>
        <w:t>t</w:t>
      </w:r>
      <w:r w:rsidRPr="00E66E4E">
        <w:rPr>
          <w:rFonts w:ascii="Times New Roman" w:hAnsi="Times New Roman" w:cs="Times New Roman"/>
          <w:kern w:val="0"/>
        </w:rPr>
        <w:t xml:space="preserve">eenagers.” </w:t>
      </w:r>
      <w:r w:rsidRPr="00E66E4E">
        <w:rPr>
          <w:rFonts w:ascii="Times New Roman" w:hAnsi="Times New Roman" w:cs="Times New Roman"/>
          <w:i/>
          <w:iCs/>
          <w:kern w:val="0"/>
        </w:rPr>
        <w:t>International Journal of Bilingualism</w:t>
      </w:r>
      <w:r w:rsidRPr="00E66E4E">
        <w:rPr>
          <w:rFonts w:ascii="Times New Roman" w:hAnsi="Times New Roman" w:cs="Times New Roman"/>
          <w:kern w:val="0"/>
        </w:rPr>
        <w:t xml:space="preserve"> 21</w:t>
      </w:r>
      <w:r w:rsidR="006E4309" w:rsidRPr="00E66E4E">
        <w:rPr>
          <w:rFonts w:ascii="Times New Roman" w:hAnsi="Times New Roman" w:cs="Times New Roman"/>
          <w:kern w:val="0"/>
        </w:rPr>
        <w:t>:</w:t>
      </w:r>
      <w:r w:rsidRPr="00E66E4E">
        <w:rPr>
          <w:rFonts w:ascii="Times New Roman" w:hAnsi="Times New Roman" w:cs="Times New Roman"/>
          <w:kern w:val="0"/>
        </w:rPr>
        <w:t>2</w:t>
      </w:r>
      <w:r w:rsidR="006E4309" w:rsidRPr="00E66E4E">
        <w:rPr>
          <w:rFonts w:ascii="Times New Roman" w:hAnsi="Times New Roman" w:cs="Times New Roman"/>
          <w:kern w:val="0"/>
        </w:rPr>
        <w:t>.</w:t>
      </w:r>
      <w:r w:rsidRPr="00E66E4E">
        <w:rPr>
          <w:rFonts w:ascii="Times New Roman" w:hAnsi="Times New Roman" w:cs="Times New Roman"/>
          <w:kern w:val="0"/>
        </w:rPr>
        <w:t xml:space="preserve"> 159</w:t>
      </w:r>
      <w:r w:rsidR="006E4309" w:rsidRPr="00E66E4E">
        <w:rPr>
          <w:rFonts w:ascii="Times New Roman" w:hAnsi="Times New Roman" w:cs="Times New Roman"/>
          <w:kern w:val="0"/>
        </w:rPr>
        <w:t>-1</w:t>
      </w:r>
      <w:r w:rsidRPr="00E66E4E">
        <w:rPr>
          <w:rFonts w:ascii="Times New Roman" w:hAnsi="Times New Roman" w:cs="Times New Roman"/>
          <w:kern w:val="0"/>
        </w:rPr>
        <w:t>77. https://doi.org/10.1177/1367006915601249</w:t>
      </w:r>
    </w:p>
    <w:p w14:paraId="26D46197" w14:textId="0CF41834"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Hicks, Glyn</w:t>
      </w:r>
      <w:r w:rsidR="006E4309" w:rsidRPr="00E66E4E">
        <w:rPr>
          <w:rFonts w:ascii="Times New Roman" w:hAnsi="Times New Roman" w:cs="Times New Roman"/>
          <w:kern w:val="0"/>
        </w:rPr>
        <w:t xml:space="preserve"> &amp; </w:t>
      </w:r>
      <w:r w:rsidRPr="00E66E4E">
        <w:rPr>
          <w:rFonts w:ascii="Times New Roman" w:hAnsi="Times New Roman" w:cs="Times New Roman"/>
          <w:kern w:val="0"/>
        </w:rPr>
        <w:t xml:space="preserve">Laura Domínguez. 2020. “A </w:t>
      </w:r>
      <w:r w:rsidR="006E4309" w:rsidRPr="00E66E4E">
        <w:rPr>
          <w:rFonts w:ascii="Times New Roman" w:hAnsi="Times New Roman" w:cs="Times New Roman"/>
          <w:kern w:val="0"/>
        </w:rPr>
        <w:t>m</w:t>
      </w:r>
      <w:r w:rsidRPr="00E66E4E">
        <w:rPr>
          <w:rFonts w:ascii="Times New Roman" w:hAnsi="Times New Roman" w:cs="Times New Roman"/>
          <w:kern w:val="0"/>
        </w:rPr>
        <w:t xml:space="preserve">odel for L1 </w:t>
      </w:r>
      <w:r w:rsidR="006E4309" w:rsidRPr="00E66E4E">
        <w:rPr>
          <w:rFonts w:ascii="Times New Roman" w:hAnsi="Times New Roman" w:cs="Times New Roman"/>
          <w:kern w:val="0"/>
        </w:rPr>
        <w:t>g</w:t>
      </w:r>
      <w:r w:rsidRPr="00E66E4E">
        <w:rPr>
          <w:rFonts w:ascii="Times New Roman" w:hAnsi="Times New Roman" w:cs="Times New Roman"/>
          <w:kern w:val="0"/>
        </w:rPr>
        <w:t xml:space="preserve">rammatical </w:t>
      </w:r>
      <w:r w:rsidR="006E4309" w:rsidRPr="00E66E4E">
        <w:rPr>
          <w:rFonts w:ascii="Times New Roman" w:hAnsi="Times New Roman" w:cs="Times New Roman"/>
          <w:kern w:val="0"/>
        </w:rPr>
        <w:t>a</w:t>
      </w:r>
      <w:r w:rsidRPr="00E66E4E">
        <w:rPr>
          <w:rFonts w:ascii="Times New Roman" w:hAnsi="Times New Roman" w:cs="Times New Roman"/>
          <w:kern w:val="0"/>
        </w:rPr>
        <w:t xml:space="preserve">ttrition.” </w:t>
      </w:r>
      <w:r w:rsidRPr="00E66E4E">
        <w:rPr>
          <w:rFonts w:ascii="Times New Roman" w:hAnsi="Times New Roman" w:cs="Times New Roman"/>
          <w:i/>
          <w:iCs/>
          <w:kern w:val="0"/>
        </w:rPr>
        <w:t>Second Language Research</w:t>
      </w:r>
      <w:r w:rsidRPr="00E66E4E">
        <w:rPr>
          <w:rFonts w:ascii="Times New Roman" w:hAnsi="Times New Roman" w:cs="Times New Roman"/>
          <w:kern w:val="0"/>
        </w:rPr>
        <w:t xml:space="preserve"> 36</w:t>
      </w:r>
      <w:r w:rsidR="006E4309" w:rsidRPr="00E66E4E">
        <w:rPr>
          <w:rFonts w:ascii="Times New Roman" w:hAnsi="Times New Roman" w:cs="Times New Roman"/>
          <w:kern w:val="0"/>
        </w:rPr>
        <w:t>:</w:t>
      </w:r>
      <w:r w:rsidRPr="00E66E4E">
        <w:rPr>
          <w:rFonts w:ascii="Times New Roman" w:hAnsi="Times New Roman" w:cs="Times New Roman"/>
          <w:kern w:val="0"/>
        </w:rPr>
        <w:t>2</w:t>
      </w:r>
      <w:r w:rsidR="006E4309" w:rsidRPr="00E66E4E">
        <w:rPr>
          <w:rFonts w:ascii="Times New Roman" w:hAnsi="Times New Roman" w:cs="Times New Roman"/>
          <w:kern w:val="0"/>
        </w:rPr>
        <w:t>.</w:t>
      </w:r>
      <w:r w:rsidRPr="00E66E4E">
        <w:rPr>
          <w:rFonts w:ascii="Times New Roman" w:hAnsi="Times New Roman" w:cs="Times New Roman"/>
          <w:kern w:val="0"/>
        </w:rPr>
        <w:t xml:space="preserve"> 143</w:t>
      </w:r>
      <w:r w:rsidR="006E4309" w:rsidRPr="00E66E4E">
        <w:rPr>
          <w:rFonts w:ascii="Times New Roman" w:hAnsi="Times New Roman" w:cs="Times New Roman"/>
          <w:kern w:val="0"/>
        </w:rPr>
        <w:t>-1</w:t>
      </w:r>
      <w:r w:rsidRPr="00E66E4E">
        <w:rPr>
          <w:rFonts w:ascii="Times New Roman" w:hAnsi="Times New Roman" w:cs="Times New Roman"/>
          <w:kern w:val="0"/>
        </w:rPr>
        <w:t>65. https://doi.org/10.1177/0267658319862011.</w:t>
      </w:r>
    </w:p>
    <w:p w14:paraId="3CB09E72" w14:textId="118D6871"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Hur, Esther. 2020. “Verbal </w:t>
      </w:r>
      <w:r w:rsidR="006E4309" w:rsidRPr="00E66E4E">
        <w:rPr>
          <w:rFonts w:ascii="Times New Roman" w:hAnsi="Times New Roman" w:cs="Times New Roman"/>
          <w:kern w:val="0"/>
        </w:rPr>
        <w:t>l</w:t>
      </w:r>
      <w:r w:rsidRPr="00E66E4E">
        <w:rPr>
          <w:rFonts w:ascii="Times New Roman" w:hAnsi="Times New Roman" w:cs="Times New Roman"/>
          <w:kern w:val="0"/>
        </w:rPr>
        <w:t xml:space="preserve">exical </w:t>
      </w:r>
      <w:r w:rsidR="006E4309" w:rsidRPr="00E66E4E">
        <w:rPr>
          <w:rFonts w:ascii="Times New Roman" w:hAnsi="Times New Roman" w:cs="Times New Roman"/>
          <w:kern w:val="0"/>
        </w:rPr>
        <w:t>f</w:t>
      </w:r>
      <w:r w:rsidRPr="00E66E4E">
        <w:rPr>
          <w:rFonts w:ascii="Times New Roman" w:hAnsi="Times New Roman" w:cs="Times New Roman"/>
          <w:kern w:val="0"/>
        </w:rPr>
        <w:t xml:space="preserve">requency and DOM in </w:t>
      </w:r>
      <w:r w:rsidR="006E4309" w:rsidRPr="00E66E4E">
        <w:rPr>
          <w:rFonts w:ascii="Times New Roman" w:hAnsi="Times New Roman" w:cs="Times New Roman"/>
          <w:kern w:val="0"/>
        </w:rPr>
        <w:t>h</w:t>
      </w:r>
      <w:r w:rsidRPr="00E66E4E">
        <w:rPr>
          <w:rFonts w:ascii="Times New Roman" w:hAnsi="Times New Roman" w:cs="Times New Roman"/>
          <w:kern w:val="0"/>
        </w:rPr>
        <w:t xml:space="preserve">eritage </w:t>
      </w:r>
      <w:r w:rsidR="006E4309" w:rsidRPr="00E66E4E">
        <w:rPr>
          <w:rFonts w:ascii="Times New Roman" w:hAnsi="Times New Roman" w:cs="Times New Roman"/>
          <w:kern w:val="0"/>
        </w:rPr>
        <w:t>s</w:t>
      </w:r>
      <w:r w:rsidRPr="00E66E4E">
        <w:rPr>
          <w:rFonts w:ascii="Times New Roman" w:hAnsi="Times New Roman" w:cs="Times New Roman"/>
          <w:kern w:val="0"/>
        </w:rPr>
        <w:t xml:space="preserve">peakers of Spanish.” In </w:t>
      </w:r>
      <w:r w:rsidRPr="00E66E4E">
        <w:rPr>
          <w:rFonts w:ascii="Times New Roman" w:hAnsi="Times New Roman" w:cs="Times New Roman"/>
          <w:i/>
          <w:iCs/>
          <w:kern w:val="0"/>
        </w:rPr>
        <w:t>Trends in Language Acquisition Research</w:t>
      </w:r>
      <w:r w:rsidRPr="00E66E4E">
        <w:rPr>
          <w:rFonts w:ascii="Times New Roman" w:hAnsi="Times New Roman" w:cs="Times New Roman"/>
          <w:kern w:val="0"/>
        </w:rPr>
        <w:t>, ed</w:t>
      </w:r>
      <w:r w:rsidR="006E4309" w:rsidRPr="00E66E4E">
        <w:rPr>
          <w:rFonts w:ascii="Times New Roman" w:hAnsi="Times New Roman" w:cs="Times New Roman"/>
          <w:kern w:val="0"/>
        </w:rPr>
        <w:t>.</w:t>
      </w:r>
      <w:r w:rsidRPr="00E66E4E">
        <w:rPr>
          <w:rFonts w:ascii="Times New Roman" w:hAnsi="Times New Roman" w:cs="Times New Roman"/>
          <w:kern w:val="0"/>
        </w:rPr>
        <w:t xml:space="preserve"> by Alexandru Mardale </w:t>
      </w:r>
      <w:r w:rsidR="006E4309" w:rsidRPr="00E66E4E">
        <w:rPr>
          <w:rFonts w:ascii="Times New Roman" w:hAnsi="Times New Roman" w:cs="Times New Roman"/>
          <w:kern w:val="0"/>
        </w:rPr>
        <w:t>&amp;</w:t>
      </w:r>
      <w:r w:rsidRPr="00E66E4E">
        <w:rPr>
          <w:rFonts w:ascii="Times New Roman" w:hAnsi="Times New Roman" w:cs="Times New Roman"/>
          <w:kern w:val="0"/>
        </w:rPr>
        <w:t xml:space="preserve"> Silvina Montrul, 207</w:t>
      </w:r>
      <w:r w:rsidR="006E4309" w:rsidRPr="00E66E4E">
        <w:rPr>
          <w:rFonts w:ascii="Times New Roman" w:hAnsi="Times New Roman" w:cs="Times New Roman"/>
          <w:kern w:val="0"/>
        </w:rPr>
        <w:t>-2</w:t>
      </w:r>
      <w:r w:rsidRPr="00E66E4E">
        <w:rPr>
          <w:rFonts w:ascii="Times New Roman" w:hAnsi="Times New Roman" w:cs="Times New Roman"/>
          <w:kern w:val="0"/>
        </w:rPr>
        <w:t>35. Amsterdam: John Benjamins. https://doi.org/10.1075/tilar.26.hur08</w:t>
      </w:r>
    </w:p>
    <w:p w14:paraId="5EBB44EB" w14:textId="5FCADE9A"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Iverson, Michael, Paula Kempchinsky</w:t>
      </w:r>
      <w:r w:rsidR="006E4309" w:rsidRPr="00E66E4E">
        <w:rPr>
          <w:rFonts w:ascii="Times New Roman" w:hAnsi="Times New Roman" w:cs="Times New Roman"/>
          <w:kern w:val="0"/>
        </w:rPr>
        <w:t xml:space="preserve"> &amp;</w:t>
      </w:r>
      <w:r w:rsidRPr="00E66E4E">
        <w:rPr>
          <w:rFonts w:ascii="Times New Roman" w:hAnsi="Times New Roman" w:cs="Times New Roman"/>
          <w:kern w:val="0"/>
        </w:rPr>
        <w:t xml:space="preserve"> Jason Rothman. 2008. “Interface </w:t>
      </w:r>
      <w:r w:rsidR="006E4309" w:rsidRPr="00E66E4E">
        <w:rPr>
          <w:rFonts w:ascii="Times New Roman" w:hAnsi="Times New Roman" w:cs="Times New Roman"/>
          <w:kern w:val="0"/>
        </w:rPr>
        <w:t>v</w:t>
      </w:r>
      <w:r w:rsidRPr="00E66E4E">
        <w:rPr>
          <w:rFonts w:ascii="Times New Roman" w:hAnsi="Times New Roman" w:cs="Times New Roman"/>
          <w:kern w:val="0"/>
        </w:rPr>
        <w:t xml:space="preserve">ulnerability and </w:t>
      </w:r>
      <w:r w:rsidR="006E4309" w:rsidRPr="00E66E4E">
        <w:rPr>
          <w:rFonts w:ascii="Times New Roman" w:hAnsi="Times New Roman" w:cs="Times New Roman"/>
          <w:kern w:val="0"/>
        </w:rPr>
        <w:t>k</w:t>
      </w:r>
      <w:r w:rsidRPr="00E66E4E">
        <w:rPr>
          <w:rFonts w:ascii="Times New Roman" w:hAnsi="Times New Roman" w:cs="Times New Roman"/>
          <w:kern w:val="0"/>
        </w:rPr>
        <w:t xml:space="preserve">nowledge of the </w:t>
      </w:r>
      <w:r w:rsidR="006E4309" w:rsidRPr="00E66E4E">
        <w:rPr>
          <w:rFonts w:ascii="Times New Roman" w:hAnsi="Times New Roman" w:cs="Times New Roman"/>
          <w:kern w:val="0"/>
        </w:rPr>
        <w:t>s</w:t>
      </w:r>
      <w:r w:rsidRPr="00E66E4E">
        <w:rPr>
          <w:rFonts w:ascii="Times New Roman" w:hAnsi="Times New Roman" w:cs="Times New Roman"/>
          <w:kern w:val="0"/>
        </w:rPr>
        <w:t>ubjunctive/</w:t>
      </w:r>
      <w:r w:rsidR="006E4309" w:rsidRPr="00E66E4E">
        <w:rPr>
          <w:rFonts w:ascii="Times New Roman" w:hAnsi="Times New Roman" w:cs="Times New Roman"/>
          <w:kern w:val="0"/>
        </w:rPr>
        <w:t>i</w:t>
      </w:r>
      <w:r w:rsidRPr="00E66E4E">
        <w:rPr>
          <w:rFonts w:ascii="Times New Roman" w:hAnsi="Times New Roman" w:cs="Times New Roman"/>
          <w:kern w:val="0"/>
        </w:rPr>
        <w:t xml:space="preserve">ndicative </w:t>
      </w:r>
      <w:r w:rsidR="006E4309" w:rsidRPr="00E66E4E">
        <w:rPr>
          <w:rFonts w:ascii="Times New Roman" w:hAnsi="Times New Roman" w:cs="Times New Roman"/>
          <w:kern w:val="0"/>
        </w:rPr>
        <w:t>d</w:t>
      </w:r>
      <w:r w:rsidRPr="00E66E4E">
        <w:rPr>
          <w:rFonts w:ascii="Times New Roman" w:hAnsi="Times New Roman" w:cs="Times New Roman"/>
          <w:kern w:val="0"/>
        </w:rPr>
        <w:t xml:space="preserve">istinction with </w:t>
      </w:r>
      <w:r w:rsidR="006E4309" w:rsidRPr="00E66E4E">
        <w:rPr>
          <w:rFonts w:ascii="Times New Roman" w:hAnsi="Times New Roman" w:cs="Times New Roman"/>
          <w:kern w:val="0"/>
        </w:rPr>
        <w:t>n</w:t>
      </w:r>
      <w:r w:rsidRPr="00E66E4E">
        <w:rPr>
          <w:rFonts w:ascii="Times New Roman" w:hAnsi="Times New Roman" w:cs="Times New Roman"/>
          <w:kern w:val="0"/>
        </w:rPr>
        <w:t xml:space="preserve">egated </w:t>
      </w:r>
      <w:r w:rsidR="006E4309" w:rsidRPr="00E66E4E">
        <w:rPr>
          <w:rFonts w:ascii="Times New Roman" w:hAnsi="Times New Roman" w:cs="Times New Roman"/>
          <w:kern w:val="0"/>
        </w:rPr>
        <w:t>e</w:t>
      </w:r>
      <w:r w:rsidRPr="00E66E4E">
        <w:rPr>
          <w:rFonts w:ascii="Times New Roman" w:hAnsi="Times New Roman" w:cs="Times New Roman"/>
          <w:kern w:val="0"/>
        </w:rPr>
        <w:t xml:space="preserve">pistemic </w:t>
      </w:r>
      <w:r w:rsidR="006E4309" w:rsidRPr="00E66E4E">
        <w:rPr>
          <w:rFonts w:ascii="Times New Roman" w:hAnsi="Times New Roman" w:cs="Times New Roman"/>
          <w:kern w:val="0"/>
        </w:rPr>
        <w:t>p</w:t>
      </w:r>
      <w:r w:rsidRPr="00E66E4E">
        <w:rPr>
          <w:rFonts w:ascii="Times New Roman" w:hAnsi="Times New Roman" w:cs="Times New Roman"/>
          <w:kern w:val="0"/>
        </w:rPr>
        <w:t xml:space="preserve">redicates in L2 Spanish.” </w:t>
      </w:r>
      <w:r w:rsidRPr="00E66E4E">
        <w:rPr>
          <w:rFonts w:ascii="Times New Roman" w:hAnsi="Times New Roman" w:cs="Times New Roman"/>
          <w:i/>
          <w:iCs/>
          <w:kern w:val="0"/>
        </w:rPr>
        <w:t>EUROSLA Yearbook</w:t>
      </w:r>
      <w:r w:rsidRPr="00E66E4E">
        <w:rPr>
          <w:rFonts w:ascii="Times New Roman" w:hAnsi="Times New Roman" w:cs="Times New Roman"/>
          <w:kern w:val="0"/>
        </w:rPr>
        <w:t xml:space="preserve"> 8</w:t>
      </w:r>
      <w:r w:rsidR="006E4309" w:rsidRPr="00E66E4E">
        <w:rPr>
          <w:rFonts w:ascii="Times New Roman" w:hAnsi="Times New Roman" w:cs="Times New Roman"/>
          <w:kern w:val="0"/>
        </w:rPr>
        <w:t xml:space="preserve">. </w:t>
      </w:r>
      <w:r w:rsidRPr="00E66E4E">
        <w:rPr>
          <w:rFonts w:ascii="Times New Roman" w:hAnsi="Times New Roman" w:cs="Times New Roman"/>
          <w:kern w:val="0"/>
        </w:rPr>
        <w:t>135</w:t>
      </w:r>
      <w:r w:rsidR="006E4309" w:rsidRPr="00E66E4E">
        <w:rPr>
          <w:rFonts w:ascii="Times New Roman" w:hAnsi="Times New Roman" w:cs="Times New Roman"/>
          <w:kern w:val="0"/>
        </w:rPr>
        <w:t>-1</w:t>
      </w:r>
      <w:r w:rsidRPr="00E66E4E">
        <w:rPr>
          <w:rFonts w:ascii="Times New Roman" w:hAnsi="Times New Roman" w:cs="Times New Roman"/>
          <w:kern w:val="0"/>
        </w:rPr>
        <w:t>63. https://doi.org/10.1075/eurosla.8.09ive</w:t>
      </w:r>
    </w:p>
    <w:p w14:paraId="514FCC7A" w14:textId="65BCC44B"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Kempchinsky, Paula. 2009. “What </w:t>
      </w:r>
      <w:r w:rsidR="006E4309" w:rsidRPr="00E66E4E">
        <w:rPr>
          <w:rFonts w:ascii="Times New Roman" w:hAnsi="Times New Roman" w:cs="Times New Roman"/>
          <w:kern w:val="0"/>
        </w:rPr>
        <w:t>c</w:t>
      </w:r>
      <w:r w:rsidRPr="00E66E4E">
        <w:rPr>
          <w:rFonts w:ascii="Times New Roman" w:hAnsi="Times New Roman" w:cs="Times New Roman"/>
          <w:kern w:val="0"/>
        </w:rPr>
        <w:t xml:space="preserve">an the </w:t>
      </w:r>
      <w:r w:rsidR="006E4309" w:rsidRPr="00E66E4E">
        <w:rPr>
          <w:rFonts w:ascii="Times New Roman" w:hAnsi="Times New Roman" w:cs="Times New Roman"/>
          <w:kern w:val="0"/>
        </w:rPr>
        <w:t>s</w:t>
      </w:r>
      <w:r w:rsidRPr="00E66E4E">
        <w:rPr>
          <w:rFonts w:ascii="Times New Roman" w:hAnsi="Times New Roman" w:cs="Times New Roman"/>
          <w:kern w:val="0"/>
        </w:rPr>
        <w:t xml:space="preserve">ubjunctive </w:t>
      </w:r>
      <w:r w:rsidR="006E4309" w:rsidRPr="00E66E4E">
        <w:rPr>
          <w:rFonts w:ascii="Times New Roman" w:hAnsi="Times New Roman" w:cs="Times New Roman"/>
          <w:kern w:val="0"/>
        </w:rPr>
        <w:t>d</w:t>
      </w:r>
      <w:r w:rsidRPr="00E66E4E">
        <w:rPr>
          <w:rFonts w:ascii="Times New Roman" w:hAnsi="Times New Roman" w:cs="Times New Roman"/>
          <w:kern w:val="0"/>
        </w:rPr>
        <w:t xml:space="preserve">isjoint </w:t>
      </w:r>
      <w:r w:rsidR="006E4309" w:rsidRPr="00E66E4E">
        <w:rPr>
          <w:rFonts w:ascii="Times New Roman" w:hAnsi="Times New Roman" w:cs="Times New Roman"/>
          <w:kern w:val="0"/>
        </w:rPr>
        <w:t>r</w:t>
      </w:r>
      <w:r w:rsidRPr="00E66E4E">
        <w:rPr>
          <w:rFonts w:ascii="Times New Roman" w:hAnsi="Times New Roman" w:cs="Times New Roman"/>
          <w:kern w:val="0"/>
        </w:rPr>
        <w:t xml:space="preserve">eference </w:t>
      </w:r>
      <w:r w:rsidR="006E4309" w:rsidRPr="00E66E4E">
        <w:rPr>
          <w:rFonts w:ascii="Times New Roman" w:hAnsi="Times New Roman" w:cs="Times New Roman"/>
          <w:kern w:val="0"/>
        </w:rPr>
        <w:t>e</w:t>
      </w:r>
      <w:r w:rsidRPr="00E66E4E">
        <w:rPr>
          <w:rFonts w:ascii="Times New Roman" w:hAnsi="Times New Roman" w:cs="Times New Roman"/>
          <w:kern w:val="0"/>
        </w:rPr>
        <w:t xml:space="preserve">ffect </w:t>
      </w:r>
      <w:r w:rsidR="006E4309" w:rsidRPr="00E66E4E">
        <w:rPr>
          <w:rFonts w:ascii="Times New Roman" w:hAnsi="Times New Roman" w:cs="Times New Roman"/>
          <w:kern w:val="0"/>
        </w:rPr>
        <w:t>t</w:t>
      </w:r>
      <w:r w:rsidRPr="00E66E4E">
        <w:rPr>
          <w:rFonts w:ascii="Times New Roman" w:hAnsi="Times New Roman" w:cs="Times New Roman"/>
          <w:kern w:val="0"/>
        </w:rPr>
        <w:t xml:space="preserve">ell </w:t>
      </w:r>
      <w:r w:rsidR="006E4309" w:rsidRPr="00E66E4E">
        <w:rPr>
          <w:rFonts w:ascii="Times New Roman" w:hAnsi="Times New Roman" w:cs="Times New Roman"/>
          <w:kern w:val="0"/>
        </w:rPr>
        <w:t>u</w:t>
      </w:r>
      <w:r w:rsidRPr="00E66E4E">
        <w:rPr>
          <w:rFonts w:ascii="Times New Roman" w:hAnsi="Times New Roman" w:cs="Times New Roman"/>
          <w:kern w:val="0"/>
        </w:rPr>
        <w:t xml:space="preserve">s about the </w:t>
      </w:r>
      <w:r w:rsidR="006E4309" w:rsidRPr="00E66E4E">
        <w:rPr>
          <w:rFonts w:ascii="Times New Roman" w:hAnsi="Times New Roman" w:cs="Times New Roman"/>
          <w:kern w:val="0"/>
        </w:rPr>
        <w:t>s</w:t>
      </w:r>
      <w:r w:rsidRPr="00E66E4E">
        <w:rPr>
          <w:rFonts w:ascii="Times New Roman" w:hAnsi="Times New Roman" w:cs="Times New Roman"/>
          <w:kern w:val="0"/>
        </w:rPr>
        <w:t xml:space="preserve">ubjunctive?” </w:t>
      </w:r>
      <w:r w:rsidRPr="00E66E4E">
        <w:rPr>
          <w:rFonts w:ascii="Times New Roman" w:hAnsi="Times New Roman" w:cs="Times New Roman"/>
          <w:i/>
          <w:iCs/>
          <w:kern w:val="0"/>
        </w:rPr>
        <w:t>Lingua</w:t>
      </w:r>
      <w:r w:rsidRPr="00E66E4E">
        <w:rPr>
          <w:rFonts w:ascii="Times New Roman" w:hAnsi="Times New Roman" w:cs="Times New Roman"/>
          <w:kern w:val="0"/>
        </w:rPr>
        <w:t xml:space="preserve"> 11</w:t>
      </w:r>
      <w:r w:rsidR="006E4309" w:rsidRPr="00E66E4E">
        <w:rPr>
          <w:rFonts w:ascii="Times New Roman" w:hAnsi="Times New Roman" w:cs="Times New Roman"/>
          <w:kern w:val="0"/>
        </w:rPr>
        <w:t>9:</w:t>
      </w:r>
      <w:r w:rsidRPr="00E66E4E">
        <w:rPr>
          <w:rFonts w:ascii="Times New Roman" w:hAnsi="Times New Roman" w:cs="Times New Roman"/>
          <w:kern w:val="0"/>
        </w:rPr>
        <w:t>12</w:t>
      </w:r>
      <w:r w:rsidR="006E4309" w:rsidRPr="00E66E4E">
        <w:rPr>
          <w:rFonts w:ascii="Times New Roman" w:hAnsi="Times New Roman" w:cs="Times New Roman"/>
          <w:kern w:val="0"/>
        </w:rPr>
        <w:t>.</w:t>
      </w:r>
      <w:r w:rsidRPr="00E66E4E">
        <w:rPr>
          <w:rFonts w:ascii="Times New Roman" w:hAnsi="Times New Roman" w:cs="Times New Roman"/>
          <w:kern w:val="0"/>
        </w:rPr>
        <w:t xml:space="preserve"> 1788</w:t>
      </w:r>
      <w:r w:rsidR="006E4309" w:rsidRPr="00E66E4E">
        <w:rPr>
          <w:rFonts w:ascii="Times New Roman" w:hAnsi="Times New Roman" w:cs="Times New Roman"/>
          <w:kern w:val="0"/>
        </w:rPr>
        <w:t>-</w:t>
      </w:r>
      <w:r w:rsidRPr="00E66E4E">
        <w:rPr>
          <w:rFonts w:ascii="Times New Roman" w:hAnsi="Times New Roman" w:cs="Times New Roman"/>
          <w:kern w:val="0"/>
        </w:rPr>
        <w:t>1810. https://doi.org/10.1016/j.lingua.2008.11.009</w:t>
      </w:r>
    </w:p>
    <w:p w14:paraId="7D644DBE" w14:textId="34B5BE91"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Kupisch, Tanja</w:t>
      </w:r>
      <w:r w:rsidR="006E4309" w:rsidRPr="00E66E4E">
        <w:rPr>
          <w:rFonts w:ascii="Times New Roman" w:hAnsi="Times New Roman" w:cs="Times New Roman"/>
          <w:kern w:val="0"/>
        </w:rPr>
        <w:t xml:space="preserve"> &amp; </w:t>
      </w:r>
      <w:r w:rsidRPr="00E66E4E">
        <w:rPr>
          <w:rFonts w:ascii="Times New Roman" w:hAnsi="Times New Roman" w:cs="Times New Roman"/>
          <w:kern w:val="0"/>
        </w:rPr>
        <w:t xml:space="preserve">Jason Rothman. 2018. “Terminology </w:t>
      </w:r>
      <w:r w:rsidR="00CB2E03" w:rsidRPr="00E66E4E">
        <w:rPr>
          <w:rFonts w:ascii="Times New Roman" w:hAnsi="Times New Roman" w:cs="Times New Roman"/>
          <w:kern w:val="0"/>
        </w:rPr>
        <w:t>m</w:t>
      </w:r>
      <w:r w:rsidRPr="00E66E4E">
        <w:rPr>
          <w:rFonts w:ascii="Times New Roman" w:hAnsi="Times New Roman" w:cs="Times New Roman"/>
          <w:kern w:val="0"/>
        </w:rPr>
        <w:t xml:space="preserve">atters! Why </w:t>
      </w:r>
      <w:r w:rsidR="00CB2E03" w:rsidRPr="00E66E4E">
        <w:rPr>
          <w:rFonts w:ascii="Times New Roman" w:hAnsi="Times New Roman" w:cs="Times New Roman"/>
          <w:kern w:val="0"/>
        </w:rPr>
        <w:t>d</w:t>
      </w:r>
      <w:r w:rsidRPr="00E66E4E">
        <w:rPr>
          <w:rFonts w:ascii="Times New Roman" w:hAnsi="Times New Roman" w:cs="Times New Roman"/>
          <w:kern w:val="0"/>
        </w:rPr>
        <w:t xml:space="preserve">ifference </w:t>
      </w:r>
      <w:r w:rsidR="00CB2E03" w:rsidRPr="00E66E4E">
        <w:rPr>
          <w:rFonts w:ascii="Times New Roman" w:hAnsi="Times New Roman" w:cs="Times New Roman"/>
          <w:kern w:val="0"/>
        </w:rPr>
        <w:t>i</w:t>
      </w:r>
      <w:r w:rsidRPr="00E66E4E">
        <w:rPr>
          <w:rFonts w:ascii="Times New Roman" w:hAnsi="Times New Roman" w:cs="Times New Roman"/>
          <w:kern w:val="0"/>
        </w:rPr>
        <w:t xml:space="preserve">s </w:t>
      </w:r>
      <w:r w:rsidR="00CB2E03" w:rsidRPr="00E66E4E">
        <w:rPr>
          <w:rFonts w:ascii="Times New Roman" w:hAnsi="Times New Roman" w:cs="Times New Roman"/>
          <w:kern w:val="0"/>
        </w:rPr>
        <w:t>n</w:t>
      </w:r>
      <w:r w:rsidRPr="00E66E4E">
        <w:rPr>
          <w:rFonts w:ascii="Times New Roman" w:hAnsi="Times New Roman" w:cs="Times New Roman"/>
          <w:kern w:val="0"/>
        </w:rPr>
        <w:t xml:space="preserve">ot </w:t>
      </w:r>
      <w:r w:rsidR="00CB2E03" w:rsidRPr="00E66E4E">
        <w:rPr>
          <w:rFonts w:ascii="Times New Roman" w:hAnsi="Times New Roman" w:cs="Times New Roman"/>
          <w:kern w:val="0"/>
        </w:rPr>
        <w:t>i</w:t>
      </w:r>
      <w:r w:rsidRPr="00E66E4E">
        <w:rPr>
          <w:rFonts w:ascii="Times New Roman" w:hAnsi="Times New Roman" w:cs="Times New Roman"/>
          <w:kern w:val="0"/>
        </w:rPr>
        <w:t xml:space="preserve">ncompleteness and </w:t>
      </w:r>
      <w:r w:rsidR="00CB2E03" w:rsidRPr="00E66E4E">
        <w:rPr>
          <w:rFonts w:ascii="Times New Roman" w:hAnsi="Times New Roman" w:cs="Times New Roman"/>
          <w:kern w:val="0"/>
        </w:rPr>
        <w:t>h</w:t>
      </w:r>
      <w:r w:rsidRPr="00E66E4E">
        <w:rPr>
          <w:rFonts w:ascii="Times New Roman" w:hAnsi="Times New Roman" w:cs="Times New Roman"/>
          <w:kern w:val="0"/>
        </w:rPr>
        <w:t xml:space="preserve">ow </w:t>
      </w:r>
      <w:r w:rsidR="00CB2E03" w:rsidRPr="00E66E4E">
        <w:rPr>
          <w:rFonts w:ascii="Times New Roman" w:hAnsi="Times New Roman" w:cs="Times New Roman"/>
          <w:kern w:val="0"/>
        </w:rPr>
        <w:t>e</w:t>
      </w:r>
      <w:r w:rsidRPr="00E66E4E">
        <w:rPr>
          <w:rFonts w:ascii="Times New Roman" w:hAnsi="Times New Roman" w:cs="Times New Roman"/>
          <w:kern w:val="0"/>
        </w:rPr>
        <w:t xml:space="preserve">arly </w:t>
      </w:r>
      <w:r w:rsidR="00CB2E03" w:rsidRPr="00E66E4E">
        <w:rPr>
          <w:rFonts w:ascii="Times New Roman" w:hAnsi="Times New Roman" w:cs="Times New Roman"/>
          <w:kern w:val="0"/>
        </w:rPr>
        <w:t>ch</w:t>
      </w:r>
      <w:r w:rsidRPr="00E66E4E">
        <w:rPr>
          <w:rFonts w:ascii="Times New Roman" w:hAnsi="Times New Roman" w:cs="Times New Roman"/>
          <w:kern w:val="0"/>
        </w:rPr>
        <w:t xml:space="preserve">ild </w:t>
      </w:r>
      <w:r w:rsidR="00CB2E03" w:rsidRPr="00E66E4E">
        <w:rPr>
          <w:rFonts w:ascii="Times New Roman" w:hAnsi="Times New Roman" w:cs="Times New Roman"/>
          <w:kern w:val="0"/>
        </w:rPr>
        <w:t>b</w:t>
      </w:r>
      <w:r w:rsidRPr="00E66E4E">
        <w:rPr>
          <w:rFonts w:ascii="Times New Roman" w:hAnsi="Times New Roman" w:cs="Times New Roman"/>
          <w:kern w:val="0"/>
        </w:rPr>
        <w:t xml:space="preserve">ilinguals </w:t>
      </w:r>
      <w:r w:rsidR="00CB2E03" w:rsidRPr="00E66E4E">
        <w:rPr>
          <w:rFonts w:ascii="Times New Roman" w:hAnsi="Times New Roman" w:cs="Times New Roman"/>
          <w:kern w:val="0"/>
        </w:rPr>
        <w:t>a</w:t>
      </w:r>
      <w:r w:rsidRPr="00E66E4E">
        <w:rPr>
          <w:rFonts w:ascii="Times New Roman" w:hAnsi="Times New Roman" w:cs="Times New Roman"/>
          <w:kern w:val="0"/>
        </w:rPr>
        <w:t xml:space="preserve">re </w:t>
      </w:r>
      <w:r w:rsidR="00CB2E03" w:rsidRPr="00E66E4E">
        <w:rPr>
          <w:rFonts w:ascii="Times New Roman" w:hAnsi="Times New Roman" w:cs="Times New Roman"/>
          <w:kern w:val="0"/>
        </w:rPr>
        <w:t>h</w:t>
      </w:r>
      <w:r w:rsidRPr="00E66E4E">
        <w:rPr>
          <w:rFonts w:ascii="Times New Roman" w:hAnsi="Times New Roman" w:cs="Times New Roman"/>
          <w:kern w:val="0"/>
        </w:rPr>
        <w:t xml:space="preserve">eritage </w:t>
      </w:r>
      <w:r w:rsidR="00CB2E03" w:rsidRPr="00E66E4E">
        <w:rPr>
          <w:rFonts w:ascii="Times New Roman" w:hAnsi="Times New Roman" w:cs="Times New Roman"/>
          <w:kern w:val="0"/>
        </w:rPr>
        <w:t>s</w:t>
      </w:r>
      <w:r w:rsidRPr="00E66E4E">
        <w:rPr>
          <w:rFonts w:ascii="Times New Roman" w:hAnsi="Times New Roman" w:cs="Times New Roman"/>
          <w:kern w:val="0"/>
        </w:rPr>
        <w:t xml:space="preserve">peakers.” </w:t>
      </w:r>
      <w:r w:rsidRPr="00E66E4E">
        <w:rPr>
          <w:rFonts w:ascii="Times New Roman" w:hAnsi="Times New Roman" w:cs="Times New Roman"/>
          <w:i/>
          <w:iCs/>
          <w:kern w:val="0"/>
        </w:rPr>
        <w:t>International Journal of Bilingualism</w:t>
      </w:r>
      <w:r w:rsidRPr="00E66E4E">
        <w:rPr>
          <w:rFonts w:ascii="Times New Roman" w:hAnsi="Times New Roman" w:cs="Times New Roman"/>
          <w:kern w:val="0"/>
        </w:rPr>
        <w:t xml:space="preserve"> 22</w:t>
      </w:r>
      <w:r w:rsidR="00CB2E03" w:rsidRPr="00E66E4E">
        <w:rPr>
          <w:rFonts w:ascii="Times New Roman" w:hAnsi="Times New Roman" w:cs="Times New Roman"/>
          <w:kern w:val="0"/>
        </w:rPr>
        <w:t>:</w:t>
      </w:r>
      <w:r w:rsidRPr="00E66E4E">
        <w:rPr>
          <w:rFonts w:ascii="Times New Roman" w:hAnsi="Times New Roman" w:cs="Times New Roman"/>
          <w:kern w:val="0"/>
        </w:rPr>
        <w:t>5</w:t>
      </w:r>
      <w:r w:rsidR="00CB2E03" w:rsidRPr="00E66E4E">
        <w:rPr>
          <w:rFonts w:ascii="Times New Roman" w:hAnsi="Times New Roman" w:cs="Times New Roman"/>
          <w:kern w:val="0"/>
        </w:rPr>
        <w:t>.</w:t>
      </w:r>
      <w:r w:rsidRPr="00E66E4E">
        <w:rPr>
          <w:rFonts w:ascii="Times New Roman" w:hAnsi="Times New Roman" w:cs="Times New Roman"/>
          <w:kern w:val="0"/>
        </w:rPr>
        <w:t xml:space="preserve"> 564</w:t>
      </w:r>
      <w:r w:rsidR="00CB2E03" w:rsidRPr="00E66E4E">
        <w:rPr>
          <w:rFonts w:ascii="Times New Roman" w:hAnsi="Times New Roman" w:cs="Times New Roman"/>
          <w:kern w:val="0"/>
        </w:rPr>
        <w:t>-5</w:t>
      </w:r>
      <w:r w:rsidRPr="00E66E4E">
        <w:rPr>
          <w:rFonts w:ascii="Times New Roman" w:hAnsi="Times New Roman" w:cs="Times New Roman"/>
          <w:kern w:val="0"/>
        </w:rPr>
        <w:t>82. https://doi.org/10.1177/1367006916654355</w:t>
      </w:r>
    </w:p>
    <w:p w14:paraId="0C0761AC" w14:textId="7240170B"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Kuznetsova, Alexandra, Per B. Brockhoff, </w:t>
      </w:r>
      <w:r w:rsidR="00CB2E03" w:rsidRPr="00E66E4E">
        <w:rPr>
          <w:rFonts w:ascii="Times New Roman" w:hAnsi="Times New Roman" w:cs="Times New Roman"/>
          <w:kern w:val="0"/>
        </w:rPr>
        <w:t>&amp;</w:t>
      </w:r>
      <w:r w:rsidRPr="00E66E4E">
        <w:rPr>
          <w:rFonts w:ascii="Times New Roman" w:hAnsi="Times New Roman" w:cs="Times New Roman"/>
          <w:kern w:val="0"/>
        </w:rPr>
        <w:t xml:space="preserve"> Rune H. B. Christensen. 2017. “</w:t>
      </w:r>
      <w:r w:rsidRPr="00E66E4E">
        <w:rPr>
          <w:rFonts w:ascii="Times New Roman" w:hAnsi="Times New Roman" w:cs="Times New Roman"/>
          <w:b/>
          <w:bCs/>
          <w:kern w:val="0"/>
        </w:rPr>
        <w:t>lmerTest</w:t>
      </w:r>
      <w:r w:rsidRPr="00E66E4E">
        <w:rPr>
          <w:rFonts w:ascii="Times New Roman" w:hAnsi="Times New Roman" w:cs="Times New Roman"/>
          <w:kern w:val="0"/>
        </w:rPr>
        <w:t xml:space="preserve"> </w:t>
      </w:r>
      <w:r w:rsidR="00CB2E03" w:rsidRPr="00E66E4E">
        <w:rPr>
          <w:rFonts w:ascii="Times New Roman" w:hAnsi="Times New Roman" w:cs="Times New Roman"/>
          <w:kern w:val="0"/>
        </w:rPr>
        <w:t>p</w:t>
      </w:r>
      <w:r w:rsidRPr="00E66E4E">
        <w:rPr>
          <w:rFonts w:ascii="Times New Roman" w:hAnsi="Times New Roman" w:cs="Times New Roman"/>
          <w:kern w:val="0"/>
        </w:rPr>
        <w:t xml:space="preserve">ackage: Tests in </w:t>
      </w:r>
      <w:r w:rsidR="00CB2E03" w:rsidRPr="00E66E4E">
        <w:rPr>
          <w:rFonts w:ascii="Times New Roman" w:hAnsi="Times New Roman" w:cs="Times New Roman"/>
          <w:kern w:val="0"/>
        </w:rPr>
        <w:t>l</w:t>
      </w:r>
      <w:r w:rsidRPr="00E66E4E">
        <w:rPr>
          <w:rFonts w:ascii="Times New Roman" w:hAnsi="Times New Roman" w:cs="Times New Roman"/>
          <w:kern w:val="0"/>
        </w:rPr>
        <w:t xml:space="preserve">inear </w:t>
      </w:r>
      <w:r w:rsidR="00CB2E03" w:rsidRPr="00E66E4E">
        <w:rPr>
          <w:rFonts w:ascii="Times New Roman" w:hAnsi="Times New Roman" w:cs="Times New Roman"/>
          <w:kern w:val="0"/>
        </w:rPr>
        <w:t>m</w:t>
      </w:r>
      <w:r w:rsidRPr="00E66E4E">
        <w:rPr>
          <w:rFonts w:ascii="Times New Roman" w:hAnsi="Times New Roman" w:cs="Times New Roman"/>
          <w:kern w:val="0"/>
        </w:rPr>
        <w:t xml:space="preserve">ixed </w:t>
      </w:r>
      <w:r w:rsidR="00CB2E03" w:rsidRPr="00E66E4E">
        <w:rPr>
          <w:rFonts w:ascii="Times New Roman" w:hAnsi="Times New Roman" w:cs="Times New Roman"/>
          <w:kern w:val="0"/>
        </w:rPr>
        <w:t>e</w:t>
      </w:r>
      <w:r w:rsidRPr="00E66E4E">
        <w:rPr>
          <w:rFonts w:ascii="Times New Roman" w:hAnsi="Times New Roman" w:cs="Times New Roman"/>
          <w:kern w:val="0"/>
        </w:rPr>
        <w:t xml:space="preserve">ffects </w:t>
      </w:r>
      <w:r w:rsidR="00CB2E03" w:rsidRPr="00E66E4E">
        <w:rPr>
          <w:rFonts w:ascii="Times New Roman" w:hAnsi="Times New Roman" w:cs="Times New Roman"/>
          <w:kern w:val="0"/>
        </w:rPr>
        <w:t>m</w:t>
      </w:r>
      <w:r w:rsidRPr="00E66E4E">
        <w:rPr>
          <w:rFonts w:ascii="Times New Roman" w:hAnsi="Times New Roman" w:cs="Times New Roman"/>
          <w:kern w:val="0"/>
        </w:rPr>
        <w:t xml:space="preserve">odels.” </w:t>
      </w:r>
      <w:r w:rsidRPr="00E66E4E">
        <w:rPr>
          <w:rFonts w:ascii="Times New Roman" w:hAnsi="Times New Roman" w:cs="Times New Roman"/>
          <w:i/>
          <w:iCs/>
          <w:kern w:val="0"/>
        </w:rPr>
        <w:t>Journal of Statistical Software</w:t>
      </w:r>
      <w:r w:rsidRPr="00E66E4E">
        <w:rPr>
          <w:rFonts w:ascii="Times New Roman" w:hAnsi="Times New Roman" w:cs="Times New Roman"/>
          <w:kern w:val="0"/>
        </w:rPr>
        <w:t xml:space="preserve"> 82</w:t>
      </w:r>
      <w:r w:rsidR="00CB2E03" w:rsidRPr="00E66E4E">
        <w:rPr>
          <w:rFonts w:ascii="Times New Roman" w:hAnsi="Times New Roman" w:cs="Times New Roman"/>
          <w:kern w:val="0"/>
        </w:rPr>
        <w:t>:</w:t>
      </w:r>
      <w:r w:rsidRPr="00E66E4E">
        <w:rPr>
          <w:rFonts w:ascii="Times New Roman" w:hAnsi="Times New Roman" w:cs="Times New Roman"/>
          <w:kern w:val="0"/>
        </w:rPr>
        <w:t>13. https://doi.org/10.18637/jss.v082.i13</w:t>
      </w:r>
    </w:p>
    <w:p w14:paraId="123AA954" w14:textId="4C42866B"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Lardiere, Donna. 2009. “Some </w:t>
      </w:r>
      <w:r w:rsidR="00CB2E03" w:rsidRPr="00E66E4E">
        <w:rPr>
          <w:rFonts w:ascii="Times New Roman" w:hAnsi="Times New Roman" w:cs="Times New Roman"/>
          <w:kern w:val="0"/>
        </w:rPr>
        <w:t>t</w:t>
      </w:r>
      <w:r w:rsidRPr="00E66E4E">
        <w:rPr>
          <w:rFonts w:ascii="Times New Roman" w:hAnsi="Times New Roman" w:cs="Times New Roman"/>
          <w:kern w:val="0"/>
        </w:rPr>
        <w:t xml:space="preserve">houghts on the </w:t>
      </w:r>
      <w:r w:rsidR="00CB2E03" w:rsidRPr="00E66E4E">
        <w:rPr>
          <w:rFonts w:ascii="Times New Roman" w:hAnsi="Times New Roman" w:cs="Times New Roman"/>
          <w:kern w:val="0"/>
        </w:rPr>
        <w:t>c</w:t>
      </w:r>
      <w:r w:rsidRPr="00E66E4E">
        <w:rPr>
          <w:rFonts w:ascii="Times New Roman" w:hAnsi="Times New Roman" w:cs="Times New Roman"/>
          <w:kern w:val="0"/>
        </w:rPr>
        <w:t xml:space="preserve">ontrastive </w:t>
      </w:r>
      <w:r w:rsidR="00CB2E03" w:rsidRPr="00E66E4E">
        <w:rPr>
          <w:rFonts w:ascii="Times New Roman" w:hAnsi="Times New Roman" w:cs="Times New Roman"/>
          <w:kern w:val="0"/>
        </w:rPr>
        <w:t>a</w:t>
      </w:r>
      <w:r w:rsidRPr="00E66E4E">
        <w:rPr>
          <w:rFonts w:ascii="Times New Roman" w:hAnsi="Times New Roman" w:cs="Times New Roman"/>
          <w:kern w:val="0"/>
        </w:rPr>
        <w:t xml:space="preserve">nalysis of </w:t>
      </w:r>
      <w:r w:rsidR="00CB2E03" w:rsidRPr="00E66E4E">
        <w:rPr>
          <w:rFonts w:ascii="Times New Roman" w:hAnsi="Times New Roman" w:cs="Times New Roman"/>
          <w:kern w:val="0"/>
        </w:rPr>
        <w:t>f</w:t>
      </w:r>
      <w:r w:rsidRPr="00E66E4E">
        <w:rPr>
          <w:rFonts w:ascii="Times New Roman" w:hAnsi="Times New Roman" w:cs="Times New Roman"/>
          <w:kern w:val="0"/>
        </w:rPr>
        <w:t xml:space="preserve">eatures in </w:t>
      </w:r>
      <w:r w:rsidR="00CB2E03" w:rsidRPr="00E66E4E">
        <w:rPr>
          <w:rFonts w:ascii="Times New Roman" w:hAnsi="Times New Roman" w:cs="Times New Roman"/>
          <w:kern w:val="0"/>
        </w:rPr>
        <w:t>s</w:t>
      </w:r>
      <w:r w:rsidRPr="00E66E4E">
        <w:rPr>
          <w:rFonts w:ascii="Times New Roman" w:hAnsi="Times New Roman" w:cs="Times New Roman"/>
          <w:kern w:val="0"/>
        </w:rPr>
        <w:t xml:space="preserve">econd </w:t>
      </w:r>
      <w:r w:rsidR="00CB2E03" w:rsidRPr="00E66E4E">
        <w:rPr>
          <w:rFonts w:ascii="Times New Roman" w:hAnsi="Times New Roman" w:cs="Times New Roman"/>
          <w:kern w:val="0"/>
        </w:rPr>
        <w:t>l</w:t>
      </w:r>
      <w:r w:rsidRPr="00E66E4E">
        <w:rPr>
          <w:rFonts w:ascii="Times New Roman" w:hAnsi="Times New Roman" w:cs="Times New Roman"/>
          <w:kern w:val="0"/>
        </w:rPr>
        <w:t xml:space="preserve">anguage </w:t>
      </w:r>
      <w:r w:rsidR="00CB2E03" w:rsidRPr="00E66E4E">
        <w:rPr>
          <w:rFonts w:ascii="Times New Roman" w:hAnsi="Times New Roman" w:cs="Times New Roman"/>
          <w:kern w:val="0"/>
        </w:rPr>
        <w:t>a</w:t>
      </w:r>
      <w:r w:rsidRPr="00E66E4E">
        <w:rPr>
          <w:rFonts w:ascii="Times New Roman" w:hAnsi="Times New Roman" w:cs="Times New Roman"/>
          <w:kern w:val="0"/>
        </w:rPr>
        <w:t xml:space="preserve">cquisition.” </w:t>
      </w:r>
      <w:r w:rsidRPr="00E66E4E">
        <w:rPr>
          <w:rFonts w:ascii="Times New Roman" w:hAnsi="Times New Roman" w:cs="Times New Roman"/>
          <w:i/>
          <w:iCs/>
          <w:kern w:val="0"/>
        </w:rPr>
        <w:t>Second Language Research</w:t>
      </w:r>
      <w:r w:rsidRPr="00E66E4E">
        <w:rPr>
          <w:rFonts w:ascii="Times New Roman" w:hAnsi="Times New Roman" w:cs="Times New Roman"/>
          <w:kern w:val="0"/>
        </w:rPr>
        <w:t xml:space="preserve"> 25</w:t>
      </w:r>
      <w:r w:rsidR="00CB2E03" w:rsidRPr="00E66E4E">
        <w:rPr>
          <w:rFonts w:ascii="Times New Roman" w:hAnsi="Times New Roman" w:cs="Times New Roman"/>
          <w:kern w:val="0"/>
        </w:rPr>
        <w:t>:</w:t>
      </w:r>
      <w:r w:rsidRPr="00E66E4E">
        <w:rPr>
          <w:rFonts w:ascii="Times New Roman" w:hAnsi="Times New Roman" w:cs="Times New Roman"/>
          <w:kern w:val="0"/>
        </w:rPr>
        <w:t>2</w:t>
      </w:r>
      <w:r w:rsidR="00CB2E03" w:rsidRPr="00E66E4E">
        <w:rPr>
          <w:rFonts w:ascii="Times New Roman" w:hAnsi="Times New Roman" w:cs="Times New Roman"/>
          <w:kern w:val="0"/>
        </w:rPr>
        <w:t>.</w:t>
      </w:r>
      <w:r w:rsidRPr="00E66E4E">
        <w:rPr>
          <w:rFonts w:ascii="Times New Roman" w:hAnsi="Times New Roman" w:cs="Times New Roman"/>
          <w:kern w:val="0"/>
        </w:rPr>
        <w:t xml:space="preserve"> 173</w:t>
      </w:r>
      <w:r w:rsidR="00CB2E03" w:rsidRPr="00E66E4E">
        <w:rPr>
          <w:rFonts w:ascii="Times New Roman" w:hAnsi="Times New Roman" w:cs="Times New Roman"/>
          <w:kern w:val="0"/>
        </w:rPr>
        <w:t>-</w:t>
      </w:r>
      <w:r w:rsidRPr="00E66E4E">
        <w:rPr>
          <w:rFonts w:ascii="Times New Roman" w:hAnsi="Times New Roman" w:cs="Times New Roman"/>
          <w:kern w:val="0"/>
        </w:rPr>
        <w:t>227. https://doi.org/10.1177/0267658308100283</w:t>
      </w:r>
    </w:p>
    <w:p w14:paraId="6F7EA493" w14:textId="37760C76"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Lenth, Russell V. 2021. “Emmeans: Estimated </w:t>
      </w:r>
      <w:r w:rsidR="00CB2E03" w:rsidRPr="00E66E4E">
        <w:rPr>
          <w:rFonts w:ascii="Times New Roman" w:hAnsi="Times New Roman" w:cs="Times New Roman"/>
          <w:kern w:val="0"/>
        </w:rPr>
        <w:t>m</w:t>
      </w:r>
      <w:r w:rsidRPr="00E66E4E">
        <w:rPr>
          <w:rFonts w:ascii="Times New Roman" w:hAnsi="Times New Roman" w:cs="Times New Roman"/>
          <w:kern w:val="0"/>
        </w:rPr>
        <w:t xml:space="preserve">arginal </w:t>
      </w:r>
      <w:r w:rsidR="00CB2E03" w:rsidRPr="00E66E4E">
        <w:rPr>
          <w:rFonts w:ascii="Times New Roman" w:hAnsi="Times New Roman" w:cs="Times New Roman"/>
          <w:kern w:val="0"/>
        </w:rPr>
        <w:t>m</w:t>
      </w:r>
      <w:r w:rsidRPr="00E66E4E">
        <w:rPr>
          <w:rFonts w:ascii="Times New Roman" w:hAnsi="Times New Roman" w:cs="Times New Roman"/>
          <w:kern w:val="0"/>
        </w:rPr>
        <w:t>eans, A</w:t>
      </w:r>
      <w:r w:rsidR="00CB2E03" w:rsidRPr="00E66E4E">
        <w:rPr>
          <w:rFonts w:ascii="Times New Roman" w:hAnsi="Times New Roman" w:cs="Times New Roman"/>
          <w:kern w:val="0"/>
        </w:rPr>
        <w:t>KA</w:t>
      </w:r>
      <w:r w:rsidRPr="00E66E4E">
        <w:rPr>
          <w:rFonts w:ascii="Times New Roman" w:hAnsi="Times New Roman" w:cs="Times New Roman"/>
          <w:kern w:val="0"/>
        </w:rPr>
        <w:t xml:space="preserve"> </w:t>
      </w:r>
      <w:r w:rsidR="00CB2E03" w:rsidRPr="00E66E4E">
        <w:rPr>
          <w:rFonts w:ascii="Times New Roman" w:hAnsi="Times New Roman" w:cs="Times New Roman"/>
          <w:kern w:val="0"/>
        </w:rPr>
        <w:t>l</w:t>
      </w:r>
      <w:r w:rsidRPr="00E66E4E">
        <w:rPr>
          <w:rFonts w:ascii="Times New Roman" w:hAnsi="Times New Roman" w:cs="Times New Roman"/>
          <w:kern w:val="0"/>
        </w:rPr>
        <w:t>east-</w:t>
      </w:r>
      <w:r w:rsidR="00CB2E03" w:rsidRPr="00E66E4E">
        <w:rPr>
          <w:rFonts w:ascii="Times New Roman" w:hAnsi="Times New Roman" w:cs="Times New Roman"/>
          <w:kern w:val="0"/>
        </w:rPr>
        <w:t>s</w:t>
      </w:r>
      <w:r w:rsidRPr="00E66E4E">
        <w:rPr>
          <w:rFonts w:ascii="Times New Roman" w:hAnsi="Times New Roman" w:cs="Times New Roman"/>
          <w:kern w:val="0"/>
        </w:rPr>
        <w:t xml:space="preserve">quares </w:t>
      </w:r>
      <w:r w:rsidR="00CB2E03" w:rsidRPr="00E66E4E">
        <w:rPr>
          <w:rFonts w:ascii="Times New Roman" w:hAnsi="Times New Roman" w:cs="Times New Roman"/>
          <w:kern w:val="0"/>
        </w:rPr>
        <w:t>m</w:t>
      </w:r>
      <w:r w:rsidRPr="00E66E4E">
        <w:rPr>
          <w:rFonts w:ascii="Times New Roman" w:hAnsi="Times New Roman" w:cs="Times New Roman"/>
          <w:kern w:val="0"/>
        </w:rPr>
        <w:t>eans.” https://CRAN.R-project.org/package=emmeans</w:t>
      </w:r>
    </w:p>
    <w:p w14:paraId="687C89EB" w14:textId="5605BFBB"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Lohndal, Terje</w:t>
      </w:r>
      <w:r w:rsidR="00CB2E03" w:rsidRPr="00E66E4E">
        <w:rPr>
          <w:rFonts w:ascii="Times New Roman" w:hAnsi="Times New Roman" w:cs="Times New Roman"/>
          <w:kern w:val="0"/>
        </w:rPr>
        <w:t xml:space="preserve"> &amp;</w:t>
      </w:r>
      <w:r w:rsidRPr="00E66E4E">
        <w:rPr>
          <w:rFonts w:ascii="Times New Roman" w:hAnsi="Times New Roman" w:cs="Times New Roman"/>
          <w:kern w:val="0"/>
        </w:rPr>
        <w:t xml:space="preserve"> Michael T. Putnam. 2021. “The</w:t>
      </w:r>
      <w:r w:rsidR="00CB2E03" w:rsidRPr="00E66E4E">
        <w:rPr>
          <w:rFonts w:ascii="Times New Roman" w:hAnsi="Times New Roman" w:cs="Times New Roman"/>
          <w:kern w:val="0"/>
        </w:rPr>
        <w:t xml:space="preserve"> t</w:t>
      </w:r>
      <w:r w:rsidRPr="00E66E4E">
        <w:rPr>
          <w:rFonts w:ascii="Times New Roman" w:hAnsi="Times New Roman" w:cs="Times New Roman"/>
          <w:kern w:val="0"/>
        </w:rPr>
        <w:t xml:space="preserve">ale of </w:t>
      </w:r>
      <w:r w:rsidR="00CB2E03" w:rsidRPr="00E66E4E">
        <w:rPr>
          <w:rFonts w:ascii="Times New Roman" w:hAnsi="Times New Roman" w:cs="Times New Roman"/>
          <w:kern w:val="0"/>
        </w:rPr>
        <w:t>t</w:t>
      </w:r>
      <w:r w:rsidRPr="00E66E4E">
        <w:rPr>
          <w:rFonts w:ascii="Times New Roman" w:hAnsi="Times New Roman" w:cs="Times New Roman"/>
          <w:kern w:val="0"/>
        </w:rPr>
        <w:t xml:space="preserve">wo </w:t>
      </w:r>
      <w:r w:rsidR="00CB2E03" w:rsidRPr="00E66E4E">
        <w:rPr>
          <w:rFonts w:ascii="Times New Roman" w:hAnsi="Times New Roman" w:cs="Times New Roman"/>
          <w:kern w:val="0"/>
        </w:rPr>
        <w:t>l</w:t>
      </w:r>
      <w:r w:rsidRPr="00E66E4E">
        <w:rPr>
          <w:rFonts w:ascii="Times New Roman" w:hAnsi="Times New Roman" w:cs="Times New Roman"/>
          <w:kern w:val="0"/>
        </w:rPr>
        <w:t xml:space="preserve">exicons: Decomposing </w:t>
      </w:r>
      <w:r w:rsidR="00CB2E03" w:rsidRPr="00E66E4E">
        <w:rPr>
          <w:rFonts w:ascii="Times New Roman" w:hAnsi="Times New Roman" w:cs="Times New Roman"/>
          <w:kern w:val="0"/>
        </w:rPr>
        <w:t>c</w:t>
      </w:r>
      <w:r w:rsidRPr="00E66E4E">
        <w:rPr>
          <w:rFonts w:ascii="Times New Roman" w:hAnsi="Times New Roman" w:cs="Times New Roman"/>
          <w:kern w:val="0"/>
        </w:rPr>
        <w:t xml:space="preserve">omplexity across a </w:t>
      </w:r>
      <w:r w:rsidR="00CB2E03" w:rsidRPr="00E66E4E">
        <w:rPr>
          <w:rFonts w:ascii="Times New Roman" w:hAnsi="Times New Roman" w:cs="Times New Roman"/>
          <w:kern w:val="0"/>
        </w:rPr>
        <w:t>d</w:t>
      </w:r>
      <w:r w:rsidRPr="00E66E4E">
        <w:rPr>
          <w:rFonts w:ascii="Times New Roman" w:hAnsi="Times New Roman" w:cs="Times New Roman"/>
          <w:kern w:val="0"/>
        </w:rPr>
        <w:t xml:space="preserve">istributed </w:t>
      </w:r>
      <w:r w:rsidR="00CB2E03" w:rsidRPr="00E66E4E">
        <w:rPr>
          <w:rFonts w:ascii="Times New Roman" w:hAnsi="Times New Roman" w:cs="Times New Roman"/>
          <w:kern w:val="0"/>
        </w:rPr>
        <w:t>l</w:t>
      </w:r>
      <w:r w:rsidRPr="00E66E4E">
        <w:rPr>
          <w:rFonts w:ascii="Times New Roman" w:hAnsi="Times New Roman" w:cs="Times New Roman"/>
          <w:kern w:val="0"/>
        </w:rPr>
        <w:t xml:space="preserve">exicon.” </w:t>
      </w:r>
      <w:r w:rsidRPr="00E66E4E">
        <w:rPr>
          <w:rFonts w:ascii="Times New Roman" w:hAnsi="Times New Roman" w:cs="Times New Roman"/>
          <w:i/>
          <w:iCs/>
          <w:kern w:val="0"/>
        </w:rPr>
        <w:t>Heritage Language Journal</w:t>
      </w:r>
      <w:r w:rsidRPr="00E66E4E">
        <w:rPr>
          <w:rFonts w:ascii="Times New Roman" w:hAnsi="Times New Roman" w:cs="Times New Roman"/>
          <w:kern w:val="0"/>
        </w:rPr>
        <w:t xml:space="preserve"> 18</w:t>
      </w:r>
      <w:r w:rsidR="00CB2E03" w:rsidRPr="00E66E4E">
        <w:rPr>
          <w:rFonts w:ascii="Times New Roman" w:hAnsi="Times New Roman" w:cs="Times New Roman"/>
          <w:kern w:val="0"/>
        </w:rPr>
        <w:t>:</w:t>
      </w:r>
      <w:r w:rsidRPr="00E66E4E">
        <w:rPr>
          <w:rFonts w:ascii="Times New Roman" w:hAnsi="Times New Roman" w:cs="Times New Roman"/>
          <w:kern w:val="0"/>
        </w:rPr>
        <w:t>2</w:t>
      </w:r>
      <w:r w:rsidR="00CB2E03" w:rsidRPr="00E66E4E">
        <w:rPr>
          <w:rFonts w:ascii="Times New Roman" w:hAnsi="Times New Roman" w:cs="Times New Roman"/>
          <w:kern w:val="0"/>
        </w:rPr>
        <w:t>.</w:t>
      </w:r>
      <w:r w:rsidRPr="00E66E4E">
        <w:rPr>
          <w:rFonts w:ascii="Times New Roman" w:hAnsi="Times New Roman" w:cs="Times New Roman"/>
          <w:kern w:val="0"/>
        </w:rPr>
        <w:t xml:space="preserve"> 1–29. https://doi.org/10.1163/15507076-12340010</w:t>
      </w:r>
    </w:p>
    <w:p w14:paraId="0CC3F994" w14:textId="01F2C0D2"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Montrul, Silvina. 2008. </w:t>
      </w:r>
      <w:r w:rsidRPr="00E66E4E">
        <w:rPr>
          <w:rFonts w:ascii="Times New Roman" w:hAnsi="Times New Roman" w:cs="Times New Roman"/>
          <w:i/>
          <w:iCs/>
          <w:kern w:val="0"/>
        </w:rPr>
        <w:t>Incomplete Acquisition in Bilingualism: Re-Examining the Age Factor</w:t>
      </w:r>
      <w:r w:rsidRPr="00E66E4E">
        <w:rPr>
          <w:rFonts w:ascii="Times New Roman" w:hAnsi="Times New Roman" w:cs="Times New Roman"/>
          <w:kern w:val="0"/>
        </w:rPr>
        <w:t>. Vol. 39. Studies in Bilingualism. Amsterdam: John Benjamins. https://doi.org/10.1075/sibil.39</w:t>
      </w:r>
    </w:p>
    <w:p w14:paraId="554A6A3F" w14:textId="04FF041F"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lastRenderedPageBreak/>
        <w:t xml:space="preserve">———. 2009. “Knowledge of </w:t>
      </w:r>
      <w:r w:rsidR="00145232" w:rsidRPr="00E66E4E">
        <w:rPr>
          <w:rFonts w:ascii="Times New Roman" w:hAnsi="Times New Roman" w:cs="Times New Roman"/>
          <w:kern w:val="0"/>
        </w:rPr>
        <w:t>t</w:t>
      </w:r>
      <w:r w:rsidRPr="00E66E4E">
        <w:rPr>
          <w:rFonts w:ascii="Times New Roman" w:hAnsi="Times New Roman" w:cs="Times New Roman"/>
          <w:kern w:val="0"/>
        </w:rPr>
        <w:t>ense-</w:t>
      </w:r>
      <w:r w:rsidR="00145232" w:rsidRPr="00E66E4E">
        <w:rPr>
          <w:rFonts w:ascii="Times New Roman" w:hAnsi="Times New Roman" w:cs="Times New Roman"/>
          <w:kern w:val="0"/>
        </w:rPr>
        <w:t>a</w:t>
      </w:r>
      <w:r w:rsidRPr="00E66E4E">
        <w:rPr>
          <w:rFonts w:ascii="Times New Roman" w:hAnsi="Times New Roman" w:cs="Times New Roman"/>
          <w:kern w:val="0"/>
        </w:rPr>
        <w:t xml:space="preserve">spect and </w:t>
      </w:r>
      <w:r w:rsidR="00145232" w:rsidRPr="00E66E4E">
        <w:rPr>
          <w:rFonts w:ascii="Times New Roman" w:hAnsi="Times New Roman" w:cs="Times New Roman"/>
          <w:kern w:val="0"/>
        </w:rPr>
        <w:t>m</w:t>
      </w:r>
      <w:r w:rsidRPr="00E66E4E">
        <w:rPr>
          <w:rFonts w:ascii="Times New Roman" w:hAnsi="Times New Roman" w:cs="Times New Roman"/>
          <w:kern w:val="0"/>
        </w:rPr>
        <w:t xml:space="preserve">ood in Spanish </w:t>
      </w:r>
      <w:r w:rsidR="00145232" w:rsidRPr="00E66E4E">
        <w:rPr>
          <w:rFonts w:ascii="Times New Roman" w:hAnsi="Times New Roman" w:cs="Times New Roman"/>
          <w:kern w:val="0"/>
        </w:rPr>
        <w:t>h</w:t>
      </w:r>
      <w:r w:rsidRPr="00E66E4E">
        <w:rPr>
          <w:rFonts w:ascii="Times New Roman" w:hAnsi="Times New Roman" w:cs="Times New Roman"/>
          <w:kern w:val="0"/>
        </w:rPr>
        <w:t xml:space="preserve">eritage </w:t>
      </w:r>
      <w:r w:rsidR="00145232" w:rsidRPr="00E66E4E">
        <w:rPr>
          <w:rFonts w:ascii="Times New Roman" w:hAnsi="Times New Roman" w:cs="Times New Roman"/>
          <w:kern w:val="0"/>
        </w:rPr>
        <w:t>s</w:t>
      </w:r>
      <w:r w:rsidRPr="00E66E4E">
        <w:rPr>
          <w:rFonts w:ascii="Times New Roman" w:hAnsi="Times New Roman" w:cs="Times New Roman"/>
          <w:kern w:val="0"/>
        </w:rPr>
        <w:t xml:space="preserve">peakers.” </w:t>
      </w:r>
      <w:r w:rsidRPr="00E66E4E">
        <w:rPr>
          <w:rFonts w:ascii="Times New Roman" w:hAnsi="Times New Roman" w:cs="Times New Roman"/>
          <w:i/>
          <w:iCs/>
          <w:kern w:val="0"/>
        </w:rPr>
        <w:t>International Journal of Bilingualism</w:t>
      </w:r>
      <w:r w:rsidRPr="00E66E4E">
        <w:rPr>
          <w:rFonts w:ascii="Times New Roman" w:hAnsi="Times New Roman" w:cs="Times New Roman"/>
          <w:kern w:val="0"/>
        </w:rPr>
        <w:t xml:space="preserve"> 13</w:t>
      </w:r>
      <w:r w:rsidR="00145232" w:rsidRPr="00E66E4E">
        <w:rPr>
          <w:rFonts w:ascii="Times New Roman" w:hAnsi="Times New Roman" w:cs="Times New Roman"/>
          <w:kern w:val="0"/>
        </w:rPr>
        <w:t>:</w:t>
      </w:r>
      <w:r w:rsidRPr="00E66E4E">
        <w:rPr>
          <w:rFonts w:ascii="Times New Roman" w:hAnsi="Times New Roman" w:cs="Times New Roman"/>
          <w:kern w:val="0"/>
        </w:rPr>
        <w:t>2</w:t>
      </w:r>
      <w:r w:rsidR="00145232" w:rsidRPr="00E66E4E">
        <w:rPr>
          <w:rFonts w:ascii="Times New Roman" w:hAnsi="Times New Roman" w:cs="Times New Roman"/>
          <w:kern w:val="0"/>
        </w:rPr>
        <w:t>.</w:t>
      </w:r>
      <w:r w:rsidRPr="00E66E4E">
        <w:rPr>
          <w:rFonts w:ascii="Times New Roman" w:hAnsi="Times New Roman" w:cs="Times New Roman"/>
          <w:kern w:val="0"/>
        </w:rPr>
        <w:t xml:space="preserve"> 239</w:t>
      </w:r>
      <w:r w:rsidR="00145232" w:rsidRPr="00E66E4E">
        <w:rPr>
          <w:rFonts w:ascii="Times New Roman" w:hAnsi="Times New Roman" w:cs="Times New Roman"/>
          <w:kern w:val="0"/>
        </w:rPr>
        <w:t>-2</w:t>
      </w:r>
      <w:r w:rsidRPr="00E66E4E">
        <w:rPr>
          <w:rFonts w:ascii="Times New Roman" w:hAnsi="Times New Roman" w:cs="Times New Roman"/>
          <w:kern w:val="0"/>
        </w:rPr>
        <w:t>69. https://doi.org/10.1177/1367006909339816</w:t>
      </w:r>
    </w:p>
    <w:p w14:paraId="22DAD7AB" w14:textId="5AEBA695"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 2011. “Multiple </w:t>
      </w:r>
      <w:r w:rsidR="00145232" w:rsidRPr="00E66E4E">
        <w:rPr>
          <w:rFonts w:ascii="Times New Roman" w:hAnsi="Times New Roman" w:cs="Times New Roman"/>
          <w:kern w:val="0"/>
        </w:rPr>
        <w:t>i</w:t>
      </w:r>
      <w:r w:rsidRPr="00E66E4E">
        <w:rPr>
          <w:rFonts w:ascii="Times New Roman" w:hAnsi="Times New Roman" w:cs="Times New Roman"/>
          <w:kern w:val="0"/>
        </w:rPr>
        <w:t xml:space="preserve">nterfaces and </w:t>
      </w:r>
      <w:r w:rsidR="00145232" w:rsidRPr="00E66E4E">
        <w:rPr>
          <w:rFonts w:ascii="Times New Roman" w:hAnsi="Times New Roman" w:cs="Times New Roman"/>
          <w:kern w:val="0"/>
        </w:rPr>
        <w:t>i</w:t>
      </w:r>
      <w:r w:rsidRPr="00E66E4E">
        <w:rPr>
          <w:rFonts w:ascii="Times New Roman" w:hAnsi="Times New Roman" w:cs="Times New Roman"/>
          <w:kern w:val="0"/>
        </w:rPr>
        <w:t xml:space="preserve">ncomplete </w:t>
      </w:r>
      <w:r w:rsidR="00145232" w:rsidRPr="00E66E4E">
        <w:rPr>
          <w:rFonts w:ascii="Times New Roman" w:hAnsi="Times New Roman" w:cs="Times New Roman"/>
          <w:kern w:val="0"/>
        </w:rPr>
        <w:t>a</w:t>
      </w:r>
      <w:r w:rsidRPr="00E66E4E">
        <w:rPr>
          <w:rFonts w:ascii="Times New Roman" w:hAnsi="Times New Roman" w:cs="Times New Roman"/>
          <w:kern w:val="0"/>
        </w:rPr>
        <w:t xml:space="preserve">cquisition.” </w:t>
      </w:r>
      <w:r w:rsidRPr="00E66E4E">
        <w:rPr>
          <w:rFonts w:ascii="Times New Roman" w:hAnsi="Times New Roman" w:cs="Times New Roman"/>
          <w:i/>
          <w:iCs/>
          <w:kern w:val="0"/>
        </w:rPr>
        <w:t>Lingua</w:t>
      </w:r>
      <w:r w:rsidRPr="00E66E4E">
        <w:rPr>
          <w:rFonts w:ascii="Times New Roman" w:hAnsi="Times New Roman" w:cs="Times New Roman"/>
          <w:kern w:val="0"/>
        </w:rPr>
        <w:t xml:space="preserve"> 121</w:t>
      </w:r>
      <w:r w:rsidR="00145232" w:rsidRPr="00E66E4E">
        <w:rPr>
          <w:rFonts w:ascii="Times New Roman" w:hAnsi="Times New Roman" w:cs="Times New Roman"/>
          <w:kern w:val="0"/>
        </w:rPr>
        <w:t>:</w:t>
      </w:r>
      <w:r w:rsidRPr="00E66E4E">
        <w:rPr>
          <w:rFonts w:ascii="Times New Roman" w:hAnsi="Times New Roman" w:cs="Times New Roman"/>
          <w:kern w:val="0"/>
        </w:rPr>
        <w:t>4</w:t>
      </w:r>
      <w:r w:rsidR="00145232" w:rsidRPr="00E66E4E">
        <w:rPr>
          <w:rFonts w:ascii="Times New Roman" w:hAnsi="Times New Roman" w:cs="Times New Roman"/>
          <w:kern w:val="0"/>
        </w:rPr>
        <w:t>.</w:t>
      </w:r>
      <w:r w:rsidRPr="00E66E4E">
        <w:rPr>
          <w:rFonts w:ascii="Times New Roman" w:hAnsi="Times New Roman" w:cs="Times New Roman"/>
          <w:kern w:val="0"/>
        </w:rPr>
        <w:t xml:space="preserve"> 591</w:t>
      </w:r>
      <w:r w:rsidR="001E45F0" w:rsidRPr="00E66E4E">
        <w:rPr>
          <w:rFonts w:ascii="Times New Roman" w:hAnsi="Times New Roman" w:cs="Times New Roman"/>
          <w:kern w:val="0"/>
        </w:rPr>
        <w:t>-</w:t>
      </w:r>
      <w:r w:rsidRPr="00E66E4E">
        <w:rPr>
          <w:rFonts w:ascii="Times New Roman" w:hAnsi="Times New Roman" w:cs="Times New Roman"/>
          <w:kern w:val="0"/>
        </w:rPr>
        <w:t>604. https://doi.org/10.1016/j.lingua.2010.05.006</w:t>
      </w:r>
    </w:p>
    <w:p w14:paraId="40907A5C" w14:textId="68C99BF6"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 2013. “Incomplete L1 </w:t>
      </w:r>
      <w:r w:rsidR="00145232" w:rsidRPr="00E66E4E">
        <w:rPr>
          <w:rFonts w:ascii="Times New Roman" w:hAnsi="Times New Roman" w:cs="Times New Roman"/>
          <w:kern w:val="0"/>
        </w:rPr>
        <w:t>a</w:t>
      </w:r>
      <w:r w:rsidRPr="00E66E4E">
        <w:rPr>
          <w:rFonts w:ascii="Times New Roman" w:hAnsi="Times New Roman" w:cs="Times New Roman"/>
          <w:kern w:val="0"/>
        </w:rPr>
        <w:t xml:space="preserve">cquisition.” In </w:t>
      </w:r>
      <w:r w:rsidRPr="00E66E4E">
        <w:rPr>
          <w:rFonts w:ascii="Times New Roman" w:hAnsi="Times New Roman" w:cs="Times New Roman"/>
          <w:i/>
          <w:iCs/>
          <w:kern w:val="0"/>
        </w:rPr>
        <w:t>The Cambridge Handbook of Second Language Acquisition</w:t>
      </w:r>
      <w:r w:rsidRPr="00E66E4E">
        <w:rPr>
          <w:rFonts w:ascii="Times New Roman" w:hAnsi="Times New Roman" w:cs="Times New Roman"/>
          <w:kern w:val="0"/>
        </w:rPr>
        <w:t>, ed</w:t>
      </w:r>
      <w:r w:rsidR="00145232" w:rsidRPr="00E66E4E">
        <w:rPr>
          <w:rFonts w:ascii="Times New Roman" w:hAnsi="Times New Roman" w:cs="Times New Roman"/>
          <w:kern w:val="0"/>
        </w:rPr>
        <w:t>.</w:t>
      </w:r>
      <w:r w:rsidRPr="00E66E4E">
        <w:rPr>
          <w:rFonts w:ascii="Times New Roman" w:hAnsi="Times New Roman" w:cs="Times New Roman"/>
          <w:kern w:val="0"/>
        </w:rPr>
        <w:t xml:space="preserve"> by Julia Herschensohn </w:t>
      </w:r>
      <w:r w:rsidR="00145232" w:rsidRPr="00E66E4E">
        <w:rPr>
          <w:rFonts w:ascii="Times New Roman" w:hAnsi="Times New Roman" w:cs="Times New Roman"/>
          <w:kern w:val="0"/>
        </w:rPr>
        <w:t>&amp;</w:t>
      </w:r>
      <w:r w:rsidRPr="00E66E4E">
        <w:rPr>
          <w:rFonts w:ascii="Times New Roman" w:hAnsi="Times New Roman" w:cs="Times New Roman"/>
          <w:kern w:val="0"/>
        </w:rPr>
        <w:t xml:space="preserve"> Martha Young-Scholten, 353</w:t>
      </w:r>
      <w:r w:rsidR="00145232" w:rsidRPr="00E66E4E">
        <w:rPr>
          <w:rFonts w:ascii="Times New Roman" w:hAnsi="Times New Roman" w:cs="Times New Roman"/>
          <w:kern w:val="0"/>
        </w:rPr>
        <w:t>-3</w:t>
      </w:r>
      <w:r w:rsidRPr="00E66E4E">
        <w:rPr>
          <w:rFonts w:ascii="Times New Roman" w:hAnsi="Times New Roman" w:cs="Times New Roman"/>
          <w:kern w:val="0"/>
        </w:rPr>
        <w:t>71. Cambridge: Cambridge University Press. https://doi.org/10.1017/CBO9781139051729.022</w:t>
      </w:r>
    </w:p>
    <w:p w14:paraId="01B300F4" w14:textId="2C88C0C6" w:rsidR="00446C6B"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 2018. “Heritage </w:t>
      </w:r>
      <w:r w:rsidR="00145232" w:rsidRPr="00E66E4E">
        <w:rPr>
          <w:rFonts w:ascii="Times New Roman" w:hAnsi="Times New Roman" w:cs="Times New Roman"/>
          <w:kern w:val="0"/>
        </w:rPr>
        <w:t>l</w:t>
      </w:r>
      <w:r w:rsidRPr="00E66E4E">
        <w:rPr>
          <w:rFonts w:ascii="Times New Roman" w:hAnsi="Times New Roman" w:cs="Times New Roman"/>
          <w:kern w:val="0"/>
        </w:rPr>
        <w:t xml:space="preserve">anguage </w:t>
      </w:r>
      <w:r w:rsidR="00145232" w:rsidRPr="00E66E4E">
        <w:rPr>
          <w:rFonts w:ascii="Times New Roman" w:hAnsi="Times New Roman" w:cs="Times New Roman"/>
          <w:kern w:val="0"/>
        </w:rPr>
        <w:t>d</w:t>
      </w:r>
      <w:r w:rsidRPr="00E66E4E">
        <w:rPr>
          <w:rFonts w:ascii="Times New Roman" w:hAnsi="Times New Roman" w:cs="Times New Roman"/>
          <w:kern w:val="0"/>
        </w:rPr>
        <w:t xml:space="preserve">evelopment: </w:t>
      </w:r>
      <w:r w:rsidR="00145232" w:rsidRPr="00E66E4E">
        <w:rPr>
          <w:rFonts w:ascii="Times New Roman" w:hAnsi="Times New Roman" w:cs="Times New Roman"/>
          <w:kern w:val="0"/>
        </w:rPr>
        <w:t>C</w:t>
      </w:r>
      <w:r w:rsidRPr="00E66E4E">
        <w:rPr>
          <w:rFonts w:ascii="Times New Roman" w:hAnsi="Times New Roman" w:cs="Times New Roman"/>
          <w:kern w:val="0"/>
        </w:rPr>
        <w:t xml:space="preserve">onnecting the </w:t>
      </w:r>
      <w:r w:rsidR="00145232" w:rsidRPr="00E66E4E">
        <w:rPr>
          <w:rFonts w:ascii="Times New Roman" w:hAnsi="Times New Roman" w:cs="Times New Roman"/>
          <w:kern w:val="0"/>
        </w:rPr>
        <w:t>d</w:t>
      </w:r>
      <w:r w:rsidRPr="00E66E4E">
        <w:rPr>
          <w:rFonts w:ascii="Times New Roman" w:hAnsi="Times New Roman" w:cs="Times New Roman"/>
          <w:kern w:val="0"/>
        </w:rPr>
        <w:t xml:space="preserve">ots.” </w:t>
      </w:r>
      <w:r w:rsidRPr="00E66E4E">
        <w:rPr>
          <w:rFonts w:ascii="Times New Roman" w:hAnsi="Times New Roman" w:cs="Times New Roman"/>
          <w:i/>
          <w:iCs/>
          <w:kern w:val="0"/>
        </w:rPr>
        <w:t>International Journal of Bilingualism</w:t>
      </w:r>
      <w:r w:rsidRPr="00E66E4E">
        <w:rPr>
          <w:rFonts w:ascii="Times New Roman" w:hAnsi="Times New Roman" w:cs="Times New Roman"/>
          <w:kern w:val="0"/>
        </w:rPr>
        <w:t xml:space="preserve"> 22</w:t>
      </w:r>
      <w:r w:rsidR="00145232" w:rsidRPr="00E66E4E">
        <w:rPr>
          <w:rFonts w:ascii="Times New Roman" w:hAnsi="Times New Roman" w:cs="Times New Roman"/>
          <w:kern w:val="0"/>
        </w:rPr>
        <w:t>:</w:t>
      </w:r>
      <w:r w:rsidRPr="00E66E4E">
        <w:rPr>
          <w:rFonts w:ascii="Times New Roman" w:hAnsi="Times New Roman" w:cs="Times New Roman"/>
          <w:kern w:val="0"/>
        </w:rPr>
        <w:t>5</w:t>
      </w:r>
      <w:r w:rsidR="00145232" w:rsidRPr="00E66E4E">
        <w:rPr>
          <w:rFonts w:ascii="Times New Roman" w:hAnsi="Times New Roman" w:cs="Times New Roman"/>
          <w:kern w:val="0"/>
        </w:rPr>
        <w:t>.</w:t>
      </w:r>
      <w:r w:rsidRPr="00E66E4E">
        <w:rPr>
          <w:rFonts w:ascii="Times New Roman" w:hAnsi="Times New Roman" w:cs="Times New Roman"/>
          <w:kern w:val="0"/>
        </w:rPr>
        <w:t xml:space="preserve"> 530</w:t>
      </w:r>
      <w:r w:rsidR="00145232" w:rsidRPr="00E66E4E">
        <w:rPr>
          <w:rFonts w:ascii="Times New Roman" w:hAnsi="Times New Roman" w:cs="Times New Roman"/>
          <w:kern w:val="0"/>
        </w:rPr>
        <w:t>-5</w:t>
      </w:r>
      <w:r w:rsidRPr="00E66E4E">
        <w:rPr>
          <w:rFonts w:ascii="Times New Roman" w:hAnsi="Times New Roman" w:cs="Times New Roman"/>
          <w:kern w:val="0"/>
        </w:rPr>
        <w:t xml:space="preserve">46. </w:t>
      </w:r>
      <w:r w:rsidR="00651D82" w:rsidRPr="009D7863">
        <w:rPr>
          <w:rFonts w:ascii="Times New Roman" w:hAnsi="Times New Roman" w:cs="Times New Roman"/>
          <w:kern w:val="0"/>
        </w:rPr>
        <w:t>https://doi.org/10.1177/1367006916654368</w:t>
      </w:r>
    </w:p>
    <w:p w14:paraId="3078460B" w14:textId="62E021D1" w:rsidR="00DE00F4" w:rsidRDefault="00DE00F4" w:rsidP="00DE00F4">
      <w:pPr>
        <w:autoSpaceDE w:val="0"/>
        <w:autoSpaceDN w:val="0"/>
        <w:adjustRightInd w:val="0"/>
        <w:ind w:left="720" w:hanging="720"/>
        <w:rPr>
          <w:rFonts w:ascii="Times New Roman" w:hAnsi="Times New Roman" w:cs="Times New Roman"/>
          <w:kern w:val="0"/>
        </w:rPr>
      </w:pPr>
      <w:r w:rsidRPr="00DE00F4">
        <w:rPr>
          <w:rFonts w:ascii="Times New Roman" w:hAnsi="Times New Roman" w:cs="Times New Roman"/>
          <w:kern w:val="0"/>
        </w:rPr>
        <w:t xml:space="preserve">———. 2022. </w:t>
      </w:r>
      <w:r w:rsidRPr="00DE00F4">
        <w:rPr>
          <w:rFonts w:ascii="Times New Roman" w:hAnsi="Times New Roman" w:cs="Times New Roman"/>
          <w:i/>
          <w:iCs/>
          <w:kern w:val="0"/>
        </w:rPr>
        <w:t xml:space="preserve">Native </w:t>
      </w:r>
      <w:r w:rsidR="009C14CB">
        <w:rPr>
          <w:rFonts w:ascii="Times New Roman" w:hAnsi="Times New Roman" w:cs="Times New Roman"/>
          <w:i/>
          <w:iCs/>
          <w:kern w:val="0"/>
        </w:rPr>
        <w:t>s</w:t>
      </w:r>
      <w:r w:rsidRPr="00DE00F4">
        <w:rPr>
          <w:rFonts w:ascii="Times New Roman" w:hAnsi="Times New Roman" w:cs="Times New Roman"/>
          <w:i/>
          <w:iCs/>
          <w:kern w:val="0"/>
        </w:rPr>
        <w:t xml:space="preserve">peakers, </w:t>
      </w:r>
      <w:r w:rsidR="009C14CB">
        <w:rPr>
          <w:rFonts w:ascii="Times New Roman" w:hAnsi="Times New Roman" w:cs="Times New Roman"/>
          <w:i/>
          <w:iCs/>
          <w:kern w:val="0"/>
        </w:rPr>
        <w:t>i</w:t>
      </w:r>
      <w:r w:rsidRPr="00DE00F4">
        <w:rPr>
          <w:rFonts w:ascii="Times New Roman" w:hAnsi="Times New Roman" w:cs="Times New Roman"/>
          <w:i/>
          <w:iCs/>
          <w:kern w:val="0"/>
        </w:rPr>
        <w:t xml:space="preserve">nterrupted: Differential </w:t>
      </w:r>
      <w:r w:rsidR="009C14CB">
        <w:rPr>
          <w:rFonts w:ascii="Times New Roman" w:hAnsi="Times New Roman" w:cs="Times New Roman"/>
          <w:i/>
          <w:iCs/>
          <w:kern w:val="0"/>
        </w:rPr>
        <w:t>o</w:t>
      </w:r>
      <w:r w:rsidRPr="00DE00F4">
        <w:rPr>
          <w:rFonts w:ascii="Times New Roman" w:hAnsi="Times New Roman" w:cs="Times New Roman"/>
          <w:i/>
          <w:iCs/>
          <w:kern w:val="0"/>
        </w:rPr>
        <w:t xml:space="preserve">bject </w:t>
      </w:r>
      <w:r w:rsidR="009C14CB">
        <w:rPr>
          <w:rFonts w:ascii="Times New Roman" w:hAnsi="Times New Roman" w:cs="Times New Roman"/>
          <w:i/>
          <w:iCs/>
          <w:kern w:val="0"/>
        </w:rPr>
        <w:t>m</w:t>
      </w:r>
      <w:r w:rsidRPr="00DE00F4">
        <w:rPr>
          <w:rFonts w:ascii="Times New Roman" w:hAnsi="Times New Roman" w:cs="Times New Roman"/>
          <w:i/>
          <w:iCs/>
          <w:kern w:val="0"/>
        </w:rPr>
        <w:t xml:space="preserve">arking and </w:t>
      </w:r>
      <w:r w:rsidR="009C14CB">
        <w:rPr>
          <w:rFonts w:ascii="Times New Roman" w:hAnsi="Times New Roman" w:cs="Times New Roman"/>
          <w:i/>
          <w:iCs/>
          <w:kern w:val="0"/>
        </w:rPr>
        <w:t>l</w:t>
      </w:r>
      <w:r w:rsidRPr="00DE00F4">
        <w:rPr>
          <w:rFonts w:ascii="Times New Roman" w:hAnsi="Times New Roman" w:cs="Times New Roman"/>
          <w:i/>
          <w:iCs/>
          <w:kern w:val="0"/>
        </w:rPr>
        <w:t xml:space="preserve">anguage </w:t>
      </w:r>
      <w:r w:rsidR="009C14CB">
        <w:rPr>
          <w:rFonts w:ascii="Times New Roman" w:hAnsi="Times New Roman" w:cs="Times New Roman"/>
          <w:i/>
          <w:iCs/>
          <w:kern w:val="0"/>
        </w:rPr>
        <w:t>c</w:t>
      </w:r>
      <w:r w:rsidRPr="00DE00F4">
        <w:rPr>
          <w:rFonts w:ascii="Times New Roman" w:hAnsi="Times New Roman" w:cs="Times New Roman"/>
          <w:i/>
          <w:iCs/>
          <w:kern w:val="0"/>
        </w:rPr>
        <w:t xml:space="preserve">hange in </w:t>
      </w:r>
      <w:r w:rsidR="009C14CB">
        <w:rPr>
          <w:rFonts w:ascii="Times New Roman" w:hAnsi="Times New Roman" w:cs="Times New Roman"/>
          <w:i/>
          <w:iCs/>
          <w:kern w:val="0"/>
        </w:rPr>
        <w:t>h</w:t>
      </w:r>
      <w:r w:rsidRPr="00DE00F4">
        <w:rPr>
          <w:rFonts w:ascii="Times New Roman" w:hAnsi="Times New Roman" w:cs="Times New Roman"/>
          <w:i/>
          <w:iCs/>
          <w:kern w:val="0"/>
        </w:rPr>
        <w:t xml:space="preserve">eritage </w:t>
      </w:r>
      <w:r w:rsidR="009C14CB">
        <w:rPr>
          <w:rFonts w:ascii="Times New Roman" w:hAnsi="Times New Roman" w:cs="Times New Roman"/>
          <w:i/>
          <w:iCs/>
          <w:kern w:val="0"/>
        </w:rPr>
        <w:t>l</w:t>
      </w:r>
      <w:r w:rsidRPr="00DE00F4">
        <w:rPr>
          <w:rFonts w:ascii="Times New Roman" w:hAnsi="Times New Roman" w:cs="Times New Roman"/>
          <w:i/>
          <w:iCs/>
          <w:kern w:val="0"/>
        </w:rPr>
        <w:t>anguages</w:t>
      </w:r>
      <w:r w:rsidRPr="00DE00F4">
        <w:rPr>
          <w:rFonts w:ascii="Times New Roman" w:hAnsi="Times New Roman" w:cs="Times New Roman"/>
          <w:kern w:val="0"/>
        </w:rPr>
        <w:t xml:space="preserve">. </w:t>
      </w:r>
      <w:r w:rsidR="009C14CB">
        <w:rPr>
          <w:rFonts w:ascii="Times New Roman" w:hAnsi="Times New Roman" w:cs="Times New Roman"/>
          <w:kern w:val="0"/>
        </w:rPr>
        <w:t xml:space="preserve">Cambridge: </w:t>
      </w:r>
      <w:r w:rsidRPr="00DE00F4">
        <w:rPr>
          <w:rFonts w:ascii="Times New Roman" w:hAnsi="Times New Roman" w:cs="Times New Roman"/>
          <w:kern w:val="0"/>
        </w:rPr>
        <w:t>Cambridge University Press. https://doi.org/10.1017/9781316459690</w:t>
      </w:r>
    </w:p>
    <w:p w14:paraId="702D7723" w14:textId="390FDC04" w:rsidR="00651D82" w:rsidRPr="00651D82" w:rsidRDefault="00651D82" w:rsidP="005A59A5">
      <w:pPr>
        <w:autoSpaceDE w:val="0"/>
        <w:autoSpaceDN w:val="0"/>
        <w:adjustRightInd w:val="0"/>
        <w:ind w:left="720" w:hanging="720"/>
        <w:rPr>
          <w:rFonts w:ascii="Times New Roman" w:hAnsi="Times New Roman" w:cs="Times New Roman"/>
          <w:kern w:val="0"/>
        </w:rPr>
      </w:pPr>
      <w:r w:rsidRPr="00651D82">
        <w:rPr>
          <w:rFonts w:ascii="Times New Roman" w:hAnsi="Times New Roman" w:cs="Times New Roman"/>
          <w:kern w:val="0"/>
        </w:rPr>
        <w:t xml:space="preserve">———. 2024. “Intergenerational </w:t>
      </w:r>
      <w:r w:rsidR="009D7863">
        <w:rPr>
          <w:rFonts w:ascii="Times New Roman" w:hAnsi="Times New Roman" w:cs="Times New Roman"/>
          <w:kern w:val="0"/>
        </w:rPr>
        <w:t>a</w:t>
      </w:r>
      <w:r w:rsidRPr="00651D82">
        <w:rPr>
          <w:rFonts w:ascii="Times New Roman" w:hAnsi="Times New Roman" w:cs="Times New Roman"/>
          <w:kern w:val="0"/>
        </w:rPr>
        <w:t xml:space="preserve">ttrition: Direct or </w:t>
      </w:r>
      <w:r w:rsidR="009D7863">
        <w:rPr>
          <w:rFonts w:ascii="Times New Roman" w:hAnsi="Times New Roman" w:cs="Times New Roman"/>
          <w:kern w:val="0"/>
        </w:rPr>
        <w:t>r</w:t>
      </w:r>
      <w:r w:rsidRPr="00651D82">
        <w:rPr>
          <w:rFonts w:ascii="Times New Roman" w:hAnsi="Times New Roman" w:cs="Times New Roman"/>
          <w:kern w:val="0"/>
        </w:rPr>
        <w:t xml:space="preserve">everse </w:t>
      </w:r>
      <w:r w:rsidR="009D7863">
        <w:rPr>
          <w:rFonts w:ascii="Times New Roman" w:hAnsi="Times New Roman" w:cs="Times New Roman"/>
          <w:kern w:val="0"/>
        </w:rPr>
        <w:t>l</w:t>
      </w:r>
      <w:r w:rsidRPr="00651D82">
        <w:rPr>
          <w:rFonts w:ascii="Times New Roman" w:hAnsi="Times New Roman" w:cs="Times New Roman"/>
          <w:kern w:val="0"/>
        </w:rPr>
        <w:t xml:space="preserve">anguage </w:t>
      </w:r>
      <w:r w:rsidR="009D7863">
        <w:rPr>
          <w:rFonts w:ascii="Times New Roman" w:hAnsi="Times New Roman" w:cs="Times New Roman"/>
          <w:kern w:val="0"/>
        </w:rPr>
        <w:t>t</w:t>
      </w:r>
      <w:r w:rsidRPr="00651D82">
        <w:rPr>
          <w:rFonts w:ascii="Times New Roman" w:hAnsi="Times New Roman" w:cs="Times New Roman"/>
          <w:kern w:val="0"/>
        </w:rPr>
        <w:t xml:space="preserve">ransmission?” </w:t>
      </w:r>
      <w:r w:rsidRPr="00651D82">
        <w:rPr>
          <w:rFonts w:ascii="Times New Roman" w:hAnsi="Times New Roman" w:cs="Times New Roman"/>
          <w:i/>
          <w:iCs/>
          <w:kern w:val="0"/>
        </w:rPr>
        <w:t>Bilingualism: Language and Cognition</w:t>
      </w:r>
      <w:r w:rsidR="00B33462">
        <w:rPr>
          <w:rFonts w:ascii="Times New Roman" w:hAnsi="Times New Roman" w:cs="Times New Roman"/>
          <w:kern w:val="0"/>
        </w:rPr>
        <w:t>.</w:t>
      </w:r>
      <w:r w:rsidRPr="00651D82">
        <w:rPr>
          <w:rFonts w:ascii="Times New Roman" w:hAnsi="Times New Roman" w:cs="Times New Roman"/>
          <w:kern w:val="0"/>
        </w:rPr>
        <w:t xml:space="preserve"> 1</w:t>
      </w:r>
      <w:r w:rsidR="00181D28">
        <w:rPr>
          <w:rFonts w:ascii="Times New Roman" w:hAnsi="Times New Roman" w:cs="Times New Roman"/>
          <w:kern w:val="0"/>
        </w:rPr>
        <w:t>-</w:t>
      </w:r>
      <w:r w:rsidRPr="00651D82">
        <w:rPr>
          <w:rFonts w:ascii="Times New Roman" w:hAnsi="Times New Roman" w:cs="Times New Roman"/>
          <w:kern w:val="0"/>
        </w:rPr>
        <w:t>14. https://doi.org/10.1017/S1366728924000622</w:t>
      </w:r>
    </w:p>
    <w:p w14:paraId="4B3848D6" w14:textId="3C29CFF4"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Montrul, Silvina, Rakesh Bhatt, </w:t>
      </w:r>
      <w:r w:rsidR="00EE487F" w:rsidRPr="00E66E4E">
        <w:rPr>
          <w:rFonts w:ascii="Times New Roman" w:hAnsi="Times New Roman" w:cs="Times New Roman"/>
          <w:kern w:val="0"/>
        </w:rPr>
        <w:t>&amp;</w:t>
      </w:r>
      <w:r w:rsidRPr="00E66E4E">
        <w:rPr>
          <w:rFonts w:ascii="Times New Roman" w:hAnsi="Times New Roman" w:cs="Times New Roman"/>
          <w:kern w:val="0"/>
        </w:rPr>
        <w:t xml:space="preserve"> Roxana Girju. 2015. “Differential </w:t>
      </w:r>
      <w:r w:rsidR="00EE487F" w:rsidRPr="00E66E4E">
        <w:rPr>
          <w:rFonts w:ascii="Times New Roman" w:hAnsi="Times New Roman" w:cs="Times New Roman"/>
          <w:kern w:val="0"/>
        </w:rPr>
        <w:t>o</w:t>
      </w:r>
      <w:r w:rsidRPr="00E66E4E">
        <w:rPr>
          <w:rFonts w:ascii="Times New Roman" w:hAnsi="Times New Roman" w:cs="Times New Roman"/>
          <w:kern w:val="0"/>
        </w:rPr>
        <w:t>bject</w:t>
      </w:r>
      <w:r w:rsidR="00EE487F" w:rsidRPr="00E66E4E">
        <w:rPr>
          <w:rFonts w:ascii="Times New Roman" w:hAnsi="Times New Roman" w:cs="Times New Roman"/>
          <w:kern w:val="0"/>
        </w:rPr>
        <w:t xml:space="preserve"> m</w:t>
      </w:r>
      <w:r w:rsidRPr="00E66E4E">
        <w:rPr>
          <w:rFonts w:ascii="Times New Roman" w:hAnsi="Times New Roman" w:cs="Times New Roman"/>
          <w:kern w:val="0"/>
        </w:rPr>
        <w:t xml:space="preserve">arking in Spanish, Hindi, and Romanian as </w:t>
      </w:r>
      <w:r w:rsidR="00EE487F" w:rsidRPr="00E66E4E">
        <w:rPr>
          <w:rFonts w:ascii="Times New Roman" w:hAnsi="Times New Roman" w:cs="Times New Roman"/>
          <w:kern w:val="0"/>
        </w:rPr>
        <w:t>h</w:t>
      </w:r>
      <w:r w:rsidRPr="00E66E4E">
        <w:rPr>
          <w:rFonts w:ascii="Times New Roman" w:hAnsi="Times New Roman" w:cs="Times New Roman"/>
          <w:kern w:val="0"/>
        </w:rPr>
        <w:t xml:space="preserve">eritage </w:t>
      </w:r>
      <w:r w:rsidR="00EE487F" w:rsidRPr="00E66E4E">
        <w:rPr>
          <w:rFonts w:ascii="Times New Roman" w:hAnsi="Times New Roman" w:cs="Times New Roman"/>
          <w:kern w:val="0"/>
        </w:rPr>
        <w:t>l</w:t>
      </w:r>
      <w:r w:rsidRPr="00E66E4E">
        <w:rPr>
          <w:rFonts w:ascii="Times New Roman" w:hAnsi="Times New Roman" w:cs="Times New Roman"/>
          <w:kern w:val="0"/>
        </w:rPr>
        <w:t xml:space="preserve">anguages.” </w:t>
      </w:r>
      <w:r w:rsidRPr="00E66E4E">
        <w:rPr>
          <w:rFonts w:ascii="Times New Roman" w:hAnsi="Times New Roman" w:cs="Times New Roman"/>
          <w:i/>
          <w:iCs/>
          <w:kern w:val="0"/>
        </w:rPr>
        <w:t>Language</w:t>
      </w:r>
      <w:r w:rsidRPr="00E66E4E">
        <w:rPr>
          <w:rFonts w:ascii="Times New Roman" w:hAnsi="Times New Roman" w:cs="Times New Roman"/>
          <w:kern w:val="0"/>
        </w:rPr>
        <w:t xml:space="preserve"> 91</w:t>
      </w:r>
      <w:r w:rsidR="00EE487F" w:rsidRPr="00E66E4E">
        <w:rPr>
          <w:rFonts w:ascii="Times New Roman" w:hAnsi="Times New Roman" w:cs="Times New Roman"/>
          <w:kern w:val="0"/>
        </w:rPr>
        <w:t>:</w:t>
      </w:r>
      <w:r w:rsidRPr="00E66E4E">
        <w:rPr>
          <w:rFonts w:ascii="Times New Roman" w:hAnsi="Times New Roman" w:cs="Times New Roman"/>
          <w:kern w:val="0"/>
        </w:rPr>
        <w:t>3</w:t>
      </w:r>
      <w:r w:rsidR="00EE487F" w:rsidRPr="00E66E4E">
        <w:rPr>
          <w:rFonts w:ascii="Times New Roman" w:hAnsi="Times New Roman" w:cs="Times New Roman"/>
          <w:kern w:val="0"/>
        </w:rPr>
        <w:t>.</w:t>
      </w:r>
      <w:r w:rsidRPr="00E66E4E">
        <w:rPr>
          <w:rFonts w:ascii="Times New Roman" w:hAnsi="Times New Roman" w:cs="Times New Roman"/>
          <w:kern w:val="0"/>
        </w:rPr>
        <w:t xml:space="preserve"> 564</w:t>
      </w:r>
      <w:r w:rsidR="001E45F0" w:rsidRPr="00E66E4E">
        <w:rPr>
          <w:rFonts w:ascii="Times New Roman" w:hAnsi="Times New Roman" w:cs="Times New Roman"/>
          <w:kern w:val="0"/>
        </w:rPr>
        <w:t>-</w:t>
      </w:r>
      <w:r w:rsidRPr="00E66E4E">
        <w:rPr>
          <w:rFonts w:ascii="Times New Roman" w:hAnsi="Times New Roman" w:cs="Times New Roman"/>
          <w:kern w:val="0"/>
        </w:rPr>
        <w:t>610. https://doi.org/10.1353/lan.2015.0035</w:t>
      </w:r>
    </w:p>
    <w:p w14:paraId="494F1C6D" w14:textId="423A731B"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Montrul, Silvina </w:t>
      </w:r>
      <w:r w:rsidR="00EE487F" w:rsidRPr="00E66E4E">
        <w:rPr>
          <w:rFonts w:ascii="Times New Roman" w:hAnsi="Times New Roman" w:cs="Times New Roman"/>
          <w:kern w:val="0"/>
        </w:rPr>
        <w:t>&amp;</w:t>
      </w:r>
      <w:r w:rsidRPr="00E66E4E">
        <w:rPr>
          <w:rFonts w:ascii="Times New Roman" w:hAnsi="Times New Roman" w:cs="Times New Roman"/>
          <w:kern w:val="0"/>
        </w:rPr>
        <w:t xml:space="preserve"> Melissa Bowles. 2009. “Back to </w:t>
      </w:r>
      <w:r w:rsidR="006509B9" w:rsidRPr="00E66E4E">
        <w:rPr>
          <w:rFonts w:ascii="Times New Roman" w:hAnsi="Times New Roman" w:cs="Times New Roman"/>
          <w:kern w:val="0"/>
        </w:rPr>
        <w:t>b</w:t>
      </w:r>
      <w:r w:rsidRPr="00E66E4E">
        <w:rPr>
          <w:rFonts w:ascii="Times New Roman" w:hAnsi="Times New Roman" w:cs="Times New Roman"/>
          <w:kern w:val="0"/>
        </w:rPr>
        <w:t xml:space="preserve">asics: Incomplete </w:t>
      </w:r>
      <w:r w:rsidR="006509B9" w:rsidRPr="00E66E4E">
        <w:rPr>
          <w:rFonts w:ascii="Times New Roman" w:hAnsi="Times New Roman" w:cs="Times New Roman"/>
          <w:kern w:val="0"/>
        </w:rPr>
        <w:t>k</w:t>
      </w:r>
      <w:r w:rsidRPr="00E66E4E">
        <w:rPr>
          <w:rFonts w:ascii="Times New Roman" w:hAnsi="Times New Roman" w:cs="Times New Roman"/>
          <w:kern w:val="0"/>
        </w:rPr>
        <w:t xml:space="preserve">nowledge of </w:t>
      </w:r>
      <w:r w:rsidR="006509B9" w:rsidRPr="00E66E4E">
        <w:rPr>
          <w:rFonts w:ascii="Times New Roman" w:hAnsi="Times New Roman" w:cs="Times New Roman"/>
          <w:kern w:val="0"/>
        </w:rPr>
        <w:t>d</w:t>
      </w:r>
      <w:r w:rsidRPr="00E66E4E">
        <w:rPr>
          <w:rFonts w:ascii="Times New Roman" w:hAnsi="Times New Roman" w:cs="Times New Roman"/>
          <w:kern w:val="0"/>
        </w:rPr>
        <w:t xml:space="preserve">ifferential </w:t>
      </w:r>
      <w:r w:rsidR="006509B9" w:rsidRPr="00E66E4E">
        <w:rPr>
          <w:rFonts w:ascii="Times New Roman" w:hAnsi="Times New Roman" w:cs="Times New Roman"/>
          <w:kern w:val="0"/>
        </w:rPr>
        <w:t>o</w:t>
      </w:r>
      <w:r w:rsidRPr="00E66E4E">
        <w:rPr>
          <w:rFonts w:ascii="Times New Roman" w:hAnsi="Times New Roman" w:cs="Times New Roman"/>
          <w:kern w:val="0"/>
        </w:rPr>
        <w:t xml:space="preserve">bject </w:t>
      </w:r>
      <w:r w:rsidR="006509B9" w:rsidRPr="00E66E4E">
        <w:rPr>
          <w:rFonts w:ascii="Times New Roman" w:hAnsi="Times New Roman" w:cs="Times New Roman"/>
          <w:kern w:val="0"/>
        </w:rPr>
        <w:t>m</w:t>
      </w:r>
      <w:r w:rsidRPr="00E66E4E">
        <w:rPr>
          <w:rFonts w:ascii="Times New Roman" w:hAnsi="Times New Roman" w:cs="Times New Roman"/>
          <w:kern w:val="0"/>
        </w:rPr>
        <w:t xml:space="preserve">arking in Spanish </w:t>
      </w:r>
      <w:r w:rsidR="006509B9" w:rsidRPr="00E66E4E">
        <w:rPr>
          <w:rFonts w:ascii="Times New Roman" w:hAnsi="Times New Roman" w:cs="Times New Roman"/>
          <w:kern w:val="0"/>
        </w:rPr>
        <w:t>h</w:t>
      </w:r>
      <w:r w:rsidRPr="00E66E4E">
        <w:rPr>
          <w:rFonts w:ascii="Times New Roman" w:hAnsi="Times New Roman" w:cs="Times New Roman"/>
          <w:kern w:val="0"/>
        </w:rPr>
        <w:t xml:space="preserve">eritage </w:t>
      </w:r>
      <w:r w:rsidR="006509B9" w:rsidRPr="00E66E4E">
        <w:rPr>
          <w:rFonts w:ascii="Times New Roman" w:hAnsi="Times New Roman" w:cs="Times New Roman"/>
          <w:kern w:val="0"/>
        </w:rPr>
        <w:t>s</w:t>
      </w:r>
      <w:r w:rsidRPr="00E66E4E">
        <w:rPr>
          <w:rFonts w:ascii="Times New Roman" w:hAnsi="Times New Roman" w:cs="Times New Roman"/>
          <w:kern w:val="0"/>
        </w:rPr>
        <w:t xml:space="preserve">peakers.” </w:t>
      </w:r>
      <w:r w:rsidRPr="00E66E4E">
        <w:rPr>
          <w:rFonts w:ascii="Times New Roman" w:hAnsi="Times New Roman" w:cs="Times New Roman"/>
          <w:i/>
          <w:iCs/>
          <w:kern w:val="0"/>
        </w:rPr>
        <w:t>Bilingualism: Language and Cognition</w:t>
      </w:r>
      <w:r w:rsidRPr="00E66E4E">
        <w:rPr>
          <w:rFonts w:ascii="Times New Roman" w:hAnsi="Times New Roman" w:cs="Times New Roman"/>
          <w:kern w:val="0"/>
        </w:rPr>
        <w:t xml:space="preserve"> 12</w:t>
      </w:r>
      <w:r w:rsidR="00145232" w:rsidRPr="00E66E4E">
        <w:rPr>
          <w:rFonts w:ascii="Times New Roman" w:hAnsi="Times New Roman" w:cs="Times New Roman"/>
          <w:kern w:val="0"/>
        </w:rPr>
        <w:t>:</w:t>
      </w:r>
      <w:r w:rsidRPr="00E66E4E">
        <w:rPr>
          <w:rFonts w:ascii="Times New Roman" w:hAnsi="Times New Roman" w:cs="Times New Roman"/>
          <w:kern w:val="0"/>
        </w:rPr>
        <w:t>3</w:t>
      </w:r>
      <w:r w:rsidR="00145232" w:rsidRPr="00E66E4E">
        <w:rPr>
          <w:rFonts w:ascii="Times New Roman" w:hAnsi="Times New Roman" w:cs="Times New Roman"/>
          <w:kern w:val="0"/>
        </w:rPr>
        <w:t>.</w:t>
      </w:r>
      <w:r w:rsidRPr="00E66E4E">
        <w:rPr>
          <w:rFonts w:ascii="Times New Roman" w:hAnsi="Times New Roman" w:cs="Times New Roman"/>
          <w:kern w:val="0"/>
        </w:rPr>
        <w:t xml:space="preserve"> 363</w:t>
      </w:r>
      <w:r w:rsidR="00145232" w:rsidRPr="00E66E4E">
        <w:rPr>
          <w:rFonts w:ascii="Times New Roman" w:hAnsi="Times New Roman" w:cs="Times New Roman"/>
          <w:kern w:val="0"/>
        </w:rPr>
        <w:t>-3</w:t>
      </w:r>
      <w:r w:rsidRPr="00E66E4E">
        <w:rPr>
          <w:rFonts w:ascii="Times New Roman" w:hAnsi="Times New Roman" w:cs="Times New Roman"/>
          <w:kern w:val="0"/>
        </w:rPr>
        <w:t>83. https://doi.org/10.1017/S1366728909990071</w:t>
      </w:r>
    </w:p>
    <w:p w14:paraId="7B02548A" w14:textId="32F09E76"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Montrul, Silvina</w:t>
      </w:r>
      <w:r w:rsidR="00F8411A" w:rsidRPr="00E66E4E">
        <w:rPr>
          <w:rFonts w:ascii="Times New Roman" w:hAnsi="Times New Roman" w:cs="Times New Roman"/>
          <w:kern w:val="0"/>
        </w:rPr>
        <w:t xml:space="preserve"> &amp;</w:t>
      </w:r>
      <w:r w:rsidRPr="00E66E4E">
        <w:rPr>
          <w:rFonts w:ascii="Times New Roman" w:hAnsi="Times New Roman" w:cs="Times New Roman"/>
          <w:kern w:val="0"/>
        </w:rPr>
        <w:t xml:space="preserve"> Noelia Sánchez-Walker. 2013. “Differential </w:t>
      </w:r>
      <w:r w:rsidR="00F8411A" w:rsidRPr="00E66E4E">
        <w:rPr>
          <w:rFonts w:ascii="Times New Roman" w:hAnsi="Times New Roman" w:cs="Times New Roman"/>
          <w:kern w:val="0"/>
        </w:rPr>
        <w:t>o</w:t>
      </w:r>
      <w:r w:rsidRPr="00E66E4E">
        <w:rPr>
          <w:rFonts w:ascii="Times New Roman" w:hAnsi="Times New Roman" w:cs="Times New Roman"/>
          <w:kern w:val="0"/>
        </w:rPr>
        <w:t xml:space="preserve">bject </w:t>
      </w:r>
      <w:r w:rsidR="00F8411A" w:rsidRPr="00E66E4E">
        <w:rPr>
          <w:rFonts w:ascii="Times New Roman" w:hAnsi="Times New Roman" w:cs="Times New Roman"/>
          <w:kern w:val="0"/>
        </w:rPr>
        <w:t>m</w:t>
      </w:r>
      <w:r w:rsidRPr="00E66E4E">
        <w:rPr>
          <w:rFonts w:ascii="Times New Roman" w:hAnsi="Times New Roman" w:cs="Times New Roman"/>
          <w:kern w:val="0"/>
        </w:rPr>
        <w:t xml:space="preserve">arking in </w:t>
      </w:r>
      <w:r w:rsidR="00F8411A" w:rsidRPr="00E66E4E">
        <w:rPr>
          <w:rFonts w:ascii="Times New Roman" w:hAnsi="Times New Roman" w:cs="Times New Roman"/>
          <w:kern w:val="0"/>
        </w:rPr>
        <w:t>c</w:t>
      </w:r>
      <w:r w:rsidRPr="00E66E4E">
        <w:rPr>
          <w:rFonts w:ascii="Times New Roman" w:hAnsi="Times New Roman" w:cs="Times New Roman"/>
          <w:kern w:val="0"/>
        </w:rPr>
        <w:t xml:space="preserve">hild and </w:t>
      </w:r>
      <w:r w:rsidR="00F8411A" w:rsidRPr="00E66E4E">
        <w:rPr>
          <w:rFonts w:ascii="Times New Roman" w:hAnsi="Times New Roman" w:cs="Times New Roman"/>
          <w:kern w:val="0"/>
        </w:rPr>
        <w:t>a</w:t>
      </w:r>
      <w:r w:rsidRPr="00E66E4E">
        <w:rPr>
          <w:rFonts w:ascii="Times New Roman" w:hAnsi="Times New Roman" w:cs="Times New Roman"/>
          <w:kern w:val="0"/>
        </w:rPr>
        <w:t xml:space="preserve">dult Spanish </w:t>
      </w:r>
      <w:r w:rsidR="00F8411A" w:rsidRPr="00E66E4E">
        <w:rPr>
          <w:rFonts w:ascii="Times New Roman" w:hAnsi="Times New Roman" w:cs="Times New Roman"/>
          <w:kern w:val="0"/>
        </w:rPr>
        <w:t>h</w:t>
      </w:r>
      <w:r w:rsidRPr="00E66E4E">
        <w:rPr>
          <w:rFonts w:ascii="Times New Roman" w:hAnsi="Times New Roman" w:cs="Times New Roman"/>
          <w:kern w:val="0"/>
        </w:rPr>
        <w:t xml:space="preserve">eritage </w:t>
      </w:r>
      <w:r w:rsidR="00F8411A" w:rsidRPr="00E66E4E">
        <w:rPr>
          <w:rFonts w:ascii="Times New Roman" w:hAnsi="Times New Roman" w:cs="Times New Roman"/>
          <w:kern w:val="0"/>
        </w:rPr>
        <w:t>s</w:t>
      </w:r>
      <w:r w:rsidRPr="00E66E4E">
        <w:rPr>
          <w:rFonts w:ascii="Times New Roman" w:hAnsi="Times New Roman" w:cs="Times New Roman"/>
          <w:kern w:val="0"/>
        </w:rPr>
        <w:t xml:space="preserve">peakers.” </w:t>
      </w:r>
      <w:r w:rsidRPr="00E66E4E">
        <w:rPr>
          <w:rFonts w:ascii="Times New Roman" w:hAnsi="Times New Roman" w:cs="Times New Roman"/>
          <w:i/>
          <w:iCs/>
          <w:kern w:val="0"/>
        </w:rPr>
        <w:t>Language Acquisition</w:t>
      </w:r>
      <w:r w:rsidRPr="00E66E4E">
        <w:rPr>
          <w:rFonts w:ascii="Times New Roman" w:hAnsi="Times New Roman" w:cs="Times New Roman"/>
          <w:kern w:val="0"/>
        </w:rPr>
        <w:t xml:space="preserve"> 20</w:t>
      </w:r>
      <w:r w:rsidR="00F8411A" w:rsidRPr="00E66E4E">
        <w:rPr>
          <w:rFonts w:ascii="Times New Roman" w:hAnsi="Times New Roman" w:cs="Times New Roman"/>
          <w:kern w:val="0"/>
        </w:rPr>
        <w:t>:</w:t>
      </w:r>
      <w:r w:rsidRPr="00E66E4E">
        <w:rPr>
          <w:rFonts w:ascii="Times New Roman" w:hAnsi="Times New Roman" w:cs="Times New Roman"/>
          <w:kern w:val="0"/>
        </w:rPr>
        <w:t>2</w:t>
      </w:r>
      <w:r w:rsidR="00F8411A" w:rsidRPr="00E66E4E">
        <w:rPr>
          <w:rFonts w:ascii="Times New Roman" w:hAnsi="Times New Roman" w:cs="Times New Roman"/>
          <w:kern w:val="0"/>
        </w:rPr>
        <w:t>.</w:t>
      </w:r>
      <w:r w:rsidRPr="00E66E4E">
        <w:rPr>
          <w:rFonts w:ascii="Times New Roman" w:hAnsi="Times New Roman" w:cs="Times New Roman"/>
          <w:kern w:val="0"/>
        </w:rPr>
        <w:t xml:space="preserve"> 109</w:t>
      </w:r>
      <w:r w:rsidR="00F8411A" w:rsidRPr="00E66E4E">
        <w:rPr>
          <w:rFonts w:ascii="Times New Roman" w:hAnsi="Times New Roman" w:cs="Times New Roman"/>
          <w:kern w:val="0"/>
        </w:rPr>
        <w:t>-1</w:t>
      </w:r>
      <w:r w:rsidRPr="00E66E4E">
        <w:rPr>
          <w:rFonts w:ascii="Times New Roman" w:hAnsi="Times New Roman" w:cs="Times New Roman"/>
          <w:kern w:val="0"/>
        </w:rPr>
        <w:t>32. https://doi.org/10.1080/10489223.2013.766741</w:t>
      </w:r>
    </w:p>
    <w:p w14:paraId="23723542" w14:textId="711D6A60"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Perez-Cortes, Silvia. 2016. Acquiring </w:t>
      </w:r>
      <w:r w:rsidR="00334E61" w:rsidRPr="00E66E4E">
        <w:rPr>
          <w:rFonts w:ascii="Times New Roman" w:hAnsi="Times New Roman" w:cs="Times New Roman"/>
          <w:kern w:val="0"/>
        </w:rPr>
        <w:t>o</w:t>
      </w:r>
      <w:r w:rsidRPr="00E66E4E">
        <w:rPr>
          <w:rFonts w:ascii="Times New Roman" w:hAnsi="Times New Roman" w:cs="Times New Roman"/>
          <w:kern w:val="0"/>
        </w:rPr>
        <w:t xml:space="preserve">bligatory and </w:t>
      </w:r>
      <w:r w:rsidR="00334E61" w:rsidRPr="00E66E4E">
        <w:rPr>
          <w:rFonts w:ascii="Times New Roman" w:hAnsi="Times New Roman" w:cs="Times New Roman"/>
          <w:kern w:val="0"/>
        </w:rPr>
        <w:t>v</w:t>
      </w:r>
      <w:r w:rsidRPr="00E66E4E">
        <w:rPr>
          <w:rFonts w:ascii="Times New Roman" w:hAnsi="Times New Roman" w:cs="Times New Roman"/>
          <w:kern w:val="0"/>
        </w:rPr>
        <w:t xml:space="preserve">ariable </w:t>
      </w:r>
      <w:r w:rsidR="00334E61" w:rsidRPr="00E66E4E">
        <w:rPr>
          <w:rFonts w:ascii="Times New Roman" w:hAnsi="Times New Roman" w:cs="Times New Roman"/>
          <w:kern w:val="0"/>
        </w:rPr>
        <w:t>m</w:t>
      </w:r>
      <w:r w:rsidRPr="00E66E4E">
        <w:rPr>
          <w:rFonts w:ascii="Times New Roman" w:hAnsi="Times New Roman" w:cs="Times New Roman"/>
          <w:kern w:val="0"/>
        </w:rPr>
        <w:t xml:space="preserve">ood </w:t>
      </w:r>
      <w:r w:rsidR="00334E61" w:rsidRPr="00E66E4E">
        <w:rPr>
          <w:rFonts w:ascii="Times New Roman" w:hAnsi="Times New Roman" w:cs="Times New Roman"/>
          <w:kern w:val="0"/>
        </w:rPr>
        <w:t>s</w:t>
      </w:r>
      <w:r w:rsidRPr="00E66E4E">
        <w:rPr>
          <w:rFonts w:ascii="Times New Roman" w:hAnsi="Times New Roman" w:cs="Times New Roman"/>
          <w:kern w:val="0"/>
        </w:rPr>
        <w:t xml:space="preserve">election: Spanish </w:t>
      </w:r>
      <w:r w:rsidR="00334E61" w:rsidRPr="00E66E4E">
        <w:rPr>
          <w:rFonts w:ascii="Times New Roman" w:hAnsi="Times New Roman" w:cs="Times New Roman"/>
          <w:kern w:val="0"/>
        </w:rPr>
        <w:t>h</w:t>
      </w:r>
      <w:r w:rsidRPr="00E66E4E">
        <w:rPr>
          <w:rFonts w:ascii="Times New Roman" w:hAnsi="Times New Roman" w:cs="Times New Roman"/>
          <w:kern w:val="0"/>
        </w:rPr>
        <w:t xml:space="preserve">eritage </w:t>
      </w:r>
      <w:r w:rsidR="00334E61" w:rsidRPr="00E66E4E">
        <w:rPr>
          <w:rFonts w:ascii="Times New Roman" w:hAnsi="Times New Roman" w:cs="Times New Roman"/>
          <w:kern w:val="0"/>
        </w:rPr>
        <w:t>s</w:t>
      </w:r>
      <w:r w:rsidRPr="00E66E4E">
        <w:rPr>
          <w:rFonts w:ascii="Times New Roman" w:hAnsi="Times New Roman" w:cs="Times New Roman"/>
          <w:kern w:val="0"/>
        </w:rPr>
        <w:t xml:space="preserve">peakers’ and L2 </w:t>
      </w:r>
      <w:r w:rsidR="00334E61" w:rsidRPr="00E66E4E">
        <w:rPr>
          <w:rFonts w:ascii="Times New Roman" w:hAnsi="Times New Roman" w:cs="Times New Roman"/>
          <w:kern w:val="0"/>
        </w:rPr>
        <w:t>l</w:t>
      </w:r>
      <w:r w:rsidRPr="00E66E4E">
        <w:rPr>
          <w:rFonts w:ascii="Times New Roman" w:hAnsi="Times New Roman" w:cs="Times New Roman"/>
          <w:kern w:val="0"/>
        </w:rPr>
        <w:t xml:space="preserve">earners’ </w:t>
      </w:r>
      <w:r w:rsidR="00334E61" w:rsidRPr="00E66E4E">
        <w:rPr>
          <w:rFonts w:ascii="Times New Roman" w:hAnsi="Times New Roman" w:cs="Times New Roman"/>
          <w:kern w:val="0"/>
        </w:rPr>
        <w:t>p</w:t>
      </w:r>
      <w:r w:rsidRPr="00E66E4E">
        <w:rPr>
          <w:rFonts w:ascii="Times New Roman" w:hAnsi="Times New Roman" w:cs="Times New Roman"/>
          <w:kern w:val="0"/>
        </w:rPr>
        <w:t xml:space="preserve">erformance in </w:t>
      </w:r>
      <w:r w:rsidR="00334E61" w:rsidRPr="00E66E4E">
        <w:rPr>
          <w:rFonts w:ascii="Times New Roman" w:hAnsi="Times New Roman" w:cs="Times New Roman"/>
          <w:kern w:val="0"/>
        </w:rPr>
        <w:t>d</w:t>
      </w:r>
      <w:r w:rsidRPr="00E66E4E">
        <w:rPr>
          <w:rFonts w:ascii="Times New Roman" w:hAnsi="Times New Roman" w:cs="Times New Roman"/>
          <w:kern w:val="0"/>
        </w:rPr>
        <w:t xml:space="preserve">esideratives and </w:t>
      </w:r>
      <w:r w:rsidR="00334E61" w:rsidRPr="00E66E4E">
        <w:rPr>
          <w:rFonts w:ascii="Times New Roman" w:hAnsi="Times New Roman" w:cs="Times New Roman"/>
          <w:kern w:val="0"/>
        </w:rPr>
        <w:t>r</w:t>
      </w:r>
      <w:r w:rsidRPr="00E66E4E">
        <w:rPr>
          <w:rFonts w:ascii="Times New Roman" w:hAnsi="Times New Roman" w:cs="Times New Roman"/>
          <w:kern w:val="0"/>
        </w:rPr>
        <w:t xml:space="preserve">eported </w:t>
      </w:r>
      <w:r w:rsidR="00334E61" w:rsidRPr="00E66E4E">
        <w:rPr>
          <w:rFonts w:ascii="Times New Roman" w:hAnsi="Times New Roman" w:cs="Times New Roman"/>
          <w:kern w:val="0"/>
        </w:rPr>
        <w:t>s</w:t>
      </w:r>
      <w:r w:rsidRPr="00E66E4E">
        <w:rPr>
          <w:rFonts w:ascii="Times New Roman" w:hAnsi="Times New Roman" w:cs="Times New Roman"/>
          <w:kern w:val="0"/>
        </w:rPr>
        <w:t xml:space="preserve">peech </w:t>
      </w:r>
      <w:r w:rsidR="00334E61" w:rsidRPr="00E66E4E">
        <w:rPr>
          <w:rFonts w:ascii="Times New Roman" w:hAnsi="Times New Roman" w:cs="Times New Roman"/>
          <w:kern w:val="0"/>
        </w:rPr>
        <w:t>c</w:t>
      </w:r>
      <w:r w:rsidRPr="00E66E4E">
        <w:rPr>
          <w:rFonts w:ascii="Times New Roman" w:hAnsi="Times New Roman" w:cs="Times New Roman"/>
          <w:kern w:val="0"/>
        </w:rPr>
        <w:t xml:space="preserve">ontexts. </w:t>
      </w:r>
      <w:r w:rsidR="00334E61" w:rsidRPr="00E66E4E">
        <w:rPr>
          <w:rFonts w:ascii="Times New Roman" w:hAnsi="Times New Roman" w:cs="Times New Roman"/>
          <w:kern w:val="0"/>
        </w:rPr>
        <w:t xml:space="preserve">Ph.D. dissertation, </w:t>
      </w:r>
      <w:r w:rsidRPr="00E66E4E">
        <w:rPr>
          <w:rFonts w:ascii="Times New Roman" w:hAnsi="Times New Roman" w:cs="Times New Roman"/>
          <w:kern w:val="0"/>
        </w:rPr>
        <w:t>Rutgers University – New Brunswick.</w:t>
      </w:r>
    </w:p>
    <w:p w14:paraId="6F71F9DE" w14:textId="4347BBBC"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Polinsky, Maria. 2011. “Reanalysis in </w:t>
      </w:r>
      <w:r w:rsidR="00E1383E" w:rsidRPr="00E66E4E">
        <w:rPr>
          <w:rFonts w:ascii="Times New Roman" w:hAnsi="Times New Roman" w:cs="Times New Roman"/>
          <w:kern w:val="0"/>
        </w:rPr>
        <w:t>a</w:t>
      </w:r>
      <w:r w:rsidRPr="00E66E4E">
        <w:rPr>
          <w:rFonts w:ascii="Times New Roman" w:hAnsi="Times New Roman" w:cs="Times New Roman"/>
          <w:kern w:val="0"/>
        </w:rPr>
        <w:t xml:space="preserve">dult </w:t>
      </w:r>
      <w:r w:rsidR="00E1383E" w:rsidRPr="00E66E4E">
        <w:rPr>
          <w:rFonts w:ascii="Times New Roman" w:hAnsi="Times New Roman" w:cs="Times New Roman"/>
          <w:kern w:val="0"/>
        </w:rPr>
        <w:t>h</w:t>
      </w:r>
      <w:r w:rsidRPr="00E66E4E">
        <w:rPr>
          <w:rFonts w:ascii="Times New Roman" w:hAnsi="Times New Roman" w:cs="Times New Roman"/>
          <w:kern w:val="0"/>
        </w:rPr>
        <w:t xml:space="preserve">eritage </w:t>
      </w:r>
      <w:r w:rsidR="00E1383E" w:rsidRPr="00E66E4E">
        <w:rPr>
          <w:rFonts w:ascii="Times New Roman" w:hAnsi="Times New Roman" w:cs="Times New Roman"/>
          <w:kern w:val="0"/>
        </w:rPr>
        <w:t>l</w:t>
      </w:r>
      <w:r w:rsidRPr="00E66E4E">
        <w:rPr>
          <w:rFonts w:ascii="Times New Roman" w:hAnsi="Times New Roman" w:cs="Times New Roman"/>
          <w:kern w:val="0"/>
        </w:rPr>
        <w:t xml:space="preserve">anguage: New </w:t>
      </w:r>
      <w:r w:rsidR="00E1383E" w:rsidRPr="00E66E4E">
        <w:rPr>
          <w:rFonts w:ascii="Times New Roman" w:hAnsi="Times New Roman" w:cs="Times New Roman"/>
          <w:kern w:val="0"/>
        </w:rPr>
        <w:t>e</w:t>
      </w:r>
      <w:r w:rsidRPr="00E66E4E">
        <w:rPr>
          <w:rFonts w:ascii="Times New Roman" w:hAnsi="Times New Roman" w:cs="Times New Roman"/>
          <w:kern w:val="0"/>
        </w:rPr>
        <w:t>vidence in</w:t>
      </w:r>
      <w:r w:rsidR="00E1383E" w:rsidRPr="00E66E4E">
        <w:rPr>
          <w:rFonts w:ascii="Times New Roman" w:hAnsi="Times New Roman" w:cs="Times New Roman"/>
          <w:kern w:val="0"/>
        </w:rPr>
        <w:t xml:space="preserve"> s</w:t>
      </w:r>
      <w:r w:rsidRPr="00E66E4E">
        <w:rPr>
          <w:rFonts w:ascii="Times New Roman" w:hAnsi="Times New Roman" w:cs="Times New Roman"/>
          <w:kern w:val="0"/>
        </w:rPr>
        <w:t xml:space="preserve">upport of </w:t>
      </w:r>
      <w:r w:rsidR="00E1383E" w:rsidRPr="00E66E4E">
        <w:rPr>
          <w:rFonts w:ascii="Times New Roman" w:hAnsi="Times New Roman" w:cs="Times New Roman"/>
          <w:kern w:val="0"/>
        </w:rPr>
        <w:t>a</w:t>
      </w:r>
      <w:r w:rsidRPr="00E66E4E">
        <w:rPr>
          <w:rFonts w:ascii="Times New Roman" w:hAnsi="Times New Roman" w:cs="Times New Roman"/>
          <w:kern w:val="0"/>
        </w:rPr>
        <w:t xml:space="preserve">ttrition.” </w:t>
      </w:r>
      <w:r w:rsidRPr="00E66E4E">
        <w:rPr>
          <w:rFonts w:ascii="Times New Roman" w:hAnsi="Times New Roman" w:cs="Times New Roman"/>
          <w:i/>
          <w:iCs/>
          <w:kern w:val="0"/>
        </w:rPr>
        <w:t>Studies in Second Language Acquisition</w:t>
      </w:r>
      <w:r w:rsidRPr="00E66E4E">
        <w:rPr>
          <w:rFonts w:ascii="Times New Roman" w:hAnsi="Times New Roman" w:cs="Times New Roman"/>
          <w:kern w:val="0"/>
        </w:rPr>
        <w:t xml:space="preserve"> 33</w:t>
      </w:r>
      <w:r w:rsidR="00E1383E" w:rsidRPr="00E66E4E">
        <w:rPr>
          <w:rFonts w:ascii="Times New Roman" w:hAnsi="Times New Roman" w:cs="Times New Roman"/>
          <w:kern w:val="0"/>
        </w:rPr>
        <w:t>:</w:t>
      </w:r>
      <w:r w:rsidRPr="00E66E4E">
        <w:rPr>
          <w:rFonts w:ascii="Times New Roman" w:hAnsi="Times New Roman" w:cs="Times New Roman"/>
          <w:kern w:val="0"/>
        </w:rPr>
        <w:t>2</w:t>
      </w:r>
      <w:r w:rsidR="00E1383E" w:rsidRPr="00E66E4E">
        <w:rPr>
          <w:rFonts w:ascii="Times New Roman" w:hAnsi="Times New Roman" w:cs="Times New Roman"/>
          <w:kern w:val="0"/>
        </w:rPr>
        <w:t>.</w:t>
      </w:r>
      <w:r w:rsidRPr="00E66E4E">
        <w:rPr>
          <w:rFonts w:ascii="Times New Roman" w:hAnsi="Times New Roman" w:cs="Times New Roman"/>
          <w:kern w:val="0"/>
        </w:rPr>
        <w:t xml:space="preserve"> 305</w:t>
      </w:r>
      <w:r w:rsidR="00E1383E" w:rsidRPr="00E66E4E">
        <w:rPr>
          <w:rFonts w:ascii="Times New Roman" w:hAnsi="Times New Roman" w:cs="Times New Roman"/>
          <w:kern w:val="0"/>
        </w:rPr>
        <w:t>-3</w:t>
      </w:r>
      <w:r w:rsidRPr="00E66E4E">
        <w:rPr>
          <w:rFonts w:ascii="Times New Roman" w:hAnsi="Times New Roman" w:cs="Times New Roman"/>
          <w:kern w:val="0"/>
        </w:rPr>
        <w:t>28. https://doi.org/10.1017/S027226311000077X</w:t>
      </w:r>
    </w:p>
    <w:p w14:paraId="028BB223" w14:textId="53FBE530"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Putnam, Michael T. </w:t>
      </w:r>
      <w:r w:rsidR="007D428A" w:rsidRPr="00E66E4E">
        <w:rPr>
          <w:rFonts w:ascii="Times New Roman" w:hAnsi="Times New Roman" w:cs="Times New Roman"/>
          <w:kern w:val="0"/>
        </w:rPr>
        <w:t>&amp;</w:t>
      </w:r>
      <w:r w:rsidRPr="00E66E4E">
        <w:rPr>
          <w:rFonts w:ascii="Times New Roman" w:hAnsi="Times New Roman" w:cs="Times New Roman"/>
          <w:kern w:val="0"/>
        </w:rPr>
        <w:t xml:space="preserve"> Liliana Sánchez. 2013. “What’s so </w:t>
      </w:r>
      <w:r w:rsidR="007D428A" w:rsidRPr="00E66E4E">
        <w:rPr>
          <w:rFonts w:ascii="Times New Roman" w:hAnsi="Times New Roman" w:cs="Times New Roman"/>
          <w:kern w:val="0"/>
        </w:rPr>
        <w:t>i</w:t>
      </w:r>
      <w:r w:rsidRPr="00E66E4E">
        <w:rPr>
          <w:rFonts w:ascii="Times New Roman" w:hAnsi="Times New Roman" w:cs="Times New Roman"/>
          <w:kern w:val="0"/>
        </w:rPr>
        <w:t xml:space="preserve">ncomplete about </w:t>
      </w:r>
      <w:r w:rsidR="007D428A" w:rsidRPr="00E66E4E">
        <w:rPr>
          <w:rFonts w:ascii="Times New Roman" w:hAnsi="Times New Roman" w:cs="Times New Roman"/>
          <w:kern w:val="0"/>
        </w:rPr>
        <w:t>i</w:t>
      </w:r>
      <w:r w:rsidRPr="00E66E4E">
        <w:rPr>
          <w:rFonts w:ascii="Times New Roman" w:hAnsi="Times New Roman" w:cs="Times New Roman"/>
          <w:kern w:val="0"/>
        </w:rPr>
        <w:t xml:space="preserve">ncomplete </w:t>
      </w:r>
      <w:r w:rsidR="007D428A" w:rsidRPr="00E66E4E">
        <w:rPr>
          <w:rFonts w:ascii="Times New Roman" w:hAnsi="Times New Roman" w:cs="Times New Roman"/>
          <w:kern w:val="0"/>
        </w:rPr>
        <w:t>a</w:t>
      </w:r>
      <w:r w:rsidRPr="00E66E4E">
        <w:rPr>
          <w:rFonts w:ascii="Times New Roman" w:hAnsi="Times New Roman" w:cs="Times New Roman"/>
          <w:kern w:val="0"/>
        </w:rPr>
        <w:t xml:space="preserve">cquisition?: A </w:t>
      </w:r>
      <w:r w:rsidR="007D428A" w:rsidRPr="00E66E4E">
        <w:rPr>
          <w:rFonts w:ascii="Times New Roman" w:hAnsi="Times New Roman" w:cs="Times New Roman"/>
          <w:kern w:val="0"/>
        </w:rPr>
        <w:t>p</w:t>
      </w:r>
      <w:r w:rsidRPr="00E66E4E">
        <w:rPr>
          <w:rFonts w:ascii="Times New Roman" w:hAnsi="Times New Roman" w:cs="Times New Roman"/>
          <w:kern w:val="0"/>
        </w:rPr>
        <w:t xml:space="preserve">rolegomenon to </w:t>
      </w:r>
      <w:r w:rsidR="007D428A" w:rsidRPr="00E66E4E">
        <w:rPr>
          <w:rFonts w:ascii="Times New Roman" w:hAnsi="Times New Roman" w:cs="Times New Roman"/>
          <w:kern w:val="0"/>
        </w:rPr>
        <w:t>m</w:t>
      </w:r>
      <w:r w:rsidRPr="00E66E4E">
        <w:rPr>
          <w:rFonts w:ascii="Times New Roman" w:hAnsi="Times New Roman" w:cs="Times New Roman"/>
          <w:kern w:val="0"/>
        </w:rPr>
        <w:t xml:space="preserve">odeling </w:t>
      </w:r>
      <w:r w:rsidR="007D428A" w:rsidRPr="00E66E4E">
        <w:rPr>
          <w:rFonts w:ascii="Times New Roman" w:hAnsi="Times New Roman" w:cs="Times New Roman"/>
          <w:kern w:val="0"/>
        </w:rPr>
        <w:t>h</w:t>
      </w:r>
      <w:r w:rsidRPr="00E66E4E">
        <w:rPr>
          <w:rFonts w:ascii="Times New Roman" w:hAnsi="Times New Roman" w:cs="Times New Roman"/>
          <w:kern w:val="0"/>
        </w:rPr>
        <w:t xml:space="preserve">eritage </w:t>
      </w:r>
      <w:r w:rsidR="007D428A" w:rsidRPr="00E66E4E">
        <w:rPr>
          <w:rFonts w:ascii="Times New Roman" w:hAnsi="Times New Roman" w:cs="Times New Roman"/>
          <w:kern w:val="0"/>
        </w:rPr>
        <w:t>l</w:t>
      </w:r>
      <w:r w:rsidRPr="00E66E4E">
        <w:rPr>
          <w:rFonts w:ascii="Times New Roman" w:hAnsi="Times New Roman" w:cs="Times New Roman"/>
          <w:kern w:val="0"/>
        </w:rPr>
        <w:t xml:space="preserve">anguage </w:t>
      </w:r>
      <w:r w:rsidR="007D428A" w:rsidRPr="00E66E4E">
        <w:rPr>
          <w:rFonts w:ascii="Times New Roman" w:hAnsi="Times New Roman" w:cs="Times New Roman"/>
          <w:kern w:val="0"/>
        </w:rPr>
        <w:t>g</w:t>
      </w:r>
      <w:r w:rsidRPr="00E66E4E">
        <w:rPr>
          <w:rFonts w:ascii="Times New Roman" w:hAnsi="Times New Roman" w:cs="Times New Roman"/>
          <w:kern w:val="0"/>
        </w:rPr>
        <w:t xml:space="preserve">rammars.” </w:t>
      </w:r>
      <w:r w:rsidRPr="00E66E4E">
        <w:rPr>
          <w:rFonts w:ascii="Times New Roman" w:hAnsi="Times New Roman" w:cs="Times New Roman"/>
          <w:i/>
          <w:iCs/>
          <w:kern w:val="0"/>
        </w:rPr>
        <w:t>Linguistic Approaches to Bilingualism</w:t>
      </w:r>
      <w:r w:rsidRPr="00E66E4E">
        <w:rPr>
          <w:rFonts w:ascii="Times New Roman" w:hAnsi="Times New Roman" w:cs="Times New Roman"/>
          <w:kern w:val="0"/>
        </w:rPr>
        <w:t xml:space="preserve"> 3</w:t>
      </w:r>
      <w:r w:rsidR="0024666F" w:rsidRPr="00E66E4E">
        <w:rPr>
          <w:rFonts w:ascii="Times New Roman" w:hAnsi="Times New Roman" w:cs="Times New Roman"/>
          <w:kern w:val="0"/>
        </w:rPr>
        <w:t>:</w:t>
      </w:r>
      <w:r w:rsidRPr="00E66E4E">
        <w:rPr>
          <w:rFonts w:ascii="Times New Roman" w:hAnsi="Times New Roman" w:cs="Times New Roman"/>
          <w:kern w:val="0"/>
        </w:rPr>
        <w:t>4</w:t>
      </w:r>
      <w:r w:rsidR="0024666F" w:rsidRPr="00E66E4E">
        <w:rPr>
          <w:rFonts w:ascii="Times New Roman" w:hAnsi="Times New Roman" w:cs="Times New Roman"/>
          <w:kern w:val="0"/>
        </w:rPr>
        <w:t>.</w:t>
      </w:r>
      <w:r w:rsidRPr="00E66E4E">
        <w:rPr>
          <w:rFonts w:ascii="Times New Roman" w:hAnsi="Times New Roman" w:cs="Times New Roman"/>
          <w:kern w:val="0"/>
        </w:rPr>
        <w:t xml:space="preserve"> 478</w:t>
      </w:r>
      <w:r w:rsidR="005E669B" w:rsidRPr="00E66E4E">
        <w:rPr>
          <w:rFonts w:ascii="Times New Roman" w:hAnsi="Times New Roman" w:cs="Times New Roman"/>
          <w:kern w:val="0"/>
        </w:rPr>
        <w:t>-</w:t>
      </w:r>
      <w:r w:rsidRPr="00E66E4E">
        <w:rPr>
          <w:rFonts w:ascii="Times New Roman" w:hAnsi="Times New Roman" w:cs="Times New Roman"/>
          <w:kern w:val="0"/>
        </w:rPr>
        <w:t>508. https://doi.org/10.1075/lab.3.4.04put</w:t>
      </w:r>
    </w:p>
    <w:p w14:paraId="443D9F30" w14:textId="48B6678F"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Putnam, Michael T., Liliana Sánchez, </w:t>
      </w:r>
      <w:r w:rsidR="007D428A" w:rsidRPr="00E66E4E">
        <w:rPr>
          <w:rFonts w:ascii="Times New Roman" w:hAnsi="Times New Roman" w:cs="Times New Roman"/>
          <w:kern w:val="0"/>
        </w:rPr>
        <w:t>&amp;</w:t>
      </w:r>
      <w:r w:rsidRPr="00E66E4E">
        <w:rPr>
          <w:rFonts w:ascii="Times New Roman" w:hAnsi="Times New Roman" w:cs="Times New Roman"/>
          <w:kern w:val="0"/>
        </w:rPr>
        <w:t xml:space="preserve"> Silvia Perez-Cortes. 2019. “Language </w:t>
      </w:r>
      <w:r w:rsidR="007D428A" w:rsidRPr="00E66E4E">
        <w:rPr>
          <w:rFonts w:ascii="Times New Roman" w:hAnsi="Times New Roman" w:cs="Times New Roman"/>
          <w:kern w:val="0"/>
        </w:rPr>
        <w:t>a</w:t>
      </w:r>
      <w:r w:rsidRPr="00E66E4E">
        <w:rPr>
          <w:rFonts w:ascii="Times New Roman" w:hAnsi="Times New Roman" w:cs="Times New Roman"/>
          <w:kern w:val="0"/>
        </w:rPr>
        <w:t xml:space="preserve">ttrition and the </w:t>
      </w:r>
      <w:r w:rsidR="007D428A" w:rsidRPr="00E66E4E">
        <w:rPr>
          <w:rFonts w:ascii="Times New Roman" w:hAnsi="Times New Roman" w:cs="Times New Roman"/>
          <w:kern w:val="0"/>
        </w:rPr>
        <w:t>f</w:t>
      </w:r>
      <w:r w:rsidRPr="00E66E4E">
        <w:rPr>
          <w:rFonts w:ascii="Times New Roman" w:hAnsi="Times New Roman" w:cs="Times New Roman"/>
          <w:kern w:val="0"/>
        </w:rPr>
        <w:t xml:space="preserve">eature </w:t>
      </w:r>
      <w:r w:rsidR="007D428A" w:rsidRPr="00E66E4E">
        <w:rPr>
          <w:rFonts w:ascii="Times New Roman" w:hAnsi="Times New Roman" w:cs="Times New Roman"/>
          <w:kern w:val="0"/>
        </w:rPr>
        <w:t>r</w:t>
      </w:r>
      <w:r w:rsidRPr="00E66E4E">
        <w:rPr>
          <w:rFonts w:ascii="Times New Roman" w:hAnsi="Times New Roman" w:cs="Times New Roman"/>
          <w:kern w:val="0"/>
        </w:rPr>
        <w:t xml:space="preserve">eassembly </w:t>
      </w:r>
      <w:r w:rsidR="007D428A" w:rsidRPr="00E66E4E">
        <w:rPr>
          <w:rFonts w:ascii="Times New Roman" w:hAnsi="Times New Roman" w:cs="Times New Roman"/>
          <w:kern w:val="0"/>
        </w:rPr>
        <w:t>h</w:t>
      </w:r>
      <w:r w:rsidRPr="00E66E4E">
        <w:rPr>
          <w:rFonts w:ascii="Times New Roman" w:hAnsi="Times New Roman" w:cs="Times New Roman"/>
          <w:kern w:val="0"/>
        </w:rPr>
        <w:t xml:space="preserve">ypothesis.” In </w:t>
      </w:r>
      <w:r w:rsidRPr="00E66E4E">
        <w:rPr>
          <w:rFonts w:ascii="Times New Roman" w:hAnsi="Times New Roman" w:cs="Times New Roman"/>
          <w:i/>
          <w:iCs/>
          <w:kern w:val="0"/>
        </w:rPr>
        <w:t>Oxford Handbook of Language Attrition</w:t>
      </w:r>
      <w:r w:rsidRPr="00E66E4E">
        <w:rPr>
          <w:rFonts w:ascii="Times New Roman" w:hAnsi="Times New Roman" w:cs="Times New Roman"/>
          <w:kern w:val="0"/>
        </w:rPr>
        <w:t>, ed</w:t>
      </w:r>
      <w:r w:rsidR="007D428A" w:rsidRPr="00E66E4E">
        <w:rPr>
          <w:rFonts w:ascii="Times New Roman" w:hAnsi="Times New Roman" w:cs="Times New Roman"/>
          <w:kern w:val="0"/>
        </w:rPr>
        <w:t>.</w:t>
      </w:r>
      <w:r w:rsidRPr="00E66E4E">
        <w:rPr>
          <w:rFonts w:ascii="Times New Roman" w:hAnsi="Times New Roman" w:cs="Times New Roman"/>
          <w:kern w:val="0"/>
        </w:rPr>
        <w:t xml:space="preserve"> by Monika S. Schmid </w:t>
      </w:r>
      <w:r w:rsidR="007D428A" w:rsidRPr="00E66E4E">
        <w:rPr>
          <w:rFonts w:ascii="Times New Roman" w:hAnsi="Times New Roman" w:cs="Times New Roman"/>
          <w:kern w:val="0"/>
        </w:rPr>
        <w:t>&amp;</w:t>
      </w:r>
      <w:r w:rsidRPr="00E66E4E">
        <w:rPr>
          <w:rFonts w:ascii="Times New Roman" w:hAnsi="Times New Roman" w:cs="Times New Roman"/>
          <w:kern w:val="0"/>
        </w:rPr>
        <w:t xml:space="preserve"> Barbara Kopke, 18</w:t>
      </w:r>
      <w:r w:rsidR="007D428A" w:rsidRPr="00E66E4E">
        <w:rPr>
          <w:rFonts w:ascii="Times New Roman" w:hAnsi="Times New Roman" w:cs="Times New Roman"/>
          <w:kern w:val="0"/>
        </w:rPr>
        <w:t>-</w:t>
      </w:r>
      <w:r w:rsidRPr="00E66E4E">
        <w:rPr>
          <w:rFonts w:ascii="Times New Roman" w:hAnsi="Times New Roman" w:cs="Times New Roman"/>
          <w:kern w:val="0"/>
        </w:rPr>
        <w:t>24. Oxford: Oxford University Press.</w:t>
      </w:r>
    </w:p>
    <w:p w14:paraId="0B10D04E" w14:textId="4C1C30EF"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R Core Team. 2022. “R: A </w:t>
      </w:r>
      <w:r w:rsidR="00F8411A" w:rsidRPr="00E66E4E">
        <w:rPr>
          <w:rFonts w:ascii="Times New Roman" w:hAnsi="Times New Roman" w:cs="Times New Roman"/>
          <w:kern w:val="0"/>
        </w:rPr>
        <w:t>l</w:t>
      </w:r>
      <w:r w:rsidRPr="00E66E4E">
        <w:rPr>
          <w:rFonts w:ascii="Times New Roman" w:hAnsi="Times New Roman" w:cs="Times New Roman"/>
          <w:kern w:val="0"/>
        </w:rPr>
        <w:t xml:space="preserve">anguage and </w:t>
      </w:r>
      <w:r w:rsidR="00F8411A" w:rsidRPr="00E66E4E">
        <w:rPr>
          <w:rFonts w:ascii="Times New Roman" w:hAnsi="Times New Roman" w:cs="Times New Roman"/>
          <w:kern w:val="0"/>
        </w:rPr>
        <w:t>e</w:t>
      </w:r>
      <w:r w:rsidRPr="00E66E4E">
        <w:rPr>
          <w:rFonts w:ascii="Times New Roman" w:hAnsi="Times New Roman" w:cs="Times New Roman"/>
          <w:kern w:val="0"/>
        </w:rPr>
        <w:t xml:space="preserve">nvironment for </w:t>
      </w:r>
      <w:r w:rsidR="00F8411A" w:rsidRPr="00E66E4E">
        <w:rPr>
          <w:rFonts w:ascii="Times New Roman" w:hAnsi="Times New Roman" w:cs="Times New Roman"/>
          <w:kern w:val="0"/>
        </w:rPr>
        <w:t>s</w:t>
      </w:r>
      <w:r w:rsidRPr="00E66E4E">
        <w:rPr>
          <w:rFonts w:ascii="Times New Roman" w:hAnsi="Times New Roman" w:cs="Times New Roman"/>
          <w:kern w:val="0"/>
        </w:rPr>
        <w:t xml:space="preserve">tatistical </w:t>
      </w:r>
      <w:r w:rsidR="00F8411A" w:rsidRPr="00E66E4E">
        <w:rPr>
          <w:rFonts w:ascii="Times New Roman" w:hAnsi="Times New Roman" w:cs="Times New Roman"/>
          <w:kern w:val="0"/>
        </w:rPr>
        <w:t>c</w:t>
      </w:r>
      <w:r w:rsidRPr="00E66E4E">
        <w:rPr>
          <w:rFonts w:ascii="Times New Roman" w:hAnsi="Times New Roman" w:cs="Times New Roman"/>
          <w:kern w:val="0"/>
        </w:rPr>
        <w:t>omputing.” Vienna, Austria: R Foundation for Statistical Computing. https://www.R-project.org/.</w:t>
      </w:r>
    </w:p>
    <w:p w14:paraId="1F13FEFA" w14:textId="77B2A676"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Rinke, Esther, Cristina Flores, </w:t>
      </w:r>
      <w:r w:rsidR="009A59C0" w:rsidRPr="00E66E4E">
        <w:rPr>
          <w:rFonts w:ascii="Times New Roman" w:hAnsi="Times New Roman" w:cs="Times New Roman"/>
          <w:kern w:val="0"/>
        </w:rPr>
        <w:t>&amp;</w:t>
      </w:r>
      <w:r w:rsidRPr="00E66E4E">
        <w:rPr>
          <w:rFonts w:ascii="Times New Roman" w:hAnsi="Times New Roman" w:cs="Times New Roman"/>
          <w:kern w:val="0"/>
        </w:rPr>
        <w:t xml:space="preserve"> Jacopo Torregrossa. 2023. “How </w:t>
      </w:r>
      <w:r w:rsidR="007D428A" w:rsidRPr="00E66E4E">
        <w:rPr>
          <w:rFonts w:ascii="Times New Roman" w:hAnsi="Times New Roman" w:cs="Times New Roman"/>
          <w:kern w:val="0"/>
        </w:rPr>
        <w:t>d</w:t>
      </w:r>
      <w:r w:rsidRPr="00E66E4E">
        <w:rPr>
          <w:rFonts w:ascii="Times New Roman" w:hAnsi="Times New Roman" w:cs="Times New Roman"/>
          <w:kern w:val="0"/>
        </w:rPr>
        <w:t xml:space="preserve">ifferent </w:t>
      </w:r>
      <w:r w:rsidR="007D428A" w:rsidRPr="00E66E4E">
        <w:rPr>
          <w:rFonts w:ascii="Times New Roman" w:hAnsi="Times New Roman" w:cs="Times New Roman"/>
          <w:kern w:val="0"/>
        </w:rPr>
        <w:t>t</w:t>
      </w:r>
      <w:r w:rsidRPr="00E66E4E">
        <w:rPr>
          <w:rFonts w:ascii="Times New Roman" w:hAnsi="Times New Roman" w:cs="Times New Roman"/>
          <w:kern w:val="0"/>
        </w:rPr>
        <w:t xml:space="preserve">ypes of </w:t>
      </w:r>
      <w:r w:rsidR="007D428A" w:rsidRPr="00E66E4E">
        <w:rPr>
          <w:rFonts w:ascii="Times New Roman" w:hAnsi="Times New Roman" w:cs="Times New Roman"/>
          <w:kern w:val="0"/>
        </w:rPr>
        <w:t>c</w:t>
      </w:r>
      <w:r w:rsidRPr="00E66E4E">
        <w:rPr>
          <w:rFonts w:ascii="Times New Roman" w:hAnsi="Times New Roman" w:cs="Times New Roman"/>
          <w:kern w:val="0"/>
        </w:rPr>
        <w:t xml:space="preserve">omplexity </w:t>
      </w:r>
      <w:r w:rsidR="007D428A" w:rsidRPr="00E66E4E">
        <w:rPr>
          <w:rFonts w:ascii="Times New Roman" w:hAnsi="Times New Roman" w:cs="Times New Roman"/>
          <w:kern w:val="0"/>
        </w:rPr>
        <w:t>c</w:t>
      </w:r>
      <w:r w:rsidRPr="00E66E4E">
        <w:rPr>
          <w:rFonts w:ascii="Times New Roman" w:hAnsi="Times New Roman" w:cs="Times New Roman"/>
          <w:kern w:val="0"/>
        </w:rPr>
        <w:t xml:space="preserve">an </w:t>
      </w:r>
      <w:r w:rsidR="007D428A" w:rsidRPr="00E66E4E">
        <w:rPr>
          <w:rFonts w:ascii="Times New Roman" w:hAnsi="Times New Roman" w:cs="Times New Roman"/>
          <w:kern w:val="0"/>
        </w:rPr>
        <w:t>a</w:t>
      </w:r>
      <w:r w:rsidRPr="00E66E4E">
        <w:rPr>
          <w:rFonts w:ascii="Times New Roman" w:hAnsi="Times New Roman" w:cs="Times New Roman"/>
          <w:kern w:val="0"/>
        </w:rPr>
        <w:t xml:space="preserve">ccount for </w:t>
      </w:r>
      <w:r w:rsidR="007D428A" w:rsidRPr="00E66E4E">
        <w:rPr>
          <w:rFonts w:ascii="Times New Roman" w:hAnsi="Times New Roman" w:cs="Times New Roman"/>
          <w:kern w:val="0"/>
        </w:rPr>
        <w:t>d</w:t>
      </w:r>
      <w:r w:rsidRPr="00E66E4E">
        <w:rPr>
          <w:rFonts w:ascii="Times New Roman" w:hAnsi="Times New Roman" w:cs="Times New Roman"/>
          <w:kern w:val="0"/>
        </w:rPr>
        <w:t xml:space="preserve">ifficult </w:t>
      </w:r>
      <w:r w:rsidR="007D428A" w:rsidRPr="00E66E4E">
        <w:rPr>
          <w:rFonts w:ascii="Times New Roman" w:hAnsi="Times New Roman" w:cs="Times New Roman"/>
          <w:kern w:val="0"/>
        </w:rPr>
        <w:t>s</w:t>
      </w:r>
      <w:r w:rsidRPr="00E66E4E">
        <w:rPr>
          <w:rFonts w:ascii="Times New Roman" w:hAnsi="Times New Roman" w:cs="Times New Roman"/>
          <w:kern w:val="0"/>
        </w:rPr>
        <w:t>tructures in</w:t>
      </w:r>
      <w:r w:rsidR="007D428A" w:rsidRPr="00E66E4E">
        <w:rPr>
          <w:rFonts w:ascii="Times New Roman" w:hAnsi="Times New Roman" w:cs="Times New Roman"/>
          <w:kern w:val="0"/>
        </w:rPr>
        <w:t xml:space="preserve"> b</w:t>
      </w:r>
      <w:r w:rsidRPr="00E66E4E">
        <w:rPr>
          <w:rFonts w:ascii="Times New Roman" w:hAnsi="Times New Roman" w:cs="Times New Roman"/>
          <w:kern w:val="0"/>
        </w:rPr>
        <w:t xml:space="preserve">ilingual and </w:t>
      </w:r>
      <w:r w:rsidR="007D428A" w:rsidRPr="00E66E4E">
        <w:rPr>
          <w:rFonts w:ascii="Times New Roman" w:hAnsi="Times New Roman" w:cs="Times New Roman"/>
          <w:kern w:val="0"/>
        </w:rPr>
        <w:t>m</w:t>
      </w:r>
      <w:r w:rsidRPr="00E66E4E">
        <w:rPr>
          <w:rFonts w:ascii="Times New Roman" w:hAnsi="Times New Roman" w:cs="Times New Roman"/>
          <w:kern w:val="0"/>
        </w:rPr>
        <w:t xml:space="preserve">onolingual </w:t>
      </w:r>
      <w:r w:rsidR="007D428A" w:rsidRPr="00E66E4E">
        <w:rPr>
          <w:rFonts w:ascii="Times New Roman" w:hAnsi="Times New Roman" w:cs="Times New Roman"/>
          <w:kern w:val="0"/>
        </w:rPr>
        <w:t>l</w:t>
      </w:r>
      <w:r w:rsidRPr="00E66E4E">
        <w:rPr>
          <w:rFonts w:ascii="Times New Roman" w:hAnsi="Times New Roman" w:cs="Times New Roman"/>
          <w:kern w:val="0"/>
        </w:rPr>
        <w:t xml:space="preserve">anguage </w:t>
      </w:r>
      <w:r w:rsidR="007D428A" w:rsidRPr="00E66E4E">
        <w:rPr>
          <w:rFonts w:ascii="Times New Roman" w:hAnsi="Times New Roman" w:cs="Times New Roman"/>
          <w:kern w:val="0"/>
        </w:rPr>
        <w:t>a</w:t>
      </w:r>
      <w:r w:rsidRPr="00E66E4E">
        <w:rPr>
          <w:rFonts w:ascii="Times New Roman" w:hAnsi="Times New Roman" w:cs="Times New Roman"/>
          <w:kern w:val="0"/>
        </w:rPr>
        <w:t xml:space="preserve">cquisition.” </w:t>
      </w:r>
      <w:r w:rsidRPr="00E66E4E">
        <w:rPr>
          <w:rFonts w:ascii="Times New Roman" w:hAnsi="Times New Roman" w:cs="Times New Roman"/>
          <w:i/>
          <w:iCs/>
          <w:kern w:val="0"/>
        </w:rPr>
        <w:t>Formal Approaches to Complexity in Heritage Language Grammars</w:t>
      </w:r>
      <w:r w:rsidRPr="00E66E4E">
        <w:rPr>
          <w:rFonts w:ascii="Times New Roman" w:hAnsi="Times New Roman" w:cs="Times New Roman"/>
          <w:kern w:val="0"/>
        </w:rPr>
        <w:t>, ed</w:t>
      </w:r>
      <w:r w:rsidR="007D428A" w:rsidRPr="00E66E4E">
        <w:rPr>
          <w:rFonts w:ascii="Times New Roman" w:hAnsi="Times New Roman" w:cs="Times New Roman"/>
          <w:kern w:val="0"/>
        </w:rPr>
        <w:t>.</w:t>
      </w:r>
      <w:r w:rsidRPr="00E66E4E">
        <w:rPr>
          <w:rFonts w:ascii="Times New Roman" w:hAnsi="Times New Roman" w:cs="Times New Roman"/>
          <w:kern w:val="0"/>
        </w:rPr>
        <w:t xml:space="preserve"> by Michael Putnam and Maria Polinsky, 1</w:t>
      </w:r>
      <w:r w:rsidR="005E669B" w:rsidRPr="00E66E4E">
        <w:rPr>
          <w:rFonts w:ascii="Times New Roman" w:hAnsi="Times New Roman" w:cs="Times New Roman"/>
          <w:kern w:val="0"/>
        </w:rPr>
        <w:t>-</w:t>
      </w:r>
      <w:r w:rsidRPr="00E66E4E">
        <w:rPr>
          <w:rFonts w:ascii="Times New Roman" w:hAnsi="Times New Roman" w:cs="Times New Roman"/>
          <w:kern w:val="0"/>
        </w:rPr>
        <w:t>17. Berlin: Language Sciences Press.</w:t>
      </w:r>
    </w:p>
    <w:p w14:paraId="5D2990F7" w14:textId="58BACD9D"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Rodríguez-Mondoñedo, Miguel. 2008. “The </w:t>
      </w:r>
      <w:r w:rsidR="009A59C0" w:rsidRPr="00E66E4E">
        <w:rPr>
          <w:rFonts w:ascii="Times New Roman" w:hAnsi="Times New Roman" w:cs="Times New Roman"/>
          <w:kern w:val="0"/>
        </w:rPr>
        <w:t>a</w:t>
      </w:r>
      <w:r w:rsidRPr="00E66E4E">
        <w:rPr>
          <w:rFonts w:ascii="Times New Roman" w:hAnsi="Times New Roman" w:cs="Times New Roman"/>
          <w:kern w:val="0"/>
        </w:rPr>
        <w:t xml:space="preserve">cquisition of </w:t>
      </w:r>
      <w:r w:rsidR="009A59C0" w:rsidRPr="00E66E4E">
        <w:rPr>
          <w:rFonts w:ascii="Times New Roman" w:hAnsi="Times New Roman" w:cs="Times New Roman"/>
          <w:kern w:val="0"/>
        </w:rPr>
        <w:t>d</w:t>
      </w:r>
      <w:r w:rsidRPr="00E66E4E">
        <w:rPr>
          <w:rFonts w:ascii="Times New Roman" w:hAnsi="Times New Roman" w:cs="Times New Roman"/>
          <w:kern w:val="0"/>
        </w:rPr>
        <w:t xml:space="preserve">ifferential </w:t>
      </w:r>
      <w:r w:rsidR="009A59C0" w:rsidRPr="00E66E4E">
        <w:rPr>
          <w:rFonts w:ascii="Times New Roman" w:hAnsi="Times New Roman" w:cs="Times New Roman"/>
          <w:kern w:val="0"/>
        </w:rPr>
        <w:t>o</w:t>
      </w:r>
      <w:r w:rsidRPr="00E66E4E">
        <w:rPr>
          <w:rFonts w:ascii="Times New Roman" w:hAnsi="Times New Roman" w:cs="Times New Roman"/>
          <w:kern w:val="0"/>
        </w:rPr>
        <w:t xml:space="preserve">bject </w:t>
      </w:r>
      <w:r w:rsidR="009A59C0" w:rsidRPr="00E66E4E">
        <w:rPr>
          <w:rFonts w:ascii="Times New Roman" w:hAnsi="Times New Roman" w:cs="Times New Roman"/>
          <w:kern w:val="0"/>
        </w:rPr>
        <w:t>m</w:t>
      </w:r>
      <w:r w:rsidRPr="00E66E4E">
        <w:rPr>
          <w:rFonts w:ascii="Times New Roman" w:hAnsi="Times New Roman" w:cs="Times New Roman"/>
          <w:kern w:val="0"/>
        </w:rPr>
        <w:t xml:space="preserve">arking in Spanish.” </w:t>
      </w:r>
      <w:r w:rsidRPr="00E66E4E">
        <w:rPr>
          <w:rFonts w:ascii="Times New Roman" w:hAnsi="Times New Roman" w:cs="Times New Roman"/>
          <w:i/>
          <w:iCs/>
          <w:kern w:val="0"/>
        </w:rPr>
        <w:t>Probus</w:t>
      </w:r>
      <w:r w:rsidRPr="00E66E4E">
        <w:rPr>
          <w:rFonts w:ascii="Times New Roman" w:hAnsi="Times New Roman" w:cs="Times New Roman"/>
          <w:kern w:val="0"/>
        </w:rPr>
        <w:t xml:space="preserve"> 20</w:t>
      </w:r>
      <w:r w:rsidR="009A59C0" w:rsidRPr="00E66E4E">
        <w:rPr>
          <w:rFonts w:ascii="Times New Roman" w:hAnsi="Times New Roman" w:cs="Times New Roman"/>
          <w:kern w:val="0"/>
        </w:rPr>
        <w:t>:</w:t>
      </w:r>
      <w:r w:rsidRPr="00E66E4E">
        <w:rPr>
          <w:rFonts w:ascii="Times New Roman" w:hAnsi="Times New Roman" w:cs="Times New Roman"/>
          <w:kern w:val="0"/>
        </w:rPr>
        <w:t>1. https://doi.org/10.1515/PROBUS.2008.004</w:t>
      </w:r>
    </w:p>
    <w:p w14:paraId="1EAB2CE6" w14:textId="77777777"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lastRenderedPageBreak/>
        <w:t xml:space="preserve">Seco, Rafael. 1990. </w:t>
      </w:r>
      <w:r w:rsidRPr="00E66E4E">
        <w:rPr>
          <w:rFonts w:ascii="Times New Roman" w:hAnsi="Times New Roman" w:cs="Times New Roman"/>
          <w:i/>
          <w:iCs/>
          <w:kern w:val="0"/>
        </w:rPr>
        <w:t>Manual de gramática española</w:t>
      </w:r>
      <w:r w:rsidRPr="00E66E4E">
        <w:rPr>
          <w:rFonts w:ascii="Times New Roman" w:hAnsi="Times New Roman" w:cs="Times New Roman"/>
          <w:kern w:val="0"/>
        </w:rPr>
        <w:t>. 11th ed. Colección obras de consulta. Madrid: Aguilar.</w:t>
      </w:r>
    </w:p>
    <w:p w14:paraId="70B05A30" w14:textId="5BEC1CB9"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Torrego, Esther. 1998. </w:t>
      </w:r>
      <w:r w:rsidRPr="00E66E4E">
        <w:rPr>
          <w:rFonts w:ascii="Times New Roman" w:hAnsi="Times New Roman" w:cs="Times New Roman"/>
          <w:i/>
          <w:iCs/>
          <w:kern w:val="0"/>
        </w:rPr>
        <w:t xml:space="preserve">The </w:t>
      </w:r>
      <w:r w:rsidR="009A59C0" w:rsidRPr="00E66E4E">
        <w:rPr>
          <w:rFonts w:ascii="Times New Roman" w:hAnsi="Times New Roman" w:cs="Times New Roman"/>
          <w:i/>
          <w:iCs/>
          <w:kern w:val="0"/>
        </w:rPr>
        <w:t>d</w:t>
      </w:r>
      <w:r w:rsidRPr="00E66E4E">
        <w:rPr>
          <w:rFonts w:ascii="Times New Roman" w:hAnsi="Times New Roman" w:cs="Times New Roman"/>
          <w:i/>
          <w:iCs/>
          <w:kern w:val="0"/>
        </w:rPr>
        <w:t xml:space="preserve">ependencies of </w:t>
      </w:r>
      <w:r w:rsidR="009A59C0" w:rsidRPr="00E66E4E">
        <w:rPr>
          <w:rFonts w:ascii="Times New Roman" w:hAnsi="Times New Roman" w:cs="Times New Roman"/>
          <w:i/>
          <w:iCs/>
          <w:kern w:val="0"/>
        </w:rPr>
        <w:t>l</w:t>
      </w:r>
      <w:r w:rsidRPr="00E66E4E">
        <w:rPr>
          <w:rFonts w:ascii="Times New Roman" w:hAnsi="Times New Roman" w:cs="Times New Roman"/>
          <w:i/>
          <w:iCs/>
          <w:kern w:val="0"/>
        </w:rPr>
        <w:t>bjects</w:t>
      </w:r>
      <w:r w:rsidRPr="00E66E4E">
        <w:rPr>
          <w:rFonts w:ascii="Times New Roman" w:hAnsi="Times New Roman" w:cs="Times New Roman"/>
          <w:kern w:val="0"/>
        </w:rPr>
        <w:t>. Linguistic Inquiry Monographs 34. Cambridge: MIT Press.</w:t>
      </w:r>
    </w:p>
    <w:p w14:paraId="3880C405" w14:textId="5CC8969B" w:rsidR="00446C6B" w:rsidRPr="00E66E4E"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 xml:space="preserve">Torregrossa, Jacopo, Cristina Flores, </w:t>
      </w:r>
      <w:r w:rsidR="009A59C0" w:rsidRPr="00E66E4E">
        <w:rPr>
          <w:rFonts w:ascii="Times New Roman" w:hAnsi="Times New Roman" w:cs="Times New Roman"/>
          <w:kern w:val="0"/>
        </w:rPr>
        <w:t>&amp;</w:t>
      </w:r>
      <w:r w:rsidRPr="00E66E4E">
        <w:rPr>
          <w:rFonts w:ascii="Times New Roman" w:hAnsi="Times New Roman" w:cs="Times New Roman"/>
          <w:kern w:val="0"/>
        </w:rPr>
        <w:t xml:space="preserve"> Esther Rinke. 2023. “What </w:t>
      </w:r>
      <w:r w:rsidR="009A59C0" w:rsidRPr="00E66E4E">
        <w:rPr>
          <w:rFonts w:ascii="Times New Roman" w:hAnsi="Times New Roman" w:cs="Times New Roman"/>
          <w:kern w:val="0"/>
        </w:rPr>
        <w:t>m</w:t>
      </w:r>
      <w:r w:rsidRPr="00E66E4E">
        <w:rPr>
          <w:rFonts w:ascii="Times New Roman" w:hAnsi="Times New Roman" w:cs="Times New Roman"/>
          <w:kern w:val="0"/>
        </w:rPr>
        <w:t xml:space="preserve">odulates the </w:t>
      </w:r>
      <w:r w:rsidR="009A59C0" w:rsidRPr="00E66E4E">
        <w:rPr>
          <w:rFonts w:ascii="Times New Roman" w:hAnsi="Times New Roman" w:cs="Times New Roman"/>
          <w:kern w:val="0"/>
        </w:rPr>
        <w:t>a</w:t>
      </w:r>
      <w:r w:rsidRPr="00E66E4E">
        <w:rPr>
          <w:rFonts w:ascii="Times New Roman" w:hAnsi="Times New Roman" w:cs="Times New Roman"/>
          <w:kern w:val="0"/>
        </w:rPr>
        <w:t xml:space="preserve">cquisition of </w:t>
      </w:r>
      <w:r w:rsidR="009A59C0" w:rsidRPr="00E66E4E">
        <w:rPr>
          <w:rFonts w:ascii="Times New Roman" w:hAnsi="Times New Roman" w:cs="Times New Roman"/>
          <w:kern w:val="0"/>
        </w:rPr>
        <w:t>d</w:t>
      </w:r>
      <w:r w:rsidRPr="00E66E4E">
        <w:rPr>
          <w:rFonts w:ascii="Times New Roman" w:hAnsi="Times New Roman" w:cs="Times New Roman"/>
          <w:kern w:val="0"/>
        </w:rPr>
        <w:t xml:space="preserve">ifficult </w:t>
      </w:r>
      <w:r w:rsidR="009A59C0" w:rsidRPr="00E66E4E">
        <w:rPr>
          <w:rFonts w:ascii="Times New Roman" w:hAnsi="Times New Roman" w:cs="Times New Roman"/>
          <w:kern w:val="0"/>
        </w:rPr>
        <w:t>s</w:t>
      </w:r>
      <w:r w:rsidRPr="00E66E4E">
        <w:rPr>
          <w:rFonts w:ascii="Times New Roman" w:hAnsi="Times New Roman" w:cs="Times New Roman"/>
          <w:kern w:val="0"/>
        </w:rPr>
        <w:t xml:space="preserve">tructures in a </w:t>
      </w:r>
      <w:r w:rsidR="009A59C0" w:rsidRPr="00E66E4E">
        <w:rPr>
          <w:rFonts w:ascii="Times New Roman" w:hAnsi="Times New Roman" w:cs="Times New Roman"/>
          <w:kern w:val="0"/>
        </w:rPr>
        <w:t>h</w:t>
      </w:r>
      <w:r w:rsidRPr="00E66E4E">
        <w:rPr>
          <w:rFonts w:ascii="Times New Roman" w:hAnsi="Times New Roman" w:cs="Times New Roman"/>
          <w:kern w:val="0"/>
        </w:rPr>
        <w:t xml:space="preserve">eritage </w:t>
      </w:r>
      <w:r w:rsidR="009A59C0" w:rsidRPr="00E66E4E">
        <w:rPr>
          <w:rFonts w:ascii="Times New Roman" w:hAnsi="Times New Roman" w:cs="Times New Roman"/>
          <w:kern w:val="0"/>
        </w:rPr>
        <w:t>l</w:t>
      </w:r>
      <w:r w:rsidRPr="00E66E4E">
        <w:rPr>
          <w:rFonts w:ascii="Times New Roman" w:hAnsi="Times New Roman" w:cs="Times New Roman"/>
          <w:kern w:val="0"/>
        </w:rPr>
        <w:t xml:space="preserve">anguage? A </w:t>
      </w:r>
      <w:r w:rsidR="009A59C0" w:rsidRPr="00E66E4E">
        <w:rPr>
          <w:rFonts w:ascii="Times New Roman" w:hAnsi="Times New Roman" w:cs="Times New Roman"/>
          <w:kern w:val="0"/>
        </w:rPr>
        <w:t>s</w:t>
      </w:r>
      <w:r w:rsidRPr="00E66E4E">
        <w:rPr>
          <w:rFonts w:ascii="Times New Roman" w:hAnsi="Times New Roman" w:cs="Times New Roman"/>
          <w:kern w:val="0"/>
        </w:rPr>
        <w:t xml:space="preserve">tudy on </w:t>
      </w:r>
      <w:r w:rsidR="009A59C0" w:rsidRPr="00E66E4E">
        <w:rPr>
          <w:rFonts w:ascii="Times New Roman" w:hAnsi="Times New Roman" w:cs="Times New Roman"/>
          <w:kern w:val="0"/>
        </w:rPr>
        <w:t>P</w:t>
      </w:r>
      <w:r w:rsidRPr="00E66E4E">
        <w:rPr>
          <w:rFonts w:ascii="Times New Roman" w:hAnsi="Times New Roman" w:cs="Times New Roman"/>
          <w:kern w:val="0"/>
        </w:rPr>
        <w:t xml:space="preserve">ortuguese in </w:t>
      </w:r>
      <w:r w:rsidR="009A59C0" w:rsidRPr="00E66E4E">
        <w:rPr>
          <w:rFonts w:ascii="Times New Roman" w:hAnsi="Times New Roman" w:cs="Times New Roman"/>
          <w:kern w:val="0"/>
        </w:rPr>
        <w:t>c</w:t>
      </w:r>
      <w:r w:rsidRPr="00E66E4E">
        <w:rPr>
          <w:rFonts w:ascii="Times New Roman" w:hAnsi="Times New Roman" w:cs="Times New Roman"/>
          <w:kern w:val="0"/>
        </w:rPr>
        <w:t xml:space="preserve">ontact with French, German and Italian.” </w:t>
      </w:r>
      <w:r w:rsidRPr="00E66E4E">
        <w:rPr>
          <w:rFonts w:ascii="Times New Roman" w:hAnsi="Times New Roman" w:cs="Times New Roman"/>
          <w:i/>
          <w:iCs/>
          <w:kern w:val="0"/>
        </w:rPr>
        <w:t>Bilingualism: Language and Cognition</w:t>
      </w:r>
      <w:r w:rsidRPr="00E66E4E">
        <w:rPr>
          <w:rFonts w:ascii="Times New Roman" w:hAnsi="Times New Roman" w:cs="Times New Roman"/>
          <w:kern w:val="0"/>
        </w:rPr>
        <w:t xml:space="preserve"> 26</w:t>
      </w:r>
      <w:r w:rsidR="009A59C0" w:rsidRPr="00E66E4E">
        <w:rPr>
          <w:rFonts w:ascii="Times New Roman" w:hAnsi="Times New Roman" w:cs="Times New Roman"/>
          <w:kern w:val="0"/>
        </w:rPr>
        <w:t>:</w:t>
      </w:r>
      <w:r w:rsidRPr="00E66E4E">
        <w:rPr>
          <w:rFonts w:ascii="Times New Roman" w:hAnsi="Times New Roman" w:cs="Times New Roman"/>
          <w:kern w:val="0"/>
        </w:rPr>
        <w:t>1</w:t>
      </w:r>
      <w:r w:rsidR="009A59C0" w:rsidRPr="00E66E4E">
        <w:rPr>
          <w:rFonts w:ascii="Times New Roman" w:hAnsi="Times New Roman" w:cs="Times New Roman"/>
          <w:kern w:val="0"/>
        </w:rPr>
        <w:t>.</w:t>
      </w:r>
      <w:r w:rsidRPr="00E66E4E">
        <w:rPr>
          <w:rFonts w:ascii="Times New Roman" w:hAnsi="Times New Roman" w:cs="Times New Roman"/>
          <w:kern w:val="0"/>
        </w:rPr>
        <w:t xml:space="preserve"> 179</w:t>
      </w:r>
      <w:r w:rsidR="009A59C0" w:rsidRPr="00E66E4E">
        <w:rPr>
          <w:rFonts w:ascii="Times New Roman" w:hAnsi="Times New Roman" w:cs="Times New Roman"/>
          <w:kern w:val="0"/>
        </w:rPr>
        <w:t>-1</w:t>
      </w:r>
      <w:r w:rsidRPr="00E66E4E">
        <w:rPr>
          <w:rFonts w:ascii="Times New Roman" w:hAnsi="Times New Roman" w:cs="Times New Roman"/>
          <w:kern w:val="0"/>
        </w:rPr>
        <w:t>92. https://doi.org/10.1017/S1366728922000438</w:t>
      </w:r>
    </w:p>
    <w:p w14:paraId="437AF2C6" w14:textId="317880C8" w:rsidR="00760A86" w:rsidRPr="00446C6B" w:rsidRDefault="00446C6B" w:rsidP="005A59A5">
      <w:pPr>
        <w:autoSpaceDE w:val="0"/>
        <w:autoSpaceDN w:val="0"/>
        <w:adjustRightInd w:val="0"/>
        <w:ind w:left="720" w:hanging="720"/>
        <w:rPr>
          <w:rFonts w:ascii="Times New Roman" w:hAnsi="Times New Roman" w:cs="Times New Roman"/>
          <w:kern w:val="0"/>
        </w:rPr>
      </w:pPr>
      <w:r w:rsidRPr="00E66E4E">
        <w:rPr>
          <w:rFonts w:ascii="Times New Roman" w:hAnsi="Times New Roman" w:cs="Times New Roman"/>
          <w:kern w:val="0"/>
        </w:rPr>
        <w:t>Wickham, H</w:t>
      </w:r>
      <w:r w:rsidR="009A59C0" w:rsidRPr="00E66E4E">
        <w:rPr>
          <w:rFonts w:ascii="Times New Roman" w:hAnsi="Times New Roman" w:cs="Times New Roman"/>
          <w:kern w:val="0"/>
        </w:rPr>
        <w:t>adley</w:t>
      </w:r>
      <w:r w:rsidRPr="00E66E4E">
        <w:rPr>
          <w:rFonts w:ascii="Times New Roman" w:hAnsi="Times New Roman" w:cs="Times New Roman"/>
          <w:kern w:val="0"/>
        </w:rPr>
        <w:t xml:space="preserve">, Mara Averick, Jennifer Bryan, Winston Chang, Lucy McGowan, Romain François, Garrett Grolemund, et al. 2019. “Welcome to the Tidyverse.” </w:t>
      </w:r>
      <w:r w:rsidRPr="00E66E4E">
        <w:rPr>
          <w:rFonts w:ascii="Times New Roman" w:hAnsi="Times New Roman" w:cs="Times New Roman"/>
          <w:i/>
          <w:iCs/>
          <w:kern w:val="0"/>
        </w:rPr>
        <w:t>Journal of Open Source Software</w:t>
      </w:r>
      <w:r w:rsidRPr="00E66E4E">
        <w:rPr>
          <w:rFonts w:ascii="Times New Roman" w:hAnsi="Times New Roman" w:cs="Times New Roman"/>
          <w:kern w:val="0"/>
        </w:rPr>
        <w:t xml:space="preserve"> 4</w:t>
      </w:r>
      <w:r w:rsidR="0077367A" w:rsidRPr="00E66E4E">
        <w:rPr>
          <w:rFonts w:ascii="Times New Roman" w:hAnsi="Times New Roman" w:cs="Times New Roman"/>
          <w:kern w:val="0"/>
        </w:rPr>
        <w:t>:</w:t>
      </w:r>
      <w:r w:rsidRPr="00E66E4E">
        <w:rPr>
          <w:rFonts w:ascii="Times New Roman" w:hAnsi="Times New Roman" w:cs="Times New Roman"/>
          <w:kern w:val="0"/>
        </w:rPr>
        <w:t>43</w:t>
      </w:r>
      <w:r w:rsidR="00C51A75" w:rsidRPr="00E66E4E">
        <w:rPr>
          <w:rFonts w:ascii="Times New Roman" w:hAnsi="Times New Roman" w:cs="Times New Roman"/>
          <w:kern w:val="0"/>
        </w:rPr>
        <w:t>.</w:t>
      </w:r>
      <w:r w:rsidRPr="00E66E4E">
        <w:rPr>
          <w:rFonts w:ascii="Times New Roman" w:hAnsi="Times New Roman" w:cs="Times New Roman"/>
          <w:kern w:val="0"/>
        </w:rPr>
        <w:t xml:space="preserve"> 1686. https://doi.org/10.21105/joss.01686</w:t>
      </w:r>
    </w:p>
    <w:sectPr w:rsidR="00760A86" w:rsidRPr="00446C6B">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82CDE" w14:textId="77777777" w:rsidR="00FB1717" w:rsidRDefault="00FB1717" w:rsidP="002A126C">
      <w:r>
        <w:separator/>
      </w:r>
    </w:p>
  </w:endnote>
  <w:endnote w:type="continuationSeparator" w:id="0">
    <w:p w14:paraId="1BF968EA" w14:textId="77777777" w:rsidR="00FB1717" w:rsidRDefault="00FB1717" w:rsidP="002A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EF158" w14:textId="77777777" w:rsidR="00FB1717" w:rsidRDefault="00FB1717" w:rsidP="002A126C">
      <w:r>
        <w:separator/>
      </w:r>
    </w:p>
  </w:footnote>
  <w:footnote w:type="continuationSeparator" w:id="0">
    <w:p w14:paraId="4DAA7915" w14:textId="77777777" w:rsidR="00FB1717" w:rsidRDefault="00FB1717" w:rsidP="002A126C">
      <w:r>
        <w:continuationSeparator/>
      </w:r>
    </w:p>
  </w:footnote>
  <w:footnote w:id="1">
    <w:p w14:paraId="3E1B4C60" w14:textId="3DAF8285" w:rsidR="00F155B4" w:rsidRPr="00010D29" w:rsidRDefault="00F155B4" w:rsidP="00EC65CB">
      <w:pPr>
        <w:pStyle w:val="FootnoteText"/>
        <w:ind w:left="360" w:hanging="360"/>
        <w:jc w:val="both"/>
        <w:rPr>
          <w:rFonts w:ascii="Times New Roman" w:hAnsi="Times New Roman" w:cs="Times New Roman"/>
          <w:sz w:val="24"/>
          <w:szCs w:val="24"/>
        </w:rPr>
      </w:pPr>
      <w:r w:rsidRPr="00010D29">
        <w:rPr>
          <w:rStyle w:val="FootnoteReference"/>
          <w:rFonts w:ascii="Times New Roman" w:hAnsi="Times New Roman" w:cs="Times New Roman"/>
          <w:sz w:val="24"/>
          <w:szCs w:val="24"/>
        </w:rPr>
        <w:footnoteRef/>
      </w:r>
      <w:r w:rsidRPr="00010D29">
        <w:rPr>
          <w:rFonts w:ascii="Times New Roman" w:hAnsi="Times New Roman" w:cs="Times New Roman"/>
          <w:sz w:val="24"/>
          <w:szCs w:val="24"/>
        </w:rPr>
        <w:tab/>
        <w:t>Montrul (2011) describes additional characteristics of Spanish DOM. These characteristics are not relevant to the present study and as a result are not described further here.</w:t>
      </w:r>
    </w:p>
  </w:footnote>
  <w:footnote w:id="2">
    <w:p w14:paraId="36F3824F" w14:textId="664CBBD0" w:rsidR="007A0D3F" w:rsidRPr="00010D29" w:rsidRDefault="007A0D3F" w:rsidP="007A0D3F">
      <w:pPr>
        <w:pStyle w:val="FootnoteText"/>
        <w:ind w:left="360" w:hanging="360"/>
        <w:jc w:val="both"/>
        <w:rPr>
          <w:rFonts w:ascii="Times New Roman" w:hAnsi="Times New Roman" w:cs="Times New Roman"/>
          <w:sz w:val="24"/>
          <w:szCs w:val="24"/>
        </w:rPr>
      </w:pPr>
      <w:r w:rsidRPr="00010D29">
        <w:rPr>
          <w:rStyle w:val="FootnoteReference"/>
          <w:rFonts w:ascii="Times New Roman" w:hAnsi="Times New Roman" w:cs="Times New Roman"/>
          <w:sz w:val="24"/>
          <w:szCs w:val="24"/>
        </w:rPr>
        <w:footnoteRef/>
      </w:r>
      <w:r w:rsidRPr="00010D29">
        <w:rPr>
          <w:rFonts w:ascii="Times New Roman" w:hAnsi="Times New Roman" w:cs="Times New Roman"/>
          <w:sz w:val="24"/>
          <w:szCs w:val="24"/>
        </w:rPr>
        <w:tab/>
        <w:t xml:space="preserve">Children were learning remotely during the COVID-19 pandemic </w:t>
      </w:r>
      <w:r w:rsidR="000A1E76" w:rsidRPr="00010D29">
        <w:rPr>
          <w:rFonts w:ascii="Times New Roman" w:hAnsi="Times New Roman" w:cs="Times New Roman"/>
          <w:sz w:val="24"/>
          <w:szCs w:val="24"/>
        </w:rPr>
        <w:t>during much of the three years prior to the study</w:t>
      </w:r>
      <w:r w:rsidR="001C5622" w:rsidRPr="00010D29">
        <w:rPr>
          <w:rFonts w:ascii="Times New Roman" w:hAnsi="Times New Roman" w:cs="Times New Roman"/>
          <w:sz w:val="24"/>
          <w:szCs w:val="24"/>
        </w:rPr>
        <w:t xml:space="preserve">, and </w:t>
      </w:r>
      <w:r w:rsidRPr="00010D29">
        <w:rPr>
          <w:rFonts w:ascii="Times New Roman" w:hAnsi="Times New Roman" w:cs="Times New Roman"/>
          <w:sz w:val="24"/>
          <w:szCs w:val="24"/>
        </w:rPr>
        <w:t xml:space="preserve">may have been in an environment where they heard </w:t>
      </w:r>
      <w:r w:rsidR="00637115" w:rsidRPr="00010D29">
        <w:rPr>
          <w:rFonts w:ascii="Times New Roman" w:hAnsi="Times New Roman" w:cs="Times New Roman"/>
          <w:sz w:val="24"/>
          <w:szCs w:val="24"/>
        </w:rPr>
        <w:t>greater</w:t>
      </w:r>
      <w:r w:rsidRPr="00010D29">
        <w:rPr>
          <w:rFonts w:ascii="Times New Roman" w:hAnsi="Times New Roman" w:cs="Times New Roman"/>
          <w:sz w:val="24"/>
          <w:szCs w:val="24"/>
        </w:rPr>
        <w:t xml:space="preserve"> amounts of Spanish</w:t>
      </w:r>
      <w:r w:rsidR="00637115" w:rsidRPr="00010D29">
        <w:rPr>
          <w:rFonts w:ascii="Times New Roman" w:hAnsi="Times New Roman" w:cs="Times New Roman"/>
          <w:sz w:val="24"/>
          <w:szCs w:val="24"/>
        </w:rPr>
        <w:t xml:space="preserve"> </w:t>
      </w:r>
      <w:r w:rsidR="006107BB" w:rsidRPr="00010D29">
        <w:rPr>
          <w:rFonts w:ascii="Times New Roman" w:hAnsi="Times New Roman" w:cs="Times New Roman"/>
          <w:sz w:val="24"/>
          <w:szCs w:val="24"/>
        </w:rPr>
        <w:t>at</w:t>
      </w:r>
      <w:r w:rsidR="000A1E76" w:rsidRPr="00010D29">
        <w:rPr>
          <w:rFonts w:ascii="Times New Roman" w:hAnsi="Times New Roman" w:cs="Times New Roman"/>
          <w:sz w:val="24"/>
          <w:szCs w:val="24"/>
        </w:rPr>
        <w:t xml:space="preserve"> home</w:t>
      </w:r>
      <w:r w:rsidR="00985555" w:rsidRPr="00010D29">
        <w:rPr>
          <w:rFonts w:ascii="Times New Roman" w:hAnsi="Times New Roman" w:cs="Times New Roman"/>
          <w:sz w:val="24"/>
          <w:szCs w:val="24"/>
        </w:rPr>
        <w:t>.</w:t>
      </w:r>
      <w:r w:rsidR="00160BBE">
        <w:rPr>
          <w:rFonts w:ascii="Times New Roman" w:hAnsi="Times New Roman" w:cs="Times New Roman"/>
          <w:sz w:val="24"/>
          <w:szCs w:val="24"/>
        </w:rPr>
        <w:t xml:space="preserve"> This could complicate the finding that bilingual schooling was at the root of the advantages that these bilinguals had in </w:t>
      </w:r>
      <w:r w:rsidR="00B8031F">
        <w:rPr>
          <w:rFonts w:ascii="Times New Roman" w:hAnsi="Times New Roman" w:cs="Times New Roman"/>
          <w:sz w:val="24"/>
          <w:szCs w:val="24"/>
        </w:rPr>
        <w:t>their mastery of morphosyntax.</w:t>
      </w:r>
    </w:p>
  </w:footnote>
  <w:footnote w:id="3">
    <w:p w14:paraId="3FBA7E8B" w14:textId="6FFA1E16" w:rsidR="00010D29" w:rsidRPr="00010D29" w:rsidRDefault="00010D29" w:rsidP="00010D29">
      <w:pPr>
        <w:pStyle w:val="FootnoteText"/>
        <w:ind w:left="360" w:hanging="360"/>
        <w:jc w:val="both"/>
        <w:rPr>
          <w:rFonts w:ascii="Times New Roman" w:hAnsi="Times New Roman" w:cs="Times New Roman"/>
          <w:sz w:val="24"/>
          <w:szCs w:val="24"/>
        </w:rPr>
      </w:pPr>
      <w:r w:rsidRPr="00010D29">
        <w:rPr>
          <w:rStyle w:val="FootnoteReference"/>
          <w:rFonts w:ascii="Times New Roman" w:hAnsi="Times New Roman" w:cs="Times New Roman"/>
          <w:sz w:val="24"/>
          <w:szCs w:val="24"/>
        </w:rPr>
        <w:footnoteRef/>
      </w:r>
      <w:r>
        <w:rPr>
          <w:rFonts w:ascii="Times New Roman" w:hAnsi="Times New Roman" w:cs="Times New Roman"/>
          <w:sz w:val="24"/>
          <w:szCs w:val="24"/>
        </w:rPr>
        <w:tab/>
      </w:r>
      <w:r w:rsidRPr="00010D29">
        <w:rPr>
          <w:rFonts w:ascii="Times New Roman" w:hAnsi="Times New Roman" w:cs="Times New Roman"/>
          <w:sz w:val="24"/>
          <w:szCs w:val="24"/>
        </w:rPr>
        <w:t xml:space="preserve">Kupisch and Rothman (2018) </w:t>
      </w:r>
      <w:r>
        <w:rPr>
          <w:rFonts w:ascii="Times New Roman" w:hAnsi="Times New Roman" w:cs="Times New Roman"/>
          <w:sz w:val="24"/>
          <w:szCs w:val="24"/>
        </w:rPr>
        <w:t xml:space="preserve">also </w:t>
      </w:r>
      <w:r w:rsidR="00570B12">
        <w:rPr>
          <w:rFonts w:ascii="Times New Roman" w:hAnsi="Times New Roman" w:cs="Times New Roman"/>
          <w:sz w:val="24"/>
          <w:szCs w:val="24"/>
        </w:rPr>
        <w:t>recognize</w:t>
      </w:r>
      <w:r w:rsidRPr="00010D29">
        <w:rPr>
          <w:rFonts w:ascii="Times New Roman" w:hAnsi="Times New Roman" w:cs="Times New Roman"/>
          <w:sz w:val="24"/>
          <w:szCs w:val="24"/>
        </w:rPr>
        <w:t xml:space="preserve"> that the sociolinguistic context of the United States may not be conducive to high levels of HL attainment</w:t>
      </w:r>
      <w:r w:rsidR="0080320B">
        <w:rPr>
          <w:rFonts w:ascii="Times New Roman" w:hAnsi="Times New Roman" w:cs="Times New Roman"/>
          <w:sz w:val="24"/>
          <w:szCs w:val="24"/>
        </w:rPr>
        <w:t>, which could affect the generalizability of their findings</w:t>
      </w:r>
      <w:r w:rsidR="00514A66">
        <w:rPr>
          <w:rFonts w:ascii="Times New Roman" w:hAnsi="Times New Roman" w:cs="Times New Roman"/>
          <w:sz w:val="24"/>
          <w:szCs w:val="2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8168643"/>
      <w:docPartObj>
        <w:docPartGallery w:val="Page Numbers (Top of Page)"/>
        <w:docPartUnique/>
      </w:docPartObj>
    </w:sdtPr>
    <w:sdtContent>
      <w:p w14:paraId="3973C627" w14:textId="06B43A44" w:rsidR="002A126C" w:rsidRDefault="002A126C" w:rsidP="000255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33FBC9" w14:textId="77777777" w:rsidR="002A126C" w:rsidRDefault="002A126C" w:rsidP="002A126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813791755"/>
      <w:docPartObj>
        <w:docPartGallery w:val="Page Numbers (Top of Page)"/>
        <w:docPartUnique/>
      </w:docPartObj>
    </w:sdtPr>
    <w:sdtContent>
      <w:p w14:paraId="1011DD7A" w14:textId="4FA5440C" w:rsidR="002A126C" w:rsidRPr="002A126C" w:rsidRDefault="002A126C" w:rsidP="0002550B">
        <w:pPr>
          <w:pStyle w:val="Header"/>
          <w:framePr w:wrap="none" w:vAnchor="text" w:hAnchor="margin" w:xAlign="right" w:y="1"/>
          <w:rPr>
            <w:rStyle w:val="PageNumber"/>
            <w:rFonts w:ascii="Times New Roman" w:hAnsi="Times New Roman" w:cs="Times New Roman"/>
          </w:rPr>
        </w:pPr>
        <w:r w:rsidRPr="002A126C">
          <w:rPr>
            <w:rStyle w:val="PageNumber"/>
            <w:rFonts w:ascii="Times New Roman" w:hAnsi="Times New Roman" w:cs="Times New Roman"/>
          </w:rPr>
          <w:fldChar w:fldCharType="begin"/>
        </w:r>
        <w:r w:rsidRPr="002A126C">
          <w:rPr>
            <w:rStyle w:val="PageNumber"/>
            <w:rFonts w:ascii="Times New Roman" w:hAnsi="Times New Roman" w:cs="Times New Roman"/>
          </w:rPr>
          <w:instrText xml:space="preserve"> PAGE </w:instrText>
        </w:r>
        <w:r w:rsidRPr="002A126C">
          <w:rPr>
            <w:rStyle w:val="PageNumber"/>
            <w:rFonts w:ascii="Times New Roman" w:hAnsi="Times New Roman" w:cs="Times New Roman"/>
          </w:rPr>
          <w:fldChar w:fldCharType="separate"/>
        </w:r>
        <w:r w:rsidRPr="002A126C">
          <w:rPr>
            <w:rStyle w:val="PageNumber"/>
            <w:rFonts w:ascii="Times New Roman" w:hAnsi="Times New Roman" w:cs="Times New Roman"/>
            <w:noProof/>
          </w:rPr>
          <w:t>1</w:t>
        </w:r>
        <w:r w:rsidRPr="002A126C">
          <w:rPr>
            <w:rStyle w:val="PageNumber"/>
            <w:rFonts w:ascii="Times New Roman" w:hAnsi="Times New Roman" w:cs="Times New Roman"/>
          </w:rPr>
          <w:fldChar w:fldCharType="end"/>
        </w:r>
      </w:p>
    </w:sdtContent>
  </w:sdt>
  <w:p w14:paraId="564B627D" w14:textId="77777777" w:rsidR="002A126C" w:rsidRPr="002A126C" w:rsidRDefault="002A126C" w:rsidP="002A126C">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D3C42"/>
    <w:multiLevelType w:val="hybridMultilevel"/>
    <w:tmpl w:val="5F70B0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E4E5B1D"/>
    <w:multiLevelType w:val="hybridMultilevel"/>
    <w:tmpl w:val="A0F8B6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5484557">
    <w:abstractNumId w:val="1"/>
  </w:num>
  <w:num w:numId="2" w16cid:durableId="145085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B5"/>
    <w:rsid w:val="000047BF"/>
    <w:rsid w:val="00006F38"/>
    <w:rsid w:val="00010D29"/>
    <w:rsid w:val="00011B38"/>
    <w:rsid w:val="00013CF4"/>
    <w:rsid w:val="00020897"/>
    <w:rsid w:val="000236CE"/>
    <w:rsid w:val="000259AE"/>
    <w:rsid w:val="00030731"/>
    <w:rsid w:val="00033414"/>
    <w:rsid w:val="0003563E"/>
    <w:rsid w:val="00036E86"/>
    <w:rsid w:val="00041152"/>
    <w:rsid w:val="0004348A"/>
    <w:rsid w:val="00043EFE"/>
    <w:rsid w:val="00045F2E"/>
    <w:rsid w:val="0005008C"/>
    <w:rsid w:val="00050870"/>
    <w:rsid w:val="00050A8A"/>
    <w:rsid w:val="00051BD8"/>
    <w:rsid w:val="00052BB1"/>
    <w:rsid w:val="0005391A"/>
    <w:rsid w:val="00053E9C"/>
    <w:rsid w:val="00055D04"/>
    <w:rsid w:val="00063812"/>
    <w:rsid w:val="00064F09"/>
    <w:rsid w:val="000655A2"/>
    <w:rsid w:val="000656A8"/>
    <w:rsid w:val="00071F81"/>
    <w:rsid w:val="000726EF"/>
    <w:rsid w:val="00072C27"/>
    <w:rsid w:val="00076B8C"/>
    <w:rsid w:val="00076C0B"/>
    <w:rsid w:val="00077B3C"/>
    <w:rsid w:val="000805D5"/>
    <w:rsid w:val="00080CBB"/>
    <w:rsid w:val="00081572"/>
    <w:rsid w:val="00082EBB"/>
    <w:rsid w:val="0008367E"/>
    <w:rsid w:val="0009065F"/>
    <w:rsid w:val="0009135B"/>
    <w:rsid w:val="00091ADF"/>
    <w:rsid w:val="000960F2"/>
    <w:rsid w:val="000A1E76"/>
    <w:rsid w:val="000A4354"/>
    <w:rsid w:val="000B1933"/>
    <w:rsid w:val="000B349C"/>
    <w:rsid w:val="000B4896"/>
    <w:rsid w:val="000B4DD4"/>
    <w:rsid w:val="000B5FEB"/>
    <w:rsid w:val="000B6273"/>
    <w:rsid w:val="000B65E3"/>
    <w:rsid w:val="000B777C"/>
    <w:rsid w:val="000C07DE"/>
    <w:rsid w:val="000C1C2A"/>
    <w:rsid w:val="000C1DB7"/>
    <w:rsid w:val="000C4704"/>
    <w:rsid w:val="000C6760"/>
    <w:rsid w:val="000C6985"/>
    <w:rsid w:val="000D48B1"/>
    <w:rsid w:val="000D4A51"/>
    <w:rsid w:val="000D5497"/>
    <w:rsid w:val="000D5ECE"/>
    <w:rsid w:val="000D6430"/>
    <w:rsid w:val="000D67D7"/>
    <w:rsid w:val="000D71ED"/>
    <w:rsid w:val="000D7B5D"/>
    <w:rsid w:val="000E0480"/>
    <w:rsid w:val="000E0839"/>
    <w:rsid w:val="000E1A7E"/>
    <w:rsid w:val="000E24A2"/>
    <w:rsid w:val="000E254E"/>
    <w:rsid w:val="000E26C4"/>
    <w:rsid w:val="000E2C0E"/>
    <w:rsid w:val="000E4996"/>
    <w:rsid w:val="000E4D6C"/>
    <w:rsid w:val="000E73E3"/>
    <w:rsid w:val="000F2CD8"/>
    <w:rsid w:val="000F4ECE"/>
    <w:rsid w:val="000F564B"/>
    <w:rsid w:val="000F5CBB"/>
    <w:rsid w:val="000F6122"/>
    <w:rsid w:val="000F78B0"/>
    <w:rsid w:val="00102B60"/>
    <w:rsid w:val="00102F89"/>
    <w:rsid w:val="001045C4"/>
    <w:rsid w:val="001054D7"/>
    <w:rsid w:val="00105EE9"/>
    <w:rsid w:val="00107C9E"/>
    <w:rsid w:val="00114624"/>
    <w:rsid w:val="0012107F"/>
    <w:rsid w:val="0012217E"/>
    <w:rsid w:val="00122F72"/>
    <w:rsid w:val="00123723"/>
    <w:rsid w:val="00123757"/>
    <w:rsid w:val="001254CF"/>
    <w:rsid w:val="00125EF3"/>
    <w:rsid w:val="00126A85"/>
    <w:rsid w:val="00127A15"/>
    <w:rsid w:val="00131D99"/>
    <w:rsid w:val="00140CAC"/>
    <w:rsid w:val="00141CE8"/>
    <w:rsid w:val="00141E3F"/>
    <w:rsid w:val="00142EA9"/>
    <w:rsid w:val="00145232"/>
    <w:rsid w:val="001460F7"/>
    <w:rsid w:val="001478CC"/>
    <w:rsid w:val="00152086"/>
    <w:rsid w:val="001553F7"/>
    <w:rsid w:val="00155C9E"/>
    <w:rsid w:val="001571EE"/>
    <w:rsid w:val="00157263"/>
    <w:rsid w:val="00157A5D"/>
    <w:rsid w:val="00160BBE"/>
    <w:rsid w:val="00165D2F"/>
    <w:rsid w:val="001679A6"/>
    <w:rsid w:val="001715B4"/>
    <w:rsid w:val="00173285"/>
    <w:rsid w:val="00175403"/>
    <w:rsid w:val="00175BF7"/>
    <w:rsid w:val="001774DE"/>
    <w:rsid w:val="00181D28"/>
    <w:rsid w:val="001827CF"/>
    <w:rsid w:val="00190698"/>
    <w:rsid w:val="00190863"/>
    <w:rsid w:val="00190A9F"/>
    <w:rsid w:val="00191837"/>
    <w:rsid w:val="00192103"/>
    <w:rsid w:val="00195767"/>
    <w:rsid w:val="001A109E"/>
    <w:rsid w:val="001A13EA"/>
    <w:rsid w:val="001A1FAA"/>
    <w:rsid w:val="001A3913"/>
    <w:rsid w:val="001A532B"/>
    <w:rsid w:val="001A705C"/>
    <w:rsid w:val="001B3D98"/>
    <w:rsid w:val="001B3FAB"/>
    <w:rsid w:val="001B6E29"/>
    <w:rsid w:val="001B7AAA"/>
    <w:rsid w:val="001C4A5B"/>
    <w:rsid w:val="001C5622"/>
    <w:rsid w:val="001C7CD2"/>
    <w:rsid w:val="001D0A65"/>
    <w:rsid w:val="001D3AEC"/>
    <w:rsid w:val="001D4BA8"/>
    <w:rsid w:val="001E0079"/>
    <w:rsid w:val="001E1EAD"/>
    <w:rsid w:val="001E2A60"/>
    <w:rsid w:val="001E36F8"/>
    <w:rsid w:val="001E45F0"/>
    <w:rsid w:val="001E4CFD"/>
    <w:rsid w:val="001E5D6C"/>
    <w:rsid w:val="001F403E"/>
    <w:rsid w:val="001F6DB5"/>
    <w:rsid w:val="00205238"/>
    <w:rsid w:val="00207001"/>
    <w:rsid w:val="00211BAB"/>
    <w:rsid w:val="00212C35"/>
    <w:rsid w:val="00216E5D"/>
    <w:rsid w:val="00217D32"/>
    <w:rsid w:val="002234B0"/>
    <w:rsid w:val="00226E39"/>
    <w:rsid w:val="00227274"/>
    <w:rsid w:val="00231933"/>
    <w:rsid w:val="0023247E"/>
    <w:rsid w:val="00235B2F"/>
    <w:rsid w:val="00236477"/>
    <w:rsid w:val="002368BF"/>
    <w:rsid w:val="00241E3C"/>
    <w:rsid w:val="0024666F"/>
    <w:rsid w:val="0024672C"/>
    <w:rsid w:val="002467A7"/>
    <w:rsid w:val="00250AA8"/>
    <w:rsid w:val="00252747"/>
    <w:rsid w:val="0025343C"/>
    <w:rsid w:val="002554AF"/>
    <w:rsid w:val="00261710"/>
    <w:rsid w:val="0026321D"/>
    <w:rsid w:val="00263A4A"/>
    <w:rsid w:val="0026450E"/>
    <w:rsid w:val="0026478A"/>
    <w:rsid w:val="00265D3B"/>
    <w:rsid w:val="00265F3A"/>
    <w:rsid w:val="002707A3"/>
    <w:rsid w:val="00270D6C"/>
    <w:rsid w:val="002730D0"/>
    <w:rsid w:val="00274493"/>
    <w:rsid w:val="0027560E"/>
    <w:rsid w:val="0027585E"/>
    <w:rsid w:val="00276205"/>
    <w:rsid w:val="0027695A"/>
    <w:rsid w:val="00276C84"/>
    <w:rsid w:val="00277420"/>
    <w:rsid w:val="00280189"/>
    <w:rsid w:val="002807A3"/>
    <w:rsid w:val="00286A29"/>
    <w:rsid w:val="00290AB8"/>
    <w:rsid w:val="00291641"/>
    <w:rsid w:val="002923A3"/>
    <w:rsid w:val="0029473F"/>
    <w:rsid w:val="00294CEC"/>
    <w:rsid w:val="00295F2C"/>
    <w:rsid w:val="00296D90"/>
    <w:rsid w:val="00297A79"/>
    <w:rsid w:val="00297F25"/>
    <w:rsid w:val="002A126C"/>
    <w:rsid w:val="002A1E2B"/>
    <w:rsid w:val="002A2822"/>
    <w:rsid w:val="002A3856"/>
    <w:rsid w:val="002A57E7"/>
    <w:rsid w:val="002A65B3"/>
    <w:rsid w:val="002B14C1"/>
    <w:rsid w:val="002B1D8B"/>
    <w:rsid w:val="002B38C2"/>
    <w:rsid w:val="002B6420"/>
    <w:rsid w:val="002B7F2C"/>
    <w:rsid w:val="002C1557"/>
    <w:rsid w:val="002C227E"/>
    <w:rsid w:val="002D0613"/>
    <w:rsid w:val="002D1419"/>
    <w:rsid w:val="002E15E3"/>
    <w:rsid w:val="002E4490"/>
    <w:rsid w:val="002E4CC4"/>
    <w:rsid w:val="002F009C"/>
    <w:rsid w:val="002F4054"/>
    <w:rsid w:val="002F45F2"/>
    <w:rsid w:val="002F6550"/>
    <w:rsid w:val="002F67B6"/>
    <w:rsid w:val="002F7586"/>
    <w:rsid w:val="00300552"/>
    <w:rsid w:val="00302ED0"/>
    <w:rsid w:val="00303C05"/>
    <w:rsid w:val="00304C65"/>
    <w:rsid w:val="003053AE"/>
    <w:rsid w:val="00312AE0"/>
    <w:rsid w:val="00313FA5"/>
    <w:rsid w:val="003152EE"/>
    <w:rsid w:val="00316862"/>
    <w:rsid w:val="00317BC5"/>
    <w:rsid w:val="00320F27"/>
    <w:rsid w:val="003211EF"/>
    <w:rsid w:val="00321EED"/>
    <w:rsid w:val="003224B2"/>
    <w:rsid w:val="00323A3C"/>
    <w:rsid w:val="00324C44"/>
    <w:rsid w:val="00325EB9"/>
    <w:rsid w:val="003270C3"/>
    <w:rsid w:val="00333DB4"/>
    <w:rsid w:val="00334E61"/>
    <w:rsid w:val="00340928"/>
    <w:rsid w:val="00341B3B"/>
    <w:rsid w:val="003423DD"/>
    <w:rsid w:val="00346476"/>
    <w:rsid w:val="003501D3"/>
    <w:rsid w:val="00351155"/>
    <w:rsid w:val="00351238"/>
    <w:rsid w:val="0035140A"/>
    <w:rsid w:val="0035173E"/>
    <w:rsid w:val="003519A9"/>
    <w:rsid w:val="00351C99"/>
    <w:rsid w:val="00352468"/>
    <w:rsid w:val="003549CD"/>
    <w:rsid w:val="003613AE"/>
    <w:rsid w:val="003652E9"/>
    <w:rsid w:val="00365DD3"/>
    <w:rsid w:val="003675EA"/>
    <w:rsid w:val="003702C4"/>
    <w:rsid w:val="00371040"/>
    <w:rsid w:val="00372E0A"/>
    <w:rsid w:val="0037316C"/>
    <w:rsid w:val="00374E71"/>
    <w:rsid w:val="00375E4F"/>
    <w:rsid w:val="00377073"/>
    <w:rsid w:val="00381660"/>
    <w:rsid w:val="003840C8"/>
    <w:rsid w:val="003852CC"/>
    <w:rsid w:val="00386B81"/>
    <w:rsid w:val="00386F31"/>
    <w:rsid w:val="0039121B"/>
    <w:rsid w:val="00391DE3"/>
    <w:rsid w:val="00392C42"/>
    <w:rsid w:val="003952B1"/>
    <w:rsid w:val="00395860"/>
    <w:rsid w:val="00395AAC"/>
    <w:rsid w:val="003968A0"/>
    <w:rsid w:val="00396DEB"/>
    <w:rsid w:val="003977A9"/>
    <w:rsid w:val="003A09AE"/>
    <w:rsid w:val="003A1EA7"/>
    <w:rsid w:val="003A3383"/>
    <w:rsid w:val="003A4405"/>
    <w:rsid w:val="003A697E"/>
    <w:rsid w:val="003A6FEB"/>
    <w:rsid w:val="003B17C4"/>
    <w:rsid w:val="003B7368"/>
    <w:rsid w:val="003C21F6"/>
    <w:rsid w:val="003C399F"/>
    <w:rsid w:val="003C3BF5"/>
    <w:rsid w:val="003C50C5"/>
    <w:rsid w:val="003C6E0F"/>
    <w:rsid w:val="003D5247"/>
    <w:rsid w:val="003D74EB"/>
    <w:rsid w:val="003D7689"/>
    <w:rsid w:val="003E013C"/>
    <w:rsid w:val="003E02D1"/>
    <w:rsid w:val="003E229D"/>
    <w:rsid w:val="003E7CF3"/>
    <w:rsid w:val="003F0734"/>
    <w:rsid w:val="003F255D"/>
    <w:rsid w:val="003F43AC"/>
    <w:rsid w:val="003F4A96"/>
    <w:rsid w:val="003F5173"/>
    <w:rsid w:val="003F7156"/>
    <w:rsid w:val="003F76F1"/>
    <w:rsid w:val="00400E1F"/>
    <w:rsid w:val="00403904"/>
    <w:rsid w:val="004039A5"/>
    <w:rsid w:val="00405D50"/>
    <w:rsid w:val="004068E8"/>
    <w:rsid w:val="00407F78"/>
    <w:rsid w:val="0041227C"/>
    <w:rsid w:val="004125F5"/>
    <w:rsid w:val="00414992"/>
    <w:rsid w:val="00416832"/>
    <w:rsid w:val="00417F24"/>
    <w:rsid w:val="004233B6"/>
    <w:rsid w:val="00430266"/>
    <w:rsid w:val="0043095E"/>
    <w:rsid w:val="004333BF"/>
    <w:rsid w:val="00440E66"/>
    <w:rsid w:val="00441D1C"/>
    <w:rsid w:val="004435C6"/>
    <w:rsid w:val="004452AF"/>
    <w:rsid w:val="00446C6B"/>
    <w:rsid w:val="00450CF9"/>
    <w:rsid w:val="00451016"/>
    <w:rsid w:val="00451E44"/>
    <w:rsid w:val="00452F92"/>
    <w:rsid w:val="00453B85"/>
    <w:rsid w:val="0045450B"/>
    <w:rsid w:val="00455F59"/>
    <w:rsid w:val="0045794E"/>
    <w:rsid w:val="0046025C"/>
    <w:rsid w:val="00460E7F"/>
    <w:rsid w:val="004628E1"/>
    <w:rsid w:val="00463539"/>
    <w:rsid w:val="00463E21"/>
    <w:rsid w:val="00465DAD"/>
    <w:rsid w:val="00465EF1"/>
    <w:rsid w:val="00475049"/>
    <w:rsid w:val="004765A8"/>
    <w:rsid w:val="004844FF"/>
    <w:rsid w:val="00485544"/>
    <w:rsid w:val="00487C94"/>
    <w:rsid w:val="00492ADB"/>
    <w:rsid w:val="004937F1"/>
    <w:rsid w:val="00493CB8"/>
    <w:rsid w:val="00493D28"/>
    <w:rsid w:val="004957E3"/>
    <w:rsid w:val="00496F65"/>
    <w:rsid w:val="00497798"/>
    <w:rsid w:val="004979E5"/>
    <w:rsid w:val="004A021C"/>
    <w:rsid w:val="004A0D41"/>
    <w:rsid w:val="004B06FC"/>
    <w:rsid w:val="004B213A"/>
    <w:rsid w:val="004B6200"/>
    <w:rsid w:val="004B7A5E"/>
    <w:rsid w:val="004C3A5D"/>
    <w:rsid w:val="004C3EC8"/>
    <w:rsid w:val="004C41D0"/>
    <w:rsid w:val="004C4E92"/>
    <w:rsid w:val="004C510C"/>
    <w:rsid w:val="004D00F8"/>
    <w:rsid w:val="004D2538"/>
    <w:rsid w:val="004D56E9"/>
    <w:rsid w:val="004D719D"/>
    <w:rsid w:val="004D7A7C"/>
    <w:rsid w:val="004E1205"/>
    <w:rsid w:val="004E20B4"/>
    <w:rsid w:val="004E30FC"/>
    <w:rsid w:val="004E4B0F"/>
    <w:rsid w:val="004E56F9"/>
    <w:rsid w:val="004F01B8"/>
    <w:rsid w:val="004F3E63"/>
    <w:rsid w:val="005007AD"/>
    <w:rsid w:val="005049AB"/>
    <w:rsid w:val="00506353"/>
    <w:rsid w:val="00506B9A"/>
    <w:rsid w:val="00511553"/>
    <w:rsid w:val="00512031"/>
    <w:rsid w:val="00512BB3"/>
    <w:rsid w:val="00513739"/>
    <w:rsid w:val="00514A66"/>
    <w:rsid w:val="0051615F"/>
    <w:rsid w:val="00516828"/>
    <w:rsid w:val="00527404"/>
    <w:rsid w:val="005274B2"/>
    <w:rsid w:val="00527743"/>
    <w:rsid w:val="00527A48"/>
    <w:rsid w:val="00530330"/>
    <w:rsid w:val="0053189F"/>
    <w:rsid w:val="005321BD"/>
    <w:rsid w:val="00532534"/>
    <w:rsid w:val="00533B92"/>
    <w:rsid w:val="005350D5"/>
    <w:rsid w:val="0053735D"/>
    <w:rsid w:val="005427B8"/>
    <w:rsid w:val="005435F7"/>
    <w:rsid w:val="00544235"/>
    <w:rsid w:val="005452E2"/>
    <w:rsid w:val="005457F2"/>
    <w:rsid w:val="0054614D"/>
    <w:rsid w:val="00547978"/>
    <w:rsid w:val="00550DBC"/>
    <w:rsid w:val="0055251B"/>
    <w:rsid w:val="00552C54"/>
    <w:rsid w:val="00554209"/>
    <w:rsid w:val="00554544"/>
    <w:rsid w:val="005545BF"/>
    <w:rsid w:val="00554CE3"/>
    <w:rsid w:val="00555E22"/>
    <w:rsid w:val="00555FCD"/>
    <w:rsid w:val="00555FCF"/>
    <w:rsid w:val="00557C40"/>
    <w:rsid w:val="0056002E"/>
    <w:rsid w:val="0056277A"/>
    <w:rsid w:val="00564510"/>
    <w:rsid w:val="00566B3A"/>
    <w:rsid w:val="005674B1"/>
    <w:rsid w:val="00570B12"/>
    <w:rsid w:val="005808E9"/>
    <w:rsid w:val="00582929"/>
    <w:rsid w:val="00583CE5"/>
    <w:rsid w:val="00584CE4"/>
    <w:rsid w:val="00591828"/>
    <w:rsid w:val="00593E1B"/>
    <w:rsid w:val="005A0BE5"/>
    <w:rsid w:val="005A10F8"/>
    <w:rsid w:val="005A14B4"/>
    <w:rsid w:val="005A1C4A"/>
    <w:rsid w:val="005A2474"/>
    <w:rsid w:val="005A412E"/>
    <w:rsid w:val="005A4BB7"/>
    <w:rsid w:val="005A5709"/>
    <w:rsid w:val="005A59A5"/>
    <w:rsid w:val="005A677E"/>
    <w:rsid w:val="005B3B92"/>
    <w:rsid w:val="005B7B33"/>
    <w:rsid w:val="005B7DC4"/>
    <w:rsid w:val="005C2DA7"/>
    <w:rsid w:val="005C7250"/>
    <w:rsid w:val="005D22C0"/>
    <w:rsid w:val="005D2B3F"/>
    <w:rsid w:val="005D3AEE"/>
    <w:rsid w:val="005E59C3"/>
    <w:rsid w:val="005E669B"/>
    <w:rsid w:val="005F4C95"/>
    <w:rsid w:val="005F6DB7"/>
    <w:rsid w:val="00601F94"/>
    <w:rsid w:val="00603D24"/>
    <w:rsid w:val="00605E20"/>
    <w:rsid w:val="006107BB"/>
    <w:rsid w:val="00614746"/>
    <w:rsid w:val="00616575"/>
    <w:rsid w:val="00620F10"/>
    <w:rsid w:val="00621448"/>
    <w:rsid w:val="00625235"/>
    <w:rsid w:val="00625AEF"/>
    <w:rsid w:val="00630B9B"/>
    <w:rsid w:val="00637115"/>
    <w:rsid w:val="00637E57"/>
    <w:rsid w:val="00647066"/>
    <w:rsid w:val="006477C2"/>
    <w:rsid w:val="006477E3"/>
    <w:rsid w:val="006509B9"/>
    <w:rsid w:val="00651D82"/>
    <w:rsid w:val="00652B0E"/>
    <w:rsid w:val="00653E9F"/>
    <w:rsid w:val="00654584"/>
    <w:rsid w:val="00655213"/>
    <w:rsid w:val="00656B0A"/>
    <w:rsid w:val="00663BA1"/>
    <w:rsid w:val="00664B9B"/>
    <w:rsid w:val="00667ECA"/>
    <w:rsid w:val="006725FB"/>
    <w:rsid w:val="00673EA6"/>
    <w:rsid w:val="006775FF"/>
    <w:rsid w:val="0067771F"/>
    <w:rsid w:val="00681E6E"/>
    <w:rsid w:val="00686588"/>
    <w:rsid w:val="00690AC9"/>
    <w:rsid w:val="006912E0"/>
    <w:rsid w:val="00691A77"/>
    <w:rsid w:val="00691D4D"/>
    <w:rsid w:val="00694272"/>
    <w:rsid w:val="006944D0"/>
    <w:rsid w:val="006A78FE"/>
    <w:rsid w:val="006B21AE"/>
    <w:rsid w:val="006B2F32"/>
    <w:rsid w:val="006B33FB"/>
    <w:rsid w:val="006B4443"/>
    <w:rsid w:val="006B72CF"/>
    <w:rsid w:val="006B7BA2"/>
    <w:rsid w:val="006C0470"/>
    <w:rsid w:val="006C1EC6"/>
    <w:rsid w:val="006C336B"/>
    <w:rsid w:val="006C38F6"/>
    <w:rsid w:val="006C4211"/>
    <w:rsid w:val="006C7778"/>
    <w:rsid w:val="006D0D3D"/>
    <w:rsid w:val="006D2A95"/>
    <w:rsid w:val="006D2AE4"/>
    <w:rsid w:val="006E28E1"/>
    <w:rsid w:val="006E33C2"/>
    <w:rsid w:val="006E3837"/>
    <w:rsid w:val="006E402E"/>
    <w:rsid w:val="006E4309"/>
    <w:rsid w:val="006E4E6E"/>
    <w:rsid w:val="006E76C8"/>
    <w:rsid w:val="006F720D"/>
    <w:rsid w:val="007031D4"/>
    <w:rsid w:val="007058D2"/>
    <w:rsid w:val="0071065C"/>
    <w:rsid w:val="007109EE"/>
    <w:rsid w:val="00711932"/>
    <w:rsid w:val="0071254B"/>
    <w:rsid w:val="007130C8"/>
    <w:rsid w:val="00713284"/>
    <w:rsid w:val="00714337"/>
    <w:rsid w:val="00720917"/>
    <w:rsid w:val="0072120E"/>
    <w:rsid w:val="00721C7F"/>
    <w:rsid w:val="00722182"/>
    <w:rsid w:val="00730A38"/>
    <w:rsid w:val="00732BC3"/>
    <w:rsid w:val="00732DAB"/>
    <w:rsid w:val="00733135"/>
    <w:rsid w:val="0073398B"/>
    <w:rsid w:val="0073604E"/>
    <w:rsid w:val="00736540"/>
    <w:rsid w:val="00737189"/>
    <w:rsid w:val="00737B33"/>
    <w:rsid w:val="00740C42"/>
    <w:rsid w:val="00741CB7"/>
    <w:rsid w:val="007461EE"/>
    <w:rsid w:val="00747B41"/>
    <w:rsid w:val="00751C7D"/>
    <w:rsid w:val="00755D87"/>
    <w:rsid w:val="00756BDF"/>
    <w:rsid w:val="007607B8"/>
    <w:rsid w:val="00760A86"/>
    <w:rsid w:val="00760F5F"/>
    <w:rsid w:val="00761CB9"/>
    <w:rsid w:val="00764340"/>
    <w:rsid w:val="007660FE"/>
    <w:rsid w:val="00767241"/>
    <w:rsid w:val="00767710"/>
    <w:rsid w:val="0077367A"/>
    <w:rsid w:val="00773A4D"/>
    <w:rsid w:val="00774FF3"/>
    <w:rsid w:val="00775DA6"/>
    <w:rsid w:val="00780351"/>
    <w:rsid w:val="0078290F"/>
    <w:rsid w:val="0078363E"/>
    <w:rsid w:val="00783F8A"/>
    <w:rsid w:val="00785BE5"/>
    <w:rsid w:val="00791481"/>
    <w:rsid w:val="00795A38"/>
    <w:rsid w:val="00795C40"/>
    <w:rsid w:val="00796644"/>
    <w:rsid w:val="007A0D3F"/>
    <w:rsid w:val="007A3638"/>
    <w:rsid w:val="007A541D"/>
    <w:rsid w:val="007A5725"/>
    <w:rsid w:val="007A6399"/>
    <w:rsid w:val="007B2B30"/>
    <w:rsid w:val="007B2BF3"/>
    <w:rsid w:val="007B3AE7"/>
    <w:rsid w:val="007B3DF2"/>
    <w:rsid w:val="007B56E9"/>
    <w:rsid w:val="007B5942"/>
    <w:rsid w:val="007B7BC3"/>
    <w:rsid w:val="007B7F43"/>
    <w:rsid w:val="007C0F9B"/>
    <w:rsid w:val="007C10D1"/>
    <w:rsid w:val="007C2283"/>
    <w:rsid w:val="007C750F"/>
    <w:rsid w:val="007D1864"/>
    <w:rsid w:val="007D27AC"/>
    <w:rsid w:val="007D2E1C"/>
    <w:rsid w:val="007D428A"/>
    <w:rsid w:val="007D4ABD"/>
    <w:rsid w:val="007D6C99"/>
    <w:rsid w:val="007E02C9"/>
    <w:rsid w:val="007E0AC1"/>
    <w:rsid w:val="007E3782"/>
    <w:rsid w:val="007E4471"/>
    <w:rsid w:val="007E4599"/>
    <w:rsid w:val="007E5342"/>
    <w:rsid w:val="007E6713"/>
    <w:rsid w:val="007F0329"/>
    <w:rsid w:val="007F1154"/>
    <w:rsid w:val="007F15DA"/>
    <w:rsid w:val="007F3C6A"/>
    <w:rsid w:val="007F6BBF"/>
    <w:rsid w:val="008000E8"/>
    <w:rsid w:val="0080320B"/>
    <w:rsid w:val="00803B4F"/>
    <w:rsid w:val="00803D4B"/>
    <w:rsid w:val="008046C9"/>
    <w:rsid w:val="00804737"/>
    <w:rsid w:val="00805EBE"/>
    <w:rsid w:val="00807778"/>
    <w:rsid w:val="0081030F"/>
    <w:rsid w:val="00811BB3"/>
    <w:rsid w:val="00813B24"/>
    <w:rsid w:val="00814481"/>
    <w:rsid w:val="00822808"/>
    <w:rsid w:val="00824DB4"/>
    <w:rsid w:val="00825060"/>
    <w:rsid w:val="00831EB7"/>
    <w:rsid w:val="00835B8B"/>
    <w:rsid w:val="00835CEC"/>
    <w:rsid w:val="00836481"/>
    <w:rsid w:val="00836B5B"/>
    <w:rsid w:val="00840E68"/>
    <w:rsid w:val="008410A6"/>
    <w:rsid w:val="00842A25"/>
    <w:rsid w:val="00846266"/>
    <w:rsid w:val="00847DA1"/>
    <w:rsid w:val="008503EC"/>
    <w:rsid w:val="00851269"/>
    <w:rsid w:val="0085333D"/>
    <w:rsid w:val="00853B14"/>
    <w:rsid w:val="0086031E"/>
    <w:rsid w:val="008641BA"/>
    <w:rsid w:val="00866C12"/>
    <w:rsid w:val="00870303"/>
    <w:rsid w:val="008707E0"/>
    <w:rsid w:val="00874BD4"/>
    <w:rsid w:val="0087518C"/>
    <w:rsid w:val="00875F07"/>
    <w:rsid w:val="00880154"/>
    <w:rsid w:val="0088063E"/>
    <w:rsid w:val="00880C17"/>
    <w:rsid w:val="00882455"/>
    <w:rsid w:val="00885920"/>
    <w:rsid w:val="00890AFC"/>
    <w:rsid w:val="00894D18"/>
    <w:rsid w:val="00895611"/>
    <w:rsid w:val="008A2430"/>
    <w:rsid w:val="008A418A"/>
    <w:rsid w:val="008A5560"/>
    <w:rsid w:val="008B336B"/>
    <w:rsid w:val="008B3F5F"/>
    <w:rsid w:val="008B4AD4"/>
    <w:rsid w:val="008B7B59"/>
    <w:rsid w:val="008C01D3"/>
    <w:rsid w:val="008C4566"/>
    <w:rsid w:val="008C4E2B"/>
    <w:rsid w:val="008C5262"/>
    <w:rsid w:val="008C5733"/>
    <w:rsid w:val="008C5BF0"/>
    <w:rsid w:val="008D3118"/>
    <w:rsid w:val="008D4DEF"/>
    <w:rsid w:val="008D55A7"/>
    <w:rsid w:val="008E0C7B"/>
    <w:rsid w:val="008E1FE4"/>
    <w:rsid w:val="008E304B"/>
    <w:rsid w:val="008E5852"/>
    <w:rsid w:val="008E73BE"/>
    <w:rsid w:val="008E7E46"/>
    <w:rsid w:val="008F4594"/>
    <w:rsid w:val="008F466F"/>
    <w:rsid w:val="008F50C4"/>
    <w:rsid w:val="008F5DA9"/>
    <w:rsid w:val="008F79BD"/>
    <w:rsid w:val="009024EA"/>
    <w:rsid w:val="00903048"/>
    <w:rsid w:val="0090515F"/>
    <w:rsid w:val="009057FB"/>
    <w:rsid w:val="009061A1"/>
    <w:rsid w:val="00907FA3"/>
    <w:rsid w:val="009116A9"/>
    <w:rsid w:val="00920990"/>
    <w:rsid w:val="009214D4"/>
    <w:rsid w:val="00921B26"/>
    <w:rsid w:val="00923AE8"/>
    <w:rsid w:val="00923CD6"/>
    <w:rsid w:val="009245F5"/>
    <w:rsid w:val="0092461D"/>
    <w:rsid w:val="00926927"/>
    <w:rsid w:val="00935BE8"/>
    <w:rsid w:val="00935D64"/>
    <w:rsid w:val="0093715E"/>
    <w:rsid w:val="00940E3B"/>
    <w:rsid w:val="00941B85"/>
    <w:rsid w:val="00943384"/>
    <w:rsid w:val="00943E99"/>
    <w:rsid w:val="00950D69"/>
    <w:rsid w:val="009603BD"/>
    <w:rsid w:val="009612F3"/>
    <w:rsid w:val="0096149F"/>
    <w:rsid w:val="00962657"/>
    <w:rsid w:val="00965969"/>
    <w:rsid w:val="00966A05"/>
    <w:rsid w:val="009719BD"/>
    <w:rsid w:val="00972A06"/>
    <w:rsid w:val="009775B9"/>
    <w:rsid w:val="00980613"/>
    <w:rsid w:val="00981ECC"/>
    <w:rsid w:val="0098290F"/>
    <w:rsid w:val="00985536"/>
    <w:rsid w:val="00985555"/>
    <w:rsid w:val="00990D21"/>
    <w:rsid w:val="009924C9"/>
    <w:rsid w:val="00993679"/>
    <w:rsid w:val="00993FE8"/>
    <w:rsid w:val="0099557F"/>
    <w:rsid w:val="009963E1"/>
    <w:rsid w:val="009A04FD"/>
    <w:rsid w:val="009A06A9"/>
    <w:rsid w:val="009A10D8"/>
    <w:rsid w:val="009A23FB"/>
    <w:rsid w:val="009A30F9"/>
    <w:rsid w:val="009A3428"/>
    <w:rsid w:val="009A59C0"/>
    <w:rsid w:val="009A67B5"/>
    <w:rsid w:val="009A77EA"/>
    <w:rsid w:val="009B4408"/>
    <w:rsid w:val="009B6904"/>
    <w:rsid w:val="009B7E91"/>
    <w:rsid w:val="009C14CB"/>
    <w:rsid w:val="009C29FE"/>
    <w:rsid w:val="009C3332"/>
    <w:rsid w:val="009C490A"/>
    <w:rsid w:val="009C5707"/>
    <w:rsid w:val="009C595D"/>
    <w:rsid w:val="009C720D"/>
    <w:rsid w:val="009C7352"/>
    <w:rsid w:val="009D39E3"/>
    <w:rsid w:val="009D5561"/>
    <w:rsid w:val="009D7863"/>
    <w:rsid w:val="009E1271"/>
    <w:rsid w:val="009E194C"/>
    <w:rsid w:val="009E2D1F"/>
    <w:rsid w:val="009E34B0"/>
    <w:rsid w:val="009E4A11"/>
    <w:rsid w:val="009F25B6"/>
    <w:rsid w:val="009F32BB"/>
    <w:rsid w:val="009F3EAC"/>
    <w:rsid w:val="009F4319"/>
    <w:rsid w:val="00A013C7"/>
    <w:rsid w:val="00A01699"/>
    <w:rsid w:val="00A03DB0"/>
    <w:rsid w:val="00A03E73"/>
    <w:rsid w:val="00A05ECA"/>
    <w:rsid w:val="00A064A2"/>
    <w:rsid w:val="00A06D11"/>
    <w:rsid w:val="00A1450D"/>
    <w:rsid w:val="00A16113"/>
    <w:rsid w:val="00A169DF"/>
    <w:rsid w:val="00A24326"/>
    <w:rsid w:val="00A24F94"/>
    <w:rsid w:val="00A25857"/>
    <w:rsid w:val="00A26BFC"/>
    <w:rsid w:val="00A300BD"/>
    <w:rsid w:val="00A3054C"/>
    <w:rsid w:val="00A31E04"/>
    <w:rsid w:val="00A340DA"/>
    <w:rsid w:val="00A35173"/>
    <w:rsid w:val="00A351D0"/>
    <w:rsid w:val="00A352C5"/>
    <w:rsid w:val="00A40FE5"/>
    <w:rsid w:val="00A4142E"/>
    <w:rsid w:val="00A4628C"/>
    <w:rsid w:val="00A46F2A"/>
    <w:rsid w:val="00A50732"/>
    <w:rsid w:val="00A508EB"/>
    <w:rsid w:val="00A54A97"/>
    <w:rsid w:val="00A56472"/>
    <w:rsid w:val="00A60AB0"/>
    <w:rsid w:val="00A61A1A"/>
    <w:rsid w:val="00A63461"/>
    <w:rsid w:val="00A63A4F"/>
    <w:rsid w:val="00A64773"/>
    <w:rsid w:val="00A64D28"/>
    <w:rsid w:val="00A6573F"/>
    <w:rsid w:val="00A6585E"/>
    <w:rsid w:val="00A66BAE"/>
    <w:rsid w:val="00A67B14"/>
    <w:rsid w:val="00A70162"/>
    <w:rsid w:val="00A72DEC"/>
    <w:rsid w:val="00A7626A"/>
    <w:rsid w:val="00A76958"/>
    <w:rsid w:val="00A77276"/>
    <w:rsid w:val="00A77A60"/>
    <w:rsid w:val="00A82169"/>
    <w:rsid w:val="00A82D11"/>
    <w:rsid w:val="00A847DD"/>
    <w:rsid w:val="00A84D8B"/>
    <w:rsid w:val="00A85021"/>
    <w:rsid w:val="00A905F0"/>
    <w:rsid w:val="00A90DF5"/>
    <w:rsid w:val="00A913CD"/>
    <w:rsid w:val="00A92894"/>
    <w:rsid w:val="00A928C7"/>
    <w:rsid w:val="00A95F1A"/>
    <w:rsid w:val="00A963A7"/>
    <w:rsid w:val="00A97985"/>
    <w:rsid w:val="00A979D7"/>
    <w:rsid w:val="00AA022B"/>
    <w:rsid w:val="00AA3D9D"/>
    <w:rsid w:val="00AA76AE"/>
    <w:rsid w:val="00AA79FB"/>
    <w:rsid w:val="00AB1441"/>
    <w:rsid w:val="00AB165C"/>
    <w:rsid w:val="00AB18A1"/>
    <w:rsid w:val="00AB5DCF"/>
    <w:rsid w:val="00AB6545"/>
    <w:rsid w:val="00AB6680"/>
    <w:rsid w:val="00AC0158"/>
    <w:rsid w:val="00AC3D73"/>
    <w:rsid w:val="00AC4449"/>
    <w:rsid w:val="00AC6717"/>
    <w:rsid w:val="00AD1A39"/>
    <w:rsid w:val="00AD249C"/>
    <w:rsid w:val="00AD3331"/>
    <w:rsid w:val="00AD5150"/>
    <w:rsid w:val="00AE03B5"/>
    <w:rsid w:val="00AE156C"/>
    <w:rsid w:val="00AE2689"/>
    <w:rsid w:val="00AE2E98"/>
    <w:rsid w:val="00AE5576"/>
    <w:rsid w:val="00AE5DDB"/>
    <w:rsid w:val="00AE5F64"/>
    <w:rsid w:val="00AE749E"/>
    <w:rsid w:val="00AF4322"/>
    <w:rsid w:val="00AF441B"/>
    <w:rsid w:val="00AF6B52"/>
    <w:rsid w:val="00B01A73"/>
    <w:rsid w:val="00B045AC"/>
    <w:rsid w:val="00B0680B"/>
    <w:rsid w:val="00B06EA4"/>
    <w:rsid w:val="00B10C15"/>
    <w:rsid w:val="00B1229D"/>
    <w:rsid w:val="00B1230E"/>
    <w:rsid w:val="00B141DD"/>
    <w:rsid w:val="00B15F54"/>
    <w:rsid w:val="00B2333C"/>
    <w:rsid w:val="00B2397A"/>
    <w:rsid w:val="00B25864"/>
    <w:rsid w:val="00B2714B"/>
    <w:rsid w:val="00B300AA"/>
    <w:rsid w:val="00B32A76"/>
    <w:rsid w:val="00B33462"/>
    <w:rsid w:val="00B344D1"/>
    <w:rsid w:val="00B377C9"/>
    <w:rsid w:val="00B41CC8"/>
    <w:rsid w:val="00B457CF"/>
    <w:rsid w:val="00B4612F"/>
    <w:rsid w:val="00B46815"/>
    <w:rsid w:val="00B50399"/>
    <w:rsid w:val="00B50A26"/>
    <w:rsid w:val="00B5353E"/>
    <w:rsid w:val="00B55A87"/>
    <w:rsid w:val="00B56246"/>
    <w:rsid w:val="00B62C3E"/>
    <w:rsid w:val="00B6300A"/>
    <w:rsid w:val="00B63108"/>
    <w:rsid w:val="00B6354A"/>
    <w:rsid w:val="00B63A35"/>
    <w:rsid w:val="00B64641"/>
    <w:rsid w:val="00B647C3"/>
    <w:rsid w:val="00B65262"/>
    <w:rsid w:val="00B70ACE"/>
    <w:rsid w:val="00B716B7"/>
    <w:rsid w:val="00B72F42"/>
    <w:rsid w:val="00B73689"/>
    <w:rsid w:val="00B75169"/>
    <w:rsid w:val="00B75E23"/>
    <w:rsid w:val="00B761D9"/>
    <w:rsid w:val="00B76207"/>
    <w:rsid w:val="00B7716F"/>
    <w:rsid w:val="00B80295"/>
    <w:rsid w:val="00B802E3"/>
    <w:rsid w:val="00B8031F"/>
    <w:rsid w:val="00B82371"/>
    <w:rsid w:val="00B8327C"/>
    <w:rsid w:val="00B854DC"/>
    <w:rsid w:val="00B91528"/>
    <w:rsid w:val="00B917B0"/>
    <w:rsid w:val="00B91FFE"/>
    <w:rsid w:val="00B93D02"/>
    <w:rsid w:val="00B97BA0"/>
    <w:rsid w:val="00B97C8E"/>
    <w:rsid w:val="00BA416B"/>
    <w:rsid w:val="00BA4AC3"/>
    <w:rsid w:val="00BA531A"/>
    <w:rsid w:val="00BA63A8"/>
    <w:rsid w:val="00BA6CFF"/>
    <w:rsid w:val="00BA6FB0"/>
    <w:rsid w:val="00BB01B9"/>
    <w:rsid w:val="00BB24A6"/>
    <w:rsid w:val="00BB3C38"/>
    <w:rsid w:val="00BB4DC0"/>
    <w:rsid w:val="00BC0C38"/>
    <w:rsid w:val="00BC67D4"/>
    <w:rsid w:val="00BD132B"/>
    <w:rsid w:val="00BD3231"/>
    <w:rsid w:val="00BD536A"/>
    <w:rsid w:val="00BD59AC"/>
    <w:rsid w:val="00BD6DD0"/>
    <w:rsid w:val="00BD75F7"/>
    <w:rsid w:val="00BE4D79"/>
    <w:rsid w:val="00BE6AB9"/>
    <w:rsid w:val="00BF23BF"/>
    <w:rsid w:val="00BF6D70"/>
    <w:rsid w:val="00BF7CE6"/>
    <w:rsid w:val="00C0053C"/>
    <w:rsid w:val="00C00ABB"/>
    <w:rsid w:val="00C0295F"/>
    <w:rsid w:val="00C04772"/>
    <w:rsid w:val="00C0490B"/>
    <w:rsid w:val="00C077B4"/>
    <w:rsid w:val="00C10257"/>
    <w:rsid w:val="00C1109E"/>
    <w:rsid w:val="00C11D9C"/>
    <w:rsid w:val="00C126AB"/>
    <w:rsid w:val="00C25C2C"/>
    <w:rsid w:val="00C30865"/>
    <w:rsid w:val="00C32037"/>
    <w:rsid w:val="00C3255C"/>
    <w:rsid w:val="00C32BB1"/>
    <w:rsid w:val="00C32E54"/>
    <w:rsid w:val="00C33C1A"/>
    <w:rsid w:val="00C33D74"/>
    <w:rsid w:val="00C40764"/>
    <w:rsid w:val="00C407A7"/>
    <w:rsid w:val="00C441FE"/>
    <w:rsid w:val="00C44AA7"/>
    <w:rsid w:val="00C467D5"/>
    <w:rsid w:val="00C4695F"/>
    <w:rsid w:val="00C47541"/>
    <w:rsid w:val="00C51A75"/>
    <w:rsid w:val="00C527EA"/>
    <w:rsid w:val="00C52BE8"/>
    <w:rsid w:val="00C537D3"/>
    <w:rsid w:val="00C53EFD"/>
    <w:rsid w:val="00C55567"/>
    <w:rsid w:val="00C55B7A"/>
    <w:rsid w:val="00C55C9A"/>
    <w:rsid w:val="00C56121"/>
    <w:rsid w:val="00C60B28"/>
    <w:rsid w:val="00C60F62"/>
    <w:rsid w:val="00C613B0"/>
    <w:rsid w:val="00C61C28"/>
    <w:rsid w:val="00C64BB2"/>
    <w:rsid w:val="00C70981"/>
    <w:rsid w:val="00C70D53"/>
    <w:rsid w:val="00C72299"/>
    <w:rsid w:val="00C7230E"/>
    <w:rsid w:val="00C74127"/>
    <w:rsid w:val="00C75264"/>
    <w:rsid w:val="00C76FA8"/>
    <w:rsid w:val="00C77276"/>
    <w:rsid w:val="00C80006"/>
    <w:rsid w:val="00C823DC"/>
    <w:rsid w:val="00C87198"/>
    <w:rsid w:val="00C877B6"/>
    <w:rsid w:val="00C91A3E"/>
    <w:rsid w:val="00C94AF5"/>
    <w:rsid w:val="00C95CE3"/>
    <w:rsid w:val="00C97FCF"/>
    <w:rsid w:val="00CA2FCC"/>
    <w:rsid w:val="00CA4AF4"/>
    <w:rsid w:val="00CA5CF2"/>
    <w:rsid w:val="00CB0662"/>
    <w:rsid w:val="00CB0CE4"/>
    <w:rsid w:val="00CB12A3"/>
    <w:rsid w:val="00CB13A7"/>
    <w:rsid w:val="00CB2E03"/>
    <w:rsid w:val="00CB6808"/>
    <w:rsid w:val="00CB6E75"/>
    <w:rsid w:val="00CB6F0A"/>
    <w:rsid w:val="00CB7BFD"/>
    <w:rsid w:val="00CB7FC1"/>
    <w:rsid w:val="00CC13E0"/>
    <w:rsid w:val="00CC19C7"/>
    <w:rsid w:val="00CC4279"/>
    <w:rsid w:val="00CC633B"/>
    <w:rsid w:val="00CC7635"/>
    <w:rsid w:val="00CC79ED"/>
    <w:rsid w:val="00CD3DC7"/>
    <w:rsid w:val="00CD5C9B"/>
    <w:rsid w:val="00CE0597"/>
    <w:rsid w:val="00CE2A42"/>
    <w:rsid w:val="00CE30FE"/>
    <w:rsid w:val="00CE37BB"/>
    <w:rsid w:val="00CE4023"/>
    <w:rsid w:val="00CE67D9"/>
    <w:rsid w:val="00CE6F75"/>
    <w:rsid w:val="00CF03DD"/>
    <w:rsid w:val="00CF0A47"/>
    <w:rsid w:val="00CF31E9"/>
    <w:rsid w:val="00CF546C"/>
    <w:rsid w:val="00CF6134"/>
    <w:rsid w:val="00CF6AD6"/>
    <w:rsid w:val="00CF6FE4"/>
    <w:rsid w:val="00CF7638"/>
    <w:rsid w:val="00CF793F"/>
    <w:rsid w:val="00D0060E"/>
    <w:rsid w:val="00D01305"/>
    <w:rsid w:val="00D023BE"/>
    <w:rsid w:val="00D0538B"/>
    <w:rsid w:val="00D0762A"/>
    <w:rsid w:val="00D1061A"/>
    <w:rsid w:val="00D11508"/>
    <w:rsid w:val="00D12E59"/>
    <w:rsid w:val="00D140C0"/>
    <w:rsid w:val="00D16F21"/>
    <w:rsid w:val="00D17C58"/>
    <w:rsid w:val="00D21242"/>
    <w:rsid w:val="00D21AF2"/>
    <w:rsid w:val="00D22057"/>
    <w:rsid w:val="00D23A86"/>
    <w:rsid w:val="00D27D4C"/>
    <w:rsid w:val="00D27E40"/>
    <w:rsid w:val="00D306B5"/>
    <w:rsid w:val="00D31744"/>
    <w:rsid w:val="00D32E9A"/>
    <w:rsid w:val="00D33EB0"/>
    <w:rsid w:val="00D34EF7"/>
    <w:rsid w:val="00D3736F"/>
    <w:rsid w:val="00D41416"/>
    <w:rsid w:val="00D41586"/>
    <w:rsid w:val="00D42520"/>
    <w:rsid w:val="00D46262"/>
    <w:rsid w:val="00D47241"/>
    <w:rsid w:val="00D51CEC"/>
    <w:rsid w:val="00D51F78"/>
    <w:rsid w:val="00D53406"/>
    <w:rsid w:val="00D53DD2"/>
    <w:rsid w:val="00D5451D"/>
    <w:rsid w:val="00D6143C"/>
    <w:rsid w:val="00D64C63"/>
    <w:rsid w:val="00D67B6B"/>
    <w:rsid w:val="00D70235"/>
    <w:rsid w:val="00D71319"/>
    <w:rsid w:val="00D76A1B"/>
    <w:rsid w:val="00D81C34"/>
    <w:rsid w:val="00D82655"/>
    <w:rsid w:val="00D83AF9"/>
    <w:rsid w:val="00D8493F"/>
    <w:rsid w:val="00D86DE0"/>
    <w:rsid w:val="00D904D7"/>
    <w:rsid w:val="00D9117E"/>
    <w:rsid w:val="00D948BF"/>
    <w:rsid w:val="00D95F54"/>
    <w:rsid w:val="00D9742E"/>
    <w:rsid w:val="00D97EF3"/>
    <w:rsid w:val="00DA2137"/>
    <w:rsid w:val="00DA4AAB"/>
    <w:rsid w:val="00DA7897"/>
    <w:rsid w:val="00DB1A9D"/>
    <w:rsid w:val="00DB2A6C"/>
    <w:rsid w:val="00DB3351"/>
    <w:rsid w:val="00DB3524"/>
    <w:rsid w:val="00DB4CD9"/>
    <w:rsid w:val="00DB6EB3"/>
    <w:rsid w:val="00DC02DA"/>
    <w:rsid w:val="00DC5E46"/>
    <w:rsid w:val="00DC679A"/>
    <w:rsid w:val="00DD02A2"/>
    <w:rsid w:val="00DD09CF"/>
    <w:rsid w:val="00DD0BBA"/>
    <w:rsid w:val="00DD169C"/>
    <w:rsid w:val="00DD5D37"/>
    <w:rsid w:val="00DE00F4"/>
    <w:rsid w:val="00DE0106"/>
    <w:rsid w:val="00DE06AF"/>
    <w:rsid w:val="00DE2477"/>
    <w:rsid w:val="00DE3864"/>
    <w:rsid w:val="00DE61FC"/>
    <w:rsid w:val="00DE7B17"/>
    <w:rsid w:val="00DF0360"/>
    <w:rsid w:val="00DF5886"/>
    <w:rsid w:val="00DF5C07"/>
    <w:rsid w:val="00DF5C7B"/>
    <w:rsid w:val="00DF5C98"/>
    <w:rsid w:val="00DF6741"/>
    <w:rsid w:val="00E00F5F"/>
    <w:rsid w:val="00E01C1B"/>
    <w:rsid w:val="00E036AF"/>
    <w:rsid w:val="00E06B96"/>
    <w:rsid w:val="00E07CB5"/>
    <w:rsid w:val="00E13688"/>
    <w:rsid w:val="00E1383E"/>
    <w:rsid w:val="00E1546E"/>
    <w:rsid w:val="00E1613E"/>
    <w:rsid w:val="00E167D6"/>
    <w:rsid w:val="00E17730"/>
    <w:rsid w:val="00E1789C"/>
    <w:rsid w:val="00E17F0D"/>
    <w:rsid w:val="00E20938"/>
    <w:rsid w:val="00E21CC0"/>
    <w:rsid w:val="00E27B68"/>
    <w:rsid w:val="00E3290A"/>
    <w:rsid w:val="00E32BF7"/>
    <w:rsid w:val="00E36905"/>
    <w:rsid w:val="00E40C0D"/>
    <w:rsid w:val="00E41C95"/>
    <w:rsid w:val="00E4249D"/>
    <w:rsid w:val="00E46329"/>
    <w:rsid w:val="00E506A5"/>
    <w:rsid w:val="00E5363C"/>
    <w:rsid w:val="00E57E21"/>
    <w:rsid w:val="00E60316"/>
    <w:rsid w:val="00E60EAF"/>
    <w:rsid w:val="00E63270"/>
    <w:rsid w:val="00E65084"/>
    <w:rsid w:val="00E658FF"/>
    <w:rsid w:val="00E663A0"/>
    <w:rsid w:val="00E666F6"/>
    <w:rsid w:val="00E66E4E"/>
    <w:rsid w:val="00E67F9E"/>
    <w:rsid w:val="00E714EF"/>
    <w:rsid w:val="00E718EF"/>
    <w:rsid w:val="00E759C1"/>
    <w:rsid w:val="00E7651B"/>
    <w:rsid w:val="00E82B3F"/>
    <w:rsid w:val="00E84B20"/>
    <w:rsid w:val="00E86E2C"/>
    <w:rsid w:val="00E93915"/>
    <w:rsid w:val="00E967E7"/>
    <w:rsid w:val="00E979E2"/>
    <w:rsid w:val="00EA1A45"/>
    <w:rsid w:val="00EA4432"/>
    <w:rsid w:val="00EA480D"/>
    <w:rsid w:val="00EA4CD7"/>
    <w:rsid w:val="00EA7F94"/>
    <w:rsid w:val="00EB4484"/>
    <w:rsid w:val="00EB4EAC"/>
    <w:rsid w:val="00EB5A83"/>
    <w:rsid w:val="00EB6723"/>
    <w:rsid w:val="00EC0618"/>
    <w:rsid w:val="00EC63F3"/>
    <w:rsid w:val="00EC65CB"/>
    <w:rsid w:val="00EC7DEA"/>
    <w:rsid w:val="00ED18C2"/>
    <w:rsid w:val="00ED269A"/>
    <w:rsid w:val="00ED53EE"/>
    <w:rsid w:val="00ED7D8A"/>
    <w:rsid w:val="00EE04AD"/>
    <w:rsid w:val="00EE34CA"/>
    <w:rsid w:val="00EE3968"/>
    <w:rsid w:val="00EE452E"/>
    <w:rsid w:val="00EE487F"/>
    <w:rsid w:val="00EE5100"/>
    <w:rsid w:val="00EE5129"/>
    <w:rsid w:val="00EE7950"/>
    <w:rsid w:val="00EF2F4B"/>
    <w:rsid w:val="00EF3136"/>
    <w:rsid w:val="00EF36C6"/>
    <w:rsid w:val="00EF49D0"/>
    <w:rsid w:val="00F01D80"/>
    <w:rsid w:val="00F03384"/>
    <w:rsid w:val="00F11C0F"/>
    <w:rsid w:val="00F120D1"/>
    <w:rsid w:val="00F12827"/>
    <w:rsid w:val="00F13858"/>
    <w:rsid w:val="00F143B7"/>
    <w:rsid w:val="00F155B4"/>
    <w:rsid w:val="00F1691A"/>
    <w:rsid w:val="00F20C19"/>
    <w:rsid w:val="00F24114"/>
    <w:rsid w:val="00F34516"/>
    <w:rsid w:val="00F434EF"/>
    <w:rsid w:val="00F441E3"/>
    <w:rsid w:val="00F45DEF"/>
    <w:rsid w:val="00F51E13"/>
    <w:rsid w:val="00F5372E"/>
    <w:rsid w:val="00F53A54"/>
    <w:rsid w:val="00F54FBD"/>
    <w:rsid w:val="00F550A9"/>
    <w:rsid w:val="00F55724"/>
    <w:rsid w:val="00F55F38"/>
    <w:rsid w:val="00F56E8C"/>
    <w:rsid w:val="00F66F98"/>
    <w:rsid w:val="00F70732"/>
    <w:rsid w:val="00F7417B"/>
    <w:rsid w:val="00F743B2"/>
    <w:rsid w:val="00F77169"/>
    <w:rsid w:val="00F831CB"/>
    <w:rsid w:val="00F83303"/>
    <w:rsid w:val="00F8335C"/>
    <w:rsid w:val="00F839EA"/>
    <w:rsid w:val="00F8411A"/>
    <w:rsid w:val="00F866AD"/>
    <w:rsid w:val="00F868BE"/>
    <w:rsid w:val="00F86DF7"/>
    <w:rsid w:val="00F87E9D"/>
    <w:rsid w:val="00F956F8"/>
    <w:rsid w:val="00F9632A"/>
    <w:rsid w:val="00F96BD1"/>
    <w:rsid w:val="00F97870"/>
    <w:rsid w:val="00F97E1A"/>
    <w:rsid w:val="00FA5493"/>
    <w:rsid w:val="00FA6C50"/>
    <w:rsid w:val="00FA786E"/>
    <w:rsid w:val="00FB1717"/>
    <w:rsid w:val="00FB23E6"/>
    <w:rsid w:val="00FB28F5"/>
    <w:rsid w:val="00FB49DC"/>
    <w:rsid w:val="00FB7E18"/>
    <w:rsid w:val="00FB7E44"/>
    <w:rsid w:val="00FC08F3"/>
    <w:rsid w:val="00FC1D2B"/>
    <w:rsid w:val="00FC53A3"/>
    <w:rsid w:val="00FC6436"/>
    <w:rsid w:val="00FC68E3"/>
    <w:rsid w:val="00FC6E72"/>
    <w:rsid w:val="00FD0563"/>
    <w:rsid w:val="00FD2B54"/>
    <w:rsid w:val="00FD4A33"/>
    <w:rsid w:val="00FE2150"/>
    <w:rsid w:val="00FE730A"/>
    <w:rsid w:val="00FE7872"/>
    <w:rsid w:val="00FF09F3"/>
    <w:rsid w:val="00FF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4F55"/>
  <w15:chartTrackingRefBased/>
  <w15:docId w15:val="{B4D54EC8-60A9-B040-ACA7-DC55E1BB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74"/>
  </w:style>
  <w:style w:type="paragraph" w:styleId="Heading1">
    <w:name w:val="heading 1"/>
    <w:basedOn w:val="Normal"/>
    <w:next w:val="Normal"/>
    <w:link w:val="Heading1Char"/>
    <w:uiPriority w:val="9"/>
    <w:qFormat/>
    <w:rsid w:val="00AE0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3B5"/>
    <w:rPr>
      <w:rFonts w:eastAsiaTheme="majorEastAsia" w:cstheme="majorBidi"/>
      <w:color w:val="272727" w:themeColor="text1" w:themeTint="D8"/>
    </w:rPr>
  </w:style>
  <w:style w:type="paragraph" w:styleId="Title">
    <w:name w:val="Title"/>
    <w:basedOn w:val="Normal"/>
    <w:next w:val="Normal"/>
    <w:link w:val="TitleChar"/>
    <w:uiPriority w:val="10"/>
    <w:qFormat/>
    <w:rsid w:val="00AE0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3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3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03B5"/>
    <w:rPr>
      <w:i/>
      <w:iCs/>
      <w:color w:val="404040" w:themeColor="text1" w:themeTint="BF"/>
    </w:rPr>
  </w:style>
  <w:style w:type="paragraph" w:styleId="ListParagraph">
    <w:name w:val="List Paragraph"/>
    <w:basedOn w:val="Normal"/>
    <w:uiPriority w:val="34"/>
    <w:qFormat/>
    <w:rsid w:val="00AE03B5"/>
    <w:pPr>
      <w:ind w:left="720"/>
      <w:contextualSpacing/>
    </w:pPr>
  </w:style>
  <w:style w:type="character" w:styleId="IntenseEmphasis">
    <w:name w:val="Intense Emphasis"/>
    <w:basedOn w:val="DefaultParagraphFont"/>
    <w:uiPriority w:val="21"/>
    <w:qFormat/>
    <w:rsid w:val="00AE03B5"/>
    <w:rPr>
      <w:i/>
      <w:iCs/>
      <w:color w:val="0F4761" w:themeColor="accent1" w:themeShade="BF"/>
    </w:rPr>
  </w:style>
  <w:style w:type="paragraph" w:styleId="IntenseQuote">
    <w:name w:val="Intense Quote"/>
    <w:basedOn w:val="Normal"/>
    <w:next w:val="Normal"/>
    <w:link w:val="IntenseQuoteChar"/>
    <w:uiPriority w:val="30"/>
    <w:qFormat/>
    <w:rsid w:val="00AE0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3B5"/>
    <w:rPr>
      <w:i/>
      <w:iCs/>
      <w:color w:val="0F4761" w:themeColor="accent1" w:themeShade="BF"/>
    </w:rPr>
  </w:style>
  <w:style w:type="character" w:styleId="IntenseReference">
    <w:name w:val="Intense Reference"/>
    <w:basedOn w:val="DefaultParagraphFont"/>
    <w:uiPriority w:val="32"/>
    <w:qFormat/>
    <w:rsid w:val="00AE03B5"/>
    <w:rPr>
      <w:b/>
      <w:bCs/>
      <w:smallCaps/>
      <w:color w:val="0F4761" w:themeColor="accent1" w:themeShade="BF"/>
      <w:spacing w:val="5"/>
    </w:rPr>
  </w:style>
  <w:style w:type="paragraph" w:styleId="Header">
    <w:name w:val="header"/>
    <w:basedOn w:val="Normal"/>
    <w:link w:val="HeaderChar"/>
    <w:uiPriority w:val="99"/>
    <w:unhideWhenUsed/>
    <w:rsid w:val="002A126C"/>
    <w:pPr>
      <w:tabs>
        <w:tab w:val="center" w:pos="4680"/>
        <w:tab w:val="right" w:pos="9360"/>
      </w:tabs>
    </w:pPr>
  </w:style>
  <w:style w:type="character" w:customStyle="1" w:styleId="HeaderChar">
    <w:name w:val="Header Char"/>
    <w:basedOn w:val="DefaultParagraphFont"/>
    <w:link w:val="Header"/>
    <w:uiPriority w:val="99"/>
    <w:rsid w:val="002A126C"/>
  </w:style>
  <w:style w:type="paragraph" w:styleId="Footer">
    <w:name w:val="footer"/>
    <w:basedOn w:val="Normal"/>
    <w:link w:val="FooterChar"/>
    <w:uiPriority w:val="99"/>
    <w:unhideWhenUsed/>
    <w:rsid w:val="002A126C"/>
    <w:pPr>
      <w:tabs>
        <w:tab w:val="center" w:pos="4680"/>
        <w:tab w:val="right" w:pos="9360"/>
      </w:tabs>
    </w:pPr>
  </w:style>
  <w:style w:type="character" w:customStyle="1" w:styleId="FooterChar">
    <w:name w:val="Footer Char"/>
    <w:basedOn w:val="DefaultParagraphFont"/>
    <w:link w:val="Footer"/>
    <w:uiPriority w:val="99"/>
    <w:rsid w:val="002A126C"/>
  </w:style>
  <w:style w:type="character" w:styleId="PageNumber">
    <w:name w:val="page number"/>
    <w:basedOn w:val="DefaultParagraphFont"/>
    <w:uiPriority w:val="99"/>
    <w:semiHidden/>
    <w:unhideWhenUsed/>
    <w:rsid w:val="002A126C"/>
  </w:style>
  <w:style w:type="paragraph" w:styleId="FootnoteText">
    <w:name w:val="footnote text"/>
    <w:basedOn w:val="Normal"/>
    <w:link w:val="FootnoteTextChar"/>
    <w:uiPriority w:val="99"/>
    <w:semiHidden/>
    <w:unhideWhenUsed/>
    <w:rsid w:val="00F155B4"/>
    <w:rPr>
      <w:sz w:val="20"/>
      <w:szCs w:val="20"/>
    </w:rPr>
  </w:style>
  <w:style w:type="character" w:customStyle="1" w:styleId="FootnoteTextChar">
    <w:name w:val="Footnote Text Char"/>
    <w:basedOn w:val="DefaultParagraphFont"/>
    <w:link w:val="FootnoteText"/>
    <w:uiPriority w:val="99"/>
    <w:semiHidden/>
    <w:rsid w:val="00F155B4"/>
    <w:rPr>
      <w:sz w:val="20"/>
      <w:szCs w:val="20"/>
    </w:rPr>
  </w:style>
  <w:style w:type="character" w:styleId="FootnoteReference">
    <w:name w:val="footnote reference"/>
    <w:basedOn w:val="DefaultParagraphFont"/>
    <w:uiPriority w:val="99"/>
    <w:semiHidden/>
    <w:unhideWhenUsed/>
    <w:rsid w:val="00F155B4"/>
    <w:rPr>
      <w:vertAlign w:val="superscript"/>
    </w:rPr>
  </w:style>
  <w:style w:type="table" w:styleId="TableGrid">
    <w:name w:val="Table Grid"/>
    <w:basedOn w:val="TableNormal"/>
    <w:uiPriority w:val="39"/>
    <w:rsid w:val="00694272"/>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7250"/>
    <w:rPr>
      <w:color w:val="467886" w:themeColor="hyperlink"/>
      <w:u w:val="single"/>
    </w:rPr>
  </w:style>
  <w:style w:type="character" w:styleId="UnresolvedMention">
    <w:name w:val="Unresolved Mention"/>
    <w:basedOn w:val="DefaultParagraphFont"/>
    <w:uiPriority w:val="99"/>
    <w:semiHidden/>
    <w:unhideWhenUsed/>
    <w:rsid w:val="005C7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18</Pages>
  <Words>7981</Words>
  <Characters>45498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Thane, Patrick D</dc:creator>
  <cp:keywords/>
  <dc:description/>
  <cp:lastModifiedBy>Thane, Patrick D</cp:lastModifiedBy>
  <cp:revision>1211</cp:revision>
  <cp:lastPrinted>2024-12-05T17:48:00Z</cp:lastPrinted>
  <dcterms:created xsi:type="dcterms:W3CDTF">2024-11-07T04:36:00Z</dcterms:created>
  <dcterms:modified xsi:type="dcterms:W3CDTF">2024-12-30T02:55:00Z</dcterms:modified>
</cp:coreProperties>
</file>