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998C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9104763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08F44EE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3543F7F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214A73A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D604FD6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2E390A6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30E3DB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1A22133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E076CB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53A3EB5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Age Effects in the Heritage Language Acquisition of Differential Object Marking in Spanish: Late Childhood to Adulthood</w:t>
      </w:r>
    </w:p>
    <w:p w14:paraId="564D41BC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CDFAB00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BB019CE" w14:textId="77777777" w:rsidR="006F121D" w:rsidRDefault="006F121D" w:rsidP="006F121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CAB8B61" w14:textId="48254F9B" w:rsidR="008E304B" w:rsidRP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Manuscript submitted for review to </w:t>
      </w:r>
      <w:r>
        <w:rPr>
          <w:rFonts w:ascii="Times New Roman" w:hAnsi="Times New Roman" w:cs="Times New Roman"/>
          <w:i/>
          <w:iCs/>
          <w:color w:val="000000" w:themeColor="text1"/>
        </w:rPr>
        <w:t>International Journal of Bilingualism</w:t>
      </w:r>
    </w:p>
    <w:sectPr w:rsidR="008E304B" w:rsidRPr="006F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D"/>
    <w:rsid w:val="001B3FAB"/>
    <w:rsid w:val="006F121D"/>
    <w:rsid w:val="00720917"/>
    <w:rsid w:val="008E304B"/>
    <w:rsid w:val="009F4319"/>
    <w:rsid w:val="00AE5576"/>
    <w:rsid w:val="00B2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D402"/>
  <w15:chartTrackingRefBased/>
  <w15:docId w15:val="{6C290FBC-43EE-334A-A9BA-85D59AF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1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Thane</dc:creator>
  <cp:keywords/>
  <dc:description/>
  <cp:lastModifiedBy>Patrick Thane</cp:lastModifiedBy>
  <cp:revision>2</cp:revision>
  <dcterms:created xsi:type="dcterms:W3CDTF">2023-05-15T20:31:00Z</dcterms:created>
  <dcterms:modified xsi:type="dcterms:W3CDTF">2023-06-30T15:30:00Z</dcterms:modified>
</cp:coreProperties>
</file>