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D5C"/>
          <w:sz w:val="48"/>
        </w:rPr>
        <w:t>PARQUE DOS PÁSSAROS</w:t>
      </w:r>
    </w:p>
    <w:p>
      <w:pPr>
        <w:jc w:val="center"/>
      </w:pPr>
      <w:r>
        <w:rPr>
          <w:b/>
          <w:color w:val="306749"/>
          <w:sz w:val="34"/>
        </w:rPr>
        <w:t>POLÍTICA DE PRIVACIDADE DO PROJETO</w:t>
      </w:r>
    </w:p>
    <w:p>
      <w:pPr>
        <w:jc w:val="center"/>
      </w:pPr>
      <w:r>
        <w:rPr>
          <w:color w:val="5A6269"/>
          <w:sz w:val="20"/>
        </w:rPr>
        <w:t>Projeto Comunitário de Segurança • SOBPORT como operadora e agente responsável pelo tratamento</w:t>
      </w:r>
    </w:p>
    <w:p>
      <w:pPr>
        <w:jc w:val="center"/>
      </w:pPr>
      <w:r>
        <w:rPr>
          <w:b/>
          <w:sz w:val="18"/>
        </w:rPr>
        <w:t>MINUTA v1.0 • 28/08/2026 • PREENCHER CAMPOS [●] ANTES DA PUBLICAÇÃO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6"/>
            <w:vAlign w:val="center"/>
          </w:tcPr>
          <w:p>
            <w:r/>
            <w:r>
              <w:rPr>
                <w:rFonts w:ascii="Aptos" w:hAnsi="Aptos"/>
                <w:b/>
                <w:color w:val="163D5C"/>
                <w:sz w:val="18"/>
              </w:rPr>
              <w:t>IMPORTANTE: esta minuta completa a estrutura prevista no Contrato-Mestre e no Termo Individual. Os campos [●] dependem de informações formais da SOBPORT e não devem permanecer em branco no lançamento.</w:t>
            </w:r>
          </w:p>
        </w:tc>
      </w:tr>
    </w:tbl>
    <w:p/>
    <w:p>
      <w:pPr>
        <w:pStyle w:val="Heading1"/>
      </w:pPr>
      <w:r>
        <w:t>1. QUEM É O RESPONSÁVEL PELO TRATAMENTO</w:t>
      </w:r>
    </w:p>
    <w:p>
      <w:r>
        <w:t>A SOBPORT [RAZÃO SOCIAL COMPLETA], CNPJ [●], com sede em [●], é a responsável pelas decisões relativas aos meios e finalidades do tratamento de dados pessoais necessários ao Projeto Comunitário de Segurança do Parque dos Pássaros (“PROJETO”).</w:t>
      </w:r>
    </w:p>
    <w:p>
      <w:r>
        <w:t>Canal de privacidade / encarregado: [NOME OU FUNÇÃO] • e-mail: [●] • endereço/canal adicional: [●].</w:t>
      </w:r>
    </w:p>
    <w:p>
      <w:r>
        <w:t>A SAPP atua exclusivamente como apoio institucional e não administra o banco de dados, os recursos financeiros ou a operação cotidiana do PROJETO.</w:t>
      </w:r>
    </w:p>
    <w:p>
      <w:pPr>
        <w:pStyle w:val="Heading1"/>
      </w:pPr>
      <w:r>
        <w:t>2. ESCOPO DESTA POLÍTICA</w:t>
      </w:r>
    </w:p>
    <w:p>
      <w:r>
        <w:t>Esta Política disciplina dois grupos distintos de dados: (a) dados de adesão, necessários à contratação individual, pagamento, comprovação e comunicação; e (b) dados eventualmente gerados pela operação do sistema de segurança, como imagens, leitura de placas, registros de circulação, reconhecimento facial ou biometria, quando e somente se tais funcionalidades integrarem efetivamente a configuração técnica implantada.</w:t>
      </w:r>
    </w:p>
    <w:p>
      <w:r>
        <w:t>O aceite financeiro ao PROJETO não constitui consentimento genérico para tratamento de imagens, biometria ou outros dados operacionais. Cada tratamento observará finalidade, necessidade, adequação, segurança e base legal próprias.</w:t>
      </w:r>
    </w:p>
    <w:p>
      <w:pPr>
        <w:pStyle w:val="Heading1"/>
      </w:pPr>
      <w:r>
        <w:t>3. DADOS TRATADOS NA ADESÃO</w:t>
      </w:r>
    </w:p>
    <w:p>
      <w:r>
        <w:t>Poderão ser tratados: nome/razão social; CPF/CNPJ; endereço no Parque dos Pássaros; e-mail; telefone/WhatsApp; data e hora do aceite; meio de adesão; código único; versões do Contrato-Mestre e do Termo aceitas; dados de pagamento e identificação da transação; e elementos técnicos razoavelmente disponíveis para comprovação de autoria e integridade, como endereço IP ou identificação do dispositivo, quando existentes.</w:t>
      </w:r>
    </w:p>
    <w:p>
      <w:pPr>
        <w:pStyle w:val="Heading1"/>
      </w:pPr>
      <w:r>
        <w:t>4. DADOS DA OPERAÇÃO DE SEGURANÇA</w:t>
      </w:r>
    </w:p>
    <w:p>
      <w:r>
        <w:t>Conforme o Projeto Técnico Mínimo efetivamente aprovado e implantado, poderão existir câmeras, registros de eventos, leitura de placas e outros dados de monitoramento. O uso de reconhecimento facial, biometria ou tecnologia equivalente somente poderá ocorrer se constar da arquitetura efetivamente adotada e após definição documentada da finalidade, base legal, controles de acesso, retenção e medidas de segurança aplicáveis.</w:t>
      </w:r>
    </w:p>
    <w:p>
      <w:r>
        <w:t>A versão inicial desta Política não presume que todas essas tecnologias serão utilizadas.</w:t>
      </w:r>
    </w:p>
    <w:p>
      <w:pPr>
        <w:pStyle w:val="Heading1"/>
      </w:pPr>
      <w:r>
        <w:t>5. FINALIDADES</w:t>
      </w:r>
    </w:p>
    <w:p>
      <w:r>
        <w:t>Os dados de adesão serão tratados para: formalizar e comprovar a adesão; processar e conciliar o pagamento; emitir comprovante; manter a Central de Documentos e o histórico de versões; prestar contas; comunicar marcos da campanha, implantação e operação; atender solicitações do aderente; cumprir obrigações legais e regulatórias; e exercer direitos em processos administrativos, arbitrais ou judiciais.</w:t>
      </w:r>
    </w:p>
    <w:p>
      <w:r>
        <w:t>Os dados operacionais serão tratados exclusivamente para finalidades compatíveis com prevenção, dissuasão, monitoramento, investigação de incidentes, apoio à segurança e, quando juridicamente cabível, cooperação com autoridades.</w:t>
      </w:r>
    </w:p>
    <w:p>
      <w:pPr>
        <w:pStyle w:val="Heading1"/>
      </w:pPr>
      <w:r>
        <w:t>6. BASES LEGAIS</w:t>
      </w:r>
    </w:p>
    <w:p>
      <w:r>
        <w:t>A SOBPORT deverá registrar internamente a base legal aplicável a cada operação de tratamento. Conforme o caso, poderão ser aplicáveis execução de contrato ou procedimentos preliminares relacionados ao contrato, cumprimento de obrigação legal ou regulatória, exercício regular de direitos e legítimo interesse, observados os requisitos da Lei nº 13.709/2018 (LGPD). Para dados pessoais sensíveis, quando houver, deverá ser utilizada base legal específica do art. 11 da LGPD.</w:t>
      </w:r>
    </w:p>
    <w:p>
      <w:r>
        <w:t>Esta Política não transforma consentimento em base legal padrão do PROJETO e não utiliza consentimento de forma genérica.</w:t>
      </w:r>
    </w:p>
    <w:p>
      <w:pPr>
        <w:pStyle w:val="Heading1"/>
      </w:pPr>
      <w:r>
        <w:t>7. COMPARTILHAMENTO</w:t>
      </w:r>
    </w:p>
    <w:p>
      <w:r>
        <w:t>Os dados poderão ser compartilhados, na medida necessária, com fornecedores de tecnologia, hospedagem, comunicação, meios de pagamento, manutenção e segurança; assessores profissionais sujeitos a dever de confidencialidade; autoridades públicas mediante fundamento jurídico adequado; e eventual nova operadora, quando juridicamente cabível e necessário à continuidade do PROJETO.</w:t>
      </w:r>
    </w:p>
    <w:p>
      <w:r>
        <w:t>A SOBPORT deverá manter controle sobre operadores e fornecedores que tratem dados em seu nome. A Comissão de Acompanhamento poderá exercer fiscalização financeira e informacional nos limites contratuais, mas não recebe poder geral para acessar imagens, biometria ou dados pessoais operacionais.</w:t>
      </w:r>
    </w:p>
    <w:p>
      <w:pPr>
        <w:pStyle w:val="Heading1"/>
      </w:pPr>
      <w:r>
        <w:t>8. RETENÇÃO E DESCARTE</w:t>
      </w:r>
    </w:p>
    <w:p>
      <w:r>
        <w:t>Os dados serão mantidos pelo período necessário ao cumprimento das finalidades descritas, das obrigações legais e regulatórias, da prestação de contas e do exercício regular de direitos.</w:t>
      </w:r>
    </w:p>
    <w:p>
      <w:r>
        <w:t>ANTES DO LANÇAMENTO, a SOBPORT deverá aprovar uma MATRIZ DE RETENÇÃO específica, indicando prazos ou critérios para: (i) cadastro e comprovantes de adesão; (ii) documentos financeiros; (iii) logs técnicos; (iv) imagens de videomonitoramento; (v) registros de leitura de placas; e (vi) dados sensíveis, se houver. Encerrada a necessidade, os dados serão eliminados, anonimizados ou conservados quando houver fundamento legal para tanto.</w:t>
      </w:r>
    </w:p>
    <w:p>
      <w:pPr>
        <w:pStyle w:val="Heading1"/>
      </w:pPr>
      <w:r>
        <w:t>9. SEGURANÇA DA INFORMAÇÃO</w:t>
      </w:r>
    </w:p>
    <w:p>
      <w:r>
        <w:t>A SOBPORT adotará medidas técnicas e administrativas proporcionais aos riscos, incluindo controles de acesso por perfil, autenticação, registro de acessos quando aplicável, proteção de credenciais, backups, atualização de sistemas, gestão de fornecedores, procedimentos de resposta a incidentes e limitação de acesso às informações estritamente necessárias.</w:t>
      </w:r>
    </w:p>
    <w:p>
      <w:r>
        <w:t>Detalhes cuja divulgação possa reduzir a segurança do sistema poderão ser mantidos confidenciais.</w:t>
      </w:r>
    </w:p>
    <w:p>
      <w:pPr>
        <w:pStyle w:val="Heading1"/>
      </w:pPr>
      <w:r>
        <w:t>10. INCIDENTES DE SEGURANÇA</w:t>
      </w:r>
    </w:p>
    <w:p>
      <w:r>
        <w:t>A SOBPORT manterá procedimento de identificação, contenção, investigação, documentação e resposta a incidentes envolvendo dados pessoais e realizará as comunicações legalmente exigidas à Autoridade Nacional de Proteção de Dados (ANPD) e aos titulares, quando aplicável.</w:t>
      </w:r>
    </w:p>
    <w:p>
      <w:pPr>
        <w:pStyle w:val="Heading1"/>
      </w:pPr>
      <w:r>
        <w:t>11. DIREITOS DOS TITULARES</w:t>
      </w:r>
    </w:p>
    <w:p>
      <w:r>
        <w:t>O titular poderá solicitar, nos termos da LGPD e conforme aplicável: confirmação da existência de tratamento; acesso; correção; anonimização, bloqueio ou eliminação de dados desnecessários, excessivos ou tratados em desconformidade; informação sobre compartilhamentos; revisão de decisões automatizadas quando cabível; oposição; e demais direitos previstos em lei.</w:t>
      </w:r>
    </w:p>
    <w:p>
      <w:r>
        <w:t>Solicitações deverão ser encaminhadas ao canal de privacidade indicado na Seção 1.</w:t>
      </w:r>
    </w:p>
    <w:p>
      <w:pPr>
        <w:pStyle w:val="Heading1"/>
      </w:pPr>
      <w:r>
        <w:t>12. CRIANÇAS E ADOLESCENTES</w:t>
      </w:r>
    </w:p>
    <w:p>
      <w:r>
        <w:t>O PROJETO poderá captar incidentalmente imagens de crianças e adolescentes em áreas monitoradas. O tratamento deverá observar seu melhor interesse, finalidade de segurança, minimização e controles reforçados. O PROJETO não utilizará dados de crianças para publicidade comportamental ou finalidade comercial incompatível.</w:t>
      </w:r>
    </w:p>
    <w:p>
      <w:pPr>
        <w:pStyle w:val="Heading1"/>
      </w:pPr>
      <w:r>
        <w:t>13. TRANSFERÊNCIA INTERNACIONAL</w:t>
      </w:r>
    </w:p>
    <w:p>
      <w:r>
        <w:t>Se algum fornecedor armazenar ou processar dados fora do Brasil, a SOBPORT deverá identificar essa operação e adotar mecanismo de transferência internacional compatível com a LGPD e a regulamentação aplicável. [CONFIRMAR FORNECEDORES, PAÍSES E MECANISMO ANTES DA PUBLICAÇÃO, SE APLICÁVEL].</w:t>
      </w:r>
    </w:p>
    <w:p>
      <w:pPr>
        <w:pStyle w:val="Heading1"/>
      </w:pPr>
      <w:r>
        <w:t>14. ALTERAÇÕES E VERSIONAMENTO</w:t>
      </w:r>
    </w:p>
    <w:p>
      <w:r>
        <w:t>Esta Política será disponibilizada na Central de Documentos com número de versão e data. Alterações materiais serão comunicadas de forma adequada. A versão disponibilizada ao aderente no momento do aceite ficará registrada no comprovante de adesão, sem prejuízo de atualizações necessárias à operação e à legislação.</w:t>
      </w:r>
    </w:p>
    <w:p>
      <w:pPr>
        <w:pStyle w:val="Heading1"/>
      </w:pPr>
      <w:r>
        <w:t>15. CONTATO</w:t>
      </w:r>
    </w:p>
    <w:p>
      <w:r>
        <w:t>Dúvidas, solicitações ou exercício de direitos: SOBPORT [RAZÃO SOCIAL] • CNPJ [●] • e-mail de privacidade [●] • canal oficial do PROJETO [●].</w:t>
      </w:r>
    </w:p>
    <w:p>
      <w:pPr>
        <w:pStyle w:val="Heading1"/>
      </w:pPr>
      <w:r>
        <w:t>CHECKLIST DE PUBLICAÇÃO</w:t>
      </w:r>
    </w:p>
    <w:p>
      <w:pPr>
        <w:pStyle w:val="ListBullet"/>
      </w:pPr>
      <w:r>
        <w:t>Preencher razão social, CNPJ, endereço e canais oficiais da SOBPORT.</w:t>
      </w:r>
    </w:p>
    <w:p>
      <w:pPr>
        <w:pStyle w:val="ListBullet"/>
      </w:pPr>
      <w:r>
        <w:t>Definir responsável/encarregado ou canal de privacidade.</w:t>
      </w:r>
    </w:p>
    <w:p>
      <w:pPr>
        <w:pStyle w:val="ListBullet"/>
      </w:pPr>
      <w:r>
        <w:t>Confirmar quais tecnologias operacionais serão efetivamente usadas.</w:t>
      </w:r>
    </w:p>
    <w:p>
      <w:pPr>
        <w:pStyle w:val="ListBullet"/>
      </w:pPr>
      <w:r>
        <w:t>Aprovar matriz de retenção, especialmente imagens e leitura de placas.</w:t>
      </w:r>
    </w:p>
    <w:p>
      <w:pPr>
        <w:pStyle w:val="ListBullet"/>
      </w:pPr>
      <w:r>
        <w:t>Mapear fornecedores/suboperadores e eventual transferência internacional.</w:t>
      </w:r>
    </w:p>
    <w:p>
      <w:pPr>
        <w:pStyle w:val="ListBullet"/>
      </w:pPr>
      <w:r>
        <w:t>Validar procedimento de incidentes e acesso às imagens.</w:t>
      </w:r>
    </w:p>
    <w:p>
      <w:pPr>
        <w:pStyle w:val="ListBullet"/>
      </w:pPr>
      <w:r>
        <w:t>Submeter a versão final ao jurídico/DPO da SOBPORT antes do lançamento.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3D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63D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