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df" ContentType="application/pdf"/>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2026-08-14</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18"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u</m:t>
            </m:r>
            <m:r>
              <m:t>p</m:t>
            </m:r>
            <m:r>
              <m:t>t</m:t>
            </m:r>
            <m:r>
              <m:t>a</m:t>
            </m:r>
            <m:r>
              <m:t>k</m:t>
            </m:r>
            <m:r>
              <m:t>e</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t>A</m:t>
            </m:r>
            <m:r>
              <m:t>A</m:t>
            </m:r>
            <m:r>
              <m:t>E</m:t>
            </m:r>
            <m:r>
              <m:t>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C</m:t>
                        </m:r>
                        <m:sSub>
                          <m:e>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2"/>
          <w:p/>
        </w:tc>
      </w:tr>
    </w:tbl>
    <w:p>
      <w:pPr>
        <w:pStyle w:val="CaptionedFigure"/>
      </w:pPr>
      <w:r>
        <w:drawing>
          <wp:inline>
            <wp:extent cx="5334000" cy="2291572"/>
            <wp:effectExtent b="0" l="0" r="0" t="0"/>
            <wp:docPr descr="Conceptual model of the rhizosphere phosphorus cycle." title="" id="14" name="Picture"/>
            <a:graphic>
              <a:graphicData uri="http://schemas.openxmlformats.org/drawingml/2006/picture">
                <pic:pic>
                  <pic:nvPicPr>
                    <pic:cNvPr descr="index_files/figure-docx/unnamed-chunk-1-1.pdf" id="15" name="Picture"/>
                    <pic:cNvPicPr>
                      <a:picLocks noChangeArrowheads="1" noChangeAspect="1"/>
                    </pic:cNvPicPr>
                  </pic:nvPicPr>
                  <pic:blipFill>
                    <a:blip r:embed="rId13"/>
                    <a:stretch>
                      <a:fillRect/>
                    </a:stretch>
                  </pic:blipFill>
                  <pic:spPr bwMode="auto">
                    <a:xfrm>
                      <a:off x="0" y="0"/>
                      <a:ext cx="5334000" cy="2291572"/>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17"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1"/>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7"/>
    <w:bookmarkEnd w:id="18"/>
    <w:bookmarkStart w:id="38" w:name="sec-materials-and-methods"/>
    <w:p>
      <w:pPr>
        <w:pStyle w:val="Heading1"/>
      </w:pPr>
      <w:r>
        <w:t xml:space="preserve">2. Materials and Methods</w:t>
      </w:r>
    </w:p>
    <w:bookmarkStart w:id="20"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19"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t>u</m:t>
            </m:r>
            <m:r>
              <m:t>p</m:t>
            </m:r>
            <m:r>
              <m:t>t</m:t>
            </m:r>
            <m:r>
              <m:t>a</m:t>
            </m:r>
            <m:r>
              <m:t>k</m:t>
            </m:r>
            <m:r>
              <m:t>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t>b</m:t>
        </m:r>
        <m:r>
          <m:t>a</m:t>
        </m:r>
        <m:r>
          <m:t>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t>b</m:t>
        </m:r>
        <m:r>
          <m:t>a</m:t>
        </m:r>
        <m:r>
          <m:t>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19"/>
    <w:bookmarkEnd w:id="20"/>
    <w:bookmarkStart w:id="24"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3551"/>
            <wp:effectExtent b="0" l="0" r="0" t="0"/>
            <wp:docPr descr="Modular workflow synchronizing data sources, extraction methods, and mathematical models." title="" id="22" name="Picture"/>
            <a:graphic>
              <a:graphicData uri="http://schemas.openxmlformats.org/drawingml/2006/picture">
                <pic:pic>
                  <pic:nvPicPr>
                    <pic:cNvPr descr="index_files/figure-docx/unnamed-chunk-2-1.pdf" id="23" name="Picture"/>
                    <pic:cNvPicPr>
                      <a:picLocks noChangeArrowheads="1" noChangeAspect="1"/>
                    </pic:cNvPicPr>
                  </pic:nvPicPr>
                  <pic:blipFill>
                    <a:blip r:embed="rId21"/>
                    <a:stretch>
                      <a:fillRect/>
                    </a:stretch>
                  </pic:blipFill>
                  <pic:spPr bwMode="auto">
                    <a:xfrm>
                      <a:off x="0" y="0"/>
                      <a:ext cx="5334000" cy="2973551"/>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4"/>
    <w:bookmarkStart w:id="26"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5"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5"/>
          <w:p/>
        </w:tc>
      </w:tr>
    </w:tbl>
    <w:p>
      <w:pPr>
        <w:pStyle w:val="BodyText"/>
      </w:pPr>
      <w:r>
        <w:t xml:space="preserve">Soil samples for this thesis were collected in the year 2022 from the topsoil layer (0-20 cm).</w:t>
      </w:r>
    </w:p>
    <w:bookmarkEnd w:id="26"/>
    <w:bookmarkStart w:id="29"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7"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2"/>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2"/>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7"/>
    <w:bookmarkStart w:id="28"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t>o</m:t>
            </m:r>
            <m:r>
              <m:t>x</m:t>
            </m:r>
          </m:sub>
        </m:sSub>
      </m:oMath>
      <w:r>
        <w:t xml:space="preserve">,</w:t>
      </w:r>
      <w:r>
        <w:t xml:space="preserve"> </w:t>
      </w:r>
      <m:oMath>
        <m:r>
          <m:t>A</m:t>
        </m:r>
        <m:sSub>
          <m:e>
            <m:r>
              <m:t>l</m:t>
            </m:r>
          </m:e>
          <m:sub>
            <m:r>
              <m:t>o</m:t>
            </m:r>
            <m:r>
              <m:t>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8"/>
    <w:bookmarkEnd w:id="29"/>
    <w:bookmarkStart w:id="37"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0"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t>m</m:t>
            </m:r>
            <m:r>
              <m:t>a</m:t>
            </m:r>
            <m:r>
              <m:t>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t>o</m:t>
            </m:r>
            <m:r>
              <m:t>x</m:t>
            </m:r>
          </m:sub>
        </m:sSub>
        <m:r>
          <m:rPr>
            <m:sty m:val="p"/>
          </m:rPr>
          <m:t>/</m:t>
        </m:r>
        <m:r>
          <m:t>F</m:t>
        </m:r>
        <m:sSub>
          <m:e>
            <m:r>
              <m:t>e</m:t>
            </m:r>
          </m:e>
          <m:sub>
            <m:r>
              <m:t>o</m:t>
            </m:r>
            <m:r>
              <m:t>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r>
                <m:t>C</m:t>
              </m:r>
              <m:sSub>
                <m:e>
                  <m:r>
                    <m:t>O</m:t>
                  </m:r>
                </m:e>
                <m:sub>
                  <m:r>
                    <m:t>2</m:t>
                  </m:r>
                </m:sub>
              </m:sSub>
            </m:sub>
          </m:sSub>
        </m:oMath>
      </m:oMathPara>
    </w:p>
    <w:bookmarkEnd w:id="30"/>
    <w:bookmarkStart w:id="31"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t>A</m:t>
            </m:r>
            <m:r>
              <m:t>A</m:t>
            </m:r>
            <m:r>
              <m:t>E</m:t>
            </m:r>
            <m:r>
              <m:t>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t>A</m:t>
            </m:r>
            <m:r>
              <m:t>A</m:t>
            </m:r>
            <m:r>
              <m:t>E</m:t>
            </m:r>
            <m:r>
              <m:t>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3"/>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t>o</m:t>
            </m:r>
            <m:r>
              <m:t>r</m:t>
            </m:r>
            <m:r>
              <m:t>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3"/>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3"/>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1"/>
    <w:bookmarkStart w:id="32"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t>r</m:t>
              </m:r>
              <m:r>
                <m:t>e</m:t>
              </m:r>
              <m:r>
                <m:t>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phenomenological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2"/>
    <w:bookmarkStart w:id="34" w:name="X58542cabf128eedeee182ac79d5f1c7c4f09633"/>
    <w:p>
      <w:pPr>
        <w:pStyle w:val="Heading3"/>
      </w:pPr>
      <w:r>
        <w:t xml:space="preserve">2.5.4 4. Comparative Modeling of Agronomic Outcomes</w:t>
      </w:r>
    </w:p>
    <w:p>
      <w:pPr>
        <w:pStyle w:val="FirstParagraph"/>
      </w:pPr>
      <w:r>
        <w:t xml:space="preserve">To test the core hypothesis, biological response variables were modeled using non-linear mixed-effects models (</w:t>
      </w:r>
      <w:r>
        <w:rPr>
          <w:rStyle w:val="VerbatimChar"/>
        </w:rPr>
        <w:t xml:space="preserve">nlme</w:t>
      </w:r>
      <w:r>
        <w:t xml:space="preserve">), recognizing that plant growth and nutrient uptake follow saturating, asymptotic biological curves rather than linear relationships.</w:t>
      </w:r>
    </w:p>
    <w:p>
      <w:pPr>
        <w:pStyle w:val="BodyText"/>
      </w:pPr>
      <w:r>
        <w:rPr>
          <w:b/>
          <w:bCs/>
        </w:rPr>
        <w:t xml:space="preserve">1. The Mitscherlich Yield Model</w:t>
      </w:r>
      <w:r>
        <w:t xml:space="preserve"> </w:t>
      </w:r>
      <w:r>
        <w:t xml:space="preserve">The agronomic yield response was modeled using the classical Mitscherlich equation. The explicit mathematical formulation replaces the static rate constant with a dynamic effective rate (</w:t>
      </w:r>
      <m:oMath>
        <m:sSub>
          <m:e>
            <m:r>
              <m:t>c</m:t>
            </m:r>
          </m:e>
          <m:sub>
            <m:r>
              <m:t>e</m:t>
            </m:r>
            <m:r>
              <m:t>f</m:t>
            </m:r>
            <m:r>
              <m:t>f</m:t>
            </m:r>
          </m:sub>
        </m:sSub>
      </m:oMath>
      <w:r>
        <w:t xml:space="preserve">):</w:t>
      </w:r>
    </w:p>
    <w:p>
      <w:pPr>
        <w:pStyle w:val="BodyText"/>
      </w:pPr>
      <m:oMathPara>
        <m:oMathParaPr>
          <m:jc m:val="center"/>
        </m:oMathParaPr>
        <m:oMath>
          <m:sSub>
            <m:e>
              <m:r>
                <m:t>Y</m:t>
              </m:r>
            </m:e>
            <m:sub>
              <m:r>
                <m:t>r</m:t>
              </m:r>
              <m:r>
                <m:t>e</m:t>
              </m:r>
              <m:r>
                <m:t>l</m:t>
              </m:r>
            </m:sub>
          </m:sSub>
          <m:r>
            <m:rPr>
              <m:sty m:val="p"/>
            </m:rPr>
            <m:t>=</m:t>
          </m:r>
          <m:r>
            <m:t>1</m:t>
          </m:r>
          <m:r>
            <m:rPr>
              <m:sty m:val="p"/>
            </m:rPr>
            <m:t>−</m:t>
          </m:r>
          <m:r>
            <m:rPr>
              <m:sty m:val="p"/>
            </m:rPr>
            <m:t>exp</m:t>
          </m:r>
          <m:d>
            <m:dPr>
              <m:begChr m:val="("/>
              <m:sepChr m:val=""/>
              <m:endChr m:val=")"/>
              <m:grow/>
            </m:dPr>
            <m:e>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e>
          </m:d>
        </m:oMath>
      </m:oMathPara>
    </w:p>
    <w:p>
      <w:pPr>
        <w:pStyle w:val="FirstParagraph"/>
      </w:pPr>
      <w:r>
        <w:t xml:space="preserve">Where</w:t>
      </w:r>
      <w:r>
        <w:t xml:space="preserve"> </w:t>
      </w:r>
      <m:oMath>
        <m:sSub>
          <m:e>
            <m:r>
              <m:t>c</m:t>
            </m:r>
          </m:e>
          <m:sub>
            <m:r>
              <m:t>e</m:t>
            </m:r>
            <m:r>
              <m:t>f</m:t>
            </m:r>
            <m:r>
              <m:t>f</m:t>
            </m:r>
          </m:sub>
        </m:sSub>
      </m:oMath>
      <w:r>
        <w:t xml:space="preserve"> </w:t>
      </w:r>
      <w:r>
        <w:t xml:space="preserve">is dynamically modulated by a set of fixed pedoclimatic covariates (</w:t>
      </w:r>
      <m:oMath>
        <m:sSub>
          <m:e>
            <m:r>
              <m:t>Z</m:t>
            </m:r>
          </m:e>
          <m:sub>
            <m:r>
              <m:t>i</m:t>
            </m:r>
          </m:sub>
        </m:sSub>
      </m:oMath>
      <w:r>
        <w:t xml:space="preserve">) and nested spatial random effects (</w:t>
      </w:r>
      <m:oMath>
        <m:r>
          <m:t>u</m:t>
        </m:r>
      </m:oMath>
      <w:r>
        <w:t xml:space="preserve">):</w:t>
      </w:r>
    </w:p>
    <w:p>
      <w:pPr>
        <w:pStyle w:val="BodyText"/>
      </w:pPr>
      <m:oMathPara>
        <m:oMathParaPr>
          <m:jc m:val="center"/>
        </m:oMathParaPr>
        <m:oMath>
          <m:sSub>
            <m:e>
              <m:r>
                <m:t>c</m:t>
              </m:r>
            </m:e>
            <m:sub>
              <m:r>
                <m:t>e</m:t>
              </m:r>
              <m:r>
                <m:t>f</m:t>
              </m:r>
              <m:r>
                <m:t>f</m:t>
              </m:r>
            </m:sub>
          </m:sSub>
          <m:r>
            <m:rPr>
              <m:sty m:val="p"/>
            </m:rPr>
            <m:t>=</m:t>
          </m:r>
          <m:r>
            <m:rPr>
              <m:sty m:val="p"/>
            </m:rPr>
            <m:t>(</m:t>
          </m:r>
          <m:sSub>
            <m:e>
              <m:r>
                <m:t>c</m:t>
              </m:r>
            </m:e>
            <m:sub>
              <m:r>
                <m:t>b</m:t>
              </m:r>
              <m:r>
                <m:t>a</m:t>
              </m:r>
              <m:r>
                <m:t>s</m:t>
              </m:r>
              <m:r>
                <m:t>e</m:t>
              </m:r>
              <m:r>
                <m:rPr>
                  <m:sty m:val="p"/>
                </m:rPr>
                <m:t>_</m:t>
              </m:r>
              <m:r>
                <m:t>c</m:t>
              </m:r>
              <m:r>
                <m:t>r</m:t>
              </m:r>
              <m:r>
                <m:t>o</m:t>
              </m:r>
              <m:r>
                <m:t>p</m:t>
              </m:r>
            </m:sub>
          </m:sSub>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r>
            <m:rPr>
              <m:sty m:val="p"/>
            </m:rPr>
            <m:t>)</m:t>
          </m:r>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oMath>
      </m:oMathPara>
    </w:p>
    <w:p>
      <w:pPr>
        <w:pStyle w:val="Compact"/>
        <w:numPr>
          <w:ilvl w:val="0"/>
          <w:numId w:val="1004"/>
        </w:numPr>
      </w:pPr>
      <w:r>
        <w:rPr>
          <w:b/>
          <w:bCs/>
        </w:rPr>
        <w:t xml:space="preserve">The Diffusion Bottleneck (</w:t>
      </w:r>
      <m:oMath>
        <m:sSub>
          <m:e>
            <m:r>
              <m:t>β</m:t>
            </m:r>
          </m:e>
          <m:sub>
            <m:r>
              <m:t>i</m:t>
            </m:r>
            <m:r>
              <m:t>n</m:t>
            </m:r>
            <m:r>
              <m:t>v</m:t>
            </m:r>
            <m:r>
              <m:t>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 functionally decreasing the agronomic efficiency of the measured STP.</w:t>
      </w:r>
    </w:p>
    <w:p>
      <w:pPr>
        <w:pStyle w:val="Compact"/>
        <w:numPr>
          <w:ilvl w:val="0"/>
          <w:numId w:val="1004"/>
        </w:numPr>
      </w:pPr>
      <w:r>
        <w:rPr>
          <w:b/>
          <w:bCs/>
        </w:rPr>
        <w:t xml:space="preserve">Speciation and Solubility (</w:t>
      </w:r>
      <m:oMath>
        <m:sSub>
          <m:e>
            <m:r>
              <m:t>β</m:t>
            </m:r>
          </m:e>
          <m:sub>
            <m:r>
              <m:t>p</m:t>
            </m:r>
            <m:r>
              <m:t>H</m:t>
            </m:r>
          </m:sub>
        </m:sSub>
      </m:oMath>
      <w:r>
        <w:rPr>
          <w:b/>
          <w:bCs/>
        </w:rPr>
        <w:t xml:space="preserve">):</w:t>
      </w:r>
      <w:r>
        <w:t xml:space="preserve"> </w:t>
      </w:r>
      <w:r>
        <w:t xml:space="preserve">Soil pH fundamentally controls the speciation of orthophosphate in solution and drives precipitation dynamics, altering thermodynamic stability.</w:t>
      </w:r>
    </w:p>
    <w:p>
      <w:pPr>
        <w:pStyle w:val="Compact"/>
        <w:numPr>
          <w:ilvl w:val="0"/>
          <w:numId w:val="1004"/>
        </w:numPr>
      </w:pPr>
      <w:r>
        <w:rPr>
          <w:b/>
          <w:bCs/>
        </w:rPr>
        <w:t xml:space="preserve">Stoichiometric Co-Limitation (</w:t>
      </w:r>
      <m:oMath>
        <m:sSub>
          <m:e>
            <m:r>
              <m:t>β</m:t>
            </m:r>
          </m:e>
          <m:sub>
            <m:r>
              <m:t>N</m:t>
            </m:r>
          </m:sub>
        </m:sSub>
        <m:r>
          <m:rPr>
            <m:sty m:val="p"/>
          </m:rPr>
          <m:t>,</m:t>
        </m:r>
        <m:sSub>
          <m:e>
            <m:r>
              <m:t>β</m:t>
            </m:r>
          </m:e>
          <m:sub>
            <m:r>
              <m:t>K</m:t>
            </m:r>
          </m:sub>
        </m:sSub>
        <m:r>
          <m:rPr>
            <m:sty m:val="p"/>
          </m:rPr>
          <m:t>,</m:t>
        </m:r>
        <m:sSub>
          <m:e>
            <m:r>
              <m:t>β</m:t>
            </m:r>
          </m:e>
          <m:sub>
            <m:r>
              <m:t>M</m:t>
            </m:r>
            <m:r>
              <m:t>g</m:t>
            </m:r>
          </m:sub>
        </m:sSub>
      </m:oMath>
      <w:r>
        <w:rPr>
          <w:b/>
          <w:bCs/>
        </w:rPr>
        <w:t xml:space="preserve">):</w:t>
      </w:r>
      <w:r>
        <w:t xml:space="preserve"> </w:t>
      </w:r>
      <w:r>
        <w:t xml:space="preserve">Following Liebig’s Law of the Minimum, the plant’s ability to efficiently convert P into biomass is inherently capped if Nitrogen, Potassium, or Magnesium are limiting.</w:t>
      </w:r>
    </w:p>
    <w:p>
      <w:pPr>
        <w:pStyle w:val="Compact"/>
        <w:numPr>
          <w:ilvl w:val="0"/>
          <w:numId w:val="1004"/>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(Michaelis-Menten)</w:t>
      </w:r>
      <w:r>
        <w:t xml:space="preserve"> </w:t>
      </w:r>
      <w:r>
        <w:t xml:space="preserve">Actual mass-flux of P into the plant was modeled using a fractional Michaelis-Menten biological limit:</w:t>
      </w:r>
    </w:p>
    <w:p>
      <w:pPr>
        <w:pStyle w:val="BodyText"/>
      </w:pPr>
      <m:oMathPara>
        <m:oMathParaPr>
          <m:jc m:val="center"/>
        </m:oMathParaPr>
        <m:oMath>
          <m:r>
            <m:t>U</m:t>
          </m:r>
          <m:r>
            <m:t>p</m:t>
          </m:r>
          <m:r>
            <m:t>t</m:t>
          </m:r>
          <m:r>
            <m:t>a</m:t>
          </m:r>
          <m:r>
            <m:t>k</m:t>
          </m:r>
          <m:sSub>
            <m:e>
              <m:r>
                <m:t>e</m:t>
              </m:r>
            </m:e>
            <m:sub>
              <m:r>
                <m:t>r</m:t>
              </m:r>
              <m:r>
                <m:t>e</m:t>
              </m:r>
              <m:r>
                <m:t>l</m:t>
              </m:r>
            </m:sub>
          </m:sSub>
          <m:r>
            <m:rPr>
              <m:sty m:val="p"/>
            </m:rPr>
            <m:t>=</m:t>
          </m:r>
          <m:f>
            <m:fPr>
              <m:type m:val="bar"/>
            </m:fPr>
            <m:num>
              <m:sSub>
                <m:e>
                  <m:r>
                    <m:t>U</m:t>
                  </m:r>
                </m:e>
                <m:sub>
                  <m:r>
                    <m:t>e</m:t>
                  </m:r>
                  <m:r>
                    <m:t>f</m:t>
                  </m:r>
                  <m:r>
                    <m:t>f</m:t>
                  </m:r>
                </m:sub>
              </m:sSub>
              <m:r>
                <m:rPr>
                  <m:sty m:val="p"/>
                </m:rPr>
                <m:t>⋅</m:t>
              </m:r>
              <m:r>
                <m:rPr>
                  <m:nor/>
                  <m:sty m:val="p"/>
                </m:rPr>
                <m:t>STP</m:t>
              </m:r>
            </m:num>
            <m:den>
              <m:sSub>
                <m:e>
                  <m:r>
                    <m:t>K</m:t>
                  </m:r>
                </m:e>
                <m:sub>
                  <m:r>
                    <m:t>m</m:t>
                  </m:r>
                </m:sub>
              </m:sSub>
              <m:r>
                <m:rPr>
                  <m:sty m:val="p"/>
                </m:rPr>
                <m:t>+</m:t>
              </m:r>
              <m:r>
                <m:rPr>
                  <m:nor/>
                  <m:sty m:val="p"/>
                </m:rPr>
                <m:t>STP</m:t>
              </m:r>
            </m:den>
          </m:f>
        </m:oMath>
      </m:oMathPara>
    </w:p>
    <w:p>
      <w:pPr>
        <w:pStyle w:val="FirstParagraph"/>
      </w:pPr>
      <w:r>
        <w:t xml:space="preserve">Where the effective maximum uptake capacity (</w:t>
      </w:r>
      <m:oMath>
        <m:sSub>
          <m:e>
            <m:r>
              <m:t>U</m:t>
            </m:r>
          </m:e>
          <m:sub>
            <m:r>
              <m:t>e</m:t>
            </m:r>
            <m:r>
              <m:t>f</m:t>
            </m:r>
            <m:r>
              <m:t>f</m:t>
            </m:r>
          </m:sub>
        </m:sSub>
      </m:oMath>
      <w:r>
        <w:t xml:space="preserve">) expands upon the base physiological limit (</w:t>
      </w:r>
      <m:oMath>
        <m:sSub>
          <m:e>
            <m:r>
              <m:t>U</m:t>
            </m:r>
          </m:e>
          <m:sub>
            <m:r>
              <m:t>b</m:t>
            </m:r>
            <m:r>
              <m:t>a</m:t>
            </m:r>
            <m:r>
              <m:t>s</m:t>
            </m:r>
            <m:r>
              <m:t>e</m:t>
            </m:r>
          </m:sub>
        </m:sSub>
      </m:oMath>
      <w:r>
        <w:t xml:space="preserve">) via critical covariates:</w:t>
      </w:r>
    </w:p>
    <w:p>
      <w:pPr>
        <w:pStyle w:val="BodyText"/>
      </w:pPr>
      <m:oMathPara>
        <m:oMathParaPr>
          <m:jc m:val="center"/>
        </m:oMathParaPr>
        <m:oMath>
          <m:sSub>
            <m:e>
              <m:r>
                <m:t>U</m:t>
              </m:r>
            </m:e>
            <m:sub>
              <m:r>
                <m:t>e</m:t>
              </m:r>
              <m:r>
                <m:t>f</m:t>
              </m:r>
              <m:r>
                <m:t>f</m:t>
              </m:r>
            </m:sub>
          </m:sSub>
          <m:r>
            <m:rPr>
              <m:sty m:val="p"/>
            </m:rPr>
            <m:t>=</m:t>
          </m:r>
          <m:sSub>
            <m:e>
              <m:r>
                <m:t>U</m:t>
              </m:r>
            </m:e>
            <m:sub>
              <m:r>
                <m:t>b</m:t>
              </m:r>
              <m:r>
                <m:t>a</m:t>
              </m:r>
              <m:r>
                <m:t>s</m:t>
              </m:r>
              <m:r>
                <m:t>e</m:t>
              </m:r>
            </m:sub>
          </m:sSub>
          <m:r>
            <m:rPr>
              <m:sty m:val="p"/>
            </m:rPr>
            <m:t>+</m:t>
          </m:r>
          <m:sSub>
            <m:e>
              <m:r>
                <m:t>β</m:t>
              </m:r>
            </m:e>
            <m:sub>
              <m:r>
                <m:t>t</m:t>
              </m:r>
              <m:r>
                <m:t>e</m:t>
              </m:r>
              <m:r>
                <m:t>m</m:t>
              </m:r>
              <m:r>
                <m:t>p</m:t>
              </m:r>
            </m:sub>
          </m:sSub>
          <m:r>
            <m:rPr>
              <m:sty m:val="p"/>
            </m:rPr>
            <m:t>⋅</m:t>
          </m:r>
          <m:sSub>
            <m:e>
              <m:r>
                <m:t>Z</m:t>
              </m:r>
            </m:e>
            <m:sub>
              <m:r>
                <m:t>t</m:t>
              </m:r>
              <m:r>
                <m:t>e</m:t>
              </m:r>
              <m:r>
                <m:t>m</m:t>
              </m:r>
              <m:r>
                <m:t>p</m:t>
              </m:r>
            </m:sub>
          </m:sSub>
          <m:r>
            <m:rPr>
              <m:sty m:val="p"/>
            </m:rPr>
            <m:t>+</m:t>
          </m:r>
          <m:sSub>
            <m:e>
              <m:r>
                <m:t>β</m:t>
              </m:r>
            </m:e>
            <m:sub>
              <m:r>
                <m:t>N</m:t>
              </m:r>
            </m:sub>
          </m:sSub>
          <m:r>
            <m:rPr>
              <m:sty m:val="p"/>
            </m:rPr>
            <m:t>⋅</m:t>
          </m:r>
          <m:sSub>
            <m:e>
              <m:r>
                <m:t>Z</m:t>
              </m:r>
            </m:e>
            <m:sub>
              <m:r>
                <m:t>N</m:t>
              </m:r>
            </m:sub>
          </m:sSub>
          <m:r>
            <m:rPr>
              <m:sty m:val="p"/>
            </m:rPr>
            <m:t>+</m:t>
          </m:r>
          <m:sSub>
            <m:e>
              <m:r>
                <m:t>β</m:t>
              </m:r>
            </m:e>
            <m:sub>
              <m:r>
                <m:t>v</m:t>
              </m:r>
              <m:r>
                <m:t>0</m:t>
              </m:r>
            </m:sub>
          </m:sSub>
          <m:r>
            <m:rPr>
              <m:sty m:val="p"/>
            </m:rPr>
            <m:t>⋅</m:t>
          </m:r>
          <m:sSub>
            <m:e>
              <m:r>
                <m:t>Z</m:t>
              </m:r>
            </m:e>
            <m:sub>
              <m:r>
                <m:t>v</m:t>
              </m:r>
              <m:r>
                <m:t>0</m:t>
              </m:r>
            </m:sub>
          </m:sSub>
          <m:r>
            <m:rPr>
              <m:sty m:val="p"/>
            </m:rPr>
            <m:t>+</m:t>
          </m:r>
          <m:sSub>
            <m:e>
              <m:r>
                <m:t>u</m:t>
              </m:r>
            </m:e>
            <m:sub>
              <m:r>
                <m:t>s</m:t>
              </m:r>
              <m:r>
                <m:t>i</m:t>
              </m:r>
              <m:r>
                <m:t>t</m:t>
              </m:r>
              <m:r>
                <m:t>e</m:t>
              </m:r>
            </m:sub>
          </m:sSub>
          <m:r>
            <m:rPr>
              <m:sty m:val="p"/>
            </m:rPr>
            <m:t>+</m:t>
          </m:r>
          <m:sSub>
            <m:e>
              <m:r>
                <m:t>u</m:t>
              </m:r>
            </m:e>
            <m:sub>
              <m:r>
                <m:t>y</m:t>
              </m:r>
              <m:r>
                <m:t>e</m:t>
              </m:r>
              <m:r>
                <m:t>a</m:t>
              </m:r>
              <m:r>
                <m:t>r</m:t>
              </m:r>
              <m:r>
                <m:rPr>
                  <m:sty m:val="p"/>
                </m:rPr>
                <m:t>|</m:t>
              </m:r>
              <m:r>
                <m:t>s</m:t>
              </m:r>
              <m:r>
                <m:t>i</m:t>
              </m:r>
              <m:r>
                <m:t>t</m:t>
              </m:r>
              <m:r>
                <m:t>e</m:t>
              </m:r>
            </m:sub>
          </m:sSub>
        </m:oMath>
      </m:oMathPara>
    </w:p>
    <w:p>
      <w:pPr>
        <w:pStyle w:val="Compact"/>
        <w:numPr>
          <w:ilvl w:val="0"/>
          <w:numId w:val="1005"/>
        </w:numPr>
      </w:pPr>
      <w:r>
        <w:rPr>
          <w:b/>
          <w:bCs/>
        </w:rPr>
        <w:t xml:space="preserve">The Kinetics (</w:t>
      </w:r>
      <m:oMath>
        <m:sSub>
          <m:e>
            <m:r>
              <m:t>β</m:t>
            </m:r>
          </m:e>
          <m:sub>
            <m:r>
              <m:t>v</m:t>
            </m:r>
            <m:r>
              <m:t>0</m:t>
            </m:r>
          </m:sub>
        </m:sSub>
      </m:oMath>
      <w:r>
        <w:rPr>
          <w:b/>
          <w:bCs/>
        </w:rPr>
        <w:t xml:space="preserve">):</w:t>
      </w:r>
      <w:r>
        <w:t xml:space="preserve"> </w:t>
      </w:r>
      <w:r>
        <w:t xml:space="preserve">The dynamic desorption velocity (</w:t>
      </w:r>
      <m:oMath>
        <m:sSub>
          <m:e>
            <m:r>
              <m:t>v</m:t>
            </m:r>
          </m:e>
          <m:sub>
            <m:r>
              <m:t>0</m:t>
            </m:r>
          </m:sub>
        </m:sSub>
      </m:oMath>
      <w:r>
        <w:t xml:space="preserve">) directly increases maximal uptake capacity by continuously resupplying the root depletion zone.</w:t>
      </w:r>
    </w:p>
    <w:p>
      <w:pPr>
        <w:pStyle w:val="Compact"/>
        <w:numPr>
          <w:ilvl w:val="0"/>
          <w:numId w:val="1005"/>
        </w:numPr>
      </w:pPr>
      <w:r>
        <w:rPr>
          <w:b/>
          <w:bCs/>
        </w:rPr>
        <w:t xml:space="preserve">Crop-Specific Affinity (</w:t>
      </w:r>
      <m:oMath>
        <m:sSub>
          <m:e>
            <m:r>
              <m:t>K</m:t>
            </m:r>
          </m:e>
          <m:sub>
            <m:r>
              <m:t>m</m:t>
            </m:r>
          </m:sub>
        </m:sSub>
      </m:oMath>
      <w:r>
        <w:rPr>
          <w:b/>
          <w:bCs/>
        </w:rPr>
        <w:t xml:space="preserve">):</w:t>
      </w:r>
      <w:r>
        <w:t xml:space="preserve"> </w:t>
      </w:r>
      <w:r>
        <w:t xml:space="preserve">The half-saturation constant (</w:t>
      </w:r>
      <m:oMath>
        <m:sSub>
          <m:e>
            <m:r>
              <m:t>K</m:t>
            </m:r>
          </m:e>
          <m:sub>
            <m:r>
              <m:t>m</m:t>
            </m:r>
          </m:sub>
        </m:sSub>
      </m:oMath>
      <w:r>
        <w:t xml:space="preserve">) is modeled as a fixed effect grouped by</w:t>
      </w:r>
      <w:r>
        <w:t xml:space="preserve"> </w:t>
      </w:r>
      <w:r>
        <w:rPr>
          <w:i/>
          <w:iCs/>
        </w:rPr>
        <w:t xml:space="preserve">crop species</w:t>
      </w:r>
      <w:r>
        <w:t xml:space="preserve">, reflecting the differing physiological root architectures and transporter affinities of maize, wheat, etc.</w:t>
      </w:r>
    </w:p>
    <w:p>
      <w:pPr>
        <w:pStyle w:val="Compact"/>
        <w:numPr>
          <w:ilvl w:val="0"/>
          <w:numId w:val="1005"/>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w:t>
      </w:r>
      <w:r>
        <w:t xml:space="preserve"> </w:t>
      </w:r>
      <w:r>
        <w:rPr>
          <w:rStyle w:val="VerbatimChar"/>
        </w:rPr>
        <w:t xml:space="preserve">site/year</w:t>
      </w:r>
      <w:r>
        <w:t xml:space="preserve"> </w:t>
      </w:r>
      <w:r>
        <w:t xml:space="preserve">intercepts absorb the massive macro-climatic shifts (e.g., a regional drought year systemically lowering the overall</w:t>
      </w:r>
      <w:r>
        <w:t xml:space="preserve"> </w:t>
      </w:r>
      <m:oMath>
        <m:sSub>
          <m:e>
            <m:r>
              <m:t>U</m:t>
            </m:r>
          </m:e>
          <m:sub>
            <m:r>
              <m:t>b</m:t>
            </m:r>
            <m:r>
              <m:t>a</m:t>
            </m:r>
            <m:r>
              <m:t>s</m:t>
            </m:r>
            <m:r>
              <m:t>e</m:t>
            </m:r>
          </m:sub>
        </m:sSub>
      </m:oMath>
      <w:r>
        <w:t xml:space="preserve">).</w:t>
      </w:r>
    </w:p>
    <w:p>
      <w:pPr>
        <w:pStyle w:val="FirstParagraph"/>
      </w:pPr>
      <w:r>
        <w:rPr>
          <w:b/>
          <w:bCs/>
        </w:rPr>
        <w:t xml:space="preserve">3. The Tissue Concentration Model (</w:t>
      </w:r>
      <m:oMath>
        <m:sSub>
          <m:e>
            <m:r>
              <m:t>C</m:t>
            </m:r>
          </m:e>
          <m:sub>
            <m:r>
              <m:t>P</m:t>
            </m:r>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phenomenologically. Rigorous mixed-effects testing revealed that the classical Piper-Steenbjerg carbon dilution penalty was statistically undetectable across pedoclimatic noise. Instead, the phenomena clearly dictate a simpler biological reality: A crop-specific baseline tissue concentration (</w:t>
      </w:r>
      <m:oMath>
        <m:sSub>
          <m:e>
            <m:r>
              <m:t>C</m:t>
            </m:r>
          </m:e>
          <m:sub>
            <m:r>
              <m:t>b</m:t>
            </m:r>
            <m:r>
              <m:t>a</m:t>
            </m:r>
            <m:r>
              <m:t>s</m:t>
            </m:r>
            <m:r>
              <m:t>e</m:t>
            </m:r>
          </m:sub>
        </m:sSub>
      </m:oMath>
      <w:r>
        <w:t xml:space="preserve">), followed by a linear</w:t>
      </w:r>
      <w:r>
        <w:t xml:space="preserve"> </w:t>
      </w:r>
      <w:r>
        <w:rPr>
          <w:b/>
          <w:bCs/>
        </w:rPr>
        <w:t xml:space="preserve">Luxury Accumulation</w:t>
      </w:r>
      <w:r>
        <w:t xml:space="preserve"> </w:t>
      </w:r>
      <w:r>
        <w:t xml:space="preserve">phase (</w:t>
      </w:r>
      <m:oMath>
        <m:sSub>
          <m:e>
            <m:r>
              <m:t>S</m:t>
            </m:r>
          </m:e>
          <m:sub>
            <m:r>
              <m:t>a</m:t>
            </m:r>
            <m:r>
              <m:t>c</m:t>
            </m:r>
            <m:r>
              <m:t>c</m:t>
            </m:r>
          </m:sub>
        </m:sSub>
      </m:oMath>
      <w:r>
        <w:t xml:space="preserve">):</w:t>
      </w:r>
    </w:p>
    <w:p>
      <w:pPr>
        <w:pStyle w:val="BodyText"/>
      </w:pPr>
      <m:oMathPara>
        <m:oMathParaPr>
          <m:jc m:val="center"/>
        </m:oMathParaP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m:oMathPara>
    </w:p>
    <w:p>
      <w:pPr>
        <w:pStyle w:val="Compact"/>
        <w:numPr>
          <w:ilvl w:val="0"/>
          <w:numId w:val="1006"/>
        </w:numPr>
      </w:pPr>
      <w:r>
        <w:rPr>
          <w:b/>
          <w:bCs/>
        </w:rPr>
        <w:t xml:space="preserve">Crop-Specific Baseline (</w:t>
      </w:r>
      <m:oMath>
        <m:sSub>
          <m:e>
            <m:r>
              <m:t>C</m:t>
            </m:r>
          </m:e>
          <m:sub>
            <m:r>
              <m:t>b</m:t>
            </m:r>
            <m:r>
              <m:t>a</m:t>
            </m:r>
            <m:r>
              <m:t>s</m:t>
            </m:r>
            <m:r>
              <m:t>e</m:t>
            </m:r>
          </m:sub>
        </m:sSub>
      </m:oMath>
      <w:r>
        <w:rPr>
          <w:b/>
          <w:bCs/>
        </w:rPr>
        <w:t xml:space="preserve">):</w:t>
      </w:r>
      <w:r>
        <w:t xml:space="preserve"> </w:t>
      </w:r>
      <w:r>
        <w:t xml:space="preserve">The fundamental, minimum tissue concentration required for the plant to physically exist, modeled as a fixed effect grouped by crop species.</w:t>
      </w:r>
    </w:p>
    <w:p>
      <w:pPr>
        <w:pStyle w:val="Compact"/>
        <w:numPr>
          <w:ilvl w:val="0"/>
          <w:numId w:val="1006"/>
        </w:numPr>
      </w:pPr>
      <w:r>
        <w:rPr>
          <w:b/>
          <w:bCs/>
        </w:rPr>
        <w:t xml:space="preserve">Luxury Accumulation (</w:t>
      </w:r>
      <m:oMath>
        <m:sSub>
          <m:e>
            <m:r>
              <m:t>S</m:t>
            </m:r>
          </m:e>
          <m:sub>
            <m:r>
              <m:t>a</m:t>
            </m:r>
            <m:r>
              <m:t>c</m:t>
            </m:r>
            <m:r>
              <m:t>c</m:t>
            </m:r>
          </m:sub>
        </m:sSub>
      </m:oMath>
      <w:r>
        <w:rPr>
          <w:b/>
          <w:bCs/>
        </w:rPr>
        <w:t xml:space="preserve">):</w:t>
      </w:r>
      <w:r>
        <w:t xml:space="preserve"> </w:t>
      </w:r>
      <w:r>
        <w:t xml:space="preserve">Once basic metabolic needs are met, plants linearly accumulate</w:t>
      </w:r>
      <w:r>
        <w:t xml:space="preserve"> </w:t>
      </w:r>
      <w:r>
        <w:t xml:space="preserve">“luxury”</w:t>
      </w:r>
      <w:r>
        <w:t xml:space="preserve"> </w:t>
      </w:r>
      <w:r>
        <w:t xml:space="preserve">P in their tissues (primarily in the vegetative biomass). This slope (</w:t>
      </w:r>
      <m:oMath>
        <m:sSub>
          <m:e>
            <m:r>
              <m:t>S</m:t>
            </m:r>
          </m:e>
          <m:sub>
            <m:r>
              <m:t>a</m:t>
            </m:r>
            <m:r>
              <m:t>c</m:t>
            </m:r>
            <m:r>
              <m:t>c</m:t>
            </m:r>
          </m:sub>
        </m:sSub>
      </m:oMath>
      <w:r>
        <w:t xml:space="preserve">) is significantly driven by the soil’s desorption velocity (</w:t>
      </w:r>
      <m:oMath>
        <m:sSub>
          <m:e>
            <m:r>
              <m:t>v</m:t>
            </m:r>
          </m:e>
          <m:sub>
            <m:r>
              <m:t>0</m:t>
            </m:r>
          </m:sub>
        </m:sSub>
      </m:oMath>
      <w:r>
        <w:t xml:space="preserve">) and buffer power (</w:t>
      </w:r>
      <m:oMath>
        <m:r>
          <m:t>1</m:t>
        </m:r>
        <m:r>
          <m:rPr>
            <m:sty m:val="p"/>
          </m:rPr>
          <m:t>/</m:t>
        </m:r>
        <m:r>
          <m:t>b</m:t>
        </m:r>
      </m:oMath>
      <w:r>
        <w:t xml:space="preserve">), which dictate how rapidly the soil can push excess phosphorus into the plant.</w:t>
      </w:r>
    </w:p>
    <w:p>
      <w:pPr>
        <w:pStyle w:val="Compact"/>
        <w:numPr>
          <w:ilvl w:val="0"/>
          <w:numId w:val="1006"/>
        </w:numPr>
      </w:pPr>
      <w:r>
        <w:rPr>
          <w:b/>
          <w:bCs/>
        </w:rPr>
        <w:t xml:space="preserve">A Phenomenological</w:t>
      </w:r>
      <w:r>
        <w:rPr>
          <w:b/>
          <w:bCs/>
        </w:rPr>
        <w:t xml:space="preserve"> </w:t>
      </w:r>
      <m:oMath>
        <m:sSub>
          <m:e>
            <m:r>
              <m:t>P</m:t>
            </m:r>
          </m:e>
          <m:sub>
            <m:r>
              <m:t>c</m:t>
            </m:r>
            <m:r>
              <m:t>r</m:t>
            </m:r>
            <m:r>
              <m:t>i</m:t>
            </m:r>
            <m:r>
              <m:t>t</m:t>
            </m:r>
          </m:sub>
        </m:sSub>
      </m:oMath>
      <w:r>
        <w:rPr>
          <w:b/>
          <w:bCs/>
        </w:rPr>
        <w:t xml:space="preserve">:</w:t>
      </w:r>
      <w:r>
        <w:t xml:space="preserve"> </w:t>
      </w:r>
      <w:r>
        <w:t xml:space="preserve">Because field data rarely captures conditions severe enough to observe true Piper-Steenbjerg dilution, defining</w:t>
      </w:r>
      <w:r>
        <w:t xml:space="preserve"> </w:t>
      </w:r>
      <m:oMath>
        <m:sSub>
          <m:e>
            <m:r>
              <m:t>P</m:t>
            </m:r>
          </m:e>
          <m:sub>
            <m:r>
              <m:t>c</m:t>
            </m:r>
            <m:r>
              <m:t>r</m:t>
            </m:r>
            <m:r>
              <m:t>i</m:t>
            </m:r>
            <m:r>
              <m:t>t</m:t>
            </m:r>
          </m:sub>
        </m:sSub>
      </m:oMath>
      <w:r>
        <w:t xml:space="preserve"> </w:t>
      </w:r>
      <w:r>
        <w:t xml:space="preserve">via abstract mathematical minima of</w:t>
      </w:r>
      <w:r>
        <w:t xml:space="preserve"> </w:t>
      </w:r>
      <m:oMath>
        <m:sSub>
          <m:e>
            <m:r>
              <m:t>C</m:t>
            </m:r>
          </m:e>
          <m:sub>
            <m:r>
              <m:t>P</m:t>
            </m:r>
          </m:sub>
        </m:sSub>
      </m:oMath>
      <w:r>
        <w:t xml:space="preserve"> </w:t>
      </w:r>
      <w:r>
        <w:t xml:space="preserve">curves is flawed. Instead, we define</w:t>
      </w:r>
      <w:r>
        <w:t xml:space="preserve"> </w:t>
      </w:r>
      <m:oMath>
        <m:sSub>
          <m:e>
            <m:r>
              <m:t>P</m:t>
            </m:r>
          </m:e>
          <m:sub>
            <m:r>
              <m:t>c</m:t>
            </m:r>
            <m:r>
              <m:t>r</m:t>
            </m:r>
            <m:r>
              <m:t>i</m:t>
            </m:r>
            <m:r>
              <m:t>t</m:t>
            </m:r>
          </m:sub>
        </m:sSub>
      </m:oMath>
      <w:r>
        <w:t xml:space="preserve"> </w:t>
      </w:r>
      <w:r>
        <w:t xml:space="preserve">phenomenologically: as the threshold where the plant has achieved its physiological baseline (</w:t>
      </w:r>
      <m:oMath>
        <m:sSub>
          <m:e>
            <m:r>
              <m:t>C</m:t>
            </m:r>
          </m:e>
          <m:sub>
            <m:r>
              <m:t>b</m:t>
            </m:r>
            <m:r>
              <m:t>a</m:t>
            </m:r>
            <m:r>
              <m:t>s</m:t>
            </m:r>
            <m:r>
              <m:t>e</m:t>
            </m:r>
          </m:sub>
        </m:sSub>
      </m:oMath>
      <w:r>
        <w:t xml:space="preserve">)</w:t>
      </w:r>
      <w:r>
        <w:t xml:space="preserve"> </w:t>
      </w:r>
      <w:r>
        <w:rPr>
          <w:i/>
          <w:iCs/>
        </w:rPr>
        <w:t xml:space="preserve">plus</w:t>
      </w:r>
      <w:r>
        <w:t xml:space="preserve"> </w:t>
      </w:r>
      <w:r>
        <w:t xml:space="preserve">a defined luxury reserve buffer (e.g.,</w:t>
      </w:r>
      <w:r>
        <w:t xml:space="preserve"> </w:t>
      </w:r>
      <m:oMath>
        <m:r>
          <m:t>x</m:t>
        </m:r>
        <m:r>
          <m:rPr>
            <m:sty m:val="p"/>
          </m:rPr>
          <m:t>%</m:t>
        </m:r>
      </m:oMath>
      <w:r>
        <w:t xml:space="preserve">) strictly necessary to survive difficult environmental phases like pH swings or transient droughts.</w:t>
      </w:r>
    </w:p>
    <w:tbl>
      <w:tblPr>
        <w:tblStyle w:val="Table"/>
        <w:tblW w:type="pct" w:w="5000"/>
        <w:tblLayout w:type="fixed"/>
        <w:tblLook w:firstRow="0" w:lastRow="0" w:firstColumn="0" w:lastColumn="0" w:noHBand="0" w:noVBand="0" w:val="0000"/>
      </w:tblPr>
      <w:tblGrid>
        <w:gridCol w:w="7920"/>
      </w:tblGrid>
      <w:tr>
        <w:tc>
          <w:tcPr/>
          <w:bookmarkStart w:id="33"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w:r>
                    <w:t xml:space="preserve">$Y_{rel}$</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 $\times$ crop $\times$ year. Filtered for finite values.</w:t>
                  </w:r>
                </w:p>
              </w:tc>
            </w:tr>
            <w:tr>
              <w:tc>
                <w:tcPr/>
                <w:p>
                  <w:pPr>
                    <w:pStyle w:val="Compact"/>
                    <w:jc w:val="left"/>
                    <w:jc w:val="center"/>
                  </w:pPr>
                  <w:r>
                    <w:t xml:space="preserve">$Uptake_{rel}$</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w:r>
                    <w:t xml:space="preserve">$\ln(P_{AAE10})$</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w:r>
                    <w:t xml:space="preserve">$P_{CO2}$</w:t>
                  </w:r>
                </w:p>
              </w:tc>
              <w:tc>
                <w:tcPr/>
                <w:p>
                  <w:pPr>
                    <w:pStyle w:val="Compact"/>
                    <w:jc w:val="left"/>
                    <w:jc w:val="center"/>
                  </w:pPr>
                  <w:r>
                    <w:t xml:space="preserve">Empirical Intensity</w:t>
                  </w:r>
                </w:p>
              </w:tc>
              <w:tc>
                <w:tcPr/>
                <w:p>
                  <w:pPr>
                    <w:pStyle w:val="Compact"/>
                    <w:jc w:val="left"/>
                    <w:jc w:val="center"/>
                  </w:pPr>
                  <w:r>
                    <w:t xml:space="preserve">Water-extractable P ($CO_2$ saturated).</w:t>
                  </w:r>
                </w:p>
              </w:tc>
              <w:tc>
                <w:tcPr/>
                <w:p>
                  <w:pPr>
                    <w:pStyle w:val="Compact"/>
                    <w:jc w:val="left"/>
                    <w:jc w:val="center"/>
                  </w:pPr>
                  <w:r>
                    <w:t xml:space="preserve">Raw measured values. Log-transformed for PTF training.</w:t>
                  </w:r>
                </w:p>
              </w:tc>
            </w:tr>
            <w:tr>
              <w:tc>
                <w:tcPr/>
                <w:p>
                  <w:pPr>
                    <w:pStyle w:val="Compact"/>
                    <w:jc w:val="left"/>
                    <w:jc w:val="center"/>
                  </w:pPr>
                  <w:r>
                    <w:t xml:space="preserve">$a_{CO2}$</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w:r>
                    <w:t xml:space="preserve">$k$</w:t>
                  </w:r>
                </w:p>
              </w:tc>
              <w:tc>
                <w:tcPr/>
                <w:p>
                  <w:pPr>
                    <w:pStyle w:val="Compact"/>
                    <w:jc w:val="left"/>
                    <w:jc w:val="center"/>
                  </w:pPr>
                  <w:r>
                    <w:t xml:space="preserve">Desorption Rate</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w:r>
                    <w:t xml:space="preserve">$v_0$</w:t>
                  </w:r>
                </w:p>
              </w:tc>
              <w:tc>
                <w:tcPr/>
                <w:p>
                  <w:pPr>
                    <w:pStyle w:val="Compact"/>
                    <w:jc w:val="left"/>
                    <w:jc w:val="center"/>
                  </w:pPr>
                  <w:r>
                    <w:t xml:space="preserve">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 $k$ and empirical $P_{CO2}$. Standardized (z-score).</w:t>
                  </w:r>
                </w:p>
              </w:tc>
            </w:tr>
            <w:tr>
              <w:tc>
                <w:tcPr/>
                <w:p>
                  <w:pPr>
                    <w:pStyle w:val="Compact"/>
                    <w:jc w:val="left"/>
                    <w:jc w:val="center"/>
                  </w:pPr>
                  <w:r>
                    <w:t xml:space="preserve">$\text{PBC}^{-1}$ ($1/b$)</w:t>
                  </w:r>
                </w:p>
              </w:tc>
              <w:tc>
                <w:tcPr/>
                <w:p>
                  <w:pPr>
                    <w:pStyle w:val="Compact"/>
                    <w:jc w:val="left"/>
                    <w:jc w:val="center"/>
                  </w:pPr>
                  <w:r>
                    <w:t xml:space="preserve">Inverse Buffer Power</w:t>
                  </w:r>
                </w:p>
              </w:tc>
              <w:tc>
                <w:tcPr/>
                <w:p>
                  <w:pPr>
                    <w:pStyle w:val="Compact"/>
                    <w:jc w:val="left"/>
                    <w:jc w:val="center"/>
                  </w:pPr>
                  <w:r>
                    <w:t xml:space="preserve">Inverse of the dynamic $Q/I$ slope ($dI/dQ$).</w:t>
                  </w:r>
                </w:p>
              </w:tc>
              <w:tc>
                <w:tcPr/>
                <w:p>
                  <w:pPr>
                    <w:pStyle w:val="Compact"/>
                    <w:jc w:val="left"/>
                    <w:jc w:val="center"/>
                  </w:pPr>
                  <w:r>
                    <w:t xml:space="preserve">Analytically derived from predicted Freundlich isotherms. Standardized (z-score).</w:t>
                  </w:r>
                </w:p>
              </w:tc>
            </w:tr>
            <w:tr>
              <w:tc>
                <w:tcPr/>
                <w:p>
                  <w:pPr>
                    <w:pStyle w:val="Compact"/>
                    <w:jc w:val="left"/>
                    <w:jc w:val="center"/>
                  </w:pPr>
                  <w:r>
                    <w:t xml:space="preserve">$Fe_{ox}, Al_{ox}$</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w:r>
                    <w:t xml:space="preserve">Fine Texture</w:t>
                  </w:r>
                </w:p>
              </w:tc>
              <w:tc>
                <w:tcPr/>
                <w:p>
                  <w:pPr>
                    <w:pStyle w:val="Compact"/>
                    <w:jc w:val="left"/>
                    <w:jc w:val="center"/>
                  </w:pPr>
                  <w:r>
                    <w:t xml:space="preserve">Clay + Silt</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w:r>
                    <w:t xml:space="preserve">pH</w:t>
                  </w:r>
                </w:p>
              </w:tc>
              <w:tc>
                <w:tcPr/>
                <w:p>
                  <w:pPr>
                    <w:pStyle w:val="Compact"/>
                    <w:jc w:val="left"/>
                    <w:jc w:val="center"/>
                  </w:pPr>
                  <w:r>
                    <w:t xml:space="preserve">Soil pH ($H_2O$)</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w:r>
                    <w:t xml:space="preserve">$C_{org}$</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w:r>
                    <w:t xml:space="preserve">Ca, Mg, K</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w:r>
                    <w:t xml:space="preserve">$Temp_{Anom}, Prec_{Anom}$</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w:r>
                    <w:t xml:space="preserve">Fert N</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3"/>
          <w:p/>
        </w:tc>
      </w:tr>
    </w:tbl>
    <w:bookmarkEnd w:id="34"/>
    <w:bookmarkStart w:id="35" w:name="X44bb14175a86972320c11f91acf6da54ae42ffd"/>
    <w:p>
      <w:pPr>
        <w:pStyle w:val="Heading3"/>
      </w:pPr>
      <w:r>
        <w:t xml:space="preserve">2.5.5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c</m:t>
              </m:r>
            </m:e>
            <m:sub>
              <m:r>
                <m:t>m</m:t>
              </m:r>
              <m:r>
                <m:t>a</m:t>
              </m:r>
              <m:r>
                <m:t>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5"/>
    <w:bookmarkStart w:id="36" w:name="derivation-of-critical-thresholds-p_crit"/>
    <w:p>
      <w:pPr>
        <w:pStyle w:val="Heading3"/>
      </w:pPr>
      <w:r>
        <w:t xml:space="preserve">2.5.6 6. Derivation of Critical Thresholds (</w:t>
      </w:r>
      <m:oMath>
        <m:sSub>
          <m:e>
            <m:r>
              <m:t>P</m:t>
            </m:r>
          </m:e>
          <m:sub>
            <m:r>
              <m:t>c</m:t>
            </m:r>
            <m:r>
              <m:t>r</m:t>
            </m:r>
            <m:r>
              <m:t>i</m:t>
            </m:r>
            <m:r>
              <m:t>t</m:t>
            </m:r>
          </m:sub>
        </m:sSub>
      </m:oMath>
      <w:r>
        <w:t xml:space="preserve">)</w:t>
      </w:r>
    </w:p>
    <w:p>
      <w:pPr>
        <w:pStyle w:val="FirstParagraph"/>
      </w:pPr>
      <w:r>
        <w:t xml:space="preserve">To translate the phenomenological models into actionable agronomic metrics, the critical Soil Test Phosphorus (</w:t>
      </w:r>
      <m:oMath>
        <m:sSub>
          <m:e>
            <m:r>
              <m:t>P</m:t>
            </m:r>
          </m:e>
          <m:sub>
            <m:r>
              <m:t>c</m:t>
            </m:r>
            <m:r>
              <m:t>r</m:t>
            </m:r>
            <m:r>
              <m:t>i</m:t>
            </m:r>
            <m:r>
              <m:t>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t>c</m:t>
            </m:r>
            <m:r>
              <m:t>r</m:t>
            </m:r>
            <m:r>
              <m:t>i</m:t>
            </m:r>
            <m:r>
              <m:t>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t>r</m:t>
            </m:r>
            <m:r>
              <m:t>e</m:t>
            </m:r>
            <m:r>
              <m:t>l</m:t>
            </m:r>
          </m:sub>
        </m:sSub>
        <m:r>
          <m:rPr>
            <m:sty m:val="p"/>
          </m:rPr>
          <m:t>=</m:t>
        </m:r>
        <m:r>
          <m:t>1</m:t>
        </m:r>
        <m:r>
          <m:rPr>
            <m:sty m:val="p"/>
          </m:rPr>
          <m:t>−</m:t>
        </m:r>
        <m:r>
          <m:rPr>
            <m:sty m:val="p"/>
          </m:rPr>
          <m:t>exp</m:t>
        </m:r>
        <m:r>
          <m:rPr>
            <m:sty m:val="p"/>
          </m:rPr>
          <m:t>(</m:t>
        </m:r>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t>e</m:t>
                  </m:r>
                  <m:r>
                    <m:t>f</m:t>
                  </m:r>
                  <m:r>
                    <m:t>f</m:t>
                  </m:r>
                </m:sub>
              </m:sSub>
            </m:den>
          </m:f>
          <m:r>
            <m:rPr>
              <m:sty m:val="p"/>
            </m:rPr>
            <m:t>−</m:t>
          </m:r>
          <m:sSub>
            <m:e>
              <m:r>
                <m:t>E</m:t>
              </m:r>
            </m:e>
            <m:sub>
              <m:r>
                <m:t>b</m:t>
              </m:r>
              <m:r>
                <m:t>a</m:t>
              </m:r>
              <m:r>
                <m:t>s</m:t>
              </m:r>
              <m:r>
                <m:t>e</m:t>
              </m:r>
            </m:sub>
          </m:sSub>
        </m:oMath>
      </m:oMathPara>
    </w:p>
    <w:p>
      <w:pPr>
        <w:pStyle w:val="FirstParagraph"/>
      </w:pPr>
      <w:r>
        <w:t xml:space="preserve">Where the effective rate constant incorporates the pedoclimatic penalties:</w:t>
      </w:r>
      <w:r>
        <w:t xml:space="preserve"> </w:t>
      </w:r>
      <m:oMath>
        <m:sSub>
          <m:e>
            <m:r>
              <m:t>c</m:t>
            </m:r>
          </m:e>
          <m:sub>
            <m:r>
              <m:t>e</m:t>
            </m:r>
            <m:r>
              <m:t>f</m:t>
            </m:r>
            <m:r>
              <m:t>f</m:t>
            </m:r>
          </m:sub>
        </m:sSub>
        <m:r>
          <m:rPr>
            <m:sty m:val="p"/>
          </m:rPr>
          <m:t>=</m:t>
        </m:r>
        <m:sSub>
          <m:e>
            <m:r>
              <m:t>c</m:t>
            </m:r>
          </m:e>
          <m:sub>
            <m:r>
              <m:t>b</m:t>
            </m:r>
            <m:r>
              <m:t>a</m:t>
            </m:r>
            <m:r>
              <m:t>s</m:t>
            </m:r>
            <m:r>
              <m:t>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t>b</m:t>
            </m:r>
            <m:r>
              <m:t>a</m:t>
            </m:r>
            <m:r>
              <m:t>s</m:t>
            </m:r>
            <m:r>
              <m:t>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w:r>
        <w:t xml:space="preserve">) for the target</w:t>
      </w:r>
      <w:r>
        <w:t xml:space="preserve"> </w:t>
      </w:r>
      <m:oMath>
        <m:sSub>
          <m:e>
            <m:r>
              <m:t>C</m:t>
            </m:r>
          </m:e>
          <m:sub>
            <m:r>
              <m:t>b</m:t>
            </m:r>
            <m:r>
              <m:t>a</m:t>
            </m:r>
            <m:r>
              <m:t>s</m:t>
            </m:r>
            <m:r>
              <m:t>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t>b</m:t>
                  </m:r>
                  <m:r>
                    <m:t>a</m:t>
                  </m:r>
                  <m:r>
                    <m:t>s</m:t>
                  </m:r>
                  <m:r>
                    <m:t>e</m:t>
                  </m:r>
                </m:sub>
              </m:sSub>
            </m:num>
            <m:den>
              <m:sSub>
                <m:e>
                  <m:r>
                    <m:t>S</m:t>
                  </m:r>
                </m:e>
                <m:sub>
                  <m:r>
                    <m:t>b</m:t>
                  </m:r>
                  <m:r>
                    <m:t>a</m:t>
                  </m:r>
                  <m:r>
                    <m:t>s</m:t>
                  </m:r>
                  <m:r>
                    <m:t>e</m:t>
                  </m:r>
                </m:sub>
              </m:sSub>
              <m:r>
                <m:rPr>
                  <m:sty m:val="p"/>
                </m:rPr>
                <m:t>+</m:t>
              </m:r>
              <m:sSub>
                <m:e>
                  <m:r>
                    <m:t>β</m:t>
                  </m:r>
                </m:e>
                <m:sub>
                  <m:r>
                    <m:t>v</m:t>
                  </m:r>
                  <m:r>
                    <m:t>0</m:t>
                  </m:r>
                </m:sub>
              </m:sSub>
              <m:r>
                <m:rPr>
                  <m:sty m:val="p"/>
                </m:rPr>
                <m:t>⋅</m:t>
              </m:r>
              <m:sSub>
                <m:e>
                  <m:r>
                    <m:t>v</m:t>
                  </m:r>
                </m:e>
                <m:sub>
                  <m:r>
                    <m:t>0</m:t>
                  </m:r>
                </m:sub>
              </m:sSub>
              <m:r>
                <m:rPr>
                  <m:sty m:val="p"/>
                </m:rPr>
                <m:t>+</m:t>
              </m:r>
              <m:sSub>
                <m:e>
                  <m:r>
                    <m:t>β</m:t>
                  </m:r>
                </m:e>
                <m:sub>
                  <m:r>
                    <m:t>i</m:t>
                  </m:r>
                  <m:r>
                    <m:t>n</m:t>
                  </m:r>
                  <m:r>
                    <m:t>v</m:t>
                  </m:r>
                  <m:r>
                    <m:t>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t>a</m:t>
            </m:r>
            <m:r>
              <m:t>c</m:t>
            </m:r>
            <m:r>
              <m:t>c</m:t>
            </m:r>
          </m:sub>
        </m:sSub>
      </m:oMath>
      <w:r>
        <w:t xml:space="preserve">), inherently reducing the</w:t>
      </w:r>
      <w:r>
        <w:t xml:space="preserve"> </w:t>
      </w:r>
      <m:oMath>
        <m:sSub>
          <m:e>
            <m:r>
              <m:t>P</m:t>
            </m:r>
          </m:e>
          <m:sub>
            <m:r>
              <m:t>c</m:t>
            </m:r>
            <m:r>
              <m:t>r</m:t>
            </m:r>
            <m:r>
              <m:t>i</m:t>
            </m:r>
            <m:r>
              <m:t>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t>u</m:t>
            </m:r>
            <m:r>
              <m:t>p</m:t>
            </m:r>
          </m:sub>
        </m:sSub>
      </m:oMath>
      <w:r>
        <w:t xml:space="preserve">) yields a direct relationship with the effective half-saturation constant (</w:t>
      </w:r>
      <m:oMath>
        <m:sSub>
          <m:e>
            <m:r>
              <m:t>K</m:t>
            </m:r>
          </m:e>
          <m:sub>
            <m:r>
              <m:t>e</m:t>
            </m:r>
            <m:r>
              <m:t>f</m:t>
            </m:r>
            <m:r>
              <m:t>f</m:t>
            </m:r>
          </m:sub>
        </m:sSub>
      </m:oMath>
      <w:r>
        <w:t xml:space="preserve">):</w:t>
      </w:r>
    </w:p>
    <w:p>
      <w:pPr>
        <w:pStyle w:val="BodyText"/>
      </w:pPr>
      <m:oMathPara>
        <m:oMathParaPr>
          <m:jc m:val="center"/>
        </m:oMathParaPr>
        <m:oMath>
          <m:sSub>
            <m:e>
              <m:r>
                <m:t>q</m:t>
              </m:r>
            </m:e>
            <m:sub>
              <m:r>
                <m:t>u</m:t>
              </m:r>
              <m:r>
                <m:t>p</m:t>
              </m:r>
            </m:sub>
          </m:sSub>
          <m:r>
            <m:rPr>
              <m:sty m:val="p"/>
            </m:rPr>
            <m:t>=</m:t>
          </m:r>
          <m:f>
            <m:fPr>
              <m:type m:val="bar"/>
            </m:fPr>
            <m:num>
              <m:sSub>
                <m:e>
                  <m:r>
                    <m:t>P</m:t>
                  </m:r>
                </m:e>
                <m:sub>
                  <m:r>
                    <m:t>c</m:t>
                  </m:r>
                  <m:r>
                    <m:t>r</m:t>
                  </m:r>
                  <m:r>
                    <m:t>i</m:t>
                  </m:r>
                  <m:r>
                    <m:t>t</m:t>
                  </m:r>
                  <m:r>
                    <m:rPr>
                      <m:sty m:val="p"/>
                    </m:rPr>
                    <m:t>_</m:t>
                  </m:r>
                  <m:r>
                    <m:t>u</m:t>
                  </m:r>
                  <m:r>
                    <m:t>p</m:t>
                  </m:r>
                </m:sub>
              </m:sSub>
            </m:num>
            <m:den>
              <m:sSub>
                <m:e>
                  <m:r>
                    <m:t>K</m:t>
                  </m:r>
                </m:e>
                <m:sub>
                  <m:r>
                    <m:t>e</m:t>
                  </m:r>
                  <m:r>
                    <m:t>f</m:t>
                  </m:r>
                  <m:r>
                    <m:t>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t>u</m:t>
                      </m:r>
                      <m:r>
                        <m:t>p</m:t>
                      </m:r>
                    </m:sub>
                  </m:sSub>
                </m:num>
                <m:den>
                  <m:r>
                    <m:t>1</m:t>
                  </m:r>
                  <m:r>
                    <m:rPr>
                      <m:sty m:val="p"/>
                    </m:rPr>
                    <m:t>−</m:t>
                  </m:r>
                  <m:sSub>
                    <m:e>
                      <m:r>
                        <m:t>q</m:t>
                      </m:r>
                    </m:e>
                    <m:sub>
                      <m:r>
                        <m:t>u</m:t>
                      </m:r>
                      <m:r>
                        <m:t>p</m:t>
                      </m:r>
                    </m:sub>
                  </m:sSub>
                </m:den>
              </m:f>
            </m:e>
          </m:d>
          <m:sSub>
            <m:e>
              <m:r>
                <m:t>K</m:t>
              </m:r>
            </m:e>
            <m:sub>
              <m:r>
                <m:t>e</m:t>
              </m:r>
              <m:r>
                <m:t>f</m:t>
              </m:r>
              <m:r>
                <m:t>f</m:t>
              </m:r>
            </m:sub>
          </m:sSub>
        </m:oMath>
      </m:oMathPara>
    </w:p>
    <w:p>
      <w:pPr>
        <w:pStyle w:val="FirstParagraph"/>
      </w:pPr>
      <w:r>
        <w:t xml:space="preserve">Where</w:t>
      </w:r>
      <w:r>
        <w:t xml:space="preserve"> </w:t>
      </w:r>
      <m:oMath>
        <m:sSub>
          <m:e>
            <m:r>
              <m:t>K</m:t>
            </m:r>
          </m:e>
          <m:sub>
            <m:r>
              <m:t>e</m:t>
            </m:r>
            <m:r>
              <m:t>f</m:t>
            </m:r>
            <m:r>
              <m:t>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p>
      <w:r>
        <w:br w:type="page"/>
      </w:r>
    </w:p>
    <w:p>
      <w:r>
        <w:br w:type="page"/>
      </w:r>
    </w:p>
    <w:p>
      <w:r>
        <w:br w:type="page"/>
      </w:r>
    </w:p>
    <w:p>
      <w:r>
        <w:br w:type="page"/>
      </w:r>
    </w:p>
    <w:p>
      <w:r>
        <w:br w:type="page"/>
      </w:r>
    </w:p>
    <w:bookmarkEnd w:id="36"/>
    <w:bookmarkEnd w:id="37"/>
    <w:bookmarkEnd w:id="38"/>
    <w:bookmarkStart w:id="73" w:name="references"/>
    <w:p>
      <w:pPr>
        <w:pStyle w:val="Heading1"/>
      </w:pPr>
      <w:r>
        <w:t xml:space="preserve">3. References</w:t>
      </w:r>
    </w:p>
    <w:bookmarkStart w:id="72" w:name="refs"/>
    <w:bookmarkStart w:id="39"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39"/>
    <w:bookmarkStart w:id="40"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40"/>
    <w:bookmarkStart w:id="42"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41">
        <w:r>
          <w:rPr>
            <w:rStyle w:val="Hyperlink"/>
          </w:rPr>
          <w:t xml:space="preserve">https://github.com/lme4/lme4/</w:t>
        </w:r>
      </w:hyperlink>
    </w:p>
    <w:bookmarkEnd w:id="42"/>
    <w:bookmarkStart w:id="4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43"/>
    <w:bookmarkStart w:id="45"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44">
        <w:r>
          <w:rPr>
            <w:rStyle w:val="Hyperlink"/>
          </w:rPr>
          <w:t xml:space="preserve">https://doi.org/10.1002/jpln.200421463</w:t>
        </w:r>
      </w:hyperlink>
    </w:p>
    <w:bookmarkEnd w:id="45"/>
    <w:bookmarkStart w:id="46"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46"/>
    <w:bookmarkStart w:id="47"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7"/>
    <w:bookmarkStart w:id="48"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48"/>
    <w:bookmarkStart w:id="49"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49"/>
    <w:bookmarkStart w:id="5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50">
        <w:r>
          <w:rPr>
            <w:rStyle w:val="Hyperlink"/>
          </w:rPr>
          <w:t xml:space="preserve">https://doi.org/10.2134/jeq2000.00472425002900010003x</w:t>
        </w:r>
      </w:hyperlink>
    </w:p>
    <w:bookmarkEnd w:id="51"/>
    <w:bookmarkStart w:id="53"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52">
        <w:r>
          <w:rPr>
            <w:rStyle w:val="Hyperlink"/>
          </w:rPr>
          <w:t xml:space="preserve">https://doi.org/10.1002/jpln.200321081</w:t>
        </w:r>
      </w:hyperlink>
    </w:p>
    <w:bookmarkEnd w:id="53"/>
    <w:bookmarkStart w:id="5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54">
        <w:r>
          <w:rPr>
            <w:rStyle w:val="Hyperlink"/>
          </w:rPr>
          <w:t xml:space="preserve">https://doi.org/10.1016/j.scitotenv.2020.143453</w:t>
        </w:r>
      </w:hyperlink>
    </w:p>
    <w:bookmarkEnd w:id="55"/>
    <w:bookmarkStart w:id="57"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56">
        <w:r>
          <w:rPr>
            <w:rStyle w:val="Hyperlink"/>
          </w:rPr>
          <w:t xml:space="preserve">https://doi.org/10.1111/j.1475-2743.2012.00453.x</w:t>
        </w:r>
      </w:hyperlink>
    </w:p>
    <w:bookmarkEnd w:id="57"/>
    <w:bookmarkStart w:id="58"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58"/>
    <w:bookmarkStart w:id="59"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59"/>
    <w:bookmarkStart w:id="60"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60"/>
    <w:bookmarkStart w:id="6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61"/>
    <w:bookmarkStart w:id="62"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62"/>
    <w:bookmarkStart w:id="64"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63">
        <w:r>
          <w:rPr>
            <w:rStyle w:val="Hyperlink"/>
          </w:rPr>
          <w:t xml:space="preserve">https://svn.r-project.org/R-packages/trunk/nlme/</w:t>
        </w:r>
      </w:hyperlink>
    </w:p>
    <w:bookmarkEnd w:id="64"/>
    <w:bookmarkStart w:id="66"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65">
        <w:r>
          <w:rPr>
            <w:rStyle w:val="Hyperlink"/>
          </w:rPr>
          <w:t xml:space="preserve">https://doi.org/10.32614/R.manuals</w:t>
        </w:r>
      </w:hyperlink>
    </w:p>
    <w:bookmarkEnd w:id="66"/>
    <w:bookmarkStart w:id="67"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67"/>
    <w:bookmarkStart w:id="68"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68"/>
    <w:bookmarkStart w:id="70"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69">
        <w:r>
          <w:rPr>
            <w:rStyle w:val="Hyperlink"/>
          </w:rPr>
          <w:t xml:space="preserve">https://doi.org/10.1016/j.agee.2022.107926</w:t>
        </w:r>
      </w:hyperlink>
    </w:p>
    <w:bookmarkEnd w:id="70"/>
    <w:bookmarkStart w:id="71"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71"/>
    <w:bookmarkEnd w:id="72"/>
    <w:p>
      <w:r>
        <w:br w:type="page"/>
      </w:r>
    </w:p>
    <w:p>
      <w:r>
        <w:br w:type="page"/>
      </w:r>
    </w:p>
    <w:bookmarkEnd w:id="73"/>
    <w:bookmarkStart w:id="7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7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74"/>
    <w:bookmarkStart w:id="7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75"/>
    <w:bookmarkStart w:id="7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7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7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df" /><Relationship Type="http://schemas.openxmlformats.org/officeDocument/2006/relationships/image" Id="rId21" Target="media/rId21.pdf" /><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
  <dcterms:created xsi:type="dcterms:W3CDTF">2026-08-14T15:36:00Z</dcterms:created>
  <dcterms:modified xsi:type="dcterms:W3CDTF">2026-08-14T15:36:00Z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2026-08-14</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