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Author"/>
      </w:pPr>
      <w:r>
        <w:t xml:space="preserve">Emmanuel Frossard</w:t>
      </w:r>
    </w:p>
    <w:p>
      <w:pPr>
        <w:pStyle w:val="Date"/>
      </w:pPr>
      <w:r>
        <w:t xml:space="preserve">2026-06-16</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w:t>
      </w:r>
    </w:p>
    <w:bookmarkStart w:id="21"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significant challenge. In the soil solution, P exists predominantly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w:t>
      </w:r>
      <w:r>
        <w:rPr>
          <w:b/>
          <w:bCs/>
        </w:rPr>
        <w:t xml:space="preserve">Brady2016Soils?</w:t>
      </w:r>
      <w:r>
        <w:t xml:space="preserve">;</w:t>
      </w:r>
      <w:r>
        <w:t xml:space="preserve"> </w:t>
      </w:r>
      <w:r>
        <w:rPr>
          <w:b/>
          <w:bCs/>
        </w:rPr>
        <w:t xml:space="preserve">Sposito2008Chemistry?</w:t>
      </w:r>
      <w:r>
        <w:t xml:space="preserve">)</w:t>
      </w:r>
      <w:r>
        <w:t xml:space="preserve">. Consequently, the total soil P stock is vast, but the minute fraction dissolved in the soil solution—the only form directly available to plant roots—is highly transient.</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w:t>
      </w:r>
      <w:r>
        <w:rPr>
          <w:b/>
          <w:bCs/>
        </w:rPr>
        <w:t xml:space="preserve">Frossard2000Processes?</w:t>
      </w:r>
      <w:r>
        <w:t xml:space="preserve">)</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robust, measuring them in natural soils is methodologically challenging. In practice, standard agronomic soil tests do not measure absolute thermodynamic states; rather, they rely on</w:t>
      </w:r>
      <w:r>
        <w:t xml:space="preserve"> </w:t>
      </w:r>
      <w:r>
        <w:rPr>
          <w:b/>
          <w:bCs/>
        </w:rPr>
        <w:t xml:space="preserve">operational definitions</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w:t>
      </w:r>
      <w:r>
        <w:rPr>
          <w:b/>
          <w:bCs/>
        </w:rPr>
        <w:t xml:space="preserve">Olsen1954?</w:t>
      </w:r>
      <w:r>
        <w:t xml:space="preserve">)</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w:t>
      </w:r>
      <w:r>
        <w:rPr>
          <w:b/>
          <w:bCs/>
        </w:rPr>
        <w:t xml:space="preserve">FAL1996Methodenbuch?</w:t>
      </w:r>
      <w:r>
        <w:t xml:space="preserve">)</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C</m:t>
            </m:r>
            <m:sSub>
              <m:e>
                <m:r>
                  <m:t>O</m:t>
                </m:r>
              </m:e>
              <m:sub>
                <m:r>
                  <m:t>2</m:t>
                </m:r>
              </m:sub>
            </m:sSub>
          </m:sub>
        </m:sSub>
      </m:oMath>
      <w:r>
        <w:t xml:space="preserve">): Weak extractions using distilled or</w:t>
      </w:r>
      <w:r>
        <w:t xml:space="preserve"> </w:t>
      </w:r>
      <m:oMath>
        <m:r>
          <m:t>C</m:t>
        </m:r>
        <m:sSub>
          <m:e>
            <m:r>
              <m:t>O</m:t>
            </m:r>
          </m:e>
          <m:sub>
            <m:r>
              <m:t>2</m:t>
            </m:r>
          </m:sub>
        </m:sSub>
      </m:oMath>
      <w:r>
        <w:t xml:space="preserve">-saturated water exert minimal chemical force, attempting to extract readily soluble forms without fundamentally altering the native soil matrix.</w:t>
      </w:r>
    </w:p>
    <w:bookmarkEnd w:id="10"/>
    <w:bookmarkStart w:id="11" w:name="X469d7d9b1965ca390c327dc638ad81ab82d5521"/>
    <w:p>
      <w:pPr>
        <w:pStyle w:val="Heading2"/>
      </w:pPr>
      <w:r>
        <w:t xml:space="preserve">1.3 The Thermodynamic Flaw: Ionic Strength and Activity</w:t>
      </w:r>
    </w:p>
    <w:p>
      <w:pPr>
        <w:pStyle w:val="FirstParagraph"/>
      </w:pPr>
      <w:r>
        <w:t xml:space="preserve">The reliance on operational definitions introduces an analytical limitation when interpreting soil tests, fundamentally tied to the principles of physical chemistry and plant physiology. Plant roots acquire P primarily via high-affinity transporter proteins (e.g., the PHT1 family). The binding kinetics of these transporters are governed by the true thermodynamic driving force of the substrate: its</w:t>
      </w:r>
      <w:r>
        <w:t xml:space="preserve"> </w:t>
      </w:r>
      <w:r>
        <w:rPr>
          <w:b/>
          <w:bCs/>
        </w:rPr>
        <w:t xml:space="preserve">chemical activity (</w:t>
      </w:r>
      <m:oMath>
        <m:r>
          <m:t>a</m:t>
        </m:r>
      </m:oMath>
      <w:r>
        <w:t xml:space="preserve">), not its total stoichiometric concentration (</w:t>
      </w:r>
      <m:oMath>
        <m:r>
          <m:t>c</m:t>
        </m:r>
      </m:oMath>
      <w:r>
        <w:t xml:space="preserve">).</w:t>
      </w:r>
    </w:p>
    <w:p>
      <w:pPr>
        <w:pStyle w:val="BodyText"/>
      </w:pPr>
      <w:r>
        <w:t xml:space="preserve">In the native soil solution, phosphate anions are electrostatically shielded by a cloud of background 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r>
          <m:rPr>
            <m:sty m:val="p"/>
          </m:rPr>
          <m:t>,</m:t>
        </m:r>
        <m:r>
          <m:t>N</m:t>
        </m:r>
        <m:sSubSup>
          <m:e>
            <m:r>
              <m:t>O</m:t>
            </m:r>
          </m:e>
          <m:sub>
            <m:r>
              <m:t>3</m:t>
            </m:r>
          </m:sub>
          <m:sup>
            <m:r>
              <m:rPr>
                <m:sty m:val="p"/>
              </m:rPr>
              <m:t>−</m:t>
            </m:r>
          </m:sup>
        </m:sSubSup>
        <m:r>
          <m:rPr>
            <m:sty m:val="p"/>
          </m:rPr>
          <m:t>,</m:t>
        </m:r>
        <m:r>
          <m:t>S</m:t>
        </m:r>
        <m:sSubSup>
          <m:e>
            <m:r>
              <m:t>O</m:t>
            </m:r>
          </m:e>
          <m:sub>
            <m:r>
              <m:t>4</m:t>
            </m:r>
          </m:sub>
          <m:sup>
            <m:r>
              <m:t>2</m:t>
            </m:r>
            <m:r>
              <m:rPr>
                <m:sty m:val="p"/>
              </m:rPr>
              <m:t>−</m:t>
            </m:r>
          </m:sup>
        </m:sSubSup>
      </m:oMath>
      <w:r>
        <w:t xml:space="preserve">). This native ionic strength (</w:t>
      </w:r>
      <m:oMath>
        <m:r>
          <m:t>I</m:t>
        </m:r>
      </m:oMath>
      <w:r>
        <w:t xml:space="preserve">) physically reduces the effective activity of the phosphate. The magnitude of this shielding is defined by the activity coefficient (</w:t>
      </w:r>
      <m:oMath>
        <m:r>
          <m:t>γ</m:t>
        </m:r>
      </m:oMath>
      <w:r>
        <w:t xml:space="preserve">), where true chemical activity is</w:t>
      </w:r>
      <w:r>
        <w:t xml:space="preserve"> </w:t>
      </w:r>
      <m:oMath>
        <m:r>
          <m:t>a</m:t>
        </m:r>
        <m:r>
          <m:rPr>
            <m:sty m:val="p"/>
          </m:rPr>
          <m:t>=</m:t>
        </m:r>
        <m:r>
          <m:t>c</m:t>
        </m:r>
        <m:r>
          <m:rPr>
            <m:sty m:val="p"/>
          </m:rPr>
          <m:t>⋅</m:t>
        </m:r>
        <m:r>
          <m:t>γ</m:t>
        </m:r>
      </m:oMath>
      <w:r>
        <w:t xml:space="preserve">.</w:t>
      </w:r>
    </w:p>
    <w:p>
      <w:pPr>
        <w:pStyle w:val="BodyText"/>
      </w:pPr>
      <w:r>
        <w:t xml:space="preserve">For strong extractants like Olsen or P-AAE10, the extractant solution has an overwhelmingly high ionic strength (e.g.,</w:t>
      </w:r>
      <w:r>
        <w:t xml:space="preserve"> </w:t>
      </w:r>
      <m:oMath>
        <m:r>
          <m:t>I</m:t>
        </m:r>
        <m:r>
          <m:rPr>
            <m:sty m:val="p"/>
          </m:rPr>
          <m:t>≈</m:t>
        </m:r>
        <m:r>
          <m:t>0.5</m:t>
        </m:r>
        <m:r>
          <m:rPr>
            <m:nor/>
            <m:sty m:val="p"/>
          </m:rPr>
          <m:t> M</m:t>
        </m:r>
      </m:oMath>
      <w:r>
        <w:t xml:space="preserve"> </w:t>
      </w:r>
      <w:r>
        <w:t xml:space="preserve">for Olsen). This artificial salt load overwhelms the native ionic strength of the soil. Consequently, while these methods successfully quantify the physical mass of phosphorus (</w:t>
      </w:r>
      <m:oMath>
        <m:r>
          <m:t>Q</m:t>
        </m:r>
      </m:oMath>
      <w:r>
        <w:t xml:space="preserve">), they alter the natural chemical environment, providing no information regarding the true thermodynamic Intensity (</w:t>
      </w:r>
      <m:oMath>
        <m:r>
          <m:t>I</m:t>
        </m:r>
      </m:oMath>
      <w:r>
        <w:t xml:space="preserve">) perceived by the root.</w:t>
      </w:r>
    </w:p>
    <w:p>
      <w:pPr>
        <w:pStyle w:val="BodyText"/>
      </w:pPr>
      <w:r>
        <w:t xml:space="preserve">Conversely, while weak water extractions successfully preserve the native soil matrix, reading their variable activity against a standard</w:t>
      </w:r>
      <w:r>
        <w:t xml:space="preserve"> </w:t>
      </w:r>
      <m:oMath>
        <m:r>
          <m:t>I</m:t>
        </m:r>
        <m:r>
          <m:rPr>
            <m:sty m:val="p"/>
          </m:rPr>
          <m:t>≈</m:t>
        </m:r>
        <m:r>
          <m:t>0</m:t>
        </m:r>
      </m:oMath>
      <w:r>
        <w:t xml:space="preserve"> </w:t>
      </w:r>
      <w:r>
        <w:t xml:space="preserve">calibration curve renders the values mathematically incomparable across different pedoclimatic sites. For example, in heavily fertilized Swiss agricultural soils (such as the long-term STYCS 167% P-treatments), the dissolution of accumulated amendments can elevate pore water ionic strength to</w:t>
      </w:r>
      <w:r>
        <w:t xml:space="preserve"> </w:t>
      </w:r>
      <m:oMath>
        <m:r>
          <m:t>0.02</m:t>
        </m:r>
        <m:r>
          <m:rPr>
            <m:nor/>
            <m:sty m:val="p"/>
          </m:rPr>
          <m:t> M</m:t>
        </m:r>
      </m:oMath>
      <w:r>
        <w:t xml:space="preserve">. At a neutral pH, a large portion of P exists as the divalent</w:t>
      </w:r>
      <w:r>
        <w:t xml:space="preserve"> </w:t>
      </w:r>
      <m:oMath>
        <m:r>
          <m:t>H</m:t>
        </m:r>
        <m:r>
          <m:t>P</m:t>
        </m:r>
        <m:sSubSup>
          <m:e>
            <m:r>
              <m:t>O</m:t>
            </m:r>
          </m:e>
          <m:sub>
            <m:r>
              <m:t>4</m:t>
            </m:r>
          </m:sub>
          <m:sup>
            <m:r>
              <m:t>2</m:t>
            </m:r>
            <m:r>
              <m:rPr>
                <m:sty m:val="p"/>
              </m:rPr>
              <m:t>−</m:t>
            </m:r>
          </m:sup>
        </m:sSubSup>
      </m:oMath>
      <w:r>
        <w:t xml:space="preserve"> </w:t>
      </w:r>
      <w:r>
        <w:t xml:space="preserve">ion. Applying the Davies equation to this ionic strength yields an activity coefficient (</w:t>
      </w:r>
      <m:oMath>
        <m:r>
          <m:t>γ</m:t>
        </m:r>
      </m:oMath>
      <w:r>
        <w:t xml:space="preserve">) of approximately</w:t>
      </w:r>
      <w:r>
        <w:t xml:space="preserve"> </w:t>
      </w:r>
      <m:oMath>
        <m:r>
          <m:t>0.58</m:t>
        </m:r>
      </m:oMath>
      <w:r>
        <w:t xml:space="preserve">. Therefore, over 40% of the chemically extracted mass is thermodynamically inactive to the root. To resolve this, raw stoichiometric concentrations derived from water extractions must be mathematically corrected via the Davies equation to yield true thermodynamic activity.</w:t>
      </w:r>
    </w:p>
    <w:bookmarkEnd w:id="11"/>
    <w:bookmarkStart w:id="16" w:name="X0df14ae5fe92d7e25c8e3c02aaf1e482be40b94"/>
    <w:p>
      <w:pPr>
        <w:pStyle w:val="Heading2"/>
      </w:pPr>
      <w:r>
        <w:t xml:space="preserve">1.4 Unifying Quantity, Intensity, and the Kinetic Bottleneck</w:t>
      </w:r>
    </w:p>
    <w:p>
      <w:pPr>
        <w:pStyle w:val="FirstParagraph"/>
      </w:pPr>
      <w:r>
        <w:t xml:space="preserve">Once thermodynamic Intensity is correctly calculated, it can be paired with a standard mass extraction (</w:t>
      </w:r>
      <m:oMath>
        <m:r>
          <m:t>Q</m:t>
        </m:r>
      </m:oMath>
      <w:r>
        <w:t xml:space="preserve">, such as</w:t>
      </w:r>
      <w:r>
        <w:t xml:space="preserve"> </w:t>
      </w:r>
      <m:oMath>
        <m:sSub>
          <m:e>
            <m:r>
              <m:t>P</m:t>
            </m:r>
          </m:e>
          <m:sub>
            <m:r>
              <m:t>A</m:t>
            </m:r>
            <m:r>
              <m:t>A</m:t>
            </m:r>
            <m:r>
              <m:t>E</m:t>
            </m:r>
            <m:r>
              <m:t>10</m:t>
            </m:r>
          </m:sub>
        </m:sSub>
      </m:oMath>
      <w:r>
        <w:t xml:space="preserve">) to construct a purely thermodynamic</w:t>
      </w:r>
      <w:r>
        <w:t xml:space="preserve"> </w:t>
      </w:r>
      <m:oMath>
        <m:r>
          <m:t>Q</m:t>
        </m:r>
        <m:r>
          <m:rPr>
            <m:sty m:val="p"/>
          </m:rPr>
          <m:t>(</m:t>
        </m:r>
        <m:r>
          <m:t>I</m:t>
        </m:r>
        <m:r>
          <m:rPr>
            <m:sty m:val="p"/>
          </m:rPr>
          <m:t>)</m:t>
        </m:r>
      </m:oMath>
      <w:r>
        <w:t xml:space="preserve"> </w:t>
      </w:r>
      <w:r>
        <w:t xml:space="preserve">framework. By parameterizing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the true Phosphorus Buffering Capacity (PBC) can be mathematically deduced as the continuous first derivative (</w:t>
      </w:r>
      <m:oMath>
        <m:f>
          <m:fPr>
            <m:type m:val="bar"/>
          </m:fPr>
          <m:num>
            <m:r>
              <m:t>d</m:t>
            </m:r>
            <m:r>
              <m:t>Q</m:t>
            </m:r>
          </m:num>
          <m:den>
            <m:r>
              <m:t>d</m:t>
            </m:r>
            <m:r>
              <m:t>I</m:t>
            </m:r>
          </m:den>
        </m:f>
      </m:oMath>
      <w:r>
        <w:t xml:space="preserve">).</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w:t>
      </w:r>
      <w:r>
        <w:t xml:space="preserve"> </w:t>
      </w:r>
      <w:r>
        <w:rPr>
          <w:b/>
          <w:bCs/>
        </w:rPr>
        <w:t xml:space="preserve">Nye2000Solute?</w:t>
      </w:r>
      <w:r>
        <w:t xml:space="preserve">)</w:t>
      </w:r>
      <w:r>
        <w:t xml:space="preserve">. When a root depletes the rhizosphere, the soil cannot always resupply phosphate fast enough.</w:t>
      </w:r>
    </w:p>
    <w:p>
      <w:pPr>
        <w:pStyle w:val="BodyText"/>
      </w:pPr>
      <w:r>
        <w:t xml:space="preserve">To address this, we define a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hyperlink w:anchor="tbl-terminology">
        <w:r>
          <w:rPr>
            <w:rStyle w:val="Hyperlink"/>
          </w:rPr>
          <w:t xml:space="preserve">Table 1</w:t>
        </w:r>
      </w:hyperlink>
      <w:r>
        <w:t xml:space="preserve"> </w:t>
      </w:r>
      <w:r>
        <w:t xml:space="preserve">maps this transition from classic, operationally defined static tests to the proposed thermodynamic and kinetic parameters.</w:t>
      </w:r>
    </w:p>
    <w:tbl>
      <w:tblPr>
        <w:tblStyle w:val="Table"/>
        <w:tblW w:type="pct" w:w="5000"/>
        <w:tblLayout w:type="fixed"/>
        <w:tblLook w:firstRow="0" w:lastRow="0" w:firstColumn="0" w:lastColumn="0" w:noHBand="0" w:noVBand="0" w:val="0000"/>
      </w:tblPr>
      <w:tblGrid>
        <w:gridCol w:w="7920"/>
      </w:tblGrid>
      <w:tr>
        <w:tc>
          <w:tcPr/>
          <w:bookmarkStart w:id="12"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w:t>
                  </w:r>
                  <w:r>
                    <w:rPr>
                      <w:b/>
                      <w:b/>
                      <w:bCs/>
                      <w:bCs/>
                    </w:rPr>
                    <w:t xml:space="preserve">Frossard2000Processes?</w:t>
                  </w:r>
                  <w:r>
                    <w:rPr>
                      <w:b/>
                      <w:bCs/>
                    </w:rPr>
                    <w:t xml:space="preserve">)</w:t>
                  </w:r>
                  <w:r>
                    <w:rPr>
                      <w:b/>
                      <w:bCs/>
                    </w:rPr>
                    <w:t xml:space="preserve">)</w:t>
                  </w:r>
                </w:p>
              </w:tc>
              <w:tc>
                <w:tcPr/>
                <w:p>
                  <w:pPr>
                    <w:pStyle w:val="Compact"/>
                    <w:jc w:val="left"/>
                    <w:jc w:val="center"/>
                  </w:pPr>
                  <w:r>
                    <w:t xml:space="preserve">Chemical activity of P in the soil solution</w:t>
                  </w:r>
                </w:p>
              </w:tc>
              <w:tc>
                <w:tcPr/>
                <w:p>
                  <w:pPr>
                    <w:pStyle w:val="Compact"/>
                    <w:jc w:val="left"/>
                    <w:jc w:val="center"/>
                  </w:pPr>
                  <w:r>
                    <w:t xml:space="preserve">Pool of solid-phase P that can replenish the solution</w:t>
                  </w:r>
                </w:p>
              </w:tc>
              <w:tc>
                <w:tcPr/>
                <w:p>
                  <w:pPr>
                    <w:pStyle w:val="Compact"/>
                    <w:jc w:val="left"/>
                    <w:jc w:val="center"/>
                  </w:pPr>
                  <w:r>
                    <w:t xml:space="preserve">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C</m:t>
                        </m:r>
                        <m:sSub>
                          <m:e>
                            <m:r>
                              <m:t>O</m:t>
                            </m:r>
                          </m:e>
                          <m:sub>
                            <m:r>
                              <m:t>2</m:t>
                            </m:r>
                          </m:sub>
                        </m:sSub>
                      </m:sub>
                    </m:sSub>
                  </m:oMath>
                  <w:r>
                    <w:t xml:space="preserve"> </w:t>
                  </w:r>
                  <w:r>
                    <w:t xml:space="preserve">(Raw Water-soluble Concentration)</w:t>
                  </w:r>
                </w:p>
              </w:tc>
              <w:tc>
                <w:tcPr/>
                <w:p>
                  <w:pPr>
                    <w:pStyle w:val="Compact"/>
                    <w:jc w:val="left"/>
                    <w:jc w:val="center"/>
                  </w:pPr>
                  <m:oMath>
                    <m:sSub>
                      <m:e>
                        <m:r>
                          <m:t>P</m:t>
                        </m:r>
                      </m:e>
                      <m:sub>
                        <m:r>
                          <m:t>A</m:t>
                        </m:r>
                        <m:r>
                          <m:t>A</m:t>
                        </m:r>
                        <m:r>
                          <m:t>E</m:t>
                        </m:r>
                        <m:r>
                          <m:t>10</m:t>
                        </m:r>
                      </m:sub>
                    </m:sSub>
                  </m:oMath>
                  <w:r>
                    <w:t xml:space="preserve"> </w:t>
                  </w:r>
                  <w:r>
                    <w:t xml:space="preserve">(Chelate-extractable Mass)</w:t>
                  </w:r>
                </w:p>
              </w:tc>
              <w:tc>
                <w:tcPr/>
                <w:p>
                  <w:pPr>
                    <w:pStyle w:val="Compact"/>
                    <w:jc w:val="left"/>
                    <w:jc w:val="center"/>
                  </w:pPr>
                  <w:r>
                    <w:rPr>
                      <w:i/>
                      <w:iCs/>
                    </w:rPr>
                    <w:t xml:space="preserve">Not Measured</w:t>
                  </w:r>
                </w:p>
              </w:tc>
            </w:tr>
            <w:tr>
              <w:tc>
                <w:tcPr/>
                <w:p>
                  <w:pPr>
                    <w:pStyle w:val="Compact"/>
                    <w:jc w:val="left"/>
                    <w:jc w:val="center"/>
                  </w:pPr>
                  <w:r>
                    <w:rPr>
                      <w:b/>
                      <w:bCs/>
                    </w:rPr>
                    <w:t xml:space="preserve">Dynamic / Thermodynamic Proxy (This Study)</w:t>
                  </w:r>
                </w:p>
              </w:tc>
              <w:tc>
                <w:tcPr/>
                <w:p>
                  <w:pPr>
                    <w:pStyle w:val="Compact"/>
                    <w:jc w:val="left"/>
                    <w:jc w:val="center"/>
                  </w:pPr>
                  <w:r>
                    <w:t xml:space="preserve">Maximum Thermodynamic Activity (</w:t>
                  </w:r>
                  <m:oMath>
                    <m:sSub>
                      <m:e>
                        <m:r>
                          <m:t>a</m:t>
                        </m:r>
                      </m:e>
                      <m:sub>
                        <m:r>
                          <m:t>m</m:t>
                        </m:r>
                        <m:r>
                          <m:t>a</m:t>
                        </m:r>
                        <m:r>
                          <m:t>x</m:t>
                        </m:r>
                      </m:sub>
                    </m:sSub>
                  </m:oMath>
                  <w:r>
                    <w:t xml:space="preserve">)</w:t>
                  </w:r>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Initial Activity Flux (</w:t>
                  </w:r>
                  <m:oMath>
                    <m:sSub>
                      <m:e>
                        <m:r>
                          <m:t>J</m:t>
                        </m:r>
                      </m:e>
                      <m:sub>
                        <m:r>
                          <m:t>0</m:t>
                        </m:r>
                      </m:sub>
                    </m:sSub>
                    <m:r>
                      <m:rPr>
                        <m:sty m:val="p"/>
                      </m:rPr>
                      <m:t>=</m:t>
                    </m:r>
                    <m:r>
                      <m:t>k</m:t>
                    </m:r>
                    <m:r>
                      <m:rPr>
                        <m:sty m:val="p"/>
                      </m:rPr>
                      <m:t>⋅</m:t>
                    </m:r>
                    <m:sSub>
                      <m:e>
                        <m:r>
                          <m:t>a</m:t>
                        </m:r>
                      </m:e>
                      <m:sub>
                        <m:r>
                          <m:t>m</m:t>
                        </m:r>
                        <m:r>
                          <m:t>a</m:t>
                        </m:r>
                        <m:r>
                          <m:t>x</m:t>
                        </m:r>
                      </m:sub>
                    </m:sSub>
                  </m:oMath>
                  <w:r>
                    <w:t xml:space="preserve">)</w:t>
                  </w:r>
                </w:p>
              </w:tc>
            </w:tr>
          </w:tbl>
          <w:bookmarkEnd w:id="12"/>
          <w:p/>
        </w:tc>
      </w:tr>
    </w:tbl>
    <w:p>
      <w:pPr>
        <w:pStyle w:val="CaptionedFigure"/>
      </w:pPr>
      <w:r>
        <w:drawing>
          <wp:inline>
            <wp:extent cx="5334000" cy="3315034"/>
            <wp:effectExtent b="0" l="0" r="0" t="0"/>
            <wp:docPr descr="Conceptual model of the rhizosphere phosphorus cycle." title="" id="14" name="Picture"/>
            <a:graphic>
              <a:graphicData uri="http://schemas.openxmlformats.org/drawingml/2006/picture">
                <pic:pic>
                  <pic:nvPicPr>
                    <pic:cNvPr descr="index_files/figure-docx/unnamed-chunk-1-1.png" id="15" name="Picture"/>
                    <pic:cNvPicPr>
                      <a:picLocks noChangeArrowheads="1" noChangeAspect="1"/>
                    </pic:cNvPicPr>
                  </pic:nvPicPr>
                  <pic:blipFill>
                    <a:blip r:embed="rId13"/>
                    <a:stretch>
                      <a:fillRect/>
                    </a:stretch>
                  </pic:blipFill>
                  <pic:spPr bwMode="auto">
                    <a:xfrm>
                      <a:off x="0" y="0"/>
                      <a:ext cx="5334000" cy="3315034"/>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6"/>
    <w:bookmarkStart w:id="20" w:name="Xdfc87357402a84a9eb1512aa38aef947e1492a3"/>
    <w:p>
      <w:pPr>
        <w:pStyle w:val="Heading2"/>
      </w:pPr>
      <w:r>
        <w:t xml:space="preserve">1.5 Thesis Objectives and Analytical Strategy</w:t>
      </w:r>
    </w:p>
    <w:p>
      <w:pPr>
        <w:pStyle w:val="FirstParagraph"/>
      </w:pPr>
      <w:r>
        <w:t xml:space="preserve">This thesis hypothesizes that integrating thermodynamic activity and desorption kinetics provides a more comprehensive mechanistic framework for P-management compared to standard empirical testing. Using soils from the long-term Swiss agricultural experiment STYCS, this study aims to validate this framework through the following objectives:</w:t>
      </w:r>
    </w:p>
    <w:p>
      <w:pPr>
        <w:pStyle w:val="Compact"/>
        <w:numPr>
          <w:ilvl w:val="0"/>
          <w:numId w:val="1001"/>
        </w:numPr>
      </w:pPr>
      <w:r>
        <w:rPr>
          <w:b/>
          <w:bCs/>
        </w:rPr>
        <w:t xml:space="preserve">Thermodynamic Framework Formulation:</w:t>
      </w:r>
      <w:r>
        <w:t xml:space="preserve"> </w:t>
      </w:r>
      <w:r>
        <w:t xml:space="preserve">Establish thermodynamic</w:t>
      </w:r>
      <w:r>
        <w:t xml:space="preserve"> </w:t>
      </w:r>
      <m:oMath>
        <m:r>
          <m:t>Q</m:t>
        </m:r>
        <m:r>
          <m:rPr>
            <m:sty m:val="p"/>
          </m:rPr>
          <m:t>(</m:t>
        </m:r>
        <m:r>
          <m:t>I</m:t>
        </m:r>
        <m:r>
          <m:rPr>
            <m:sty m:val="p"/>
          </m:rPr>
          <m:t>)</m:t>
        </m:r>
      </m:oMath>
      <w:r>
        <w:t xml:space="preserve"> </w:t>
      </w:r>
      <w:r>
        <w:t xml:space="preserve">isotherms across highly diverse pedoclimatic sites to calculate the true PBC, demonstrating how long-term cumulative P-balances shift the soil’s physical chemistry.</w:t>
      </w:r>
    </w:p>
    <w:p>
      <w:pPr>
        <w:pStyle w:val="Compact"/>
        <w:numPr>
          <w:ilvl w:val="0"/>
          <w:numId w:val="1001"/>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isolate the chemical P-limitation from overarching climatic noise, agronomic outcomes will be normalized against a historical biological baseline (the historical maximum yield of non-limiting P treatments for specific site-crop combinations). It is hypothesized that the thermodynamically corrected</w:t>
      </w:r>
      <w:r>
        <w:t xml:space="preserve"> </w:t>
      </w:r>
      <m:oMath>
        <m:sSub>
          <m:e>
            <m:r>
              <m:t>J</m:t>
            </m:r>
          </m:e>
          <m:sub>
            <m:r>
              <m:t>0</m:t>
            </m:r>
          </m:sub>
        </m:sSub>
      </m:oMath>
      <w:r>
        <w:t xml:space="preserve"> </w:t>
      </w:r>
      <w:r>
        <w:t xml:space="preserve">will outperform standard static extractions.</w:t>
      </w:r>
    </w:p>
    <w:p>
      <w:pPr>
        <w:pStyle w:val="Compact"/>
        <w:numPr>
          <w:ilvl w:val="0"/>
          <w:numId w:val="1001"/>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pPr>
        <w:pStyle w:val="FirstParagraph"/>
      </w:pPr>
    </w:p>
    <w:p>
      <w:pPr>
        <w:pStyle w:val="BodyText"/>
      </w:pPr>
      <w:r>
        <w:drawing>
          <wp:inline>
            <wp:extent cx="5334000" cy="14676823"/>
            <wp:effectExtent b="0" l="0" r="0" t="0"/>
            <wp:docPr descr="" title="" id="18" name="Picture"/>
            <a:graphic>
              <a:graphicData uri="http://schemas.openxmlformats.org/drawingml/2006/picture">
                <pic:pic>
                  <pic:nvPicPr>
                    <pic:cNvPr descr="index_files/figure-docx/mermaid-figure-2.png" id="19" name="Picture"/>
                    <pic:cNvPicPr>
                      <a:picLocks noChangeArrowheads="1" noChangeAspect="1"/>
                    </pic:cNvPicPr>
                  </pic:nvPicPr>
                  <pic:blipFill>
                    <a:blip r:embed="rId17"/>
                    <a:stretch>
                      <a:fillRect/>
                    </a:stretch>
                  </pic:blipFill>
                  <pic:spPr bwMode="auto">
                    <a:xfrm>
                      <a:off x="0" y="0"/>
                      <a:ext cx="5334000" cy="14676823"/>
                    </a:xfrm>
                    <a:prstGeom prst="rect">
                      <a:avLst/>
                    </a:prstGeom>
                    <a:noFill/>
                    <a:ln w="9525">
                      <a:noFill/>
                      <a:headEnd/>
                      <a:tailEnd/>
                    </a:ln>
                  </pic:spPr>
                </pic:pic>
              </a:graphicData>
            </a:graphic>
          </wp:inline>
        </w:drawing>
      </w:r>
    </w:p>
    <w:p>
      <w:pPr>
        <w:pStyle w:val="BodyText"/>
      </w:pPr>
    </w:p>
    <w:p>
      <w:r>
        <w:br w:type="page"/>
      </w:r>
    </w:p>
    <w:bookmarkEnd w:id="20"/>
    <w:bookmarkEnd w:id="21"/>
    <w:bookmarkStart w:id="35" w:name="sec-materials-and-methods"/>
    <w:p>
      <w:pPr>
        <w:pStyle w:val="Heading1"/>
      </w:pPr>
      <w:r>
        <w:t xml:space="preserve">2. Materials and Methods</w:t>
      </w:r>
    </w:p>
    <w:bookmarkStart w:id="22"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22"/>
    <w:bookmarkStart w:id="24" w:name="sec-experimental-sites"/>
    <w:p>
      <w:pPr>
        <w:pStyle w:val="Heading2"/>
      </w:pPr>
      <w:r>
        <w:t xml:space="preserve">2.2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23"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557"/>
              <w:gridCol w:w="2454"/>
              <w:gridCol w:w="1003"/>
              <w:gridCol w:w="1003"/>
              <w:gridCol w:w="1896"/>
              <w:gridCol w:w="1003"/>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23"/>
          <w:p/>
        </w:tc>
      </w:tr>
    </w:tbl>
    <w:p>
      <w:pPr>
        <w:pStyle w:val="BodyText"/>
      </w:pPr>
      <w:r>
        <w:t xml:space="preserve">Soil samples for this thesis were collected in the year 2022 from the topsoil layer (0-20 cm).</w:t>
      </w:r>
    </w:p>
    <w:bookmarkEnd w:id="24"/>
    <w:bookmarkStart w:id="27" w:name="sec-phosphorus-desorption-kinetics"/>
    <w:p>
      <w:pPr>
        <w:pStyle w:val="Heading2"/>
      </w:pPr>
      <w:r>
        <w:t xml:space="preserve">2.3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true thermodynamic activity.</w:t>
      </w:r>
    </w:p>
    <w:bookmarkStart w:id="25" w:name="Xbd6c1e5704c75ae9a98b5e8f17a138b0c980a04"/>
    <w:p>
      <w:pPr>
        <w:pStyle w:val="Heading3"/>
      </w:pPr>
      <w:r>
        <w:t xml:space="preserve">2.3.1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2"/>
        </w:numPr>
      </w:pPr>
      <w:r>
        <w:rPr>
          <w:b/>
          <w:bCs/>
        </w:rPr>
        <w:t xml:space="preserve">Pre-washing to Remove Soluble P</w:t>
      </w:r>
      <w:r>
        <w:t xml:space="preserve">: 10 g of air-dried soil was suspended in 200 ml of deionized water and shaken for 60 minutes at 120 Hz. The suspension was centrifuged for 15 minutes at 4000 rpm, and the supernatant containing the readily soluble P was discarded.</w:t>
      </w:r>
    </w:p>
    <w:p>
      <w:pPr>
        <w:pStyle w:val="Compact"/>
        <w:numPr>
          <w:ilvl w:val="0"/>
          <w:numId w:val="1002"/>
        </w:numPr>
      </w:pPr>
      <w:r>
        <w:rPr>
          <w:b/>
          <w:bCs/>
        </w:rPr>
        <w:t xml:space="preserve">Kinetic Extraction</w:t>
      </w:r>
      <w:r>
        <w:t xml:space="preserve">: The remaining soil pellet was resuspended in 200 ml of fresh deionized water. The suspension was shaken continuously, and subsamples were taken at eight time points: 2, 4, 10, 15, 20, 30, 45, and 60 minutes.</w:t>
      </w:r>
    </w:p>
    <w:p>
      <w:pPr>
        <w:pStyle w:val="Compact"/>
        <w:numPr>
          <w:ilvl w:val="0"/>
          <w:numId w:val="1002"/>
        </w:numPr>
      </w:pPr>
      <w:r>
        <w:rPr>
          <w:b/>
          <w:bCs/>
        </w:rPr>
        <w:t xml:space="preserve">Analysis</w:t>
      </w:r>
      <w:r>
        <w:t xml:space="preserve">: Subsamples were immediately filtered, and the stoichiometric concentration of orthophosphate (</w:t>
      </w:r>
      <m:oMath>
        <m:sSub>
          <m:e>
            <m:r>
              <m:t>c</m:t>
            </m:r>
          </m:e>
          <m:sub>
            <m:r>
              <m:t>i</m:t>
            </m:r>
          </m:sub>
        </m:sSub>
      </m:oMath>
      <w:r>
        <w:t xml:space="preserve">) was determined colorimetrically using the malachite green method</w:t>
      </w:r>
      <w:r>
        <w:t xml:space="preserve"> </w:t>
      </w:r>
      <w:r>
        <w:t xml:space="preserve">(</w:t>
      </w:r>
      <w:r>
        <w:rPr>
          <w:b/>
          <w:bCs/>
        </w:rPr>
        <w:t xml:space="preserve">VanVeldhoven1987Malachite?</w:t>
      </w:r>
      <w:r>
        <w:t xml:space="preserve">)</w:t>
      </w:r>
      <w:r>
        <w:t xml:space="preserve">.</w:t>
      </w:r>
    </w:p>
    <w:bookmarkEnd w:id="25"/>
    <w:bookmarkStart w:id="26" w:name="sec-thermodynamic-correction"/>
    <w:p>
      <w:pPr>
        <w:pStyle w:val="Heading3"/>
      </w:pPr>
      <w:r>
        <w:t xml:space="preserve">2.3.2 Thermodynamic Correction to Chemical Activity</w:t>
      </w:r>
    </w:p>
    <w:p>
      <w:pPr>
        <w:pStyle w:val="FirstParagraph"/>
      </w:pPr>
      <w:r>
        <w:t xml:space="preserve">Although the kinetic extraction utilized deionized water, the immediate dissolution of native soil salts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 etc.) generates a non-zero ionic strength (</w:t>
      </w:r>
      <m:oMath>
        <m:r>
          <m:t>I</m:t>
        </m:r>
      </m:oMath>
      <w:r>
        <w:t xml:space="preserve">) in the suspension. Because plant roots respond to thermodynamic energy rather than physical mass, the stoichiometric concentration of the extract (</w:t>
      </w:r>
      <m:oMath>
        <m:sSub>
          <m:e>
            <m:r>
              <m:t>c</m:t>
            </m:r>
          </m:e>
          <m:sub>
            <m:r>
              <m:t>i</m:t>
            </m:r>
          </m:sub>
        </m:sSub>
      </m:oMath>
      <w:r>
        <w:t xml:space="preserve">) must be corrected to its true chemical activity (</w:t>
      </w:r>
      <m:oMath>
        <m:sSub>
          <m:e>
            <m:r>
              <m:t>a</m:t>
            </m:r>
          </m:e>
          <m:sub>
            <m:r>
              <m:t>i</m:t>
            </m:r>
          </m:sub>
        </m:sSub>
      </m:oMath>
      <w:r>
        <w:t xml:space="preserve">).</w:t>
      </w:r>
    </w:p>
    <w:p>
      <w:pPr>
        <w:pStyle w:val="BodyText"/>
      </w:pPr>
      <w:r>
        <w:t xml:space="preserve">The activity coefficient (</w:t>
      </w:r>
      <m:oMath>
        <m:r>
          <m:t>γ</m:t>
        </m:r>
      </m:oMath>
      <w:r>
        <w:t xml:space="preserve">) for the divalent phosphate ion (</w:t>
      </w:r>
      <m:oMath>
        <m:r>
          <m:t>H</m:t>
        </m:r>
        <m:r>
          <m:t>P</m:t>
        </m:r>
        <m:sSubSup>
          <m:e>
            <m:r>
              <m:t>O</m:t>
            </m:r>
          </m:e>
          <m:sub>
            <m:r>
              <m:t>4</m:t>
            </m:r>
          </m:sub>
          <m:sup>
            <m:r>
              <m:t>2</m:t>
            </m:r>
            <m:r>
              <m:rPr>
                <m:sty m:val="p"/>
              </m:rPr>
              <m:t>−</m:t>
            </m:r>
          </m:sup>
        </m:sSubSup>
      </m:oMath>
      <w:r>
        <w:t xml:space="preserve">,</w:t>
      </w:r>
      <w:r>
        <w:t xml:space="preserve"> </w:t>
      </w:r>
      <m:oMath>
        <m:r>
          <m:t>z</m:t>
        </m:r>
        <m:r>
          <m:rPr>
            <m:sty m:val="p"/>
          </m:rPr>
          <m:t>=</m:t>
        </m:r>
        <m:r>
          <m:rPr>
            <m:sty m:val="p"/>
          </m:rPr>
          <m:t>−</m:t>
        </m:r>
        <m:r>
          <m:t>2</m:t>
        </m:r>
      </m:oMath>
      <w:r>
        <w:t xml:space="preserve">) was calculated for each site-specific matrix using the</w:t>
      </w:r>
      <w:r>
        <w:t xml:space="preserve"> </w:t>
      </w:r>
      <w:r>
        <w:rPr>
          <w:b/>
          <w:bCs/>
        </w:rPr>
        <w:t xml:space="preserve">Davies Equation</w:t>
      </w:r>
      <w:r>
        <w:t xml:space="preserve">, which is robust for agricultural soil solutions up to</w:t>
      </w:r>
      <w:r>
        <w:t xml:space="preserve"> </w:t>
      </w:r>
      <m:oMath>
        <m:r>
          <m:t>I</m:t>
        </m:r>
        <m:r>
          <m:rPr>
            <m:sty m:val="p"/>
          </m:rPr>
          <m:t>≈</m:t>
        </m:r>
        <m:r>
          <m:t>0.1</m:t>
        </m:r>
        <m:r>
          <m:rPr>
            <m:nor/>
            <m:sty m:val="p"/>
          </m:rPr>
          <m:t> M</m:t>
        </m:r>
      </m:oMath>
      <w:r>
        <w:t xml:space="preserve">:</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0.5</m:t>
          </m:r>
          <m:r>
            <m:rPr>
              <m:sty m:val="p"/>
            </m:rPr>
            <m:t>⋅</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The true thermodynamic activity (</w:t>
      </w:r>
      <m:oMath>
        <m:sSub>
          <m:e>
            <m:r>
              <m:t>a</m:t>
            </m:r>
          </m:e>
          <m:sub>
            <m:r>
              <m:t>i</m:t>
            </m:r>
          </m:sub>
        </m:sSub>
      </m:oMath>
      <w:r>
        <w:t xml:space="preserve">) of the phosphorus in the extract was then calculated as the product of the raw stoichiometric concentration and the activity coefficient:</w:t>
      </w:r>
    </w:p>
    <w:p>
      <w:pPr>
        <w:pStyle w:val="BodyText"/>
      </w:pPr>
      <m:oMathPara>
        <m:oMathParaPr>
          <m:jc m:val="center"/>
        </m:oMathParaPr>
        <m:oMath>
          <m:sSub>
            <m:e>
              <m:r>
                <m:t>a</m:t>
              </m:r>
            </m:e>
            <m:sub>
              <m:r>
                <m:t>i</m:t>
              </m:r>
            </m:sub>
          </m:sSub>
          <m:r>
            <m:rPr>
              <m:sty m:val="p"/>
            </m:rPr>
            <m:t>=</m:t>
          </m:r>
          <m:sSub>
            <m:e>
              <m:r>
                <m:t>c</m:t>
              </m:r>
            </m:e>
            <m:sub>
              <m:r>
                <m:t>i</m:t>
              </m:r>
            </m:sub>
          </m:sSub>
          <m:r>
            <m:rPr>
              <m:sty m:val="p"/>
            </m:rPr>
            <m:t>⋅</m:t>
          </m:r>
          <m:r>
            <m:t>γ</m:t>
          </m:r>
        </m:oMath>
      </m:oMathPara>
    </w:p>
    <w:p>
      <w:pPr>
        <w:pStyle w:val="FirstParagraph"/>
      </w:pPr>
      <w:r>
        <w:t xml:space="preserve">This correction accounts for pedochemical variances caused by differing native background salinities and pH levels across the STYCS sites, converting the raw data into a universal thermodynamic Intensity (</w:t>
      </w:r>
      <m:oMath>
        <m:r>
          <m:t>I</m:t>
        </m:r>
      </m:oMath>
      <w:r>
        <w:t xml:space="preserve">) metric.</w:t>
      </w:r>
    </w:p>
    <w:bookmarkEnd w:id="26"/>
    <w:bookmarkEnd w:id="27"/>
    <w:bookmarkStart w:id="34" w:name="sec-statistical-analysis"/>
    <w:p>
      <w:pPr>
        <w:pStyle w:val="Heading2"/>
      </w:pPr>
      <w:r>
        <w:t xml:space="preserve">2.4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2026)</w:t>
      </w:r>
      <w:r>
        <w:t xml:space="preserve">. Primary packages included</w:t>
      </w:r>
      <w:r>
        <w:t xml:space="preserve"> </w:t>
      </w:r>
      <w:r>
        <w:rPr>
          <w:rStyle w:val="VerbatimChar"/>
        </w:rPr>
        <w:t xml:space="preserve">nlme</w:t>
      </w:r>
      <w:r>
        <w:t xml:space="preserve"> </w:t>
      </w:r>
      <w:r>
        <w:t xml:space="preserve">(Pinheiro et al., 2026)</w:t>
      </w:r>
      <w:r>
        <w:t xml:space="preserve"> </w:t>
      </w:r>
      <w:r>
        <w:t xml:space="preserve">for non-linear kinetic modeling,</w:t>
      </w:r>
      <w:r>
        <w:t xml:space="preserve"> </w:t>
      </w:r>
      <w:r>
        <w:rPr>
          <w:rStyle w:val="VerbatimChar"/>
        </w:rPr>
        <w:t xml:space="preserve">lme4</w:t>
      </w:r>
      <w:r>
        <w:t xml:space="preserve"> </w:t>
      </w:r>
      <w:r>
        <w:t xml:space="preserve">(Bates et al., 2026)</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28" w:name="X66c8e447a19c304ef14b8d97356eebce6eb189a"/>
    <w:p>
      <w:pPr>
        <w:pStyle w:val="Heading3"/>
      </w:pPr>
      <w:r>
        <w:t xml:space="preserve">2.4.1 1. Modeling of Desorption Kinetics and the Activity Flux (</w:t>
      </w:r>
      <m:oMath>
        <m:sSub>
          <m:e>
            <m:r>
              <m:t>J</m:t>
            </m:r>
          </m:e>
          <m:sub>
            <m:r>
              <m:t>0</m:t>
            </m:r>
          </m:sub>
        </m:sSub>
      </m:oMath>
      <w:r>
        <w:t xml:space="preserve">)</w:t>
      </w:r>
    </w:p>
    <w:p>
      <w:pPr>
        <w:pStyle w:val="FirstParagraph"/>
      </w:pPr>
      <w:r>
        <w:t xml:space="preserve">To derive the kinetic parameters, a non-linear mixed-effects model (</w:t>
      </w:r>
      <w:r>
        <w:rPr>
          <w:rStyle w:val="VerbatimChar"/>
        </w:rPr>
        <w:t xml:space="preserve">nlme</w:t>
      </w:r>
      <w:r>
        <w:t xml:space="preserve">) was fitted to the exact solution of the first-order rate equation, utilizing the thermodynamically corrected activities:</w:t>
      </w:r>
    </w:p>
    <w:p>
      <w:pPr>
        <w:pStyle w:val="BodyText"/>
      </w:pPr>
      <m:oMathPara>
        <m:oMathParaPr>
          <m:jc m:val="center"/>
        </m:oMathParaPr>
        <m:oMath>
          <m:r>
            <m:t>a</m:t>
          </m:r>
          <m:r>
            <m:rPr>
              <m:sty m:val="p"/>
            </m:rPr>
            <m:t>(</m:t>
          </m:r>
          <m:r>
            <m:t>t</m:t>
          </m:r>
          <m:r>
            <m:rPr>
              <m:sty m:val="p"/>
            </m:rPr>
            <m:t>)</m:t>
          </m:r>
          <m:r>
            <m:rPr>
              <m:sty m:val="p"/>
            </m:rPr>
            <m:t>=</m:t>
          </m:r>
          <m:sSub>
            <m:e>
              <m:r>
                <m:t>a</m:t>
              </m:r>
            </m:e>
            <m:sub>
              <m:r>
                <m:t>m</m:t>
              </m:r>
              <m:r>
                <m:t>a</m:t>
              </m:r>
              <m:r>
                <m:t>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a</m:t>
        </m:r>
        <m:r>
          <m:rPr>
            <m:sty m:val="p"/>
          </m:rPr>
          <m:t>(</m:t>
        </m:r>
        <m:r>
          <m:t>t</m:t>
        </m:r>
        <m:r>
          <m:rPr>
            <m:sty m:val="p"/>
          </m:rPr>
          <m:t>)</m:t>
        </m:r>
      </m:oMath>
      <w:r>
        <w:t xml:space="preserve"> </w:t>
      </w:r>
      <w:r>
        <w:t xml:space="preserve">is the P activity at time</w:t>
      </w:r>
      <w:r>
        <w:t xml:space="preserve"> </w:t>
      </w:r>
      <m:oMath>
        <m:r>
          <m:t>t</m:t>
        </m:r>
      </m:oMath>
      <w:r>
        <w:t xml:space="preserve">,</w:t>
      </w:r>
      <w:r>
        <w:t xml:space="preserve"> </w:t>
      </w:r>
      <m:oMath>
        <m:sSub>
          <m:e>
            <m:r>
              <m:t>a</m:t>
            </m:r>
          </m:e>
          <m:sub>
            <m:r>
              <m:t>m</m:t>
            </m:r>
            <m:r>
              <m:t>a</m:t>
            </m:r>
            <m:r>
              <m:t>x</m:t>
            </m:r>
          </m:sub>
        </m:sSub>
      </m:oMath>
      <w:r>
        <w:t xml:space="preserve"> </w:t>
      </w:r>
      <w:r>
        <w:t xml:space="preserve">is the maximum thermodynamic activity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r>
          <m:rPr>
            <m:sty m:val="p"/>
          </m:rPr>
          <m:t>+</m:t>
        </m:r>
        <m:r>
          <m:t>3</m:t>
        </m:r>
        <m:r>
          <m:rPr>
            <m:nor/>
            <m:sty m:val="p"/>
          </m:rPr>
          <m:t> min</m:t>
        </m:r>
      </m:oMath>
      <w:r>
        <w:t xml:space="preserve">) accounting for initial dissolution. Sample-specific deviations were modeled as random effects to capture the unique desorption characteristics of each soil.</w:t>
      </w:r>
    </w:p>
    <w:p>
      <w:pPr>
        <w:pStyle w:val="BodyText"/>
      </w:pPr>
      <w:r>
        <w:t xml:space="preserve">From these parameters, a novel predictor for agronomic availability, the</w:t>
      </w:r>
      <w:r>
        <w:t xml:space="preserve"> </w:t>
      </w:r>
      <w:r>
        <w:rPr>
          <w:b/>
          <w:bCs/>
        </w:rPr>
        <w:t xml:space="preserve">Initial Activity Flux (</w:t>
      </w:r>
      <m:oMath>
        <m:sSub>
          <m:e>
            <m:r>
              <m:t>J</m:t>
            </m:r>
          </m:e>
          <m:sub>
            <m:r>
              <m:t>0</m:t>
            </m:r>
          </m:sub>
        </m:sSub>
      </m:oMath>
      <w:r>
        <w:rPr>
          <w:b/>
          <w:bCs/>
        </w:rPr>
        <w:t xml:space="preserve">)</w:t>
      </w:r>
      <w:r>
        <w:t xml:space="preserve">, was defined mathematically as the product of the rate constant and the maximum thermodynamic activity:</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bookmarkEnd w:id="28"/>
    <w:bookmarkStart w:id="29" w:name="X1cf47a909557ed9ebde43d137cb1950c10fa0a6"/>
    <w:p>
      <w:pPr>
        <w:pStyle w:val="Heading3"/>
      </w:pPr>
      <w:r>
        <w:t xml:space="preserve">2.4.2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t>A</m:t>
            </m:r>
            <m:r>
              <m:t>A</m:t>
            </m:r>
            <m:r>
              <m:t>E</m:t>
            </m:r>
            <m:r>
              <m:t>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t>m</m:t>
            </m:r>
            <m:r>
              <m:t>a</m:t>
            </m:r>
            <m:r>
              <m:t>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true thermodynamic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bookmarkEnd w:id="29"/>
    <w:bookmarkStart w:id="30" w:name="X1fad81012fcba959795e5efc9d9880b48046764"/>
    <w:p>
      <w:pPr>
        <w:pStyle w:val="Heading3"/>
      </w:pPr>
      <w:r>
        <w:t xml:space="preserve">2.4.3 3. Agronomic Normalization: The Historical Baseline Strategy</w:t>
      </w:r>
    </w:p>
    <w:p>
      <w:pPr>
        <w:pStyle w:val="FirstParagraph"/>
      </w:pPr>
      <w:r>
        <w:t xml:space="preserve">To statistically evaluate the predictive power of the chemical parameters across six diverse pedoclimatic sites, raw crop yield and P-uptake data required robust normalization to isolate chemical P-limitation from overarching climatic noise.</w:t>
      </w:r>
    </w:p>
    <w:p>
      <w:pPr>
        <w:pStyle w:val="BodyText"/>
      </w:pPr>
      <w:r>
        <w:t xml:space="preserve">Standard normalization (dividing by the maximum yield of a given site within the specific experimental year) was rejected, as it artificially masks broad climatic limitations (e.g., drought) and forces the best plot of a poor year to equal 100%, removing the biological penalty. Instead, a</w:t>
      </w:r>
      <w:r>
        <w:t xml:space="preserve"> </w:t>
      </w:r>
      <w:r>
        <w:rPr>
          <w:b/>
          <w:bCs/>
        </w:rPr>
        <w:t xml:space="preserve">historical biological baseline strategy</w:t>
      </w:r>
      <w:r>
        <w:t xml:space="preserve"> </w:t>
      </w:r>
      <w:r>
        <w:t xml:space="preserve">was employed.</w:t>
      </w:r>
    </w:p>
    <w:p>
      <w:pPr>
        <w:pStyle w:val="BodyText"/>
      </w:pPr>
      <w:r>
        <w:t xml:space="preserve">Using the 40-year STYCS historical dataset, the true biological potential (</w:t>
      </w:r>
      <m:oMath>
        <m:sSub>
          <m:e>
            <m:r>
              <m:t>Y</m:t>
            </m:r>
          </m:e>
          <m:sub>
            <m:r>
              <m:t>m</m:t>
            </m:r>
            <m:r>
              <m:t>a</m:t>
            </m:r>
            <m:r>
              <m:t>x</m:t>
            </m:r>
          </m:sub>
        </m:sSub>
      </m:oMath>
      <w:r>
        <w:t xml:space="preserve"> </w:t>
      </w:r>
      <w:r>
        <w:t xml:space="preserve">and</w:t>
      </w:r>
      <w:r>
        <w:t xml:space="preserve"> </w:t>
      </w:r>
      <m:oMath>
        <m:r>
          <m:t>U</m:t>
        </m:r>
        <m:r>
          <m:t>p</m:t>
        </m:r>
        <m:r>
          <m:t>t</m:t>
        </m:r>
        <m:r>
          <m:t>a</m:t>
        </m:r>
        <m:r>
          <m:t>k</m:t>
        </m:r>
        <m:sSub>
          <m:e>
            <m:r>
              <m:t>e</m:t>
            </m:r>
          </m:e>
          <m:sub>
            <m:r>
              <m:t>m</m:t>
            </m:r>
            <m:r>
              <m:t>a</m:t>
            </m:r>
            <m:r>
              <m:t>x</m:t>
            </m:r>
          </m:sub>
        </m:sSub>
      </m:oMath>
      <w:r>
        <w:t xml:space="preserve">) was calculated for each specific site and crop species by taking the 95th percentile of all fully fertilized (100% and 167% P) treatments. Current experimental yields and uptake values were divided by this historical baseline to calculate</w:t>
      </w:r>
      <w:r>
        <w:t xml:space="preserve"> </w:t>
      </w:r>
      <w:r>
        <w:rPr>
          <w:b/>
          <w:bCs/>
        </w:rPr>
        <w:t xml:space="preserve">Relative Historical Yield (</w:t>
      </w:r>
      <m:oMath>
        <m:sSub>
          <m:e>
            <m:r>
              <m:t>Y</m:t>
            </m:r>
          </m:e>
          <m:sub>
            <m:r>
              <m:t>r</m:t>
            </m:r>
            <m:r>
              <m:t>e</m:t>
            </m:r>
            <m:r>
              <m:t>l</m:t>
            </m:r>
            <m:r>
              <m:rPr>
                <m:sty m:val="p"/>
              </m:rPr>
              <m:t>_</m:t>
            </m:r>
            <m:r>
              <m:t>h</m:t>
            </m:r>
            <m:r>
              <m:t>i</m:t>
            </m:r>
            <m:r>
              <m:t>s</m:t>
            </m:r>
            <m:r>
              <m:t>t</m:t>
            </m:r>
          </m:sub>
        </m:sSub>
      </m:oMath>
      <w:r>
        <w:rPr>
          <w:b/>
          <w:bCs/>
        </w:rPr>
        <w:t xml:space="preserve">)</w:t>
      </w:r>
      <w:r>
        <w:t xml:space="preserve">, providing a stable metric representing the percentage of the crop’s long-term biological potential achieved.</w:t>
      </w:r>
    </w:p>
    <w:bookmarkEnd w:id="30"/>
    <w:bookmarkStart w:id="32" w:name="X58542cabf128eedeee182ac79d5f1c7c4f09633"/>
    <w:p>
      <w:pPr>
        <w:pStyle w:val="Heading3"/>
      </w:pPr>
      <w:r>
        <w:t xml:space="preserve">2.4.4 4. Comparative Modeling of Agronomic Outcomes</w:t>
      </w:r>
    </w:p>
    <w:p>
      <w:pPr>
        <w:pStyle w:val="FirstParagraph"/>
      </w:pPr>
      <w:r>
        <w:t xml:space="preserve">To test the core hypothesis, two competing sets of linear mixed-effects models (</w:t>
      </w:r>
      <w:r>
        <w:rPr>
          <w:rStyle w:val="VerbatimChar"/>
        </w:rPr>
        <w:t xml:space="preserve">lmer</w:t>
      </w:r>
      <w:r>
        <w:t xml:space="preserve">) were constructed to predict</w:t>
      </w:r>
      <w:r>
        <w:t xml:space="preserve"> </w:t>
      </w:r>
      <m:oMath>
        <m:sSub>
          <m:e>
            <m:r>
              <m:t>Y</m:t>
            </m:r>
          </m:e>
          <m:sub>
            <m:r>
              <m:t>r</m:t>
            </m:r>
            <m:r>
              <m:t>e</m:t>
            </m:r>
            <m:r>
              <m:t>l</m:t>
            </m:r>
            <m:r>
              <m:rPr>
                <m:sty m:val="p"/>
              </m:rPr>
              <m:t>_</m:t>
            </m:r>
            <m:r>
              <m:t>h</m:t>
            </m:r>
            <m:r>
              <m:t>i</m:t>
            </m:r>
            <m:r>
              <m:t>s</m:t>
            </m:r>
            <m:r>
              <m:t>t</m:t>
            </m:r>
          </m:sub>
        </m:sSub>
      </m:oMath>
      <w:r>
        <w:t xml:space="preserve"> </w:t>
      </w:r>
      <w:r>
        <w:t xml:space="preserve">and Relative P-Uptake. Both sets shared an identical random effects structure—</w:t>
      </w:r>
      <w:r>
        <w:rPr>
          <w:rStyle w:val="VerbatimChar"/>
        </w:rPr>
        <w:t xml:space="preserve">(1|year) + (1|Site) + (1|Site:block)</w:t>
      </w:r>
      <w:r>
        <w:t xml:space="preserve">—to absorb unmeasured pedoclimatic and meteorological variance.</w:t>
      </w:r>
    </w:p>
    <w:p>
      <w:pPr>
        <w:pStyle w:val="Compact"/>
        <w:numPr>
          <w:ilvl w:val="0"/>
          <w:numId w:val="1003"/>
        </w:numPr>
      </w:pPr>
      <w:r>
        <w:rPr>
          <w:b/>
          <w:bCs/>
        </w:rPr>
        <w:t xml:space="preserve">Model 1: The Kinetic/Thermodynamic Approach:</w:t>
      </w:r>
      <w:r>
        <w:t xml:space="preserve"> </w:t>
      </w:r>
      <w:r>
        <w:t xml:space="preserve">Utilized the novel Activity Flux (</w:t>
      </w:r>
      <m:oMath>
        <m:sSub>
          <m:e>
            <m:r>
              <m:t>J</m:t>
            </m:r>
          </m:e>
          <m:sub>
            <m:r>
              <m:t>0</m:t>
            </m:r>
          </m:sub>
        </m:sSub>
      </m:oMath>
      <w:r>
        <w:t xml:space="preserve">) as the primary fixed effect, testing the hypothesis that dynamic supply rate dictates plant availability.</w:t>
      </w:r>
    </w:p>
    <w:p>
      <w:pPr>
        <w:pStyle w:val="Compact"/>
        <w:numPr>
          <w:ilvl w:val="0"/>
          <w:numId w:val="1003"/>
        </w:numPr>
      </w:pPr>
      <w:r>
        <w:rPr>
          <w:b/>
          <w:bCs/>
        </w:rPr>
        <w:t xml:space="preserve">Model 2: The Standard STP (GRUD) Approach:</w:t>
      </w:r>
      <w:r>
        <w:t xml:space="preserve"> </w:t>
      </w:r>
      <w:r>
        <w:t xml:space="preserve">Utilized the standard Swiss static soil tests (</w:t>
      </w:r>
      <m:oMath>
        <m:sSub>
          <m:e>
            <m:r>
              <m:t>P</m:t>
            </m:r>
          </m:e>
          <m:sub>
            <m:r>
              <m:t>C</m:t>
            </m:r>
            <m:r>
              <m:t>O</m:t>
            </m:r>
            <m:r>
              <m:t>2</m:t>
            </m:r>
          </m:sub>
        </m:sSub>
      </m:oMath>
      <w:r>
        <w:t xml:space="preserve"> </w:t>
      </w:r>
      <w:r>
        <w:t xml:space="preserve">and</w:t>
      </w:r>
      <w:r>
        <w:t xml:space="preserve"> </w:t>
      </w:r>
      <m:oMath>
        <m:sSub>
          <m:e>
            <m:r>
              <m:t>P</m:t>
            </m:r>
          </m:e>
          <m:sub>
            <m:r>
              <m:t>A</m:t>
            </m:r>
            <m:r>
              <m:t>A</m:t>
            </m:r>
            <m:r>
              <m:t>E</m:t>
            </m:r>
            <m:r>
              <m:t>10</m:t>
            </m:r>
          </m:sub>
        </m:sSub>
      </m:oMath>
      <w:r>
        <w:t xml:space="preserve">) and their interaction as fixed effects.</w:t>
      </w:r>
    </w:p>
    <w:tbl>
      <w:tblPr>
        <w:tblStyle w:val="Table"/>
        <w:tblW w:type="pct" w:w="5000"/>
        <w:tblLayout w:type="fixed"/>
        <w:tblLook w:firstRow="0" w:lastRow="0" w:firstColumn="0" w:lastColumn="0" w:noHBand="0" w:noVBand="0" w:val="0000"/>
      </w:tblPr>
      <w:tblGrid>
        <w:gridCol w:w="7920"/>
      </w:tblGrid>
      <w:tr>
        <w:tc>
          <w:tcPr/>
          <w:bookmarkStart w:id="31" w:name="tbl-variables-updated"/>
          <w:p>
            <w:pPr>
              <w:jc w:val="center"/>
            </w:pPr>
            <w:pPr>
              <w:jc w:val="left"/>
              <w:spacing w:before="200"/>
              <w:pStyle w:val="ImageCaption"/>
            </w:pPr>
            <w:r>
              <w:t xml:space="preserve">Table 3: Description of key variables used in the thermodynamic and agronomic models.</w:t>
            </w:r>
          </w:p>
          <w:tbl>
            <w:tblPr>
              <w:tblStyle w:val="Table"/>
              <w:tblW w:type="pct" w:w="5000"/>
              <w:tblLayout w:type="fixed"/>
              <w:tblLook w:firstRow="1" w:lastRow="0" w:firstColumn="0" w:lastColumn="0" w:noHBand="0" w:noVBand="0" w:val="0020"/>
            </w:tblPr>
            <w:tblGrid>
              <w:gridCol w:w="787"/>
              <w:gridCol w:w="1475"/>
              <w:gridCol w:w="639"/>
              <w:gridCol w:w="5017"/>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m:oMath>
                    <m:sSub>
                      <m:e>
                        <m:r>
                          <m:t>Y</m:t>
                        </m:r>
                      </m:e>
                      <m:sub>
                        <m:r>
                          <m:t>r</m:t>
                        </m:r>
                        <m:r>
                          <m:t>e</m:t>
                        </m:r>
                        <m:r>
                          <m:t>l</m:t>
                        </m:r>
                        <m:r>
                          <m:rPr>
                            <m:sty m:val="p"/>
                          </m:rPr>
                          <m:t>_</m:t>
                        </m:r>
                        <m:r>
                          <m:t>h</m:t>
                        </m:r>
                        <m:r>
                          <m:t>i</m:t>
                        </m:r>
                        <m:r>
                          <m:t>s</m:t>
                        </m:r>
                        <m:r>
                          <m:t>t</m:t>
                        </m:r>
                      </m:sub>
                    </m:sSub>
                  </m:oMath>
                </w:p>
              </w:tc>
              <w:tc>
                <w:tcPr/>
                <w:p>
                  <w:pPr>
                    <w:pStyle w:val="Compact"/>
                    <w:jc w:val="left"/>
                    <w:jc w:val="center"/>
                  </w:pPr>
                  <w:r>
                    <w:t xml:space="preserve">Relative Yield (Historic)</w:t>
                  </w:r>
                </w:p>
              </w:tc>
              <w:tc>
                <w:tcPr/>
                <w:p>
                  <w:pPr>
                    <w:pStyle w:val="Compact"/>
                    <w:jc w:val="left"/>
                    <w:jc w:val="center"/>
                  </w:pPr>
                  <w:r>
                    <w:t xml:space="preserve">unitless</w:t>
                  </w:r>
                </w:p>
              </w:tc>
              <w:tc>
                <w:tcPr/>
                <w:p>
                  <w:pPr>
                    <w:pStyle w:val="Compact"/>
                    <w:jc w:val="left"/>
                    <w:jc w:val="center"/>
                  </w:pPr>
                  <w:r>
                    <w:t xml:space="preserve">Plot yield normalized by the site/crop-specific 95th percentile of historical well-fertilized yields.</w:t>
                  </w:r>
                </w:p>
              </w:tc>
            </w:tr>
            <w:tr>
              <w:tc>
                <w:tcPr/>
                <w:p>
                  <w:pPr>
                    <w:pStyle w:val="Compact"/>
                    <w:jc w:val="left"/>
                    <w:jc w:val="center"/>
                  </w:pPr>
                  <m:oMath>
                    <m:r>
                      <m:t>U</m:t>
                    </m:r>
                    <m:r>
                      <m:t>p</m:t>
                    </m:r>
                    <m:r>
                      <m:t>t</m:t>
                    </m:r>
                    <m:r>
                      <m:t>a</m:t>
                    </m:r>
                    <m:r>
                      <m:t>k</m:t>
                    </m:r>
                    <m:sSub>
                      <m:e>
                        <m:r>
                          <m:t>e</m:t>
                        </m:r>
                      </m:e>
                      <m:sub>
                        <m:r>
                          <m:t>r</m:t>
                        </m:r>
                        <m:r>
                          <m:t>e</m:t>
                        </m:r>
                        <m:r>
                          <m:t>l</m:t>
                        </m:r>
                      </m:sub>
                    </m:sSub>
                  </m:oMath>
                </w:p>
              </w:tc>
              <w:tc>
                <w:tcPr/>
                <w:p>
                  <w:pPr>
                    <w:pStyle w:val="Compact"/>
                    <w:jc w:val="left"/>
                    <w:jc w:val="center"/>
                  </w:pPr>
                  <w:r>
                    <w:t xml:space="preserve">Relative P Uptake</w:t>
                  </w:r>
                </w:p>
              </w:tc>
              <w:tc>
                <w:tcPr/>
                <w:p>
                  <w:pPr>
                    <w:pStyle w:val="Compact"/>
                    <w:jc w:val="left"/>
                    <w:jc w:val="center"/>
                  </w:pPr>
                  <w:r>
                    <w:t xml:space="preserve">unitless</w:t>
                  </w:r>
                </w:p>
              </w:tc>
              <w:tc>
                <w:tcPr/>
                <w:p>
                  <w:pPr>
                    <w:pStyle w:val="Compact"/>
                    <w:jc w:val="left"/>
                    <w:jc w:val="center"/>
                  </w:pPr>
                  <w:r>
                    <w:t xml:space="preserve">Plot P-uptake normalized by historical maximum uptake for the specific site and crop.</w:t>
                  </w:r>
                </w:p>
              </w:tc>
            </w:tr>
            <w:tr>
              <w:tc>
                <w:tcPr/>
                <w:p>
                  <w:pPr>
                    <w:pStyle w:val="Compact"/>
                    <w:jc w:val="left"/>
                    <w:jc w:val="center"/>
                  </w:pPr>
                  <m:oMath>
                    <m:sSub>
                      <m:e>
                        <m:r>
                          <m:t>P</m:t>
                        </m:r>
                      </m:e>
                      <m:sub>
                        <m:r>
                          <m:t>b</m:t>
                        </m:r>
                        <m:r>
                          <m:t>a</m:t>
                        </m:r>
                        <m:r>
                          <m:t>l</m:t>
                        </m:r>
                      </m:sub>
                    </m:sSub>
                  </m:oMath>
                </w:p>
              </w:tc>
              <w:tc>
                <w:tcPr/>
                <w:p>
                  <w:pPr>
                    <w:pStyle w:val="Compact"/>
                    <w:jc w:val="left"/>
                    <w:jc w:val="center"/>
                  </w:pPr>
                  <w:r>
                    <w:t xml:space="preserve">Cumulative P Balance</w:t>
                  </w:r>
                </w:p>
              </w:tc>
              <w:tc>
                <w:tcPr/>
                <w:p>
                  <w:pPr>
                    <w:pStyle w:val="Compact"/>
                    <w:jc w:val="left"/>
                    <w:jc w:val="center"/>
                  </w:pPr>
                  <w:r>
                    <w:t xml:space="preserve">kg P ha⁻¹</w:t>
                  </w:r>
                </w:p>
              </w:tc>
              <w:tc>
                <w:tcPr/>
                <w:p>
                  <w:pPr>
                    <w:pStyle w:val="Compact"/>
                    <w:jc w:val="left"/>
                    <w:jc w:val="center"/>
                  </w:pPr>
                  <w:r>
                    <w:t xml:space="preserve">Long-term net P budget (inputs minus outputs).</w:t>
                  </w:r>
                </w:p>
              </w:tc>
            </w:tr>
            <w:tr>
              <w:tc>
                <w:tcPr/>
                <w:p>
                  <w:pPr>
                    <w:pStyle w:val="Compact"/>
                    <w:jc w:val="left"/>
                    <w:jc w:val="center"/>
                  </w:pPr>
                  <m:oMath>
                    <m:r>
                      <m:t>k</m:t>
                    </m:r>
                  </m:oMath>
                </w:p>
              </w:tc>
              <w:tc>
                <w:tcPr/>
                <w:p>
                  <w:pPr>
                    <w:pStyle w:val="Compact"/>
                    <w:jc w:val="left"/>
                    <w:jc w:val="center"/>
                  </w:pPr>
                  <w:r>
                    <w:t xml:space="preserve">Rate Constant</w:t>
                  </w:r>
                </w:p>
              </w:tc>
              <w:tc>
                <w:tcPr/>
                <w:p>
                  <w:pPr>
                    <w:pStyle w:val="Compact"/>
                    <w:jc w:val="left"/>
                    <w:jc w:val="center"/>
                  </w:pPr>
                  <w:r>
                    <w:t xml:space="preserve">min⁻¹</w:t>
                  </w:r>
                </w:p>
              </w:tc>
              <w:tc>
                <w:tcPr/>
                <w:p>
                  <w:pPr>
                    <w:pStyle w:val="Compact"/>
                    <w:jc w:val="left"/>
                    <w:jc w:val="center"/>
                  </w:pPr>
                  <w:r>
                    <w:t xml:space="preserve">First-order rate constant of P desorption.</w:t>
                  </w:r>
                </w:p>
              </w:tc>
            </w:tr>
            <w:tr>
              <w:tc>
                <w:tcPr/>
                <w:p>
                  <w:pPr>
                    <w:pStyle w:val="Compact"/>
                    <w:jc w:val="left"/>
                    <w:jc w:val="center"/>
                  </w:pPr>
                  <m:oMath>
                    <m:sSub>
                      <m:e>
                        <m:r>
                          <m:t>a</m:t>
                        </m:r>
                      </m:e>
                      <m:sub>
                        <m:r>
                          <m:t>m</m:t>
                        </m:r>
                        <m:r>
                          <m:t>a</m:t>
                        </m:r>
                        <m:r>
                          <m:t>x</m:t>
                        </m:r>
                      </m:sub>
                    </m:sSub>
                  </m:oMath>
                </w:p>
              </w:tc>
              <w:tc>
                <w:tcPr/>
                <w:p>
                  <w:pPr>
                    <w:pStyle w:val="Compact"/>
                    <w:jc w:val="left"/>
                    <w:jc w:val="center"/>
                  </w:pPr>
                  <w:r>
                    <w:t xml:space="preserve">Maximum Activity (Intensity)</w:t>
                  </w:r>
                </w:p>
              </w:tc>
              <w:tc>
                <w:tcPr/>
                <w:p>
                  <w:pPr>
                    <w:pStyle w:val="Compact"/>
                    <w:jc w:val="left"/>
                    <w:jc w:val="center"/>
                  </w:pPr>
                  <w:r>
                    <w:t xml:space="preserve">µM</w:t>
                  </w:r>
                </w:p>
              </w:tc>
              <w:tc>
                <w:tcPr/>
                <w:p>
                  <w:pPr>
                    <w:pStyle w:val="Compact"/>
                    <w:jc w:val="left"/>
                    <w:jc w:val="center"/>
                  </w:pPr>
                  <w:r>
                    <w:t xml:space="preserve">Davies-corrected thermodynamic activity asymptote of the water-desorbable P pool.</w:t>
                  </w:r>
                </w:p>
              </w:tc>
            </w:tr>
            <w:tr>
              <w:tc>
                <w:tcPr/>
                <w:p>
                  <w:pPr>
                    <w:pStyle w:val="Compact"/>
                    <w:jc w:val="left"/>
                    <w:jc w:val="center"/>
                  </w:pPr>
                  <m:oMath>
                    <m:sSub>
                      <m:e>
                        <m:r>
                          <m:t>J</m:t>
                        </m:r>
                      </m:e>
                      <m:sub>
                        <m:r>
                          <m:t>0</m:t>
                        </m:r>
                      </m:sub>
                    </m:sSub>
                  </m:oMath>
                </w:p>
              </w:tc>
              <w:tc>
                <w:tcPr/>
                <w:p>
                  <w:pPr>
                    <w:pStyle w:val="Compact"/>
                    <w:jc w:val="left"/>
                    <w:jc w:val="center"/>
                  </w:pPr>
                  <w:r>
                    <w:t xml:space="preserve">Activity Flux</w:t>
                  </w:r>
                </w:p>
              </w:tc>
              <w:tc>
                <w:tcPr/>
                <w:p>
                  <w:pPr>
                    <w:pStyle w:val="Compact"/>
                    <w:jc w:val="left"/>
                    <w:jc w:val="center"/>
                  </w:pPr>
                  <w:r>
                    <w:t xml:space="preserve">µM min⁻¹</w:t>
                  </w:r>
                </w:p>
              </w:tc>
              <w:tc>
                <w:tcPr/>
                <w:p>
                  <w:pPr>
                    <w:pStyle w:val="Compact"/>
                    <w:jc w:val="left"/>
                    <w:jc w:val="center"/>
                  </w:pPr>
                  <w:r>
                    <w:t xml:space="preserve">Initial thermodynamic supply rate, calculated as</w:t>
                  </w:r>
                  <w:r>
                    <w:t xml:space="preserve"> </w:t>
                  </w:r>
                  <m:oMath>
                    <m:r>
                      <m:t>k</m:t>
                    </m:r>
                    <m:r>
                      <m:rPr>
                        <m:sty m:val="p"/>
                      </m:rPr>
                      <m:t>×</m:t>
                    </m:r>
                    <m:sSub>
                      <m:e>
                        <m:r>
                          <m:t>a</m:t>
                        </m:r>
                      </m:e>
                      <m:sub>
                        <m:r>
                          <m:t>m</m:t>
                        </m:r>
                        <m:r>
                          <m:t>a</m:t>
                        </m:r>
                        <m:r>
                          <m:t>x</m:t>
                        </m:r>
                      </m:sub>
                    </m:sSub>
                  </m:oMath>
                  <w:r>
                    <w:t xml:space="preserve">.</w:t>
                  </w:r>
                </w:p>
              </w:tc>
            </w:tr>
            <w:tr>
              <w:tc>
                <w:tcPr/>
                <w:p>
                  <w:pPr>
                    <w:pStyle w:val="Compact"/>
                    <w:jc w:val="left"/>
                    <w:jc w:val="center"/>
                  </w:pPr>
                  <m:oMath>
                    <m:sSub>
                      <m:e>
                        <m:r>
                          <m:t>P</m:t>
                        </m:r>
                      </m:e>
                      <m:sub>
                        <m:r>
                          <m:t>A</m:t>
                        </m:r>
                        <m:r>
                          <m:t>A</m:t>
                        </m:r>
                        <m:r>
                          <m:t>E</m:t>
                        </m:r>
                        <m:r>
                          <m:t>10</m:t>
                        </m:r>
                      </m:sub>
                    </m:sSub>
                  </m:oMath>
                </w:p>
              </w:tc>
              <w:tc>
                <w:tcPr/>
                <w:p>
                  <w:pPr>
                    <w:pStyle w:val="Compact"/>
                    <w:jc w:val="left"/>
                    <w:jc w:val="center"/>
                  </w:pPr>
                  <w:r>
                    <w:t xml:space="preserve">Standard Mass (Quantity)</w:t>
                  </w:r>
                </w:p>
              </w:tc>
              <w:tc>
                <w:tcPr/>
                <w:p>
                  <w:pPr>
                    <w:pStyle w:val="Compact"/>
                    <w:jc w:val="left"/>
                    <w:jc w:val="center"/>
                  </w:pPr>
                  <w:r>
                    <w:t xml:space="preserve">mg P kg⁻¹</w:t>
                  </w:r>
                </w:p>
              </w:tc>
              <w:tc>
                <w:tcPr/>
                <w:p>
                  <w:pPr>
                    <w:pStyle w:val="Compact"/>
                    <w:jc w:val="left"/>
                    <w:jc w:val="center"/>
                  </w:pPr>
                  <w:r>
                    <w:t xml:space="preserve">Physical mass of extractable P (AAE10 method), acting as the Q-factor.</w:t>
                  </w:r>
                </w:p>
              </w:tc>
            </w:tr>
            <w:tr>
              <w:tc>
                <w:tcPr/>
                <w:p>
                  <w:pPr>
                    <w:pStyle w:val="Compact"/>
                    <w:jc w:val="left"/>
                    <w:jc w:val="center"/>
                  </w:pPr>
                  <m:oMath>
                    <m:r>
                      <m:rPr>
                        <m:nor/>
                        <m:sty m:val="p"/>
                      </m:rPr>
                      <m:t>PBC</m:t>
                    </m:r>
                  </m:oMath>
                </w:p>
              </w:tc>
              <w:tc>
                <w:tcPr/>
                <w:p>
                  <w:pPr>
                    <w:pStyle w:val="Compact"/>
                    <w:jc w:val="left"/>
                    <w:jc w:val="center"/>
                  </w:pPr>
                  <w:r>
                    <w:t xml:space="preserve">Phosphorus Buffering Capacity</w:t>
                  </w:r>
                </w:p>
              </w:tc>
              <w:tc>
                <w:tcPr/>
                <w:p>
                  <w:pPr>
                    <w:pStyle w:val="Compact"/>
                    <w:jc w:val="left"/>
                    <w:jc w:val="center"/>
                  </w:pPr>
                  <w:r>
                    <w:t xml:space="preserve">mg kg⁻¹ µM⁻¹</w:t>
                  </w:r>
                </w:p>
              </w:tc>
              <w:tc>
                <w:tcPr/>
                <w:p>
                  <w:pPr>
                    <w:pStyle w:val="Compact"/>
                    <w:jc w:val="left"/>
                    <w:jc w:val="center"/>
                  </w:pPr>
                  <w:r>
                    <w:t xml:space="preserve">The mathematical derivative (</w:t>
                  </w:r>
                  <m:oMath>
                    <m:r>
                      <m:t>d</m:t>
                    </m:r>
                    <m:r>
                      <m:t>Q</m:t>
                    </m:r>
                    <m:r>
                      <m:rPr>
                        <m:sty m:val="p"/>
                      </m:rPr>
                      <m:t>/</m:t>
                    </m:r>
                    <m:r>
                      <m:t>d</m:t>
                    </m:r>
                    <m:r>
                      <m:t>I</m:t>
                    </m:r>
                  </m:oMath>
                  <w:r>
                    <w:t xml:space="preserve">) of the site-specific Freundlich isotherm.</w:t>
                  </w:r>
                </w:p>
              </w:tc>
            </w:tr>
          </w:tbl>
          <w:bookmarkEnd w:id="31"/>
          <w:p/>
        </w:tc>
      </w:tr>
    </w:tbl>
    <w:bookmarkEnd w:id="32"/>
    <w:bookmarkStart w:id="33" w:name="X44bb14175a86972320c11f91acf6da54ae42ffd"/>
    <w:p>
      <w:pPr>
        <w:pStyle w:val="Heading3"/>
      </w:pPr>
      <w:r>
        <w:t xml:space="preserve">2.4.5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 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shifted to thermodynamic activity (</w:t>
      </w:r>
      <m:oMath>
        <m:sSub>
          <m:e>
            <m:r>
              <m:t>a</m:t>
            </m:r>
          </m:e>
          <m:sub>
            <m:r>
              <m:t>l</m:t>
            </m:r>
          </m:sub>
        </m:sSub>
      </m:oMath>
      <w:r>
        <w:t xml:space="preserve">), and the static buffer power was replaced with a dynamic, first-order kinetic source term (</w:t>
      </w:r>
      <m:oMath>
        <m:sSub>
          <m:e>
            <m:r>
              <m:t>R</m:t>
            </m:r>
          </m:e>
          <m:sub>
            <m:r>
              <m:t>d</m:t>
            </m:r>
            <m:r>
              <m:t>e</m:t>
            </m:r>
            <m:r>
              <m:t>s</m:t>
            </m:r>
            <m:r>
              <m:t>o</m:t>
            </m:r>
            <m:r>
              <m:t>r</m:t>
            </m:r>
            <m:r>
              <m:t>p</m:t>
            </m:r>
            <m:r>
              <m:t>t</m:t>
            </m:r>
            <m:r>
              <m:t>i</m:t>
            </m:r>
            <m:r>
              <m:t>o</m:t>
            </m:r>
            <m:r>
              <m:t>n</m:t>
            </m:r>
          </m:sub>
        </m:sSub>
      </m:oMath>
      <w:r>
        <w:t xml:space="preserve">):</w:t>
      </w:r>
    </w:p>
    <w:p>
      <w:pPr>
        <w:pStyle w:val="BodyText"/>
      </w:pPr>
      <m:oMathPara>
        <m:oMathParaPr>
          <m:jc m:val="center"/>
        </m:oMathParaPr>
        <m:oMath>
          <m:f>
            <m:fPr>
              <m:type m:val="bar"/>
            </m:fPr>
            <m:num>
              <m:r>
                <m:rPr>
                  <m:sty m:val="p"/>
                </m:rPr>
                <m:t>∂</m:t>
              </m:r>
              <m:sSub>
                <m:e>
                  <m:r>
                    <m:t>a</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a</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a</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a</m:t>
                  </m:r>
                </m:e>
                <m:sub>
                  <m:r>
                    <m:t>l</m:t>
                  </m:r>
                </m:sub>
              </m:sSub>
            </m:num>
            <m:den>
              <m:r>
                <m:rPr>
                  <m:sty m:val="p"/>
                </m:rPr>
                <m:t>∂</m:t>
              </m:r>
              <m:r>
                <m:t>r</m:t>
              </m:r>
            </m:den>
          </m:f>
          <m:r>
            <m:rPr>
              <m:sty m:val="p"/>
            </m:rPr>
            <m:t>+</m:t>
          </m:r>
          <m:sSub>
            <m:e>
              <m:r>
                <m:t>R</m:t>
              </m:r>
            </m:e>
            <m:sub>
              <m:r>
                <m:t>d</m:t>
              </m:r>
              <m:r>
                <m:t>e</m:t>
              </m:r>
              <m:r>
                <m:t>s</m:t>
              </m:r>
              <m:r>
                <m:t>o</m:t>
              </m:r>
              <m:r>
                <m:t>r</m:t>
              </m:r>
              <m:r>
                <m:t>p</m:t>
              </m:r>
              <m:r>
                <m:t>t</m:t>
              </m:r>
              <m:r>
                <m:t>i</m:t>
              </m:r>
              <m:r>
                <m:t>o</m:t>
              </m:r>
              <m:r>
                <m:t>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t>d</m:t>
              </m:r>
              <m:r>
                <m:t>e</m:t>
              </m:r>
              <m:r>
                <m:t>s</m:t>
              </m:r>
              <m:r>
                <m:t>o</m:t>
              </m:r>
              <m:r>
                <m:t>r</m:t>
              </m:r>
              <m:r>
                <m:t>p</m:t>
              </m:r>
              <m:r>
                <m:t>t</m:t>
              </m:r>
              <m:r>
                <m:t>i</m:t>
              </m:r>
              <m:r>
                <m:t>o</m:t>
              </m:r>
              <m:r>
                <m:t>n</m:t>
              </m:r>
            </m:sub>
          </m:sSub>
          <m:r>
            <m:rPr>
              <m:sty m:val="p"/>
            </m:rPr>
            <m:t>=</m:t>
          </m:r>
          <m:r>
            <m:t>k</m:t>
          </m:r>
          <m:r>
            <m:rPr>
              <m:sty m:val="p"/>
            </m:rPr>
            <m:t>⋅</m:t>
          </m:r>
          <m:r>
            <m:rPr>
              <m:sty m:val="p"/>
            </m:rPr>
            <m:t>(</m:t>
          </m:r>
          <m:sSub>
            <m:e>
              <m:r>
                <m:t>a</m:t>
              </m:r>
            </m:e>
            <m:sub>
              <m:r>
                <m:t>m</m:t>
              </m:r>
              <m:r>
                <m:t>a</m:t>
              </m:r>
              <m:r>
                <m:t>x</m:t>
              </m:r>
            </m:sub>
          </m:sSub>
          <m:r>
            <m:rPr>
              <m:sty m:val="p"/>
            </m:rPr>
            <m:t>−</m:t>
          </m:r>
          <m:sSub>
            <m:e>
              <m:r>
                <m:t>a</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 accounting for both high-affinity (PHT1) and low-affinity (LATS) transporter kinetics responding directly to chemical activity:</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p>
      <w:r>
        <w:br w:type="page"/>
      </w:r>
    </w:p>
    <w:p>
      <w:r>
        <w:br w:type="page"/>
      </w:r>
    </w:p>
    <w:p>
      <w:r>
        <w:br w:type="page"/>
      </w:r>
    </w:p>
    <w:p>
      <w:r>
        <w:br w:type="page"/>
      </w:r>
    </w:p>
    <w:p>
      <w:r>
        <w:br w:type="page"/>
      </w:r>
    </w:p>
    <w:bookmarkEnd w:id="33"/>
    <w:bookmarkEnd w:id="34"/>
    <w:bookmarkEnd w:id="35"/>
    <w:bookmarkStart w:id="46" w:name="references"/>
    <w:p>
      <w:pPr>
        <w:pStyle w:val="Heading1"/>
      </w:pPr>
      <w:r>
        <w:t xml:space="preserve">3. References</w:t>
      </w:r>
    </w:p>
    <w:bookmarkStart w:id="45" w:name="refs"/>
    <w:bookmarkStart w:id="37" w:name="ref-R-lme4"/>
    <w:p>
      <w:pPr>
        <w:pStyle w:val="Bibliography"/>
      </w:pPr>
      <w:r>
        <w:t xml:space="preserve">Bates, D., Maechler, M., Bolker, B., Walker, S., Jagan, M., &amp; Ly, A. (2026).</w:t>
      </w:r>
      <w:r>
        <w:t xml:space="preserve"> </w:t>
      </w:r>
      <w:r>
        <w:rPr>
          <w:i/>
          <w:iCs/>
        </w:rPr>
        <w:t xml:space="preserve">lme4: Linear mixed-effects models using eigen and S4</w:t>
      </w:r>
      <w:r>
        <w:t xml:space="preserve">.</w:t>
      </w:r>
      <w:r>
        <w:t xml:space="preserve"> </w:t>
      </w:r>
      <w:hyperlink r:id="rId36">
        <w:r>
          <w:rPr>
            <w:rStyle w:val="Hyperlink"/>
          </w:rPr>
          <w:t xml:space="preserve">https://github.com/lme4/lme4/</w:t>
        </w:r>
      </w:hyperlink>
    </w:p>
    <w:bookmarkEnd w:id="37"/>
    <w:bookmarkStart w:id="38"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38"/>
    <w:bookmarkStart w:id="40"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39">
        <w:r>
          <w:rPr>
            <w:rStyle w:val="Hyperlink"/>
          </w:rPr>
          <w:t xml:space="preserve">https://doi.org/10.1016/j.scitotenv.2020.143453</w:t>
        </w:r>
      </w:hyperlink>
    </w:p>
    <w:bookmarkEnd w:id="40"/>
    <w:bookmarkStart w:id="42" w:name="ref-R-nlme"/>
    <w:p>
      <w:pPr>
        <w:pStyle w:val="Bibliography"/>
      </w:pPr>
      <w:r>
        <w:t xml:space="preserve">Pinheiro, J., Bates, D., &amp; R Core Team. (2026).</w:t>
      </w:r>
      <w:r>
        <w:t xml:space="preserve"> </w:t>
      </w:r>
      <w:r>
        <w:rPr>
          <w:i/>
          <w:iCs/>
        </w:rPr>
        <w:t xml:space="preserve">Nlme: Linear and nonlinear mixed effects models</w:t>
      </w:r>
      <w:r>
        <w:t xml:space="preserve">.</w:t>
      </w:r>
      <w:r>
        <w:t xml:space="preserve"> </w:t>
      </w:r>
      <w:hyperlink r:id="rId41">
        <w:r>
          <w:rPr>
            <w:rStyle w:val="Hyperlink"/>
          </w:rPr>
          <w:t xml:space="preserve">https://svn.r-project.org/R-packages/trunk/nlme/</w:t>
        </w:r>
      </w:hyperlink>
    </w:p>
    <w:bookmarkEnd w:id="42"/>
    <w:bookmarkStart w:id="44"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43">
        <w:r>
          <w:rPr>
            <w:rStyle w:val="Hyperlink"/>
          </w:rPr>
          <w:t xml:space="preserve">https://doi.org/10.32614/R.manuals</w:t>
        </w:r>
      </w:hyperlink>
    </w:p>
    <w:bookmarkEnd w:id="44"/>
    <w:bookmarkEnd w:id="45"/>
    <w:p>
      <w:r>
        <w:br w:type="page"/>
      </w:r>
    </w:p>
    <w:p>
      <w:r>
        <w:br w:type="page"/>
      </w:r>
    </w:p>
    <w:bookmarkEnd w:id="46"/>
    <w:bookmarkStart w:id="52" w:name="Xc02b1095fe035d2f218bf14431ef63629f299b5"/>
    <w:p>
      <w:pPr>
        <w:pStyle w:val="Heading1"/>
      </w:pPr>
      <w:r>
        <w:t xml:space="preserve">4. Appendix: Thermodynamic Correction of</w:t>
      </w:r>
      <w:r>
        <w:t xml:space="preserve"> </w:t>
      </w:r>
      <m:oMath>
        <m:sSub>
          <m:e>
            <m:r>
              <m:t>P</m:t>
            </m:r>
          </m:e>
          <m:sub>
            <m:r>
              <m:t>C</m:t>
            </m:r>
            <m:sSub>
              <m:e>
                <m:r>
                  <m:t>O</m:t>
                </m:r>
              </m:e>
              <m:sub>
                <m:r>
                  <m:t>2</m:t>
                </m:r>
              </m:sub>
            </m:sSub>
          </m:sub>
        </m:sSub>
      </m:oMath>
      <w:r>
        <w:t xml:space="preserve"> </w:t>
      </w:r>
      <w:r>
        <w:t xml:space="preserve">Extractions</w:t>
      </w:r>
    </w:p>
    <w:bookmarkStart w:id="47" w:name="Xdd52081602f5faa9508128f35f776531d43bf68"/>
    <w:p>
      <w:pPr>
        <w:pStyle w:val="Heading2"/>
      </w:pPr>
      <w:r>
        <w:t xml:space="preserve">4.1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complicating absolute thermodynamic comparisons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negligible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primarily dictated by the dissolved soluble salts of the specific soil being analyzed.</w:t>
      </w:r>
    </w:p>
    <w:bookmarkEnd w:id="47"/>
    <w:bookmarkStart w:id="48" w:name="X8ef57afce3e26af86625f37a3880dd9c4114bfc"/>
    <w:p>
      <w:pPr>
        <w:pStyle w:val="Heading2"/>
      </w:pPr>
      <w:r>
        <w:t xml:space="preserve">4.2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true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standard method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48"/>
    <w:bookmarkStart w:id="51" w:name="X7cfd2e40ece616de93c98fe743f64dd11c88404"/>
    <w:p>
      <w:pPr>
        <w:pStyle w:val="Heading2"/>
      </w:pPr>
      <w:r>
        <w:t xml:space="preserve">4.3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04"/>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4"/>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4"/>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true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49">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50">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hyperlink" Id="rId39" Target="https://doi.org/10.1016/j.scitotenv.2020.143453" TargetMode="External" /><Relationship Type="http://schemas.openxmlformats.org/officeDocument/2006/relationships/hyperlink" Id="rId43"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49" Target="https://github.com/ptochosgeorgos/Article-P-desorption-kinetics" TargetMode="External" /><Relationship Type="http://schemas.openxmlformats.org/officeDocument/2006/relationships/hyperlink" Id="rId50" Target="https://ptochosgeorgos.github.io/Article-P-desorption-kinetics/" TargetMode="External" /><Relationship Type="http://schemas.openxmlformats.org/officeDocument/2006/relationships/hyperlink" Id="rId41" Target="https://svn.r-project.org/R-packages/trunk/nlme/"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16/j.scitotenv.2020.143453" TargetMode="External" /><Relationship Type="http://schemas.openxmlformats.org/officeDocument/2006/relationships/hyperlink" Id="rId43"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49" Target="https://github.com/ptochosgeorgos/Article-P-desorption-kinetics" TargetMode="External" /><Relationship Type="http://schemas.openxmlformats.org/officeDocument/2006/relationships/hyperlink" Id="rId50" Target="https://ptochosgeorgos.github.io/Article-P-desorption-kinetics/" TargetMode="External" /><Relationship Type="http://schemas.openxmlformats.org/officeDocument/2006/relationships/hyperlink" Id="rId41" Target="https://svn.r-project.org/R-packages/trunk/nl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 Emmanuel Frossard</dc:creator>
  <cp:keywords/>
  <dcterms:created xsi:type="dcterms:W3CDTF">2026-06-16T11:26:47Z</dcterms:created>
  <dcterms:modified xsi:type="dcterms:W3CDTF">2026-06-16T11:26:47Z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 P_{desorb} 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2026-06-16</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