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85.png" ContentType="image/png"/>
  <Override PartName="/word/media/rId41.png" ContentType="image/png"/>
  <Override PartName="/word/media/rId45.png" ContentType="image/png"/>
  <Override PartName="/word/media/rId30.png" ContentType="image/png"/>
  <Override PartName="/word/media/rId35.png" ContentType="image/png"/>
  <Override PartName="/word/media/rId56.png" ContentType="image/png"/>
  <Override PartName="/word/media/rId6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2026-03-27</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w:t>
      </w:r>
    </w:p>
    <w:bookmarkStart w:id="14"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infinitesimally small fraction dissolved in the soil solution—the only form directly available to plant roots—is highly transient.</w:t>
      </w:r>
    </w:p>
    <w:bookmarkEnd w:id="9"/>
    <w:bookmarkStart w:id="11"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w:t>
      </w:r>
      <w:r>
        <w:t xml:space="preserve"> </w:t>
      </w:r>
      <w:r>
        <w:t xml:space="preserve">1.</w:t>
      </w:r>
      <w:r>
        <w:t xml:space="preserve"> </w:t>
      </w:r>
      <w:r>
        <w:rPr>
          <w:b/>
          <w:bCs/>
        </w:rPr>
        <w:t xml:space="preserve">P-Intensity (</w:t>
      </w:r>
      <m:oMath>
        <m:r>
          <m:t>I</m:t>
        </m:r>
      </m:oMath>
      <w:r>
        <w:rPr>
          <w:b/>
          <w:bCs/>
        </w:rPr>
        <w:t xml:space="preserve">):</w:t>
      </w:r>
      <w:r>
        <w:t xml:space="preserve"> </w:t>
      </w:r>
      <w:r>
        <w:t xml:space="preserve">The concentration (or more accurately, the chemical activity) of P in the soil solution at any given moment.</w:t>
      </w:r>
      <w:r>
        <w:t xml:space="preserve"> </w:t>
      </w:r>
      <w:r>
        <w:t xml:space="preserve">2.</w:t>
      </w:r>
      <w:r>
        <w:t xml:space="preserve"> </w:t>
      </w:r>
      <w:r>
        <w:rPr>
          <w:b/>
          <w:bCs/>
        </w:rPr>
        <w:t xml:space="preserve">P-Quantity or Capacity (</w:t>
      </w:r>
      <m:oMath>
        <m:r>
          <m:t>Q</m:t>
        </m:r>
      </m:oMath>
      <w:r>
        <w:rPr>
          <w:b/>
          <w:bCs/>
        </w:rPr>
        <w:t xml:space="preserve">):</w:t>
      </w:r>
      <w:r>
        <w:t xml:space="preserve"> </w:t>
      </w:r>
      <w:r>
        <w:t xml:space="preserve">The pool of solid-phase P that is readily desorbable and can replenish the soil solution.</w:t>
      </w:r>
      <w:r>
        <w:t xml:space="preserve"> </w:t>
      </w:r>
      <w:r>
        <w:t xml:space="preserve">3.</w:t>
      </w:r>
      <w:r>
        <w:t xml:space="preserve"> </w:t>
      </w:r>
      <w:r>
        <w:rPr>
          <w:b/>
          <w:bCs/>
        </w:rPr>
        <w:t xml:space="preserve">Phosphorus Buffering Capacity (PBC):</w:t>
      </w:r>
      <w:r>
        <w:t xml:space="preserve"> </w:t>
      </w:r>
      <w:r>
        <w:t xml:space="preserve">The resistance of the soil to changes in P-Intensity, typically represented as the ratio of change in Quantity to change in Intensity (</w:t>
      </w:r>
      <m:oMath>
        <m:r>
          <m:rPr>
            <m:sty m:val="p"/>
          </m:rPr>
          <m:t>Δ</m:t>
        </m:r>
        <m:r>
          <m:t>Q</m:t>
        </m:r>
        <m:r>
          <m:rPr>
            <m:sty m:val="p"/>
          </m:rPr>
          <m:t>/</m:t>
        </m:r>
        <m:r>
          <m:rPr>
            <m:sty m:val="p"/>
          </m:rPr>
          <m:t>Δ</m:t>
        </m:r>
        <m:r>
          <m:t>I</m:t>
        </m:r>
      </m:oMath>
      <w:r>
        <w:t xml:space="preserve">).</w:t>
      </w:r>
    </w:p>
    <w:p>
      <w:pPr>
        <w:pStyle w:val="BodyText"/>
      </w:pPr>
      <w:r>
        <w:t xml:space="preserve">While these concepts are theoretically elegant, measuring them in natural soils is notoriously difficult. In practice,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bookmarkStart w:id="10" w:name="Xadea79f775ad1302a3396acc6c902ba41dc5333"/>
    <w:p>
      <w:pPr>
        <w:pStyle w:val="Heading3"/>
      </w:pPr>
      <w:r>
        <w:t xml:space="preserve">1.2.1 Extraction Mechanisms of Standard Soil Tests</w:t>
      </w:r>
    </w:p>
    <w:p>
      <w:pPr>
        <w:pStyle w:val="FirstParagraph"/>
      </w:pPr>
      <w:r>
        <w:t xml:space="preserve">Different standard methods target different physicochemical pools of P by employing distinct extraction mechanisms:</w:t>
      </w:r>
    </w:p>
    <w:p>
      <w:pPr>
        <w:pStyle w:val="Compact"/>
        <w:numPr>
          <w:ilvl w:val="0"/>
          <w:numId w:val="1001"/>
        </w:numPr>
      </w:pPr>
      <w:r>
        <w:rPr>
          <w:b/>
          <w:bCs/>
        </w:rPr>
        <w:t xml:space="preserve">Olsen P (</w:t>
      </w:r>
      <m:oMath>
        <m:r>
          <m:t>N</m:t>
        </m:r>
        <m:r>
          <m:t>a</m:t>
        </m:r>
        <m:r>
          <m:t>H</m:t>
        </m:r>
        <m:r>
          <m:t>C</m:t>
        </m:r>
        <m:sSub>
          <m:e>
            <m:r>
              <m:t>O</m:t>
            </m:r>
          </m:e>
          <m:sub>
            <m:r>
              <m:t>3</m:t>
            </m:r>
          </m:sub>
        </m:sSub>
      </m:oMath>
      <w:r>
        <w:rPr>
          <w:b/>
          <w:bCs/>
        </w:rPr>
        <w:t xml:space="preserve">, pH 8.5):</w:t>
      </w:r>
      <w:r>
        <w:t xml:space="preserve"> </w:t>
      </w:r>
      <w:r>
        <w:t xml:space="preserve">This method primarily measures desorbable P. The high concentration of bicarbonate ions (</w:t>
      </w:r>
      <m:oMath>
        <m:r>
          <m:t>H</m:t>
        </m:r>
        <m:r>
          <m:t>C</m:t>
        </m:r>
        <m:sSubSup>
          <m:e>
            <m:r>
              <m:t>O</m:t>
            </m:r>
          </m:e>
          <m:sub>
            <m:r>
              <m:t>3</m:t>
            </m:r>
          </m:sub>
          <m:sup>
            <m:r>
              <m:rPr>
                <m:sty m:val="p"/>
              </m:rPr>
              <m:t>−</m:t>
            </m:r>
          </m:sup>
        </m:sSubSup>
      </m:oMath>
      <w:r>
        <w:t xml:space="preserve">) outcompetes orthophosphate for adsorption sites on soil surfaces, effectively exchanging and releasing sorbed P into the solution</w:t>
      </w:r>
      <w:r>
        <w:t xml:space="preserve"> </w:t>
      </w:r>
      <w:r>
        <w:t xml:space="preserve">(</w:t>
      </w:r>
      <w:r>
        <w:rPr>
          <w:b/>
          <w:bCs/>
        </w:rPr>
        <w:t xml:space="preserve">Olsen1954?</w:t>
      </w:r>
      <w:r>
        <w:t xml:space="preserve">)</w:t>
      </w:r>
      <w:r>
        <w:t xml:space="preserve">.</w:t>
      </w:r>
    </w:p>
    <w:p>
      <w:pPr>
        <w:pStyle w:val="Compact"/>
        <w:numPr>
          <w:ilvl w:val="0"/>
          <w:numId w:val="1001"/>
        </w:numPr>
      </w:pPr>
      <w:r>
        <w:rPr>
          <w:b/>
          <w:bCs/>
        </w:rPr>
        <w:t xml:space="preserve">P-AAE10 (Ammonium Acetate EDTA, pH 4.65):</w:t>
      </w:r>
      <w:r>
        <w:t xml:space="preserve"> </w:t>
      </w:r>
      <w:r>
        <w:t xml:space="preserve">This stronger extractant attacks both sorbed and precipitated P forms. The EDTA acts as a powerful chelating agent, binding cations (</w:t>
      </w:r>
      <m:oMath>
        <m:r>
          <m:t>C</m:t>
        </m:r>
        <m:sSup>
          <m:e>
            <m:r>
              <m:t>a</m:t>
            </m:r>
          </m:e>
          <m:sup>
            <m:r>
              <m:t>2</m:t>
            </m:r>
            <m:r>
              <m:rPr>
                <m:sty m:val="p"/>
              </m:rPr>
              <m:t>+</m:t>
            </m:r>
          </m:sup>
        </m:sSup>
      </m:oMath>
      <w:r>
        <w:t xml:space="preserve">,</w:t>
      </w:r>
      <w:r>
        <w:t xml:space="preserve"> </w:t>
      </w:r>
      <m:oMath>
        <m:r>
          <m:t>F</m:t>
        </m:r>
        <m:sSup>
          <m:e>
            <m:r>
              <m:t>e</m:t>
            </m:r>
          </m:e>
          <m:sup>
            <m:r>
              <m:t>3</m:t>
            </m:r>
            <m:r>
              <m:rPr>
                <m:sty m:val="p"/>
              </m:rPr>
              <m:t>+</m:t>
            </m:r>
          </m:sup>
        </m:sSup>
      </m:oMath>
      <w:r>
        <w:t xml:space="preserve">,</w:t>
      </w:r>
      <w:r>
        <w:t xml:space="preserve"> </w:t>
      </w:r>
      <m:oMath>
        <m:r>
          <m:t>A</m:t>
        </m:r>
        <m:sSup>
          <m:e>
            <m:r>
              <m:t>l</m:t>
            </m:r>
          </m:e>
          <m:sup>
            <m:r>
              <m:t>3</m:t>
            </m:r>
            <m:r>
              <m:rPr>
                <m:sty m:val="p"/>
              </m:rPr>
              <m:t>+</m:t>
            </m:r>
          </m:sup>
        </m:sSup>
      </m:oMath>
      <w:r>
        <w:t xml:space="preserve">) and thereby actively dissolving apatites and other P-bearing salts. Simultaneously, the acetate buffer facilitates the desorption of surface-bound P</w:t>
      </w:r>
      <w:r>
        <w:t xml:space="preserve"> </w:t>
      </w:r>
      <w:r>
        <w:t xml:space="preserve">(Forschungsanstalt für Agrarökologie und Landbau (FAL), 1996)</w:t>
      </w:r>
      <w:r>
        <w:t xml:space="preserve">.</w:t>
      </w:r>
    </w:p>
    <w:p>
      <w:pPr>
        <w:pStyle w:val="Compact"/>
        <w:numPr>
          <w:ilvl w:val="0"/>
          <w:numId w:val="1001"/>
        </w:numPr>
      </w:pPr>
      <w:r>
        <w:rPr>
          <w:b/>
          <w:bCs/>
        </w:rPr>
        <w:t xml:space="preserve">Water Extractions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rPr>
          <w:b/>
          <w:bCs/>
        </w:rPr>
        <w:t xml:space="preserve">):</w:t>
      </w:r>
      <w:r>
        <w:t xml:space="preserve"> </w:t>
      </w:r>
      <w:r>
        <w:t xml:space="preserve">Weak extractions using distilled or</w:t>
      </w:r>
      <w:r>
        <w:t xml:space="preserve"> </w:t>
      </w:r>
      <m:oMath>
        <m:r>
          <m:t>C</m:t>
        </m:r>
        <m:sSub>
          <m:e>
            <m:r>
              <m:t>O</m:t>
            </m:r>
          </m:e>
          <m:sub>
            <m:r>
              <m:t>2</m:t>
            </m:r>
          </m:sub>
        </m:sSub>
      </m:oMath>
      <w:r>
        <w:t xml:space="preserve">-saturated water exert minimal chemical force, attempting to extract readily soluble forms from both the intensity and weakly-bound capacity pools without fundamentally altering the native soil matrix.</w:t>
      </w:r>
    </w:p>
    <w:bookmarkEnd w:id="10"/>
    <w:bookmarkEnd w:id="11"/>
    <w:bookmarkStart w:id="12" w:name="Xf311a33316cda38c92bf0088837b82ace5b3445"/>
    <w:p>
      <w:pPr>
        <w:pStyle w:val="Heading2"/>
      </w:pPr>
      <w:r>
        <w:t xml:space="preserve">1.3 The Problem of Ionic Strength and Activity</w:t>
      </w:r>
    </w:p>
    <w:p>
      <w:pPr>
        <w:pStyle w:val="FirstParagraph"/>
      </w:pPr>
      <w:r>
        <w:t xml:space="preserve">The reliance on operational definitions introduces a critical analytical flaw when interpreting these tests, fundamentally tied to the principles of physical chemistry. Standard colorimetric P quantification (e.g., the molybdenum blue method) relies on calibration curves prepared in distilled water, where the ionic strength (</w:t>
      </w:r>
      <m:oMath>
        <m:r>
          <m:t>I</m:t>
        </m:r>
      </m:oMath>
      <w:r>
        <w:t xml:space="preserve">) is effectively zero.</w:t>
      </w:r>
    </w:p>
    <w:p>
      <w:pPr>
        <w:pStyle w:val="BodyText"/>
      </w:pPr>
      <w:r>
        <w:t xml:space="preserve">However, in soil extracts, we measure the chemical</w:t>
      </w:r>
      <w:r>
        <w:t xml:space="preserve"> </w:t>
      </w:r>
      <w:r>
        <w:rPr>
          <w:b/>
          <w:bCs/>
        </w:rPr>
        <w:t xml:space="preserve">activity</w:t>
      </w:r>
      <w:r>
        <w:t xml:space="preserve"> </w:t>
      </w:r>
      <w:r>
        <w:t xml:space="preserve">of the ions, not their true stoichiometric concentration. Because the activity coefficient of an ion decreases as the ionic strength of the solution increases, the background matrix of the extractant drastically alters the measurement.</w:t>
      </w:r>
    </w:p>
    <w:p>
      <w:pPr>
        <w:pStyle w:val="BodyText"/>
      </w:pPr>
      <w:r>
        <w:t xml:space="preserve">For strong extractants like</w:t>
      </w:r>
      <w:r>
        <w:t xml:space="preserve"> </w:t>
      </w:r>
      <w:r>
        <w:rPr>
          <w:b/>
          <w:bCs/>
        </w:rPr>
        <w:t xml:space="preserve">Olsen, P-CAL, and P-AAE10</w:t>
      </w:r>
      <w:r>
        <w:t xml:space="preserve">, the extractant solution itself has an overwhelmingly high ionic strength. This swamps the native ionic strength of the soil, ensuring that all samples—regardless of their origin—have an identical background matrix. Consequently, while these methods do not yield absolute thermodynamic values, they permit valid</w:t>
      </w:r>
      <w:r>
        <w:t xml:space="preserve"> </w:t>
      </w:r>
      <w:r>
        <w:rPr>
          <w:b/>
          <w:bCs/>
        </w:rPr>
        <w:t xml:space="preserve">relative comparisons</w:t>
      </w:r>
      <w:r>
        <w:t xml:space="preserve"> </w:t>
      </w:r>
      <w:r>
        <w:t xml:space="preserve">of P concentrations between different soils.</w:t>
      </w:r>
    </w:p>
    <w:p>
      <w:pPr>
        <w:pStyle w:val="BodyText"/>
      </w:pPr>
      <w:r>
        <w:t xml:space="preserve">Conversely, water extractions like</w:t>
      </w:r>
      <w:r>
        <w:t xml:space="preserve">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t xml:space="preserve"> </w:t>
      </w:r>
      <w:r>
        <w:t xml:space="preserve">take on the native, highly variable ionic strength of the specific soil being tested. Reading the activity of these variable soil solutions against an</w:t>
      </w:r>
      <w:r>
        <w:t xml:space="preserve"> </w:t>
      </w:r>
      <m:oMath>
        <m:r>
          <m:t>I</m:t>
        </m:r>
        <m:r>
          <m:rPr>
            <m:sty m:val="p"/>
          </m:rPr>
          <m:t>=</m:t>
        </m:r>
        <m:r>
          <m:t>0</m:t>
        </m:r>
      </m:oMath>
      <w:r>
        <w:t xml:space="preserve"> </w:t>
      </w:r>
      <w:r>
        <w:t xml:space="preserve">calibration curve renders the absolute values mathematically incomparable across different pedoclimatic sites.</w:t>
      </w:r>
    </w:p>
    <w:p>
      <w:pPr>
        <w:pStyle w:val="BodyText"/>
      </w:pPr>
      <w:r>
        <w:t xml:space="preserve">To utilize</w:t>
      </w:r>
      <w:r>
        <w:t xml:space="preserve"> </w:t>
      </w:r>
      <m:oMath>
        <m:sSub>
          <m:e>
            <m:r>
              <m:t>P</m:t>
            </m:r>
          </m:e>
          <m:sub>
            <m:sSub>
              <m:e>
                <m:r>
                  <m:t>H</m:t>
                </m:r>
              </m:e>
              <m:sub>
                <m:r>
                  <m:t>2</m:t>
                </m:r>
              </m:sub>
            </m:sSub>
            <m:r>
              <m:t>O</m:t>
            </m:r>
          </m:sub>
        </m:sSub>
      </m:oMath>
      <w:r>
        <w:t xml:space="preserve"> </w:t>
      </w:r>
      <w:r>
        <w:t xml:space="preserve">as a true measure of theoretical P-Intensity, complex thermodynamic corrections—such as applying the</w:t>
      </w:r>
      <w:r>
        <w:t xml:space="preserve"> </w:t>
      </w:r>
      <w:r>
        <w:rPr>
          <w:b/>
          <w:bCs/>
        </w:rPr>
        <w:t xml:space="preserve">Pitzer equations</w:t>
      </w:r>
      <w:r>
        <w:t xml:space="preserve"> </w:t>
      </w:r>
      <w:r>
        <w:t xml:space="preserve">to calculate precise activity coefficients based on the specific ionic composition of each soil extract—would be required. Currently, such corrections are rarely applied in standard agronomic testing.</w:t>
      </w:r>
    </w:p>
    <w:bookmarkEnd w:id="12"/>
    <w:bookmarkStart w:id="13" w:name="from-static-tests-to-kinetic-parameters"/>
    <w:p>
      <w:pPr>
        <w:pStyle w:val="Heading2"/>
      </w:pPr>
      <w:r>
        <w:t xml:space="preserve">1.4 From Static Tests to Kinetic Parameters</w:t>
      </w:r>
    </w:p>
    <w:p>
      <w:pPr>
        <w:pStyle w:val="FirstParagraph"/>
      </w:pPr>
      <w:r>
        <w:t xml:space="preserve">Given the analytical limitations of static operational tests and their failure to account for the dynamic replenishment rate of P during the growing season, an alternative approach is required</w:t>
      </w:r>
      <w:r>
        <w:t xml:space="preserve"> </w:t>
      </w:r>
      <w:r>
        <w:t xml:space="preserve">(Flossmann &amp; Richter, 1982; Nye &amp; Tinker, 2000)</w:t>
      </w:r>
      <w:r>
        <w:t xml:space="preserve">.</w:t>
      </w:r>
    </w:p>
    <w:p>
      <w:pPr>
        <w:pStyle w:val="BodyText"/>
      </w:pPr>
      <w:r>
        <w:t xml:space="preserve">This thesis hypothesizes that kinetic parameters describing P desorption, derived from a time-series laboratory extraction, can bypass the limitations of static capacity measurements and serve as a more effective, functional proxy for agronomic P availability. By characterizing the desorption rate constant (</w:t>
      </w:r>
      <m:oMath>
        <m:r>
          <m:t>k</m:t>
        </m:r>
      </m:oMath>
      <w:r>
        <w:t xml:space="preserve">) and the maximum desorbable P pool (</w:t>
      </w:r>
      <m:oMath>
        <m:sSub>
          <m:e>
            <m:r>
              <m:t>P</m:t>
            </m:r>
          </m:e>
          <m:sub>
            <m:r>
              <m:t>d</m:t>
            </m:r>
            <m:r>
              <m:t>e</m:t>
            </m:r>
            <m:r>
              <m:t>s</m:t>
            </m:r>
            <m:r>
              <m:t>o</m:t>
            </m:r>
            <m:r>
              <m:t>r</m:t>
            </m:r>
            <m:r>
              <m:t>b</m:t>
            </m:r>
          </m:sub>
        </m:sSub>
      </m:oMath>
      <w:r>
        <w:t xml:space="preserve">) using soils from the long-term Swiss agricultural experiment STYCS, this study aims to answer the following research questions:</w:t>
      </w:r>
    </w:p>
    <w:p>
      <w:pPr>
        <w:pStyle w:val="Compact"/>
        <w:numPr>
          <w:ilvl w:val="0"/>
          <w:numId w:val="1002"/>
        </w:numPr>
      </w:pPr>
      <w:r>
        <w:t xml:space="preserve">How well do standard, operationally defined soil tests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predict agronomic outcomes, and how are they influenced by overarching soil properties?</w:t>
      </w:r>
    </w:p>
    <w:p>
      <w:pPr>
        <w:pStyle w:val="Compact"/>
        <w:numPr>
          <w:ilvl w:val="0"/>
          <w:numId w:val="1002"/>
        </w:numPr>
      </w:pPr>
      <w:r>
        <w:t xml:space="preserve">Can non-linear modeling of P desorption kinetics provide a robust characterization of the P-Quantity and replenishment rate across diverse Swiss soils?</w:t>
      </w:r>
    </w:p>
    <w:p>
      <w:pPr>
        <w:pStyle w:val="Compact"/>
        <w:numPr>
          <w:ilvl w:val="0"/>
          <w:numId w:val="1002"/>
        </w:numPr>
      </w:pPr>
      <w:r>
        <w:t xml:space="preserve">Do these dynamic kinetic parameters significantly improve the prediction of key agronomic outcomes (yield, P-uptake, and long-term P-balance) compared to traditional static methods?</w:t>
      </w:r>
    </w:p>
    <w:p>
      <w:r>
        <w:br w:type="page"/>
      </w:r>
    </w:p>
    <w:bookmarkEnd w:id="13"/>
    <w:bookmarkEnd w:id="14"/>
    <w:bookmarkStart w:id="29" w:name="sec-materials-and-methods"/>
    <w:p>
      <w:pPr>
        <w:pStyle w:val="Heading1"/>
      </w:pPr>
      <w:r>
        <w:t xml:space="preserve">2. Materials and Methods</w:t>
      </w:r>
    </w:p>
    <w:bookmarkStart w:id="15"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Richner,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15"/>
    <w:bookmarkStart w:id="17"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p>
      <w:pPr>
        <w:pStyle w:val="SourceCode"/>
      </w:pPr>
      <w:r>
        <w:rPr>
          <w:rStyle w:val="NormalTok"/>
        </w:rPr>
        <w:t xml:space="preserve">sites_df_corrected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"ALT"</w:t>
      </w:r>
      <w:r>
        <w:rPr>
          <w:rStyle w:val="NormalTok"/>
        </w:rPr>
        <w:t xml:space="preserve">, </w:t>
      </w:r>
      <w:r>
        <w:rPr>
          <w:rStyle w:val="StringTok"/>
        </w:rPr>
        <w:t xml:space="preserve">"CAD"</w:t>
      </w:r>
      <w:r>
        <w:rPr>
          <w:rStyle w:val="NormalTok"/>
        </w:rPr>
        <w:t xml:space="preserve">, </w:t>
      </w:r>
      <w:r>
        <w:rPr>
          <w:rStyle w:val="StringTok"/>
        </w:rPr>
        <w:t xml:space="preserve">"ELL"</w:t>
      </w:r>
      <w:r>
        <w:rPr>
          <w:rStyle w:val="NormalTok"/>
        </w:rPr>
        <w:t xml:space="preserve">, </w:t>
      </w:r>
      <w:r>
        <w:rPr>
          <w:rStyle w:val="StringTok"/>
        </w:rPr>
        <w:t xml:space="preserve">"GRA"</w:t>
      </w:r>
      <w:r>
        <w:rPr>
          <w:rStyle w:val="NormalTok"/>
        </w:rPr>
        <w:t xml:space="preserve">, </w:t>
      </w:r>
      <w:r>
        <w:rPr>
          <w:rStyle w:val="StringTok"/>
        </w:rPr>
        <w:t xml:space="preserve">"OEN"</w:t>
      </w:r>
      <w:r>
        <w:rPr>
          <w:rStyle w:val="NormalTok"/>
        </w:rPr>
        <w:t xml:space="preserve">, </w:t>
      </w:r>
      <w:r>
        <w:rPr>
          <w:rStyle w:val="StringTok"/>
        </w:rPr>
        <w:t xml:space="preserve">"REC"</w:t>
      </w:r>
      <w:r>
        <w:rPr>
          <w:rStyle w:val="NormalTok"/>
        </w:rPr>
        <w:t xml:space="preserve">),</w:t>
      </w:r>
      <w:r>
        <w:br/>
      </w:r>
      <w:r>
        <w:rPr>
          <w:rStyle w:val="NormalTok"/>
        </w:rPr>
        <w:t xml:space="preserve">  </w:t>
      </w:r>
      <w:r>
        <w:rPr>
          <w:rStyle w:val="StringTok"/>
        </w:rPr>
        <w:t xml:space="preserve">`</w:t>
      </w:r>
      <w:r>
        <w:rPr>
          <w:rStyle w:val="AttributeTok"/>
        </w:rPr>
        <w:t xml:space="preserve">Soil Type (WRB)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"Calcaric Cambisol"</w:t>
      </w:r>
      <w:r>
        <w:rPr>
          <w:rStyle w:val="NormalTok"/>
        </w:rPr>
        <w:t xml:space="preserve">, </w:t>
      </w:r>
      <w:r>
        <w:rPr>
          <w:rStyle w:val="StringTok"/>
        </w:rPr>
        <w:t xml:space="preserve">"Eutric Fluvisol"</w:t>
      </w:r>
      <w:r>
        <w:rPr>
          <w:rStyle w:val="NormalTok"/>
        </w:rPr>
        <w:t xml:space="preserve">, </w:t>
      </w:r>
      <w:r>
        <w:rPr>
          <w:rStyle w:val="StringTok"/>
        </w:rPr>
        <w:t xml:space="preserve">"Eutric Cambisol"</w:t>
      </w:r>
      <w:r>
        <w:rPr>
          <w:rStyle w:val="NormalTok"/>
        </w:rPr>
        <w:t xml:space="preserve">, </w:t>
      </w:r>
      <w:r>
        <w:rPr>
          <w:rStyle w:val="StringTok"/>
        </w:rPr>
        <w:t xml:space="preserve">"Calcaric Fluvisol"</w:t>
      </w:r>
      <w:r>
        <w:rPr>
          <w:rStyle w:val="NormalTok"/>
        </w:rPr>
        <w:t xml:space="preserve">, </w:t>
      </w:r>
      <w:r>
        <w:rPr>
          <w:rStyle w:val="StringTok"/>
        </w:rPr>
        <w:t xml:space="preserve">"Gleyic-calc. Cambisol"</w:t>
      </w:r>
      <w:r>
        <w:rPr>
          <w:rStyle w:val="NormalTok"/>
        </w:rPr>
        <w:t xml:space="preserve">, </w:t>
      </w:r>
      <w:r>
        <w:rPr>
          <w:rStyle w:val="StringTok"/>
        </w:rPr>
        <w:t xml:space="preserve">"Eutric Gleysol"</w:t>
      </w:r>
      <w:r>
        <w:rPr>
          <w:rStyle w:val="NormalTok"/>
        </w:rPr>
        <w:t xml:space="preserve">),</w:t>
      </w:r>
      <w:r>
        <w:br/>
      </w:r>
      <w:r>
        <w:rPr>
          <w:rStyle w:val="NormalTok"/>
        </w:rPr>
        <w:t xml:space="preserve">  </w:t>
      </w:r>
      <w:r>
        <w:rPr>
          <w:rStyle w:val="StringTok"/>
        </w:rPr>
        <w:t xml:space="preserve">`</w:t>
      </w:r>
      <w:r>
        <w:rPr>
          <w:rStyle w:val="AttributeTok"/>
        </w:rPr>
        <w:t xml:space="preserve">Clay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8</w:t>
      </w:r>
      <w:r>
        <w:rPr>
          <w:rStyle w:val="NormalTok"/>
        </w:rPr>
        <w:t xml:space="preserve">, </w:t>
      </w:r>
      <w:r>
        <w:rPr>
          <w:rStyle w:val="DecValTok"/>
        </w:rPr>
        <w:t xml:space="preserve">33</w:t>
      </w:r>
      <w:r>
        <w:rPr>
          <w:rStyle w:val="NormalTok"/>
        </w:rPr>
        <w:t xml:space="preserve">, </w:t>
      </w:r>
      <w:r>
        <w:rPr>
          <w:rStyle w:val="DecValTok"/>
        </w:rPr>
        <w:t xml:space="preserve">17</w:t>
      </w:r>
      <w:r>
        <w:rPr>
          <w:rStyle w:val="NormalTok"/>
        </w:rPr>
        <w:t xml:space="preserve">, </w:t>
      </w:r>
      <w:r>
        <w:rPr>
          <w:rStyle w:val="DecValTok"/>
        </w:rPr>
        <w:t xml:space="preserve">37</w:t>
      </w:r>
      <w:r>
        <w:rPr>
          <w:rStyle w:val="NormalTok"/>
        </w:rPr>
        <w:t xml:space="preserve">, </w:t>
      </w:r>
      <w:r>
        <w:rPr>
          <w:rStyle w:val="DecValTok"/>
        </w:rPr>
        <w:t xml:space="preserve">39</w:t>
      </w:r>
      <w:r>
        <w:rPr>
          <w:rStyle w:val="NormalTok"/>
        </w:rPr>
        <w:t xml:space="preserve">),</w:t>
      </w:r>
      <w:r>
        <w:br/>
      </w:r>
      <w:r>
        <w:rPr>
          <w:rStyle w:val="NormalTok"/>
        </w:rPr>
        <w:t xml:space="preserve">  </w:t>
      </w:r>
      <w:r>
        <w:rPr>
          <w:rStyle w:val="StringTok"/>
        </w:rPr>
        <w:t xml:space="preserve">`</w:t>
      </w:r>
      <w:r>
        <w:rPr>
          <w:rStyle w:val="AttributeTok"/>
        </w:rPr>
        <w:t xml:space="preserve">Sand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48</w:t>
      </w:r>
      <w:r>
        <w:rPr>
          <w:rStyle w:val="NormalTok"/>
        </w:rPr>
        <w:t xml:space="preserve">, </w:t>
      </w:r>
      <w:r>
        <w:rPr>
          <w:rStyle w:val="DecValTok"/>
        </w:rPr>
        <w:t xml:space="preserve">40</w:t>
      </w:r>
      <w:r>
        <w:rPr>
          <w:rStyle w:val="NormalTok"/>
        </w:rPr>
        <w:t xml:space="preserve">, </w:t>
      </w:r>
      <w:r>
        <w:rPr>
          <w:rStyle w:val="DecValTok"/>
        </w:rPr>
        <w:t xml:space="preserve">31</w:t>
      </w:r>
      <w:r>
        <w:rPr>
          <w:rStyle w:val="NormalTok"/>
        </w:rPr>
        <w:t xml:space="preserve">, </w:t>
      </w:r>
      <w:r>
        <w:rPr>
          <w:rStyle w:val="DecValTok"/>
        </w:rPr>
        <w:t xml:space="preserve">34</w:t>
      </w:r>
      <w:r>
        <w:rPr>
          <w:rStyle w:val="NormalTok"/>
        </w:rPr>
        <w:t xml:space="preserve">, </w:t>
      </w:r>
      <w:r>
        <w:rPr>
          <w:rStyle w:val="DecValTok"/>
        </w:rPr>
        <w:t xml:space="preserve">32</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w:t>
      </w:r>
      <w:r>
        <w:rPr>
          <w:rStyle w:val="AttributeTok"/>
        </w:rPr>
        <w:t xml:space="preserve">Organic C (g/kg)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14</w:t>
      </w:r>
      <w:r>
        <w:rPr>
          <w:rStyle w:val="NormalTok"/>
        </w:rPr>
        <w:t xml:space="preserve">, </w:t>
      </w:r>
      <w:r>
        <w:rPr>
          <w:rStyle w:val="DecValTok"/>
        </w:rPr>
        <w:t xml:space="preserve">23</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27</w:t>
      </w:r>
      <w:r>
        <w:rPr>
          <w:rStyle w:val="NormalTok"/>
        </w:rPr>
        <w:t xml:space="preserve">),</w:t>
      </w:r>
      <w:r>
        <w:br/>
      </w:r>
      <w:r>
        <w:rPr>
          <w:rStyle w:val="NormalTok"/>
        </w:rPr>
        <w:t xml:space="preserve">  </w:t>
      </w:r>
      <w:r>
        <w:rPr>
          <w:rStyle w:val="StringTok"/>
        </w:rPr>
        <w:t xml:space="preserve">`</w:t>
      </w:r>
      <w:r>
        <w:rPr>
          <w:rStyle w:val="AttributeTok"/>
        </w:rPr>
        <w:t xml:space="preserve">pH (H2O)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7.9</w:t>
      </w:r>
      <w:r>
        <w:rPr>
          <w:rStyle w:val="NormalTok"/>
        </w:rPr>
        <w:t xml:space="preserve">, </w:t>
      </w:r>
      <w:r>
        <w:rPr>
          <w:rStyle w:val="FloatTok"/>
        </w:rPr>
        <w:t xml:space="preserve">6.3</w:t>
      </w:r>
      <w:r>
        <w:rPr>
          <w:rStyle w:val="NormalTok"/>
        </w:rPr>
        <w:t xml:space="preserve">, </w:t>
      </w:r>
      <w:r>
        <w:rPr>
          <w:rStyle w:val="FloatTok"/>
        </w:rPr>
        <w:t xml:space="preserve">6.6</w:t>
      </w:r>
      <w:r>
        <w:rPr>
          <w:rStyle w:val="NormalTok"/>
        </w:rPr>
        <w:t xml:space="preserve">, </w:t>
      </w:r>
      <w:r>
        <w:rPr>
          <w:rStyle w:val="FloatTok"/>
        </w:rPr>
        <w:t xml:space="preserve">8.3</w:t>
      </w:r>
      <w:r>
        <w:rPr>
          <w:rStyle w:val="NormalTok"/>
        </w:rPr>
        <w:t xml:space="preserve">, </w:t>
      </w:r>
      <w:r>
        <w:rPr>
          <w:rStyle w:val="FloatTok"/>
        </w:rPr>
        <w:t xml:space="preserve">7.1</w:t>
      </w:r>
      <w:r>
        <w:rPr>
          <w:rStyle w:val="NormalTok"/>
        </w:rPr>
        <w:t xml:space="preserve">, </w:t>
      </w:r>
      <w:r>
        <w:rPr>
          <w:rStyle w:val="FloatTok"/>
        </w:rPr>
        <w:t xml:space="preserve">7.4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(sites_df_corrected)</w:t>
      </w:r>
    </w:p>
    <w:tbl>
      <w:tblPr>
        <w:tblStyle w:val="Table"/>
        <w:tblW w:type="pct" w:w="5000"/>
        <w:tblLayout w:type="fixed"/>
        <w:tblLook w:firstRow="0" w:lastRow="0" w:firstColumn="0" w:lastColumn="0" w:noHBand="0" w:noVBand="0" w:val="0000"/>
      </w:tblPr>
      <w:tblGrid>
        <w:gridCol w:w="7920"/>
      </w:tblGrid>
      <w:tr>
        <w:tc>
          <w:tcPr/>
          <w:bookmarkStart w:id="16" w:name="tbl-sites-corrected"/>
          <w:p>
            <w:pPr>
              <w:jc w:val="center"/>
            </w:pPr>
            <w:pPr>
              <w:jc w:val="left"/>
              <w:spacing w:before="200"/>
              <w:pStyle w:val="ImageCaption"/>
            </w:pPr>
            <w:r>
              <w:t xml:space="preserve">Table 1: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16"/>
          <w:p/>
        </w:tc>
      </w:tr>
    </w:tbl>
    <w:p>
      <w:pPr>
        <w:pStyle w:val="BodyText"/>
      </w:pPr>
      <w:r>
        <w:t xml:space="preserve">Soil samples for this thesis were collected in the year 2022 from the topsoil layer (0-20 cm).</w:t>
      </w:r>
    </w:p>
    <w:bookmarkEnd w:id="17"/>
    <w:bookmarkStart w:id="20" w:name="sec-phosphorus-desorption-kinetics"/>
    <w:p>
      <w:pPr>
        <w:pStyle w:val="Heading2"/>
      </w:pPr>
      <w:r>
        <w:t xml:space="preserve">2.3 Phosphorus Desorption Kinetics</w:t>
      </w:r>
    </w:p>
    <w:p>
      <w:pPr>
        <w:pStyle w:val="FirstParagraph"/>
      </w:pPr>
      <w:r>
        <w:t xml:space="preserve">The analysis of phosphorus (P) desorption kinetics was based on the principles of sequential extraction established by</w:t>
      </w:r>
      <w:r>
        <w:t xml:space="preserve"> </w:t>
      </w:r>
      <w:r>
        <w:t xml:space="preserve">Flossmann &amp; Richter (1982)</w:t>
      </w:r>
      <w:r>
        <w:t xml:space="preserve">. The original method is described below, followed by the specific protocol adapted for this study.</w:t>
      </w:r>
    </w:p>
    <w:bookmarkStart w:id="18" w:name="original-method-of-flossmann-and-richter"/>
    <w:p>
      <w:pPr>
        <w:pStyle w:val="Heading3"/>
      </w:pPr>
      <w:r>
        <w:t xml:space="preserve">2.3.1 Original Method of Flossmann and Richter</w:t>
      </w:r>
    </w:p>
    <w:p>
      <w:pPr>
        <w:pStyle w:val="FirstParagraph"/>
      </w:pPr>
      <w:r>
        <w:t xml:space="preserve">The foundational method aims to characterize the P replenishment capacity of the soil. The procedure is as follows:</w:t>
      </w:r>
    </w:p>
    <w:p>
      <w:pPr>
        <w:pStyle w:val="Compact"/>
        <w:numPr>
          <w:ilvl w:val="0"/>
          <w:numId w:val="1003"/>
        </w:numPr>
      </w:pPr>
      <w:r>
        <w:rPr>
          <w:b/>
          <w:bCs/>
        </w:rPr>
        <w:t xml:space="preserve">Removal of Soluble P</w:t>
      </w:r>
      <w:r>
        <w:t xml:space="preserve">: 17.5 g of air-dried soil is shaken with 350 ml of deionized water for one hour at 120 Hz in a horizontal soil-shaker. The suspension is centrifuged at 4000 rpm for 15 minutes and the supernatant is decanted to remove the readily soluble P fraction.</w:t>
      </w:r>
    </w:p>
    <w:p>
      <w:pPr>
        <w:pStyle w:val="Compact"/>
        <w:numPr>
          <w:ilvl w:val="0"/>
          <w:numId w:val="1003"/>
        </w:numPr>
      </w:pPr>
      <w:r>
        <w:rPr>
          <w:b/>
          <w:bCs/>
        </w:rPr>
        <w:t xml:space="preserve">Kinetic Extraction</w:t>
      </w:r>
      <w:r>
        <w:t xml:space="preserve">: The remaining soil pellet is resuspended with another 350 ml of deionized water. Subsamples of the suspension are taken at specific time intervals (e.g., 10, 30, and 120 minutes).</w:t>
      </w:r>
    </w:p>
    <w:p>
      <w:pPr>
        <w:pStyle w:val="Compact"/>
        <w:numPr>
          <w:ilvl w:val="0"/>
          <w:numId w:val="1003"/>
        </w:numPr>
      </w:pPr>
      <w:r>
        <w:rPr>
          <w:b/>
          <w:bCs/>
        </w:rPr>
        <w:t xml:space="preserve">Analysis</w:t>
      </w:r>
      <w:r>
        <w:t xml:space="preserve">: The P concentration in the subsamples is determined colorimetrically.</w:t>
      </w:r>
    </w:p>
    <w:bookmarkEnd w:id="18"/>
    <w:bookmarkStart w:id="19" w:name="Xbd6c1e5704c75ae9a98b5e8f17a138b0c980a04"/>
    <w:p>
      <w:pPr>
        <w:pStyle w:val="Heading3"/>
      </w:pPr>
      <w:r>
        <w:t xml:space="preserve">2.3.2 Adapted Kinetic Protocol for This Study</w:t>
      </w:r>
    </w:p>
    <w:p>
      <w:pPr>
        <w:pStyle w:val="FirstParagraph"/>
      </w:pPr>
      <w:r>
        <w:t xml:space="preserve">For this thesis, the original method was modified to capture the desorption process with a higher temporal resolution.</w:t>
      </w:r>
    </w:p>
    <w:p>
      <w:pPr>
        <w:numPr>
          <w:ilvl w:val="0"/>
          <w:numId w:val="1004"/>
        </w:numPr>
      </w:pPr>
      <w:r>
        <w:rPr>
          <w:b/>
          <w:bCs/>
        </w:rPr>
        <w:t xml:space="preserve">Pre-washing to Remove Soluble P</w:t>
      </w:r>
      <w:r>
        <w:t xml:space="preserve">: A pre-washing step was performed to remove the readily soluble P fraction. 10 g of air-dried soil was suspended in 200 ml of deionized water and shaken for 60 minutes at 120 Hz. The suspension was then centrifuged for 15 minutes at 4000 rpm, and the supernatant containing the soluble P was discarded.</w:t>
      </w:r>
    </w:p>
    <w:p>
      <w:pPr>
        <w:numPr>
          <w:ilvl w:val="0"/>
          <w:numId w:val="1004"/>
        </w:numPr>
      </w:pPr>
      <w:r>
        <w:rPr>
          <w:b/>
          <w:bCs/>
        </w:rPr>
        <w:t xml:space="preserve">Kinetic Extraction</w:t>
      </w:r>
      <w:r>
        <w:t xml:space="preserve">: The remaining soil pellet was resuspended in 200 ml of fresh deionized water. The suspension was shaken continuously, and subsamples were taken at eight time points to generate a detailed kinetic curve:</w:t>
      </w:r>
      <w:r>
        <w:t xml:space="preserve"> </w:t>
      </w:r>
      <w:r>
        <w:rPr>
          <w:b/>
          <w:bCs/>
        </w:rPr>
        <w:t xml:space="preserve">2, 4, 10, 15, 20, 30, 45, and 60 minutes</w:t>
      </w:r>
      <w:r>
        <w:t xml:space="preserve">.</w:t>
      </w:r>
    </w:p>
    <w:p>
      <w:pPr>
        <w:numPr>
          <w:ilvl w:val="0"/>
          <w:numId w:val="1004"/>
        </w:numPr>
      </w:pPr>
      <w:r>
        <w:rPr>
          <w:b/>
          <w:bCs/>
        </w:rPr>
        <w:t xml:space="preserve">Analysis</w:t>
      </w:r>
      <w:r>
        <w:t xml:space="preserve">: Each subsample was immediately filtered. The concentration of orthophosphate in the filtered extracts was determined colorimetrically using the</w:t>
      </w:r>
      <w:r>
        <w:t xml:space="preserve"> </w:t>
      </w:r>
      <w:r>
        <w:rPr>
          <w:b/>
          <w:bCs/>
        </w:rPr>
        <w:t xml:space="preserve">malachite green method</w:t>
      </w:r>
      <w:r>
        <w:t xml:space="preserve"> </w:t>
      </w:r>
      <w:r>
        <w:t xml:space="preserve">(Van Veldhoven &amp; Mannaerts, 1987)</w:t>
      </w:r>
      <w:r>
        <w:t xml:space="preserve">.</w:t>
      </w:r>
    </w:p>
    <w:bookmarkEnd w:id="19"/>
    <w:bookmarkEnd w:id="20"/>
    <w:bookmarkStart w:id="28" w:name="sec-statistical-analysis"/>
    <w:p>
      <w:pPr>
        <w:pStyle w:val="Heading2"/>
      </w:pPr>
      <w:r>
        <w:t xml:space="preserve">2.4 Statistical Analysis</w:t>
      </w:r>
    </w:p>
    <w:bookmarkStart w:id="21" w:name="software-and-statistical-environment"/>
    <w:p>
      <w:pPr>
        <w:pStyle w:val="Heading3"/>
      </w:pPr>
      <w:r>
        <w:t xml:space="preserve">2.4.1 Software and Statistical Environment</w:t>
      </w:r>
    </w:p>
    <w:p>
      <w:pPr>
        <w:pStyle w:val="FirstParagraph"/>
      </w:pPr>
      <w:r>
        <w:t xml:space="preserve">All data processing, statistical modeling, and visualization were conducted using the R programming language (v. 4.2.2)</w:t>
      </w:r>
      <w:r>
        <w:t xml:space="preserve"> </w:t>
      </w:r>
      <w:r>
        <w:t xml:space="preserve">(R Core Team, 2022)</w:t>
      </w:r>
      <w:r>
        <w:t xml:space="preserve">. The primary packages used for the analysis were: -</w:t>
      </w:r>
      <w:r>
        <w:t xml:space="preserve"> </w:t>
      </w:r>
      <w:r>
        <w:rPr>
          <w:rStyle w:val="VerbatimChar"/>
        </w:rPr>
        <w:t xml:space="preserve">nlme</w:t>
      </w:r>
      <w:r>
        <w:t xml:space="preserve"> </w:t>
      </w:r>
      <w:r>
        <w:t xml:space="preserve">(Pinheiro et al., 2022)</w:t>
      </w:r>
      <w:r>
        <w:t xml:space="preserve"> </w:t>
      </w:r>
      <w:r>
        <w:t xml:space="preserve">for fitting the non-linear mixed-effects models to the kinetic data. -</w:t>
      </w:r>
      <w:r>
        <w:t xml:space="preserve"> </w:t>
      </w:r>
      <w:r>
        <w:rPr>
          <w:rStyle w:val="VerbatimChar"/>
        </w:rPr>
        <w:t xml:space="preserve">lme4</w:t>
      </w:r>
      <w:r>
        <w:t xml:space="preserve"> </w:t>
      </w:r>
      <w:r>
        <w:t xml:space="preserve">(Bates et al., 2015)</w:t>
      </w:r>
      <w:r>
        <w:t xml:space="preserve"> </w:t>
      </w:r>
      <w:r>
        <w:t xml:space="preserve">and</w:t>
      </w:r>
      <w:r>
        <w:t xml:space="preserve"> </w:t>
      </w:r>
      <w:r>
        <w:rPr>
          <w:rStyle w:val="VerbatimChar"/>
        </w:rPr>
        <w:t xml:space="preserve">lmerTest</w:t>
      </w:r>
      <w:r>
        <w:t xml:space="preserve"> </w:t>
      </w:r>
      <w:r>
        <w:t xml:space="preserve">(Kuznetsova et al., 2017)</w:t>
      </w:r>
      <w:r>
        <w:t xml:space="preserve"> </w:t>
      </w:r>
      <w:r>
        <w:t xml:space="preserve">for fitting and testing the linear mixed-effects models for agronomic and soil property analyses. -</w:t>
      </w:r>
      <w:r>
        <w:t xml:space="preserve"> </w:t>
      </w:r>
      <w:r>
        <w:rPr>
          <w:rStyle w:val="VerbatimChar"/>
        </w:rPr>
        <w:t xml:space="preserve">mlr3</w:t>
      </w:r>
      <w:r>
        <w:t xml:space="preserve"> </w:t>
      </w:r>
      <w:r>
        <w:t xml:space="preserve">(Lang et al., 2019)</w:t>
      </w:r>
      <w:r>
        <w:t xml:space="preserve"> </w:t>
      </w:r>
      <w:r>
        <w:t xml:space="preserve">for the systematic feature selection and model validation workflow.</w:t>
      </w:r>
    </w:p>
    <w:bookmarkEnd w:id="21"/>
    <w:bookmarkStart w:id="22" w:name="sec-modeling-of-desorption-kinetics"/>
    <w:p>
      <w:pPr>
        <w:pStyle w:val="Heading3"/>
      </w:pPr>
      <w:r>
        <w:t xml:space="preserve">2.4.2 Modeling of Desorption Kinetics</w:t>
      </w:r>
    </w:p>
    <w:p>
      <w:pPr>
        <w:pStyle w:val="FirstParagraph"/>
      </w:pPr>
      <w:r>
        <w:t xml:space="preserve">To derive the kinetic parameters, a non-linear mixed-effects model was implemented using the</w:t>
      </w:r>
      <w:r>
        <w:t xml:space="preserve"> </w:t>
      </w:r>
      <w:r>
        <w:rPr>
          <w:rStyle w:val="VerbatimChar"/>
        </w:rPr>
        <w:t xml:space="preserve">nlme</w:t>
      </w:r>
      <w:r>
        <w:t xml:space="preserve"> </w:t>
      </w:r>
      <w:r>
        <w:t xml:space="preserve">package. This approach was chosen to simultaneously estimate the rate constant (</w:t>
      </w:r>
      <w:r>
        <w:rPr>
          <w:i/>
          <w:iCs/>
        </w:rPr>
        <w:t xml:space="preserve">k</w:t>
      </w:r>
      <w:r>
        <w:t xml:space="preserve">) and the maximum desorbable P (</w:t>
      </w:r>
      <m:oMath>
        <m:sSub>
          <m:e>
            <m:r>
              <m:t>P</m:t>
            </m:r>
          </m:e>
          <m:sub>
            <m:r>
              <m:t>d</m:t>
            </m:r>
            <m:r>
              <m:t>e</m:t>
            </m:r>
            <m:r>
              <m:t>s</m:t>
            </m:r>
            <m:r>
              <m:t>o</m:t>
            </m:r>
            <m:r>
              <m:t>r</m:t>
            </m:r>
            <m:r>
              <m:t>b</m:t>
            </m:r>
          </m:sub>
        </m:sSub>
      </m:oMath>
      <w:r>
        <w:t xml:space="preserve">) for each soil sample. The model was fitted to the exact solution of the first-order rate equation:</w:t>
      </w:r>
    </w:p>
    <w:p>
      <w:pPr>
        <w:pStyle w:val="BodyText"/>
      </w:pPr>
      <m:oMathPara>
        <m:oMathParaPr>
          <m:jc m:val="center"/>
        </m:oMathParaPr>
        <m:oMath>
          <m:r>
            <m:t>P</m:t>
          </m:r>
          <m:r>
            <m:rPr>
              <m:sty m:val="p"/>
            </m:rPr>
            <m:t>(</m:t>
          </m:r>
          <m:r>
            <m:t>t</m:t>
          </m:r>
          <m:r>
            <m:rPr>
              <m:sty m:val="p"/>
            </m:rPr>
            <m:t>)</m:t>
          </m:r>
          <m:r>
            <m:rPr>
              <m:sty m:val="p"/>
            </m:rPr>
            <m:t>=</m:t>
          </m:r>
          <m:sSub>
            <m:e>
              <m:r>
                <m:t>P</m:t>
              </m:r>
            </m:e>
            <m:sub>
              <m:r>
                <m:t>d</m:t>
              </m:r>
              <m:r>
                <m:t>e</m:t>
              </m:r>
              <m:r>
                <m:t>s</m:t>
              </m:r>
              <m:r>
                <m:t>o</m:t>
              </m:r>
              <m:r>
                <m:t>r</m:t>
              </m:r>
              <m:r>
                <m:t>b</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P</m:t>
        </m:r>
        <m:r>
          <m:rPr>
            <m:sty m:val="p"/>
          </m:rPr>
          <m:t>(</m:t>
        </m:r>
        <m:r>
          <m:t>t</m:t>
        </m:r>
        <m:r>
          <m:rPr>
            <m:sty m:val="p"/>
          </m:rPr>
          <m:t>)</m:t>
        </m:r>
      </m:oMath>
      <w:r>
        <w:t xml:space="preserve"> </w:t>
      </w:r>
      <w:r>
        <w:t xml:space="preserve">is the P concentration at time</w:t>
      </w:r>
      <w:r>
        <w:t xml:space="preserve"> </w:t>
      </w:r>
      <m:oMath>
        <m:r>
          <m:t>t</m:t>
        </m:r>
      </m:oMath>
      <w:r>
        <w:t xml:space="preserve">,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oMath>
      <w:r>
        <w:t xml:space="preserve"> </w:t>
      </w:r>
      <w:r>
        <w:t xml:space="preserve">+ 3 min) to account for the rapid initial dissolution of P that occurs before the first measurement. In this mixed-effects framework, the overall mean values for</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were modeled as</w:t>
      </w:r>
      <w:r>
        <w:t xml:space="preserve"> </w:t>
      </w:r>
      <w:r>
        <w:rPr>
          <w:b/>
          <w:bCs/>
        </w:rPr>
        <w:t xml:space="preserve">fixed effects</w:t>
      </w:r>
      <w:r>
        <w:t xml:space="preserve">, while sample-specific deviations from these fixed effects were modeled as</w:t>
      </w:r>
      <w:r>
        <w:t xml:space="preserve"> </w:t>
      </w:r>
      <w:r>
        <w:rPr>
          <w:b/>
          <w:bCs/>
        </w:rPr>
        <w:t xml:space="preserve">random effects</w:t>
      </w:r>
      <w:r>
        <w:t xml:space="preserve"> </w:t>
      </w:r>
      <w:r>
        <w:t xml:space="preserve">to capture the unique desorption characteristics of each individual soil sample.</w:t>
      </w:r>
    </w:p>
    <w:bookmarkEnd w:id="22"/>
    <w:bookmarkStart w:id="24" w:name="X7948ef6b44c07ffe5eee7eadbac8c6481287b2f"/>
    <w:p>
      <w:pPr>
        <w:pStyle w:val="Heading3"/>
      </w:pPr>
      <w:r>
        <w:t xml:space="preserve">2.4.3 Comparative Modeling of Soil and Agronomic Parameters</w:t>
      </w:r>
    </w:p>
    <w:p>
      <w:pPr>
        <w:pStyle w:val="FirstParagraph"/>
      </w:pPr>
      <w:r>
        <w:t xml:space="preserve">To test the hypotheses of this thesis, two distinct sets of linear mixed-effects models were constructed.</w:t>
      </w:r>
    </w:p>
    <w:p>
      <w:pPr>
        <w:pStyle w:val="SourceCode"/>
      </w:pPr>
      <w:r>
        <w:rPr>
          <w:rStyle w:val="NormalTok"/>
        </w:rPr>
        <w:t xml:space="preserve">variables_df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Abbreviation =</w:t>
      </w:r>
      <w:r>
        <w:rPr>
          <w:rStyle w:val="NormalTok"/>
        </w:rPr>
        <w:t xml:space="preserve"> </w:t>
      </w:r>
      <w:r>
        <w:rPr>
          <w:rStyle w:val="FunctionTok"/>
        </w:rPr>
        <w:t xml:space="preserve">c</w:t>
      </w:r>
      <w:r>
        <w:rPr>
          <w:rStyle w:val="NormalTok"/>
        </w:rPr>
        <w:t xml:space="preserve">(</w:t>
      </w:r>
      <w:r>
        <w:rPr>
          <w:rStyle w:val="StringTok"/>
        </w:rPr>
        <w:t xml:space="preserve">"$Y_{rel}$"</w:t>
      </w:r>
      <w:r>
        <w:rPr>
          <w:rStyle w:val="NormalTok"/>
        </w:rPr>
        <w:t xml:space="preserve">, </w:t>
      </w:r>
      <w:r>
        <w:rPr>
          <w:rStyle w:val="StringTok"/>
        </w:rPr>
        <w:t xml:space="preserve">"$Y_{norm}$"</w:t>
      </w:r>
      <w:r>
        <w:rPr>
          <w:rStyle w:val="NormalTok"/>
        </w:rPr>
        <w:t xml:space="preserve">, </w:t>
      </w:r>
      <w:r>
        <w:rPr>
          <w:rStyle w:val="StringTok"/>
        </w:rPr>
        <w:t xml:space="preserve">"$P_{up}$"</w:t>
      </w:r>
      <w:r>
        <w:rPr>
          <w:rStyle w:val="NormalTok"/>
        </w:rPr>
        <w:t xml:space="preserve">, </w:t>
      </w:r>
      <w:r>
        <w:rPr>
          <w:rStyle w:val="StringTok"/>
        </w:rPr>
        <w:t xml:space="preserve">"$P_{bal}$"</w:t>
      </w:r>
      <w:r>
        <w:rPr>
          <w:rStyle w:val="NormalTok"/>
        </w:rPr>
        <w:t xml:space="preserve">, </w:t>
      </w:r>
      <w:r>
        <w:br/>
      </w:r>
      <w:r>
        <w:rPr>
          <w:rStyle w:val="NormalTok"/>
        </w:rPr>
        <w:t xml:space="preserve">                   </w:t>
      </w:r>
      <w:r>
        <w:rPr>
          <w:rStyle w:val="StringTok"/>
        </w:rPr>
        <w:t xml:space="preserve">"$k$"</w:t>
      </w:r>
      <w:r>
        <w:rPr>
          <w:rStyle w:val="NormalTok"/>
        </w:rPr>
        <w:t xml:space="preserve">, </w:t>
      </w:r>
      <w:r>
        <w:rPr>
          <w:rStyle w:val="StringTok"/>
        </w:rPr>
        <w:t xml:space="preserve">"$P_{desorb}$"</w:t>
      </w:r>
      <w:r>
        <w:rPr>
          <w:rStyle w:val="NormalTok"/>
        </w:rPr>
        <w:t xml:space="preserve">, </w:t>
      </w:r>
      <w:r>
        <w:rPr>
          <w:rStyle w:val="StringTok"/>
        </w:rPr>
        <w:t xml:space="preserve">"$J_0$"</w:t>
      </w:r>
      <w:r>
        <w:rPr>
          <w:rStyle w:val="NormalTok"/>
        </w:rPr>
        <w:t xml:space="preserve">, </w:t>
      </w:r>
      <w:r>
        <w:br/>
      </w:r>
      <w:r>
        <w:rPr>
          <w:rStyle w:val="NormalTok"/>
        </w:rPr>
        <w:t xml:space="preserve">                   </w:t>
      </w:r>
      <w:r>
        <w:rPr>
          <w:rStyle w:val="StringTok"/>
        </w:rPr>
        <w:t xml:space="preserve">"$P_{CO2}$"</w:t>
      </w:r>
      <w:r>
        <w:rPr>
          <w:rStyle w:val="NormalTok"/>
        </w:rPr>
        <w:t xml:space="preserve">, </w:t>
      </w:r>
      <w:r>
        <w:rPr>
          <w:rStyle w:val="StringTok"/>
        </w:rPr>
        <w:t xml:space="preserve">"$P_{AAE10}$"</w:t>
      </w:r>
      <w:r>
        <w:rPr>
          <w:rStyle w:val="NormalTok"/>
        </w:rPr>
        <w:t xml:space="preserve">,</w:t>
      </w:r>
      <w:r>
        <w:br/>
      </w:r>
      <w:r>
        <w:rPr>
          <w:rStyle w:val="NormalTok"/>
        </w:rPr>
        <w:t xml:space="preserve">                   </w:t>
      </w:r>
      <w:r>
        <w:rPr>
          <w:rStyle w:val="StringTok"/>
        </w:rPr>
        <w:t xml:space="preserve">"$Al_d$"</w:t>
      </w:r>
      <w:r>
        <w:rPr>
          <w:rStyle w:val="NormalTok"/>
        </w:rPr>
        <w:t xml:space="preserve">, </w:t>
      </w:r>
      <w:r>
        <w:rPr>
          <w:rStyle w:val="StringTok"/>
        </w:rPr>
        <w:t xml:space="preserve">"$Fe_d$"</w:t>
      </w:r>
      <w:r>
        <w:rPr>
          <w:rStyle w:val="NormalTok"/>
        </w:rPr>
        <w:t xml:space="preserve">),</w:t>
      </w:r>
      <w:r>
        <w:br/>
      </w:r>
      <w:r>
        <w:rPr>
          <w:rStyle w:val="NormalTok"/>
        </w:rPr>
        <w:t xml:space="preserve">  </w:t>
      </w:r>
      <w:r>
        <w:rPr>
          <w:rStyle w:val="StringTok"/>
        </w:rPr>
        <w:t xml:space="preserve">`</w:t>
      </w:r>
      <w:r>
        <w:rPr>
          <w:rStyle w:val="AttributeTok"/>
        </w:rPr>
        <w:t xml:space="preserve">Variable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"Relative Yield"</w:t>
      </w:r>
      <w:r>
        <w:rPr>
          <w:rStyle w:val="NormalTok"/>
        </w:rPr>
        <w:t xml:space="preserve">, </w:t>
      </w:r>
      <w:r>
        <w:rPr>
          <w:rStyle w:val="StringTok"/>
        </w:rPr>
        <w:t xml:space="preserve">"Normalized Yield"</w:t>
      </w:r>
      <w:r>
        <w:rPr>
          <w:rStyle w:val="NormalTok"/>
        </w:rPr>
        <w:t xml:space="preserve">, </w:t>
      </w:r>
      <w:r>
        <w:rPr>
          <w:rStyle w:val="StringTok"/>
        </w:rPr>
        <w:t xml:space="preserve">"P Uptake"</w:t>
      </w:r>
      <w:r>
        <w:rPr>
          <w:rStyle w:val="NormalTok"/>
        </w:rPr>
        <w:t xml:space="preserve">, </w:t>
      </w:r>
      <w:r>
        <w:rPr>
          <w:rStyle w:val="StringTok"/>
        </w:rPr>
        <w:t xml:space="preserve">"P Balance"</w:t>
      </w:r>
      <w:r>
        <w:rPr>
          <w:rStyle w:val="NormalTok"/>
        </w:rPr>
        <w:t xml:space="preserve">, </w:t>
      </w:r>
      <w:r>
        <w:br/>
      </w:r>
      <w:r>
        <w:rPr>
          <w:rStyle w:val="NormalTok"/>
        </w:rPr>
        <w:t xml:space="preserve">                  </w:t>
      </w:r>
      <w:r>
        <w:rPr>
          <w:rStyle w:val="StringTok"/>
        </w:rPr>
        <w:t xml:space="preserve">"Rate Constant"</w:t>
      </w:r>
      <w:r>
        <w:rPr>
          <w:rStyle w:val="NormalTok"/>
        </w:rPr>
        <w:t xml:space="preserve">, </w:t>
      </w:r>
      <w:r>
        <w:rPr>
          <w:rStyle w:val="StringTok"/>
        </w:rPr>
        <w:t xml:space="preserve">"Desorbable P"</w:t>
      </w:r>
      <w:r>
        <w:rPr>
          <w:rStyle w:val="NormalTok"/>
        </w:rPr>
        <w:t xml:space="preserve">, </w:t>
      </w:r>
      <w:r>
        <w:rPr>
          <w:rStyle w:val="StringTok"/>
        </w:rPr>
        <w:t xml:space="preserve">"Initial P Flux"</w:t>
      </w:r>
      <w:r>
        <w:rPr>
          <w:rStyle w:val="NormalTok"/>
        </w:rPr>
        <w:t xml:space="preserve">, </w:t>
      </w:r>
      <w:r>
        <w:br/>
      </w:r>
      <w:r>
        <w:rPr>
          <w:rStyle w:val="NormalTok"/>
        </w:rPr>
        <w:t xml:space="preserve">                  </w:t>
      </w:r>
      <w:r>
        <w:rPr>
          <w:rStyle w:val="StringTok"/>
        </w:rPr>
        <w:t xml:space="preserve">"Water-Soluble P"</w:t>
      </w:r>
      <w:r>
        <w:rPr>
          <w:rStyle w:val="NormalTok"/>
        </w:rPr>
        <w:t xml:space="preserve">, </w:t>
      </w:r>
      <w:r>
        <w:rPr>
          <w:rStyle w:val="StringTok"/>
        </w:rPr>
        <w:t xml:space="preserve">"Chelate-Extractable P"</w:t>
      </w:r>
      <w:r>
        <w:rPr>
          <w:rStyle w:val="NormalTok"/>
        </w:rPr>
        <w:t xml:space="preserve">,</w:t>
      </w:r>
      <w:r>
        <w:br/>
      </w:r>
      <w:r>
        <w:rPr>
          <w:rStyle w:val="NormalTok"/>
        </w:rPr>
        <w:t xml:space="preserve">                  </w:t>
      </w:r>
      <w:r>
        <w:rPr>
          <w:rStyle w:val="StringTok"/>
        </w:rPr>
        <w:t xml:space="preserve">"Dithionite-Extractable Al"</w:t>
      </w:r>
      <w:r>
        <w:rPr>
          <w:rStyle w:val="NormalTok"/>
        </w:rPr>
        <w:t xml:space="preserve">, </w:t>
      </w:r>
      <w:r>
        <w:rPr>
          <w:rStyle w:val="StringTok"/>
        </w:rPr>
        <w:t xml:space="preserve">"Dithionite-Extractable Fe"</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"unitless"</w:t>
      </w:r>
      <w:r>
        <w:rPr>
          <w:rStyle w:val="NormalTok"/>
        </w:rPr>
        <w:t xml:space="preserve">, </w:t>
      </w:r>
      <w:r>
        <w:rPr>
          <w:rStyle w:val="StringTok"/>
        </w:rPr>
        <w:t xml:space="preserve">"unitless"</w:t>
      </w:r>
      <w:r>
        <w:rPr>
          <w:rStyle w:val="NormalTok"/>
        </w:rPr>
        <w:t xml:space="preserve">, </w:t>
      </w:r>
      <w:r>
        <w:rPr>
          <w:rStyle w:val="StringTok"/>
        </w:rPr>
        <w:t xml:space="preserve">"kg P ha⁻¹"</w:t>
      </w:r>
      <w:r>
        <w:rPr>
          <w:rStyle w:val="NormalTok"/>
        </w:rPr>
        <w:t xml:space="preserve">, </w:t>
      </w:r>
      <w:r>
        <w:rPr>
          <w:rStyle w:val="StringTok"/>
        </w:rPr>
        <w:t xml:space="preserve">"kg P ha⁻¹"</w:t>
      </w:r>
      <w:r>
        <w:rPr>
          <w:rStyle w:val="NormalTok"/>
        </w:rPr>
        <w:t xml:space="preserve">,</w:t>
      </w:r>
      <w:r>
        <w:br/>
      </w:r>
      <w:r>
        <w:rPr>
          <w:rStyle w:val="NormalTok"/>
        </w:rPr>
        <w:t xml:space="preserve">           </w:t>
      </w:r>
      <w:r>
        <w:rPr>
          <w:rStyle w:val="StringTok"/>
        </w:rPr>
        <w:t xml:space="preserve">"min⁻¹"</w:t>
      </w:r>
      <w:r>
        <w:rPr>
          <w:rStyle w:val="NormalTok"/>
        </w:rPr>
        <w:t xml:space="preserve">, </w:t>
      </w:r>
      <w:r>
        <w:rPr>
          <w:rStyle w:val="StringTok"/>
        </w:rPr>
        <w:t xml:space="preserve">"mg P L⁻¹"</w:t>
      </w:r>
      <w:r>
        <w:rPr>
          <w:rStyle w:val="NormalTok"/>
        </w:rPr>
        <w:t xml:space="preserve">, </w:t>
      </w:r>
      <w:r>
        <w:rPr>
          <w:rStyle w:val="StringTok"/>
        </w:rPr>
        <w:t xml:space="preserve">"mg P L⁻¹ min⁻¹"</w:t>
      </w:r>
      <w:r>
        <w:rPr>
          <w:rStyle w:val="NormalTok"/>
        </w:rPr>
        <w:t xml:space="preserve">,</w:t>
      </w:r>
      <w:r>
        <w:br/>
      </w:r>
      <w:r>
        <w:rPr>
          <w:rStyle w:val="NormalTok"/>
        </w:rPr>
        <w:t xml:space="preserve">           </w:t>
      </w:r>
      <w:r>
        <w:rPr>
          <w:rStyle w:val="StringTok"/>
        </w:rPr>
        <w:t xml:space="preserve">"mg P kg⁻¹"</w:t>
      </w:r>
      <w:r>
        <w:rPr>
          <w:rStyle w:val="NormalTok"/>
        </w:rPr>
        <w:t xml:space="preserve">, </w:t>
      </w:r>
      <w:r>
        <w:rPr>
          <w:rStyle w:val="StringTok"/>
        </w:rPr>
        <w:t xml:space="preserve">"mg P kg⁻¹"</w:t>
      </w:r>
      <w:r>
        <w:rPr>
          <w:rStyle w:val="NormalTok"/>
        </w:rPr>
        <w:t xml:space="preserve">,</w:t>
      </w:r>
      <w:r>
        <w:br/>
      </w:r>
      <w:r>
        <w:rPr>
          <w:rStyle w:val="NormalTok"/>
        </w:rPr>
        <w:t xml:space="preserve">           </w:t>
      </w:r>
      <w:r>
        <w:rPr>
          <w:rStyle w:val="StringTok"/>
        </w:rPr>
        <w:t xml:space="preserve">"mg Al kg⁻¹"</w:t>
      </w:r>
      <w:r>
        <w:rPr>
          <w:rStyle w:val="NormalTok"/>
        </w:rPr>
        <w:t xml:space="preserve">, </w:t>
      </w:r>
      <w:r>
        <w:rPr>
          <w:rStyle w:val="StringTok"/>
        </w:rPr>
        <w:t xml:space="preserve">"mg Fe kg⁻¹"</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"Plot yield normalized by the national mean yield for that year and crop."</w:t>
      </w:r>
      <w:r>
        <w:rPr>
          <w:rStyle w:val="NormalTok"/>
        </w:rPr>
        <w:t xml:space="preserve">,</w:t>
      </w:r>
      <w:r>
        <w:br/>
      </w:r>
      <w:r>
        <w:rPr>
          <w:rStyle w:val="NormalTok"/>
        </w:rPr>
        <w:t xml:space="preserve">    </w:t>
      </w:r>
      <w:r>
        <w:rPr>
          <w:rStyle w:val="StringTok"/>
        </w:rPr>
        <w:t xml:space="preserve">"Plot yield normalized by the site-specific median yield of the highest P treatment for that year and crop."</w:t>
      </w:r>
      <w:r>
        <w:rPr>
          <w:rStyle w:val="NormalTok"/>
        </w:rPr>
        <w:t xml:space="preserve">,</w:t>
      </w:r>
      <w:r>
        <w:br/>
      </w:r>
      <w:r>
        <w:rPr>
          <w:rStyle w:val="NormalTok"/>
        </w:rPr>
        <w:t xml:space="preserve">    </w:t>
      </w:r>
      <w:r>
        <w:rPr>
          <w:rStyle w:val="StringTok"/>
        </w:rPr>
        <w:t xml:space="preserve">"Total P removed by the harvested crop biomass over a growing season."</w:t>
      </w:r>
      <w:r>
        <w:rPr>
          <w:rStyle w:val="NormalTok"/>
        </w:rPr>
        <w:t xml:space="preserve">,</w:t>
      </w:r>
      <w:r>
        <w:br/>
      </w:r>
      <w:r>
        <w:rPr>
          <w:rStyle w:val="NormalTok"/>
        </w:rPr>
        <w:t xml:space="preserve">    </w:t>
      </w:r>
      <w:r>
        <w:rPr>
          <w:rStyle w:val="StringTok"/>
        </w:rPr>
        <w:t xml:space="preserve">"Net P budget, calculated as P inputs (fertilizer) minus P outputs (uptake)."</w:t>
      </w:r>
      <w:r>
        <w:rPr>
          <w:rStyle w:val="NormalTok"/>
        </w:rPr>
        <w:t xml:space="preserve">,</w:t>
      </w:r>
      <w:r>
        <w:br/>
      </w:r>
      <w:r>
        <w:rPr>
          <w:rStyle w:val="NormalTok"/>
        </w:rPr>
        <w:t xml:space="preserve">    </w:t>
      </w:r>
      <w:r>
        <w:rPr>
          <w:rStyle w:val="StringTok"/>
        </w:rPr>
        <w:t xml:space="preserve">"First-order rate constant of P desorption, representing the speed of P release."</w:t>
      </w:r>
      <w:r>
        <w:rPr>
          <w:rStyle w:val="NormalTok"/>
        </w:rPr>
        <w:t xml:space="preserve">,</w:t>
      </w:r>
      <w:r>
        <w:br/>
      </w:r>
      <w:r>
        <w:rPr>
          <w:rStyle w:val="NormalTok"/>
        </w:rPr>
        <w:t xml:space="preserve">    </w:t>
      </w:r>
      <w:r>
        <w:rPr>
          <w:rStyle w:val="StringTok"/>
        </w:rPr>
        <w:t xml:space="preserve">"Maximum desorbable P, representing the size of the readily available P pool."</w:t>
      </w:r>
      <w:r>
        <w:rPr>
          <w:rStyle w:val="NormalTok"/>
        </w:rPr>
        <w:t xml:space="preserve">,</w:t>
      </w:r>
      <w:r>
        <w:br/>
      </w:r>
      <w:r>
        <w:rPr>
          <w:rStyle w:val="NormalTok"/>
        </w:rPr>
        <w:t xml:space="preserve">    </w:t>
      </w:r>
      <w:r>
        <w:rPr>
          <w:rStyle w:val="StringTok"/>
        </w:rPr>
        <w:t xml:space="preserve">"Product of $k$ and $P_{desorb}$, representing the initial flux of P from the soil."</w:t>
      </w:r>
      <w:r>
        <w:rPr>
          <w:rStyle w:val="NormalTok"/>
        </w:rPr>
        <w:t xml:space="preserve">,</w:t>
      </w:r>
      <w:r>
        <w:br/>
      </w:r>
      <w:r>
        <w:rPr>
          <w:rStyle w:val="NormalTok"/>
        </w:rPr>
        <w:t xml:space="preserve">    </w:t>
      </w:r>
      <w:r>
        <w:rPr>
          <w:rStyle w:val="StringTok"/>
        </w:rPr>
        <w:t xml:space="preserve">"Plant-available P measured by CO₂-saturated water extraction [@FAL1996Methodenbuch]."</w:t>
      </w:r>
      <w:r>
        <w:rPr>
          <w:rStyle w:val="NormalTok"/>
        </w:rPr>
        <w:t xml:space="preserve">,</w:t>
      </w:r>
      <w:r>
        <w:br/>
      </w:r>
      <w:r>
        <w:rPr>
          <w:rStyle w:val="NormalTok"/>
        </w:rPr>
        <w:t xml:space="preserve">    </w:t>
      </w:r>
      <w:r>
        <w:rPr>
          <w:rStyle w:val="StringTok"/>
        </w:rPr>
        <w:t xml:space="preserve">"Plant-available P measured by the ammonium-acetate-EDTA extraction method [@FAL1996Methodenbuch]."</w:t>
      </w:r>
      <w:r>
        <w:rPr>
          <w:rStyle w:val="NormalTok"/>
        </w:rPr>
        <w:t xml:space="preserve">,</w:t>
      </w:r>
      <w:r>
        <w:br/>
      </w:r>
      <w:r>
        <w:rPr>
          <w:rStyle w:val="NormalTok"/>
        </w:rPr>
        <w:t xml:space="preserve">    </w:t>
      </w:r>
      <w:r>
        <w:rPr>
          <w:rStyle w:val="StringTok"/>
        </w:rPr>
        <w:t xml:space="preserve">"Free Al oxides (crystalline and amorphous) extracted with dithionite-citrate-bicarbonate [@Mehra1960Iron]."</w:t>
      </w:r>
      <w:r>
        <w:rPr>
          <w:rStyle w:val="NormalTok"/>
        </w:rPr>
        <w:t xml:space="preserve">,</w:t>
      </w:r>
      <w:r>
        <w:br/>
      </w:r>
      <w:r>
        <w:rPr>
          <w:rStyle w:val="NormalTok"/>
        </w:rPr>
        <w:t xml:space="preserve">    </w:t>
      </w:r>
      <w:r>
        <w:rPr>
          <w:rStyle w:val="StringTok"/>
        </w:rPr>
        <w:t xml:space="preserve">"Free Fe oxides (crystalline and amorphous) extracted with dithionite-citrate-bicarbonate [@Mehra1960Iron]."</w:t>
      </w:r>
      <w:r>
        <w:br/>
      </w:r>
      <w:r>
        <w:rPr>
          <w:rStyle w:val="NormalTok"/>
        </w:rPr>
        <w:t xml:space="preserve">  )</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(variables_df)</w:t>
      </w:r>
    </w:p>
    <w:tbl>
      <w:tblPr>
        <w:tblStyle w:val="Table"/>
        <w:tblW w:type="pct" w:w="5000"/>
        <w:tblLayout w:type="fixed"/>
        <w:tblLook w:firstRow="0" w:lastRow="0" w:firstColumn="0" w:lastColumn="0" w:noHBand="0" w:noVBand="0" w:val="0000"/>
      </w:tblPr>
      <w:tblGrid>
        <w:gridCol w:w="7920"/>
      </w:tblGrid>
      <w:tr>
        <w:tc>
          <w:tcPr/>
          <w:bookmarkStart w:id="23" w:name="tbl-variables"/>
          <w:p>
            <w:pPr>
              <w:jc w:val="center"/>
            </w:pPr>
            <w:pPr>
              <w:jc w:val="left"/>
              <w:spacing w:before="200"/>
              <w:pStyle w:val="ImageCaption"/>
            </w:pPr>
            <w:r>
              <w:t xml:space="preserve">Table 2: Description of variables used in the agronomic and soil models.</w:t>
            </w:r>
          </w:p>
          <w:tbl>
            <w:tblPr>
              <w:tblStyle w:val="Table"/>
              <w:tblW w:type="pct" w:w="5000"/>
              <w:tblLayout w:type="fixed"/>
              <w:tblLook w:firstRow="1" w:lastRow="0" w:firstColumn="0" w:lastColumn="0" w:noHBand="0" w:noVBand="0" w:val="0020"/>
            </w:tblPr>
            <w:tblGrid>
              <w:gridCol w:w="639"/>
              <w:gridCol w:w="1279"/>
              <w:gridCol w:w="737"/>
              <w:gridCol w:w="5263"/>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sub>
                    </m:sSub>
                  </m:oMath>
                </w:p>
              </w:tc>
              <w:tc>
                <w:tcPr/>
                <w:p>
                  <w:pPr>
                    <w:pStyle w:val="Compact"/>
                    <w:jc w:val="left"/>
                    <w:jc w:val="center"/>
                  </w:pPr>
                  <w:r>
                    <w:t xml:space="preserve">Relative Yield</w:t>
                  </w:r>
                </w:p>
              </w:tc>
              <w:tc>
                <w:tcPr/>
                <w:p>
                  <w:pPr>
                    <w:pStyle w:val="Compact"/>
                    <w:jc w:val="left"/>
                    <w:jc w:val="center"/>
                  </w:pPr>
                  <w:r>
                    <w:t xml:space="preserve">unitless</w:t>
                  </w:r>
                </w:p>
              </w:tc>
              <w:tc>
                <w:tcPr/>
                <w:p>
                  <w:pPr>
                    <w:pStyle w:val="Compact"/>
                    <w:jc w:val="left"/>
                    <w:jc w:val="center"/>
                  </w:pPr>
                  <w:r>
                    <w:t xml:space="preserve">Plot yield normalized by the national mean yield for that year and crop.</w:t>
                  </w:r>
                </w:p>
              </w:tc>
            </w:tr>
            <w:tr>
              <w:tc>
                <w:tcPr/>
                <w:p>
                  <w:pPr>
                    <w:pStyle w:val="Compact"/>
                    <w:jc w:val="left"/>
                    <w:jc w:val="center"/>
                  </w:pPr>
                  <m:oMath>
                    <m:sSub>
                      <m:e>
                        <m:r>
                          <m:t>Y</m:t>
                        </m:r>
                      </m:e>
                      <m:sub>
                        <m:r>
                          <m:t>n</m:t>
                        </m:r>
                        <m:r>
                          <m:t>o</m:t>
                        </m:r>
                        <m:r>
                          <m:t>r</m:t>
                        </m:r>
                        <m:r>
                          <m:t>m</m:t>
                        </m:r>
                      </m:sub>
                    </m:sSub>
                  </m:oMath>
                </w:p>
              </w:tc>
              <w:tc>
                <w:tcPr/>
                <w:p>
                  <w:pPr>
                    <w:pStyle w:val="Compact"/>
                    <w:jc w:val="left"/>
                    <w:jc w:val="center"/>
                  </w:pPr>
                  <w:r>
                    <w:t xml:space="preserve">Normalized Yield</w:t>
                  </w:r>
                </w:p>
              </w:tc>
              <w:tc>
                <w:tcPr/>
                <w:p>
                  <w:pPr>
                    <w:pStyle w:val="Compact"/>
                    <w:jc w:val="left"/>
                    <w:jc w:val="center"/>
                  </w:pPr>
                  <w:r>
                    <w:t xml:space="preserve">unitless</w:t>
                  </w:r>
                </w:p>
              </w:tc>
              <w:tc>
                <w:tcPr/>
                <w:p>
                  <w:pPr>
                    <w:pStyle w:val="Compact"/>
                    <w:jc w:val="left"/>
                    <w:jc w:val="center"/>
                  </w:pPr>
                  <w:r>
                    <w:t xml:space="preserve">Plot yield normalized by the site-specific median yield of the highest P treatment for that year and crop.</w:t>
                  </w:r>
                </w:p>
              </w:tc>
            </w:tr>
            <w:tr>
              <w:tc>
                <w:tcPr/>
                <w:p>
                  <w:pPr>
                    <w:pStyle w:val="Compact"/>
                    <w:jc w:val="left"/>
                    <w:jc w:val="center"/>
                  </w:pPr>
                  <m:oMath>
                    <m:sSub>
                      <m:e>
                        <m:r>
                          <m:t>P</m:t>
                        </m:r>
                      </m:e>
                      <m:sub>
                        <m:r>
                          <m:t>u</m:t>
                        </m:r>
                        <m:r>
                          <m:t>p</m:t>
                        </m:r>
                      </m:sub>
                    </m:sSub>
                  </m:oMath>
                </w:p>
              </w:tc>
              <w:tc>
                <w:tcPr/>
                <w:p>
                  <w:pPr>
                    <w:pStyle w:val="Compact"/>
                    <w:jc w:val="left"/>
                    <w:jc w:val="center"/>
                  </w:pPr>
                  <w:r>
                    <w:t xml:space="preserve">P Uptake</w:t>
                  </w:r>
                </w:p>
              </w:tc>
              <w:tc>
                <w:tcPr/>
                <w:p>
                  <w:pPr>
                    <w:pStyle w:val="Compact"/>
                    <w:jc w:val="left"/>
                    <w:jc w:val="center"/>
                  </w:pPr>
                  <w:r>
                    <w:t xml:space="preserve">kg P ha⁻¹</w:t>
                  </w:r>
                </w:p>
              </w:tc>
              <w:tc>
                <w:tcPr/>
                <w:p>
                  <w:pPr>
                    <w:pStyle w:val="Compact"/>
                    <w:jc w:val="left"/>
                    <w:jc w:val="center"/>
                  </w:pPr>
                  <w:r>
                    <w:t xml:space="preserve">Total P removed by the harvested crop biomass over a growing season.</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P Balance</w:t>
                  </w:r>
                </w:p>
              </w:tc>
              <w:tc>
                <w:tcPr/>
                <w:p>
                  <w:pPr>
                    <w:pStyle w:val="Compact"/>
                    <w:jc w:val="left"/>
                    <w:jc w:val="center"/>
                  </w:pPr>
                  <w:r>
                    <w:t xml:space="preserve">kg P ha⁻¹</w:t>
                  </w:r>
                </w:p>
              </w:tc>
              <w:tc>
                <w:tcPr/>
                <w:p>
                  <w:pPr>
                    <w:pStyle w:val="Compact"/>
                    <w:jc w:val="left"/>
                    <w:jc w:val="center"/>
                  </w:pPr>
                  <w:r>
                    <w:t xml:space="preserve">Net P budget, calculated as P inputs (fertilizer) minus P outputs (uptake).</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 representing the speed of P release.</w:t>
                  </w:r>
                </w:p>
              </w:tc>
            </w:tr>
            <w:tr>
              <w:tc>
                <w:tcPr/>
                <w:p>
                  <w:pPr>
                    <w:pStyle w:val="Compact"/>
                    <w:jc w:val="left"/>
                    <w:jc w:val="center"/>
                  </w:pPr>
                  <m:oMath>
                    <m:sSub>
                      <m:e>
                        <m:r>
                          <m:t>P</m:t>
                        </m:r>
                      </m:e>
                      <m:sub>
                        <m:r>
                          <m:t>d</m:t>
                        </m:r>
                        <m:r>
                          <m:t>e</m:t>
                        </m:r>
                        <m:r>
                          <m:t>s</m:t>
                        </m:r>
                        <m:r>
                          <m:t>o</m:t>
                        </m:r>
                        <m:r>
                          <m:t>r</m:t>
                        </m:r>
                        <m:r>
                          <m:t>b</m:t>
                        </m:r>
                      </m:sub>
                    </m:sSub>
                  </m:oMath>
                </w:p>
              </w:tc>
              <w:tc>
                <w:tcPr/>
                <w:p>
                  <w:pPr>
                    <w:pStyle w:val="Compact"/>
                    <w:jc w:val="left"/>
                    <w:jc w:val="center"/>
                  </w:pPr>
                  <w:r>
                    <w:t xml:space="preserve">Desorbable P</w:t>
                  </w:r>
                </w:p>
              </w:tc>
              <w:tc>
                <w:tcPr/>
                <w:p>
                  <w:pPr>
                    <w:pStyle w:val="Compact"/>
                    <w:jc w:val="left"/>
                    <w:jc w:val="center"/>
                  </w:pPr>
                  <w:r>
                    <w:t xml:space="preserve">mg P L⁻¹</w:t>
                  </w:r>
                </w:p>
              </w:tc>
              <w:tc>
                <w:tcPr/>
                <w:p>
                  <w:pPr>
                    <w:pStyle w:val="Compact"/>
                    <w:jc w:val="left"/>
                    <w:jc w:val="center"/>
                  </w:pPr>
                  <w:r>
                    <w:t xml:space="preserve">Maximum desorbable P, representing the size of the readily available P pool.</w:t>
                  </w:r>
                </w:p>
              </w:tc>
            </w:tr>
            <w:tr>
              <w:tc>
                <w:tcPr/>
                <w:p>
                  <w:pPr>
                    <w:pStyle w:val="Compact"/>
                    <w:jc w:val="left"/>
                    <w:jc w:val="center"/>
                  </w:pPr>
                  <m:oMath>
                    <m:sSub>
                      <m:e>
                        <m:r>
                          <m:t>J</m:t>
                        </m:r>
                      </m:e>
                      <m:sub>
                        <m:r>
                          <m:t>0</m:t>
                        </m:r>
                      </m:sub>
                    </m:sSub>
                  </m:oMath>
                </w:p>
              </w:tc>
              <w:tc>
                <w:tcPr/>
                <w:p>
                  <w:pPr>
                    <w:pStyle w:val="Compact"/>
                    <w:jc w:val="left"/>
                    <w:jc w:val="center"/>
                  </w:pPr>
                  <w:r>
                    <w:t xml:space="preserve">Initial P Flux</w:t>
                  </w:r>
                </w:p>
              </w:tc>
              <w:tc>
                <w:tcPr/>
                <w:p>
                  <w:pPr>
                    <w:pStyle w:val="Compact"/>
                    <w:jc w:val="left"/>
                    <w:jc w:val="center"/>
                  </w:pPr>
                  <w:r>
                    <w:t xml:space="preserve">mg P L⁻¹ min⁻¹</w:t>
                  </w:r>
                </w:p>
              </w:tc>
              <w:tc>
                <w:tcPr/>
                <w:p>
                  <w:pPr>
                    <w:pStyle w:val="Compact"/>
                    <w:jc w:val="left"/>
                    <w:jc w:val="center"/>
                  </w:pPr>
                  <w:r>
                    <w:t xml:space="preserve">Product of</w:t>
                  </w:r>
                  <w:r>
                    <w:t xml:space="preserve"> </w:t>
                  </w:r>
                  <m:oMath>
                    <m:r>
                      <m:t>k</m:t>
                    </m:r>
                  </m:oMath>
                  <w:r>
                    <w:t xml:space="preserve"> </w:t>
                  </w:r>
                  <w:r>
                    <w:t xml:space="preserve">and</w:t>
                  </w:r>
                  <w:r>
                    <w:t xml:space="preserve"> </w:t>
                  </w:r>
                  <m:oMath>
                    <m:sSub>
                      <m:e>
                        <m:r>
                          <m:t>P</m:t>
                        </m:r>
                      </m:e>
                      <m:sub>
                        <m:r>
                          <m:t>d</m:t>
                        </m:r>
                        <m:r>
                          <m:t>e</m:t>
                        </m:r>
                        <m:r>
                          <m:t>s</m:t>
                        </m:r>
                        <m:r>
                          <m:t>o</m:t>
                        </m:r>
                        <m:r>
                          <m:t>r</m:t>
                        </m:r>
                        <m:r>
                          <m:t>b</m:t>
                        </m:r>
                      </m:sub>
                    </m:sSub>
                  </m:oMath>
                  <w:r>
                    <w:t xml:space="preserve">, representing the initial flux of P from the soil.</w:t>
                  </w:r>
                </w:p>
              </w:tc>
            </w:tr>
            <w:tr>
              <w:tc>
                <w:tcPr/>
                <w:p>
                  <w:pPr>
                    <w:pStyle w:val="Compact"/>
                    <w:jc w:val="left"/>
                    <w:jc w:val="center"/>
                  </w:pPr>
                  <m:oMath>
                    <m:sSub>
                      <m:e>
                        <m:r>
                          <m:t>P</m:t>
                        </m:r>
                      </m:e>
                      <m:sub>
                        <m:r>
                          <m:t>C</m:t>
                        </m:r>
                        <m:r>
                          <m:t>O</m:t>
                        </m:r>
                        <m:r>
                          <m:t>2</m:t>
                        </m:r>
                      </m:sub>
                    </m:sSub>
                  </m:oMath>
                </w:p>
              </w:tc>
              <w:tc>
                <w:tcPr/>
                <w:p>
                  <w:pPr>
                    <w:pStyle w:val="Compact"/>
                    <w:jc w:val="left"/>
                    <w:jc w:val="center"/>
                  </w:pPr>
                  <w:r>
                    <w:t xml:space="preserve">Water-Soluble P</w:t>
                  </w:r>
                </w:p>
              </w:tc>
              <w:tc>
                <w:tcPr/>
                <w:p>
                  <w:pPr>
                    <w:pStyle w:val="Compact"/>
                    <w:jc w:val="left"/>
                    <w:jc w:val="center"/>
                  </w:pPr>
                  <w:r>
                    <w:t xml:space="preserve">mg P kg⁻¹</w:t>
                  </w:r>
                </w:p>
              </w:tc>
              <w:tc>
                <w:tcPr/>
                <w:p>
                  <w:pPr>
                    <w:pStyle w:val="Compact"/>
                    <w:jc w:val="left"/>
                    <w:jc w:val="center"/>
                  </w:pPr>
                  <w:r>
                    <w:t xml:space="preserve">Plant-available P measured by CO₂-saturated water extraction</w:t>
                  </w:r>
                  <w:r>
                    <w:t xml:space="preserve"> </w:t>
                  </w:r>
                  <w:r>
                    <w:t xml:space="preserve">(Forschungsanstalt für Agrarökologie und Landbau (FAL), 1996)</w:t>
                  </w:r>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Chelate-Extractable P</w:t>
                  </w:r>
                </w:p>
              </w:tc>
              <w:tc>
                <w:tcPr/>
                <w:p>
                  <w:pPr>
                    <w:pStyle w:val="Compact"/>
                    <w:jc w:val="left"/>
                    <w:jc w:val="center"/>
                  </w:pPr>
                  <w:r>
                    <w:t xml:space="preserve">mg P kg⁻¹</w:t>
                  </w:r>
                </w:p>
              </w:tc>
              <w:tc>
                <w:tcPr/>
                <w:p>
                  <w:pPr>
                    <w:pStyle w:val="Compact"/>
                    <w:jc w:val="left"/>
                    <w:jc w:val="center"/>
                  </w:pPr>
                  <w:r>
                    <w:t xml:space="preserve">Plant-available P measured by the ammonium-acetate-EDTA extraction method</w:t>
                  </w:r>
                  <w:r>
                    <w:t xml:space="preserve"> </w:t>
                  </w:r>
                  <w:r>
                    <w:t xml:space="preserve">(Forschungsanstalt für Agrarökologie und Landbau (FAL), 1996)</w:t>
                  </w:r>
                  <w:r>
                    <w:t xml:space="preserve">.</w:t>
                  </w:r>
                </w:p>
              </w:tc>
            </w:tr>
            <w:tr>
              <w:tc>
                <w:tcPr/>
                <w:p>
                  <w:pPr>
                    <w:pStyle w:val="Compact"/>
                    <w:jc w:val="left"/>
                    <w:jc w:val="center"/>
                  </w:pPr>
                  <m:oMath>
                    <m:r>
                      <m:t>A</m:t>
                    </m:r>
                    <m:sSub>
                      <m:e>
                        <m:r>
                          <m:t>l</m:t>
                        </m:r>
                      </m:e>
                      <m:sub>
                        <m:r>
                          <m:t>d</m:t>
                        </m:r>
                      </m:sub>
                    </m:sSub>
                  </m:oMath>
                </w:p>
              </w:tc>
              <w:tc>
                <w:tcPr/>
                <w:p>
                  <w:pPr>
                    <w:pStyle w:val="Compact"/>
                    <w:jc w:val="left"/>
                    <w:jc w:val="center"/>
                  </w:pPr>
                  <w:r>
                    <w:t xml:space="preserve">Dithionite-Extractable Al</w:t>
                  </w:r>
                </w:p>
              </w:tc>
              <w:tc>
                <w:tcPr/>
                <w:p>
                  <w:pPr>
                    <w:pStyle w:val="Compact"/>
                    <w:jc w:val="left"/>
                    <w:jc w:val="center"/>
                  </w:pPr>
                  <w:r>
                    <w:t xml:space="preserve">mg Al kg⁻¹</w:t>
                  </w:r>
                </w:p>
              </w:tc>
              <w:tc>
                <w:tcPr/>
                <w:p>
                  <w:pPr>
                    <w:pStyle w:val="Compact"/>
                    <w:jc w:val="left"/>
                    <w:jc w:val="center"/>
                  </w:pPr>
                  <w:r>
                    <w:t xml:space="preserve">Free Al oxides (crystalline and amorphous) extracted with dithionite-citrate-bicarbonate</w:t>
                  </w:r>
                  <w:r>
                    <w:t xml:space="preserve"> </w:t>
                  </w:r>
                  <w:r>
                    <w:t xml:space="preserve">(Mehra &amp; Jackson, 1960)</w:t>
                  </w:r>
                  <w:r>
                    <w:t xml:space="preserve">.</w:t>
                  </w:r>
                </w:p>
              </w:tc>
            </w:tr>
            <w:tr>
              <w:tc>
                <w:tcPr/>
                <w:p>
                  <w:pPr>
                    <w:pStyle w:val="Compact"/>
                    <w:jc w:val="left"/>
                    <w:jc w:val="center"/>
                  </w:pPr>
                  <m:oMath>
                    <m:r>
                      <m:t>F</m:t>
                    </m:r>
                    <m:sSub>
                      <m:e>
                        <m:r>
                          <m:t>e</m:t>
                        </m:r>
                      </m:e>
                      <m:sub>
                        <m:r>
                          <m:t>d</m:t>
                        </m:r>
                      </m:sub>
                    </m:sSub>
                  </m:oMath>
                </w:p>
              </w:tc>
              <w:tc>
                <w:tcPr/>
                <w:p>
                  <w:pPr>
                    <w:pStyle w:val="Compact"/>
                    <w:jc w:val="left"/>
                    <w:jc w:val="center"/>
                  </w:pPr>
                  <w:r>
                    <w:t xml:space="preserve">Dithionite-Extractable Fe</w:t>
                  </w:r>
                </w:p>
              </w:tc>
              <w:tc>
                <w:tcPr/>
                <w:p>
                  <w:pPr>
                    <w:pStyle w:val="Compact"/>
                    <w:jc w:val="left"/>
                    <w:jc w:val="center"/>
                  </w:pPr>
                  <w:r>
                    <w:t xml:space="preserve">mg Fe kg⁻¹</w:t>
                  </w:r>
                </w:p>
              </w:tc>
              <w:tc>
                <w:tcPr/>
                <w:p>
                  <w:pPr>
                    <w:pStyle w:val="Compact"/>
                    <w:jc w:val="left"/>
                    <w:jc w:val="center"/>
                  </w:pPr>
                  <w:r>
                    <w:t xml:space="preserve">Free Fe oxides (crystalline and amorphous) extracted with dithionite-citrate-bicarbonate</w:t>
                  </w:r>
                  <w:r>
                    <w:t xml:space="preserve"> </w:t>
                  </w:r>
                  <w:r>
                    <w:t xml:space="preserve">(Mehra &amp; Jackson, 1960)</w:t>
                  </w:r>
                  <w:r>
                    <w:t xml:space="preserve">.</w:t>
                  </w:r>
                </w:p>
              </w:tc>
            </w:tr>
          </w:tbl>
          <w:bookmarkEnd w:id="23"/>
          <w:p/>
        </w:tc>
      </w:tr>
    </w:tbl>
    <w:bookmarkEnd w:id="24"/>
    <w:bookmarkStart w:id="27" w:name="model-assumptions-and-diagnostics"/>
    <w:p>
      <w:pPr>
        <w:pStyle w:val="Heading3"/>
      </w:pPr>
      <w:r>
        <w:t xml:space="preserve">2.4.4 Model Assumptions and Diagnostics</w:t>
      </w:r>
    </w:p>
    <w:p>
      <w:pPr>
        <w:pStyle w:val="FirstParagraph"/>
      </w:pPr>
      <w:r>
        <w:t xml:space="preserve">The validity of the linear mixed-effects models (</w:t>
      </w:r>
      <w:r>
        <w:rPr>
          <w:rStyle w:val="VerbatimChar"/>
        </w:rPr>
        <w:t xml:space="preserve">lmer</w:t>
      </w:r>
      <w:r>
        <w:t xml:space="preserve">) relies on several key assumptions, primarily that the model residuals are normally distributed and homoscedastic (i.e., have constant variance across the range of predicted values). Prior to finalizing the models, these assumptions were rigorously checked through visual inspection of diagnostic plots, such as quantile-quantile (Q-Q) plots of the residuals and plots of residuals versus fitted values.</w:t>
      </w:r>
    </w:p>
    <w:p>
      <w:pPr>
        <w:pStyle w:val="BodyText"/>
      </w:pPr>
      <w:r>
        <w:t xml:space="preserve">Initial exploratory data analysis revealed that several of the predictor variables, most notably the desorbable P pool (</w:t>
      </w:r>
      <m:oMath>
        <m:sSub>
          <m:e>
            <m:r>
              <m:t>P</m:t>
            </m:r>
          </m:e>
          <m:sub>
            <m:r>
              <m:t>d</m:t>
            </m:r>
            <m:r>
              <m:t>e</m:t>
            </m:r>
            <m:r>
              <m:t>s</m:t>
            </m:r>
            <m:r>
              <m:t>o</m:t>
            </m:r>
            <m:r>
              <m:t>r</m:t>
            </m:r>
            <m:r>
              <m:t>b</m:t>
            </m:r>
          </m:sub>
        </m:sSub>
      </m:oMath>
      <w:r>
        <w:t xml:space="preserve"> </w:t>
      </w:r>
      <w:r>
        <w:t xml:space="preserve">or PS), were strongly right-skewed. Using such variables directly in the linear models would violate the assumptions of linearity and homoscedasticity, leading to potentially biased and unreliable coefficient estimates.</w:t>
      </w:r>
    </w:p>
    <w:p>
      <w:pPr>
        <w:pStyle w:val="BodyText"/>
      </w:pPr>
      <w:r>
        <w:t xml:space="preserve">To address this, various transformations (including square root and logarithmic) were tested on the skewed variables. The natural log-transformation (</w:t>
      </w:r>
      <w:r>
        <w:rPr>
          <w:rStyle w:val="VerbatimChar"/>
        </w:rPr>
        <w:t xml:space="preserve">log()</w:t>
      </w:r>
      <w:r>
        <w:t xml:space="preserve">) was found to be the most effective at normalizing the distribution of</w:t>
      </w:r>
      <w:r>
        <w:t xml:space="preserve"> </w:t>
      </w:r>
      <m:oMath>
        <m:sSub>
          <m:e>
            <m:r>
              <m:t>P</m:t>
            </m:r>
          </m:e>
          <m:sub>
            <m:r>
              <m:t>d</m:t>
            </m:r>
            <m:r>
              <m:t>e</m:t>
            </m:r>
            <m:r>
              <m:t>s</m:t>
            </m:r>
            <m:r>
              <m:t>o</m:t>
            </m:r>
            <m:r>
              <m:t>r</m:t>
            </m:r>
            <m:r>
              <m:t>b</m:t>
            </m:r>
          </m:sub>
        </m:sSub>
      </m:oMath>
      <w:r>
        <w:t xml:space="preserve"> </w:t>
      </w:r>
      <w:r>
        <w:t xml:space="preserve">and producing well-behaved model residuals that more closely met the required assumptions. Therefore,</w:t>
      </w:r>
      <w:r>
        <w:t xml:space="preserve"> </w:t>
      </w:r>
      <w:r>
        <w:rPr>
          <w:rStyle w:val="VerbatimChar"/>
        </w:rPr>
        <w:t xml:space="preserve">log(PS)</w:t>
      </w:r>
      <w:r>
        <w:t xml:space="preserve"> </w:t>
      </w:r>
      <w:r>
        <w:t xml:space="preserve">was used as a fixed effect in all subsequent agronomic models to ensure the statistical validity of the results.</w:t>
      </w:r>
    </w:p>
    <w:bookmarkStart w:id="25" w:name="Xa8a482f2a6a3ad912fccf7e6dc90aeedf0c36d0"/>
    <w:p>
      <w:pPr>
        <w:pStyle w:val="Heading4"/>
      </w:pPr>
      <w:r>
        <w:t xml:space="preserve">2.4.4.1 Models of P Availability Metrics as a Function of Soil Properties</w:t>
      </w:r>
    </w:p>
    <w:p>
      <w:pPr>
        <w:pStyle w:val="FirstParagraph"/>
      </w:pPr>
      <w:r>
        <w:t xml:space="preserve">First, to investigate the underlying soil-chemical drivers of the different P availability metrics (both kinetic and static), a series of models was built to predict each metric from key soil properties.</w:t>
      </w:r>
    </w:p>
    <w:p>
      <w:pPr>
        <w:pStyle w:val="Compact"/>
        <w:numPr>
          <w:ilvl w:val="0"/>
          <w:numId w:val="1005"/>
        </w:numPr>
      </w:pPr>
      <w:r>
        <w:rPr>
          <w:b/>
          <w:bCs/>
        </w:rPr>
        <w:t xml:space="preserve">Fixed Effects Structure:</w:t>
      </w:r>
      <w:r>
        <w:t xml:space="preserve"> </w:t>
      </w:r>
      <w:r>
        <w:t xml:space="preserve">The fixed effects were identical for all models in this category and included the primary soil physical and chemical properties: clay content, silt content, pH, organic carbon content, and dithionite-extractable iron (</w:t>
      </w:r>
      <m:oMath>
        <m:r>
          <m:t>F</m:t>
        </m:r>
        <m:sSub>
          <m:e>
            <m:r>
              <m:t>e</m:t>
            </m:r>
          </m:e>
          <m:sub>
            <m:r>
              <m:t>d</m:t>
            </m:r>
          </m:sub>
        </m:sSub>
      </m:oMath>
      <w:r>
        <w:t xml:space="preserve">) and aluminum (</w:t>
      </w:r>
      <m:oMath>
        <m:r>
          <m:t>A</m:t>
        </m:r>
        <m:sSub>
          <m:e>
            <m:r>
              <m:t>l</m:t>
            </m:r>
          </m:e>
          <m:sub>
            <m:r>
              <m:t>d</m:t>
            </m:r>
          </m:sub>
        </m:sSub>
      </m:oMath>
      <w:r>
        <w:t xml:space="preserve">).</w:t>
      </w:r>
    </w:p>
    <w:p>
      <w:pPr>
        <w:pStyle w:val="Compact"/>
        <w:numPr>
          <w:ilvl w:val="0"/>
          <w:numId w:val="1005"/>
        </w:numPr>
      </w:pPr>
      <w:r>
        <w:rPr>
          <w:b/>
          <w:bCs/>
        </w:rPr>
        <w:t xml:space="preserve">Random Effects Structure:</w:t>
      </w:r>
      <w:r>
        <w:t xml:space="preserve"> </w:t>
      </w:r>
      <w:r>
        <w:t xml:space="preserve">The random effects structure accounted for the nested design of the STYCS experiment, with random intercepts for</w:t>
      </w:r>
      <w:r>
        <w:t xml:space="preserve"> </w:t>
      </w:r>
      <w:r>
        <w:rPr>
          <w:rStyle w:val="VerbatimChar"/>
        </w:rPr>
        <w:t xml:space="preserve">year</w:t>
      </w:r>
      <w:r>
        <w:t xml:space="preserve">,</w:t>
      </w:r>
      <w:r>
        <w:t xml:space="preserve"> </w:t>
      </w:r>
      <w:r>
        <w:rPr>
          <w:rStyle w:val="VerbatimChar"/>
        </w:rPr>
        <w:t xml:space="preserve">Site</w:t>
      </w:r>
      <w:r>
        <w:t xml:space="preserve">,</w:t>
      </w:r>
      <w:r>
        <w:t xml:space="preserve"> </w:t>
      </w:r>
      <w:r>
        <w:rPr>
          <w:rStyle w:val="VerbatimChar"/>
        </w:rPr>
        <w:t xml:space="preserve">Site:block</w:t>
      </w:r>
      <w:r>
        <w:t xml:space="preserve">, and</w:t>
      </w:r>
      <w:r>
        <w:t xml:space="preserve"> </w:t>
      </w:r>
      <w:r>
        <w:rPr>
          <w:rStyle w:val="VerbatimChar"/>
        </w:rPr>
        <w:t xml:space="preserve">Site:Treatment</w:t>
      </w:r>
      <w:r>
        <w:t xml:space="preserve">.</w:t>
      </w:r>
    </w:p>
    <w:bookmarkEnd w:id="25"/>
    <w:bookmarkStart w:id="26" w:name="comparative-models-of-agronomic-outcomes"/>
    <w:p>
      <w:pPr>
        <w:pStyle w:val="Heading4"/>
      </w:pPr>
      <w:r>
        <w:t xml:space="preserve">2.4.4.2 Comparative Models of Agronomic Outcomes</w:t>
      </w:r>
    </w:p>
    <w:p>
      <w:pPr>
        <w:pStyle w:val="FirstParagraph"/>
      </w:pPr>
      <w:r>
        <w:t xml:space="preserve">Second, the predictive power of the kinetic parameters was directly compared against that of the standard STP methods (</w:t>
      </w:r>
      <w:r>
        <w:t xml:space="preserve">“GRUD”</w:t>
      </w:r>
      <w:r>
        <w:t xml:space="preserve"> </w:t>
      </w:r>
      <w:r>
        <w:t xml:space="preserve">system). For each agronomic response variable (Normalized Yield, P Uptake, and P Balance), two competing models were built. These models shared an identical random effects structure to ensure a fair comparison, differing only in their fixed effects.</w:t>
      </w:r>
    </w:p>
    <w:p>
      <w:pPr>
        <w:numPr>
          <w:ilvl w:val="0"/>
          <w:numId w:val="1006"/>
        </w:numPr>
      </w:pPr>
      <w:r>
        <w:rPr>
          <w:b/>
          <w:bCs/>
        </w:rPr>
        <w:t xml:space="preserve">Random Effects Structure (for all agronomic models):</w:t>
      </w:r>
      <w:r>
        <w:t xml:space="preserve"> </w:t>
      </w:r>
      <w:r>
        <w:t xml:space="preserve">The structure</w:t>
      </w:r>
      <w:r>
        <w:t xml:space="preserve"> </w:t>
      </w:r>
      <w:r>
        <w:rPr>
          <w:rStyle w:val="VerbatimChar"/>
        </w:rPr>
        <w:t xml:space="preserve">(1|year) + (1|Site) + (1|Site:block)</w:t>
      </w:r>
      <w:r>
        <w:t xml:space="preserve"> </w:t>
      </w:r>
      <w:r>
        <w:t xml:space="preserve">was used to control for variations due to the growing season, location, and in-field spatial differences.</w:t>
      </w:r>
    </w:p>
    <w:p>
      <w:pPr>
        <w:numPr>
          <w:ilvl w:val="0"/>
          <w:numId w:val="1006"/>
        </w:numPr>
      </w:pPr>
      <w:r>
        <w:rPr>
          <w:b/>
          <w:bCs/>
        </w:rPr>
        <w:t xml:space="preserve">Model 1: The Kinetic Approach</w:t>
      </w:r>
    </w:p>
    <w:p>
      <w:pPr>
        <w:pStyle w:val="Compact"/>
        <w:numPr>
          <w:ilvl w:val="1"/>
          <w:numId w:val="1007"/>
        </w:numPr>
      </w:pPr>
      <w:r>
        <w:rPr>
          <w:b/>
          <w:bCs/>
        </w:rPr>
        <w:t xml:space="preserve">Fixed Effects:</w:t>
      </w:r>
      <w:r>
        <w:t xml:space="preserve"> </w:t>
      </w:r>
      <w:r>
        <w:t xml:space="preserve">This model used the kinetic parameters and their interaction:</w:t>
      </w:r>
      <w:r>
        <w:t xml:space="preserve"> </w:t>
      </w:r>
      <w:r>
        <w:rPr>
          <w:rStyle w:val="VerbatimChar"/>
        </w:rPr>
        <w:t xml:space="preserve">k * log(PS)</w:t>
      </w:r>
      <w:r>
        <w:t xml:space="preserve">. The interaction term tests the hypothesis that the benefit of a large desorbable P pool (</w:t>
      </w:r>
      <w:r>
        <w:rPr>
          <w:rStyle w:val="VerbatimChar"/>
        </w:rPr>
        <w:t xml:space="preserve">PS</w:t>
      </w:r>
      <w:r>
        <w:t xml:space="preserve">) depends on the</w:t>
      </w:r>
      <w:r>
        <w:t xml:space="preserve"> </w:t>
      </w:r>
      <w:r>
        <w:rPr>
          <w:i/>
          <w:iCs/>
        </w:rPr>
        <w:t xml:space="preserve">rate</w:t>
      </w:r>
      <w:r>
        <w:t xml:space="preserve"> </w:t>
      </w:r>
      <w:r>
        <w:t xml:space="preserve">(</w:t>
      </w:r>
      <w:r>
        <w:rPr>
          <w:rStyle w:val="VerbatimChar"/>
        </w:rPr>
        <w:t xml:space="preserve">k</w:t>
      </w:r>
      <w:r>
        <w:t xml:space="preserve">) at which it can be accessed.</w:t>
      </w:r>
    </w:p>
    <w:p>
      <w:pPr>
        <w:numPr>
          <w:ilvl w:val="0"/>
          <w:numId w:val="1006"/>
        </w:numPr>
      </w:pPr>
      <w:r>
        <w:rPr>
          <w:b/>
          <w:bCs/>
        </w:rPr>
        <w:t xml:space="preserve">Model 2: The Standard STP (GRUD) Approach</w:t>
      </w:r>
    </w:p>
    <w:p>
      <w:pPr>
        <w:pStyle w:val="Compact"/>
        <w:numPr>
          <w:ilvl w:val="1"/>
          <w:numId w:val="1008"/>
        </w:numPr>
      </w:pPr>
      <w:r>
        <w:rPr>
          <w:b/>
          <w:bCs/>
        </w:rPr>
        <w:t xml:space="preserve">Fixed Effects:</w:t>
      </w:r>
      <w:r>
        <w:t xml:space="preserve"> </w:t>
      </w:r>
      <w:r>
        <w:t xml:space="preserve">This model used the two standard Swiss soil tests and their interaction:</w:t>
      </w:r>
      <w:r>
        <w:t xml:space="preserve"> </w:t>
      </w:r>
      <w:r>
        <w:rPr>
          <w:rStyle w:val="VerbatimChar"/>
        </w:rPr>
        <w:t xml:space="preserve">P_CO2 * P_AAE10</w:t>
      </w:r>
      <w:r>
        <w:t xml:space="preserve">.</w:t>
      </w:r>
    </w:p>
    <w:p>
      <w:pPr>
        <w:pStyle w:val="FirstParagraph"/>
      </w:pPr>
      <w:r>
        <w:t xml:space="preserve">The relative performance of these two sets of models was then evaluated to determine whether the kinetic parameters provided a significant improvement in predictive power for key agronomic outcomes. Further the relative performance of these two approaches, along with other combinations of predictor sets, was rigorously evaluated using a machine learning benchmark workflow implemented in the</w:t>
      </w:r>
      <w:r>
        <w:t xml:space="preserve"> </w:t>
      </w:r>
      <w:r>
        <w:rPr>
          <w:rStyle w:val="VerbatimChar"/>
        </w:rPr>
        <w:t xml:space="preserve">mlr3</w:t>
      </w:r>
      <w:r>
        <w:t xml:space="preserve"> </w:t>
      </w:r>
      <w:r>
        <w:t xml:space="preserve">package</w:t>
      </w:r>
      <w:r>
        <w:t xml:space="preserve"> </w:t>
      </w:r>
      <w:r>
        <w:t xml:space="preserve">(Lang et al., 2019)</w:t>
      </w:r>
      <w:r>
        <w:t xml:space="preserve">. The predictive power of each predictor set was quantified using</w:t>
      </w:r>
      <w:r>
        <w:t xml:space="preserve"> </w:t>
      </w:r>
      <w:r>
        <w:rPr>
          <w:b/>
          <w:bCs/>
        </w:rPr>
        <w:t xml:space="preserve">5-fold cross-validation</w:t>
      </w:r>
      <w:r>
        <w:t xml:space="preserve">. Performance was measured as the percentage of explained variance on the hold-out data (1 - MSE / Var(y)), providing a robust and unbiased estimate of how well each model would generalize to new data. This benchmark allowed for a direct comparison of the information content provided by the kinetic parameters versus the standard soil tests for predicting key agronomic outcomes.</w:t>
      </w:r>
    </w:p>
    <w:p>
      <w:r>
        <w:br w:type="page"/>
      </w:r>
    </w:p>
    <w:bookmarkEnd w:id="26"/>
    <w:bookmarkEnd w:id="27"/>
    <w:bookmarkEnd w:id="28"/>
    <w:bookmarkEnd w:id="29"/>
    <w:bookmarkStart w:id="83" w:name="results"/>
    <w:p>
      <w:pPr>
        <w:pStyle w:val="Heading1"/>
      </w:pPr>
      <w:r>
        <w:t xml:space="preserve">3. Results</w:t>
      </w:r>
    </w:p>
    <w:p>
      <w:pPr>
        <w:pStyle w:val="SourceCode"/>
      </w:pPr>
      <w:r>
        <w:rPr>
          <w:rStyle w:val="NormalTok"/>
        </w:rPr>
        <w:t xml:space="preserve">create_coef_table </w:t>
      </w:r>
      <w:r>
        <w:rPr>
          <w:rStyle w:val="OtherTok"/>
        </w:rPr>
        <w:t xml:space="preserve">&lt;-</w:t>
      </w:r>
      <w:r>
        <w:rPr>
          <w:rStyle w:val="NormalTok"/>
        </w:rPr>
        <w:t xml:space="preserve"> </w:t>
      </w:r>
      <w:r>
        <w:rPr>
          <w:rStyle w:val="ControlFlowTok"/>
        </w:rPr>
        <w:t xml:space="preserve">function</w:t>
      </w:r>
      <w:r>
        <w:rPr>
          <w:rStyle w:val="NormalTok"/>
        </w:rPr>
        <w:t xml:space="preserve">(lmer_models, </w:t>
      </w:r>
      <w:r>
        <w:br/>
      </w:r>
      <w:r>
        <w:rPr>
          <w:rStyle w:val="NormalTok"/>
        </w:rPr>
        <w:t xml:space="preserve">                              </w:t>
      </w:r>
      <w:r>
        <w:rPr>
          <w:rStyle w:val="AttributeTok"/>
        </w:rPr>
        <w:t xml:space="preserve">covariate_order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covariate_labels =</w:t>
      </w:r>
      <w:r>
        <w:rPr>
          <w:rStyle w:val="NormalTok"/>
        </w:rPr>
        <w:t xml:space="preserve"> </w:t>
      </w:r>
      <w:r>
        <w:rPr>
          <w:rStyle w:val="ConstantTok"/>
        </w:rPr>
        <w:t xml:space="preserve">NULL</w:t>
      </w:r>
      <w:r>
        <w:rPr>
          <w:rStyle w:val="NormalTok"/>
        </w:rPr>
        <w:t xml:space="preserve">, </w:t>
      </w:r>
      <w:r>
        <w:rPr>
          <w:rStyle w:val="CommentTok"/>
        </w:rPr>
        <w:t xml:space="preserve"># NEU: Benannter Vektor für Zeilennamen</w:t>
      </w:r>
      <w:r>
        <w:br/>
      </w:r>
      <w:r>
        <w:rPr>
          <w:rStyle w:val="NormalTok"/>
        </w:rPr>
        <w:t xml:space="preserve">                              </w:t>
      </w:r>
      <w:r>
        <w:rPr>
          <w:rStyle w:val="AttributeTok"/>
        </w:rPr>
        <w:t xml:space="preserve">model_labels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descriptor =</w:t>
      </w:r>
      <w:r>
        <w:rPr>
          <w:rStyle w:val="NormalTok"/>
        </w:rPr>
        <w:t xml:space="preserve"> </w:t>
      </w:r>
      <w:r>
        <w:rPr>
          <w:rStyle w:val="StringTok"/>
        </w:rPr>
        <w:t xml:space="preserve">"Response"</w:t>
      </w:r>
      <w:r>
        <w:rPr>
          <w:rStyle w:val="NormalTok"/>
        </w:rPr>
        <w:t xml:space="preserve">) {   </w:t>
      </w:r>
      <w:r>
        <w:rPr>
          <w:rStyle w:val="CommentTok"/>
        </w:rPr>
        <w:t xml:space="preserve"># NEU: Benannter Vektor für Spaltennamen</w:t>
      </w:r>
      <w:r>
        <w:br/>
      </w:r>
      <w:r>
        <w:br/>
      </w:r>
      <w:r>
        <w:rPr>
          <w:rStyle w:val="NormalTok"/>
        </w:rPr>
        <w:t xml:space="preserve">  </w:t>
      </w:r>
      <w:r>
        <w:rPr>
          <w:rStyle w:val="CommentTok"/>
        </w:rPr>
        <w:t xml:space="preserve"># Extract coefficients and p-values (Ihre Originalfunktion, keine Änderung hier)</w:t>
      </w:r>
      <w:r>
        <w:br/>
      </w:r>
      <w:r>
        <w:rPr>
          <w:rStyle w:val="NormalTok"/>
        </w:rPr>
        <w:t xml:space="preserve">  extract_coef_info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coef_matrix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NormalTok"/>
        </w:rPr>
        <w:t xml:space="preserve">    estimates </w:t>
      </w:r>
      <w:r>
        <w:rPr>
          <w:rStyle w:val="OtherTok"/>
        </w:rPr>
        <w:t xml:space="preserve">&lt;-</w:t>
      </w:r>
      <w:r>
        <w:rPr>
          <w:rStyle w:val="NormalTok"/>
        </w:rPr>
        <w:t xml:space="preserve"> coef_matrix[, </w:t>
      </w:r>
      <w:r>
        <w:rPr>
          <w:rStyle w:val="DecValTok"/>
        </w:rPr>
        <w:t xml:space="preserve">1</w:t>
      </w:r>
      <w:r>
        <w:rPr>
          <w:rStyle w:val="NormalTok"/>
        </w:rPr>
        <w:t xml:space="preserve">]</w:t>
      </w:r>
      <w:r>
        <w:br/>
      </w:r>
      <w:r>
        <w:rPr>
          <w:rStyle w:val="NormalTok"/>
        </w:rPr>
        <w:t xml:space="preserve">    p_values </w:t>
      </w:r>
      <w:r>
        <w:rPr>
          <w:rStyle w:val="OtherTok"/>
        </w:rPr>
        <w:t xml:space="preserve">&lt;-</w:t>
      </w:r>
      <w:r>
        <w:rPr>
          <w:rStyle w:val="NormalTok"/>
        </w:rPr>
        <w:t xml:space="preserve"> coef_matrix[, </w:t>
      </w:r>
      <w:r>
        <w:rPr>
          <w:rStyle w:val="FunctionTok"/>
        </w:rPr>
        <w:t xml:space="preserve">ncol</w:t>
      </w:r>
      <w:r>
        <w:rPr>
          <w:rStyle w:val="NormalTok"/>
        </w:rPr>
        <w:t xml:space="preserve">(coef_matrix)]</w:t>
      </w:r>
      <w:r>
        <w:br/>
      </w:r>
      <w:r>
        <w:rPr>
          <w:rStyle w:val="NormalTok"/>
        </w:rPr>
        <w:t xml:space="preserve">    formatted_coef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seq_along</w:t>
      </w:r>
      <w:r>
        <w:rPr>
          <w:rStyle w:val="NormalTok"/>
        </w:rPr>
        <w:t xml:space="preserve">(estimates), </w:t>
      </w:r>
      <w:r>
        <w:rPr>
          <w:rStyle w:val="ControlFlowTok"/>
        </w:rPr>
        <w:t xml:space="preserve">function</w:t>
      </w:r>
      <w:r>
        <w:rPr>
          <w:rStyle w:val="NormalTok"/>
        </w:rPr>
        <w:t xml:space="preserve">(i) {</w:t>
      </w:r>
      <w:r>
        <w:br/>
      </w:r>
      <w:r>
        <w:rPr>
          <w:rStyle w:val="NormalTok"/>
        </w:rPr>
        <w:t xml:space="preserve">      est_str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estimates[i])</w:t>
      </w:r>
      <w:r>
        <w:br/>
      </w:r>
      <w:r>
        <w:rPr>
          <w:rStyle w:val="NormalTok"/>
        </w:rPr>
        <w:t xml:space="preserve">      stars </w:t>
      </w:r>
      <w:r>
        <w:rPr>
          <w:rStyle w:val="OtherTok"/>
        </w:rPr>
        <w:t xml:space="preserve">&lt;-</w:t>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 "</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FunctionTok"/>
        </w:rPr>
        <w:t xml:space="preserve">paste0</w:t>
      </w:r>
      <w:r>
        <w:rPr>
          <w:rStyle w:val="NormalTok"/>
        </w:rPr>
        <w:t xml:space="preserve">(est_str,stars)</w:t>
      </w:r>
      <w:r>
        <w:br/>
      </w:r>
      <w:r>
        <w:rPr>
          <w:rStyle w:val="NormalTok"/>
        </w:rPr>
        <w:t xml:space="preserve">    })</w:t>
      </w:r>
      <w:r>
        <w:br/>
      </w:r>
      <w:r>
        <w:rPr>
          <w:rStyle w:val="NormalTok"/>
        </w:rPr>
        <w:t xml:space="preserve">    </w:t>
      </w:r>
      <w:r>
        <w:rPr>
          <w:rStyle w:val="FunctionTok"/>
        </w:rPr>
        <w:t xml:space="preserve">names</w:t>
      </w:r>
      <w:r>
        <w:rPr>
          <w:rStyle w:val="NormalTok"/>
        </w:rPr>
        <w:t xml:space="preserve">(formatted_coef) </w:t>
      </w:r>
      <w:r>
        <w:rPr>
          <w:rStyle w:val="OtherTok"/>
        </w:rPr>
        <w:t xml:space="preserve">&lt;-</w:t>
      </w:r>
      <w:r>
        <w:rPr>
          <w:rStyle w:val="NormalTok"/>
        </w:rPr>
        <w:t xml:space="preserve"> </w:t>
      </w:r>
      <w:r>
        <w:rPr>
          <w:rStyle w:val="FunctionTok"/>
        </w:rPr>
        <w:t xml:space="preserve">rownames</w:t>
      </w:r>
      <w:r>
        <w:rPr>
          <w:rStyle w:val="NormalTok"/>
        </w:rPr>
        <w:t xml:space="preserve">(coef_matrix)</w:t>
      </w:r>
      <w:r>
        <w:br/>
      </w:r>
      <w:r>
        <w:rPr>
          <w:rStyle w:val="NormalTok"/>
        </w:rPr>
        <w:t xml:space="preserve">    </w:t>
      </w:r>
      <w:r>
        <w:rPr>
          <w:rStyle w:val="FunctionTok"/>
        </w:rPr>
        <w:t xml:space="preserve">return</w:t>
      </w:r>
      <w:r>
        <w:rPr>
          <w:rStyle w:val="NormalTok"/>
        </w:rPr>
        <w:t xml:space="preserve">(formatted_coef)</w:t>
      </w:r>
      <w:r>
        <w:br/>
      </w:r>
      <w:r>
        <w:rPr>
          <w:rStyle w:val="NormalTok"/>
        </w:rPr>
        <w:t xml:space="preserve">  }</w:t>
      </w:r>
      <w:r>
        <w:br/>
      </w:r>
      <w:r>
        <w:br/>
      </w:r>
      <w:r>
        <w:rPr>
          <w:rStyle w:val="NormalTok"/>
        </w:rPr>
        <w:t xml:space="preserve">  </w:t>
      </w:r>
      <w:r>
        <w:rPr>
          <w:rStyle w:val="CommentTok"/>
        </w:rPr>
        <w:t xml:space="preserve"># Extract R-squared values (Ihre Originalfunktion, keine Änderung hier)</w:t>
      </w:r>
      <w:r>
        <w:br/>
      </w:r>
      <w:r>
        <w:rPr>
          <w:rStyle w:val="NormalTok"/>
        </w:rPr>
        <w:t xml:space="preserve">  extract_r_squared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r2_values </w:t>
      </w:r>
      <w:r>
        <w:rPr>
          <w:rStyle w:val="OtherTok"/>
        </w:rPr>
        <w:t xml:space="preserve">&lt;-</w:t>
      </w:r>
      <w:r>
        <w:rPr>
          <w:rStyle w:val="NormalTok"/>
        </w:rPr>
        <w:t xml:space="preserve"> MuMIn</w:t>
      </w:r>
      <w:r>
        <w:rPr>
          <w:rStyle w:val="SpecialCharTok"/>
        </w:rPr>
        <w:t xml:space="preserve">::</w:t>
      </w:r>
      <w:r>
        <w:rPr>
          <w:rStyle w:val="FunctionTok"/>
        </w:rPr>
        <w:t xml:space="preserve">r.squaredGLMM</w:t>
      </w:r>
      <w:r>
        <w:rPr>
          <w:rStyle w:val="NormalTok"/>
        </w:rPr>
        <w:t xml:space="preserve">(model) </w:t>
      </w:r>
      <w:r>
        <w:rPr>
          <w:rStyle w:val="CommentTok"/>
        </w:rPr>
        <w:t xml:space="preserve"># MuMIn:: hinzugefügt für Klarheit</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R2m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"R2m"</w:t>
      </w:r>
      <w:r>
        <w:rPr>
          <w:rStyle w:val="NormalTok"/>
        </w:rPr>
        <w:t xml:space="preserve">]),</w:t>
      </w:r>
      <w:r>
        <w:br/>
      </w:r>
      <w:r>
        <w:rPr>
          <w:rStyle w:val="NormalTok"/>
        </w:rPr>
        <w:t xml:space="preserve">      </w:t>
      </w:r>
      <w:r>
        <w:rPr>
          <w:rStyle w:val="AttributeTok"/>
        </w:rPr>
        <w:t xml:space="preserve">R2c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"R2c"</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Daten extrahieren (Ihr Originalcode)</w:t>
      </w:r>
      <w:r>
        <w:br/>
      </w:r>
      <w:r>
        <w:rPr>
          <w:rStyle w:val="NormalTok"/>
        </w:rPr>
        <w:t xml:space="preserve">  all_coefs </w:t>
      </w:r>
      <w:r>
        <w:rPr>
          <w:rStyle w:val="OtherTok"/>
        </w:rPr>
        <w:t xml:space="preserve">&lt;-</w:t>
      </w:r>
      <w:r>
        <w:rPr>
          <w:rStyle w:val="NormalTok"/>
        </w:rPr>
        <w:t xml:space="preserve"> </w:t>
      </w:r>
      <w:r>
        <w:rPr>
          <w:rStyle w:val="FunctionTok"/>
        </w:rPr>
        <w:t xml:space="preserve">lapply</w:t>
      </w:r>
      <w:r>
        <w:rPr>
          <w:rStyle w:val="NormalTok"/>
        </w:rPr>
        <w:t xml:space="preserve">(lmer_models, extract_coef_info)</w:t>
      </w:r>
      <w:r>
        <w:br/>
      </w:r>
      <w:r>
        <w:rPr>
          <w:rStyle w:val="NormalTok"/>
        </w:rPr>
        <w:t xml:space="preserve">  all_r_squared </w:t>
      </w:r>
      <w:r>
        <w:rPr>
          <w:rStyle w:val="OtherTok"/>
        </w:rPr>
        <w:t xml:space="preserve">&lt;-</w:t>
      </w:r>
      <w:r>
        <w:rPr>
          <w:rStyle w:val="NormalTok"/>
        </w:rPr>
        <w:t xml:space="preserve"> </w:t>
      </w:r>
      <w:r>
        <w:rPr>
          <w:rStyle w:val="FunctionTok"/>
        </w:rPr>
        <w:t xml:space="preserve">lapply</w:t>
      </w:r>
      <w:r>
        <w:rPr>
          <w:rStyle w:val="NormalTok"/>
        </w:rPr>
        <w:t xml:space="preserve">(lmer_models, extract_r_squared)</w:t>
      </w:r>
      <w:r>
        <w:br/>
      </w:r>
      <w:r>
        <w:rPr>
          <w:rStyle w:val="NormalTok"/>
        </w:rPr>
        <w:t xml:space="preserve">  all_covariate_names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(all_coefs, names)))</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(covariate_order)) {</w:t>
      </w:r>
      <w:r>
        <w:br/>
      </w:r>
      <w:r>
        <w:rPr>
          <w:rStyle w:val="NormalTok"/>
        </w:rPr>
        <w:t xml:space="preserve">    covariate_order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FunctionTok"/>
        </w:rPr>
        <w:t xml:space="preserve">sort</w:t>
      </w:r>
      <w:r>
        <w:rPr>
          <w:rStyle w:val="NormalTok"/>
        </w:rPr>
        <w:t xml:space="preserve">(all_covariate_names[all_covariate_names </w:t>
      </w:r>
      <w:r>
        <w:rPr>
          <w:rStyle w:val="SpecialCha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br/>
      </w:r>
      <w:r>
        <w:rPr>
          <w:rStyle w:val="NormalTok"/>
        </w:rPr>
        <w:t xml:space="preserve">  covariate_order </w:t>
      </w:r>
      <w:r>
        <w:rPr>
          <w:rStyle w:val="OtherTok"/>
        </w:rPr>
        <w:t xml:space="preserve">&lt;-</w:t>
      </w:r>
      <w:r>
        <w:rPr>
          <w:rStyle w:val="NormalTok"/>
        </w:rPr>
        <w:t xml:space="preserve"> covariate_order[covariate_order </w:t>
      </w:r>
      <w:r>
        <w:rPr>
          <w:rStyle w:val="SpecialCharTok"/>
        </w:rPr>
        <w:t xml:space="preserve">%in%</w:t>
      </w:r>
      <w:r>
        <w:rPr>
          <w:rStyle w:val="NormalTok"/>
        </w:rPr>
        <w:t xml:space="preserve"> all_covariate_names]</w:t>
      </w:r>
      <w:r>
        <w:br/>
      </w:r>
      <w:r>
        <w:rPr>
          <w:rStyle w:val="NormalTok"/>
        </w:rPr>
        <w:t xml:space="preserve">  final_order </w:t>
      </w:r>
      <w:r>
        <w:rPr>
          <w:rStyle w:val="OtherTok"/>
        </w:rPr>
        <w:t xml:space="preserve">&lt;-</w:t>
      </w:r>
      <w:r>
        <w:rPr>
          <w:rStyle w:val="NormalTok"/>
        </w:rPr>
        <w:t xml:space="preserve"> </w:t>
      </w:r>
      <w:r>
        <w:rPr>
          <w:rStyle w:val="FunctionTok"/>
        </w:rPr>
        <w:t xml:space="preserve">c</w:t>
      </w:r>
      <w:r>
        <w:rPr>
          <w:rStyle w:val="NormalTok"/>
        </w:rPr>
        <w:t xml:space="preserve">(covariate_order, </w:t>
      </w:r>
      <w:r>
        <w:rPr>
          <w:rStyle w:val="StringTok"/>
        </w:rPr>
        <w:t xml:space="preserve">"R2m"</w:t>
      </w:r>
      <w:r>
        <w:rPr>
          <w:rStyle w:val="NormalTok"/>
        </w:rPr>
        <w:t xml:space="preserve">, </w:t>
      </w:r>
      <w:r>
        <w:rPr>
          <w:rStyle w:val="StringTok"/>
        </w:rPr>
        <w:t xml:space="preserve">"R2c"</w:t>
      </w:r>
      <w:r>
        <w:rPr>
          <w:rStyle w:val="NormalTok"/>
        </w:rPr>
        <w:t xml:space="preserve">)</w:t>
      </w:r>
      <w:r>
        <w:br/>
      </w:r>
      <w:r>
        <w:br/>
      </w:r>
      <w:r>
        <w:rPr>
          <w:rStyle w:val="NormalTok"/>
        </w:rPr>
        <w:t xml:space="preserve">  </w:t>
      </w:r>
      <w:r>
        <w:rPr>
          <w:rStyle w:val="CommentTok"/>
        </w:rPr>
        <w:t xml:space="preserve"># Matrix erstellen (Ihr Originalcode)</w:t>
      </w:r>
      <w:r>
        <w:br/>
      </w:r>
      <w:r>
        <w:rPr>
          <w:rStyle w:val="NormalTok"/>
        </w:rPr>
        <w:t xml:space="preserve">  results_matrix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(final_order),</w:t>
      </w:r>
      <w:r>
        <w:br/>
      </w:r>
      <w:r>
        <w:rPr>
          <w:rStyle w:val="NormalTok"/>
        </w:rPr>
        <w:t xml:space="preserve">                           </w:t>
      </w:r>
      <w:r>
        <w:rPr>
          <w:rStyle w:val="AttributeTok"/>
        </w:rPr>
        <w:t xml:space="preserve">ncol =</w:t>
      </w:r>
      <w:r>
        <w:rPr>
          <w:rStyle w:val="NormalTok"/>
        </w:rPr>
        <w:t xml:space="preserve"> </w:t>
      </w:r>
      <w:r>
        <w:rPr>
          <w:rStyle w:val="FunctionTok"/>
        </w:rPr>
        <w:t xml:space="preserve">length</w:t>
      </w:r>
      <w:r>
        <w:rPr>
          <w:rStyle w:val="NormalTok"/>
        </w:rPr>
        <w:t xml:space="preserve">(lmer_models),</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(final_order, </w:t>
      </w:r>
      <w:r>
        <w:rPr>
          <w:rStyle w:val="FunctionTok"/>
        </w:rPr>
        <w:t xml:space="preserve">names</w:t>
      </w:r>
      <w:r>
        <w:rPr>
          <w:rStyle w:val="NormalTok"/>
        </w:rPr>
        <w:t xml:space="preserve">(lmer_models)))</w:t>
      </w:r>
      <w:r>
        <w:br/>
      </w:r>
      <w:r>
        <w:br/>
      </w:r>
      <w:r>
        <w:rPr>
          <w:rStyle w:val="NormalTok"/>
        </w:rPr>
        <w:t xml:space="preserve">  </w:t>
      </w:r>
      <w:r>
        <w:rPr>
          <w:rStyle w:val="CommentTok"/>
        </w:rPr>
        <w:t xml:space="preserve"># Matrix füllen (Ihr Originalcode)</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(lmer_models)) {</w:t>
      </w:r>
      <w:r>
        <w:br/>
      </w:r>
      <w:r>
        <w:rPr>
          <w:rStyle w:val="NormalTok"/>
        </w:rPr>
        <w:t xml:space="preserve">    model_coefs </w:t>
      </w:r>
      <w:r>
        <w:rPr>
          <w:rStyle w:val="OtherTok"/>
        </w:rPr>
        <w:t xml:space="preserve">&lt;-</w:t>
      </w:r>
      <w:r>
        <w:rPr>
          <w:rStyle w:val="NormalTok"/>
        </w:rPr>
        <w:t xml:space="preserve"> all_coefs[[model_name]]</w:t>
      </w:r>
      <w:r>
        <w:br/>
      </w:r>
      <w:r>
        <w:rPr>
          <w:rStyle w:val="NormalTok"/>
        </w:rPr>
        <w:t xml:space="preserve">    </w:t>
      </w:r>
      <w:r>
        <w:rPr>
          <w:rStyle w:val="ControlFlowTok"/>
        </w:rPr>
        <w:t xml:space="preserve">for</w:t>
      </w:r>
      <w:r>
        <w:rPr>
          <w:rStyle w:val="NormalTok"/>
        </w:rPr>
        <w:t xml:space="preserve"> (covar </w:t>
      </w:r>
      <w:r>
        <w:rPr>
          <w:rStyle w:val="ControlFlowTok"/>
        </w:rPr>
        <w:t xml:space="preserve">in</w:t>
      </w:r>
      <w:r>
        <w:rPr>
          <w:rStyle w:val="NormalTok"/>
        </w:rPr>
        <w:t xml:space="preserve"> </w:t>
      </w:r>
      <w:r>
        <w:rPr>
          <w:rStyle w:val="FunctionTok"/>
        </w:rPr>
        <w:t xml:space="preserve">names</w:t>
      </w:r>
      <w:r>
        <w:rPr>
          <w:rStyle w:val="NormalTok"/>
        </w:rPr>
        <w:t xml:space="preserve">(model_coefs)) {</w:t>
      </w:r>
      <w:r>
        <w:br/>
      </w:r>
      <w:r>
        <w:rPr>
          <w:rStyle w:val="NormalTok"/>
        </w:rPr>
        <w:t xml:space="preserve">      </w:t>
      </w:r>
      <w:r>
        <w:rPr>
          <w:rStyle w:val="ControlFlowTok"/>
        </w:rPr>
        <w:t xml:space="preserve">if</w:t>
      </w:r>
      <w:r>
        <w:rPr>
          <w:rStyle w:val="NormalTok"/>
        </w:rPr>
        <w:t xml:space="preserve"> (covar </w:t>
      </w:r>
      <w:r>
        <w:rPr>
          <w:rStyle w:val="SpecialCharTok"/>
        </w:rPr>
        <w:t xml:space="preserve">%in%</w:t>
      </w:r>
      <w:r>
        <w:rPr>
          <w:rStyle w:val="NormalTok"/>
        </w:rPr>
        <w:t xml:space="preserve"> covariate_order) {</w:t>
      </w:r>
      <w:r>
        <w:br/>
      </w:r>
      <w:r>
        <w:rPr>
          <w:rStyle w:val="NormalTok"/>
        </w:rPr>
        <w:t xml:space="preserve">        results_matrix[covar, model_name] </w:t>
      </w:r>
      <w:r>
        <w:rPr>
          <w:rStyle w:val="OtherTok"/>
        </w:rPr>
        <w:t xml:space="preserve">&lt;-</w:t>
      </w:r>
      <w:r>
        <w:rPr>
          <w:rStyle w:val="NormalTok"/>
        </w:rPr>
        <w:t xml:space="preserve"> model_coefs[covar]</w:t>
      </w:r>
      <w:r>
        <w:br/>
      </w:r>
      <w:r>
        <w:rPr>
          <w:rStyle w:val="NormalTok"/>
        </w:rPr>
        <w:t xml:space="preserve">      }</w:t>
      </w:r>
      <w:r>
        <w:br/>
      </w:r>
      <w:r>
        <w:rPr>
          <w:rStyle w:val="NormalTok"/>
        </w:rPr>
        <w:t xml:space="preserve">    }</w:t>
      </w:r>
      <w:r>
        <w:br/>
      </w:r>
      <w:r>
        <w:rPr>
          <w:rStyle w:val="NormalTok"/>
        </w:rPr>
        <w:t xml:space="preserve">    r2_values </w:t>
      </w:r>
      <w:r>
        <w:rPr>
          <w:rStyle w:val="OtherTok"/>
        </w:rPr>
        <w:t xml:space="preserve">&lt;-</w:t>
      </w:r>
      <w:r>
        <w:rPr>
          <w:rStyle w:val="NormalTok"/>
        </w:rPr>
        <w:t xml:space="preserve"> all_r_squared[[model_name]]</w:t>
      </w:r>
      <w:r>
        <w:br/>
      </w:r>
      <w:r>
        <w:rPr>
          <w:rStyle w:val="NormalTok"/>
        </w:rPr>
        <w:t xml:space="preserve">    results_matrix[</w:t>
      </w:r>
      <w:r>
        <w:rPr>
          <w:rStyle w:val="StringTok"/>
        </w:rPr>
        <w:t xml:space="preserve">"R2m"</w:t>
      </w:r>
      <w:r>
        <w:rPr>
          <w:rStyle w:val="NormalTok"/>
        </w:rPr>
        <w:t xml:space="preserve">, model_name] </w:t>
      </w:r>
      <w:r>
        <w:rPr>
          <w:rStyle w:val="OtherTok"/>
        </w:rPr>
        <w:t xml:space="preserve">&lt;-</w:t>
      </w:r>
      <w:r>
        <w:rPr>
          <w:rStyle w:val="NormalTok"/>
        </w:rPr>
        <w:t xml:space="preserve"> r2_values[</w:t>
      </w:r>
      <w:r>
        <w:rPr>
          <w:rStyle w:val="StringTok"/>
        </w:rPr>
        <w:t xml:space="preserve">"R2m"</w:t>
      </w:r>
      <w:r>
        <w:rPr>
          <w:rStyle w:val="NormalTok"/>
        </w:rPr>
        <w:t xml:space="preserve">]</w:t>
      </w:r>
      <w:r>
        <w:br/>
      </w:r>
      <w:r>
        <w:rPr>
          <w:rStyle w:val="NormalTok"/>
        </w:rPr>
        <w:t xml:space="preserve">    results_matrix[</w:t>
      </w:r>
      <w:r>
        <w:rPr>
          <w:rStyle w:val="StringTok"/>
        </w:rPr>
        <w:t xml:space="preserve">"R2c"</w:t>
      </w:r>
      <w:r>
        <w:rPr>
          <w:rStyle w:val="NormalTok"/>
        </w:rPr>
        <w:t xml:space="preserve">, model_name] </w:t>
      </w:r>
      <w:r>
        <w:rPr>
          <w:rStyle w:val="OtherTok"/>
        </w:rPr>
        <w:t xml:space="preserve">&lt;-</w:t>
      </w:r>
      <w:r>
        <w:rPr>
          <w:rStyle w:val="NormalTok"/>
        </w:rPr>
        <w:t xml:space="preserve"> r2_values[</w:t>
      </w:r>
      <w:r>
        <w:rPr>
          <w:rStyle w:val="StringTok"/>
        </w:rPr>
        <w:t xml:space="preserve">"R2c"</w:t>
      </w:r>
      <w:r>
        <w:rPr>
          <w:rStyle w:val="NormalTok"/>
        </w:rPr>
        <w:t xml:space="preserve">]</w:t>
      </w:r>
      <w:r>
        <w:br/>
      </w:r>
      <w:r>
        <w:rPr>
          <w:rStyle w:val="NormalTok"/>
        </w:rPr>
        <w:t xml:space="preserve">  }</w:t>
      </w:r>
      <w:r>
        <w:br/>
      </w:r>
      <w:r>
        <w:br/>
      </w:r>
      <w:r>
        <w:rPr>
          <w:rStyle w:val="NormalTok"/>
        </w:rPr>
        <w:t xml:space="preserve">  </w:t>
      </w:r>
      <w:r>
        <w:rPr>
          <w:rStyle w:val="CommentTok"/>
        </w:rPr>
        <w:t xml:space="preserve"># --- NEU: Zeilen- und Spaltennamen ersetzen ---</w:t>
      </w:r>
      <w:r>
        <w:br/>
      </w:r>
      <w:r>
        <w:rPr>
          <w:rStyle w:val="NormalTok"/>
        </w:rPr>
        <w:t xml:space="preserve">  </w:t>
      </w:r>
      <w:r>
        <w:br/>
      </w:r>
      <w:r>
        <w:rPr>
          <w:rStyle w:val="NormalTok"/>
        </w:rPr>
        <w:t xml:space="preserve">  </w:t>
      </w:r>
      <w:r>
        <w:rPr>
          <w:rStyle w:val="CommentTok"/>
        </w:rPr>
        <w:t xml:space="preserve"># Ersetze die Zeilennamen (Kovariaten), falls covariate_labels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(covariate_labels)) {</w:t>
      </w:r>
      <w:r>
        <w:br/>
      </w:r>
      <w:r>
        <w:rPr>
          <w:rStyle w:val="NormalTok"/>
        </w:rPr>
        <w:t xml:space="preserve">    </w:t>
      </w:r>
      <w:r>
        <w:rPr>
          <w:rStyle w:val="CommentTok"/>
        </w:rPr>
        <w:t xml:space="preserve"># Finde die Übereinstimmungen in den aktuellen Zeilennamen</w:t>
      </w:r>
      <w:r>
        <w:br/>
      </w:r>
      <w:r>
        <w:rPr>
          <w:rStyle w:val="NormalTok"/>
        </w:rPr>
        <w:t xml:space="preserve">    row_matches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rownames</w:t>
      </w:r>
      <w:r>
        <w:rPr>
          <w:rStyle w:val="NormalTok"/>
        </w:rPr>
        <w:t xml:space="preserve">(results_matrix), </w:t>
      </w:r>
      <w:r>
        <w:rPr>
          <w:rStyle w:val="FunctionTok"/>
        </w:rPr>
        <w:t xml:space="preserve">names</w:t>
      </w:r>
      <w:r>
        <w:rPr>
          <w:rStyle w:val="NormalTok"/>
        </w:rPr>
        <w:t xml:space="preserve">(covariate_labels))</w:t>
      </w:r>
      <w:r>
        <w:br/>
      </w:r>
      <w:r>
        <w:rPr>
          <w:rStyle w:val="NormalTok"/>
        </w:rPr>
        <w:t xml:space="preserve">    </w:t>
      </w:r>
      <w:r>
        <w:rPr>
          <w:rStyle w:val="CommentTok"/>
        </w:rPr>
        <w:t xml:space="preserve"># Ersetze nur die, die gefunden wurden</w:t>
      </w:r>
      <w:r>
        <w:br/>
      </w:r>
      <w:r>
        <w:rPr>
          <w:rStyle w:val="NormalTok"/>
        </w:rPr>
        <w:t xml:space="preserve">    new_rownames </w:t>
      </w:r>
      <w:r>
        <w:rPr>
          <w:rStyle w:val="OtherTok"/>
        </w:rPr>
        <w:t xml:space="preserve">&lt;-</w:t>
      </w:r>
      <w:r>
        <w:rPr>
          <w:rStyle w:val="NormalTok"/>
        </w:rPr>
        <w:t xml:space="preserve"> </w:t>
      </w:r>
      <w:r>
        <w:rPr>
          <w:rStyle w:val="FunctionTok"/>
        </w:rPr>
        <w:t xml:space="preserve">rownames</w:t>
      </w:r>
      <w:r>
        <w:rPr>
          <w:rStyle w:val="NormalTok"/>
        </w:rPr>
        <w:t xml:space="preserve">(results_matrix)</w:t>
      </w:r>
      <w:r>
        <w:br/>
      </w:r>
      <w:r>
        <w:rPr>
          <w:rStyle w:val="NormalTok"/>
        </w:rPr>
        <w:t xml:space="preserve">    new_rownames[</w:t>
      </w:r>
      <w:r>
        <w:rPr>
          <w:rStyle w:val="SpecialCharTok"/>
        </w:rPr>
        <w:t xml:space="preserve">!</w:t>
      </w:r>
      <w:r>
        <w:rPr>
          <w:rStyle w:val="FunctionTok"/>
        </w:rPr>
        <w:t xml:space="preserve">is.na</w:t>
      </w:r>
      <w:r>
        <w:rPr>
          <w:rStyle w:val="NormalTok"/>
        </w:rPr>
        <w:t xml:space="preserve">(row_matches)] </w:t>
      </w:r>
      <w:r>
        <w:rPr>
          <w:rStyle w:val="OtherTok"/>
        </w:rPr>
        <w:t xml:space="preserve">&lt;-</w:t>
      </w:r>
      <w:r>
        <w:rPr>
          <w:rStyle w:val="NormalTok"/>
        </w:rPr>
        <w:t xml:space="preserve"> covariate_labels[row_matches[</w:t>
      </w:r>
      <w:r>
        <w:rPr>
          <w:rStyle w:val="SpecialCharTok"/>
        </w:rPr>
        <w:t xml:space="preserve">!</w:t>
      </w:r>
      <w:r>
        <w:rPr>
          <w:rStyle w:val="FunctionTok"/>
        </w:rPr>
        <w:t xml:space="preserve">is.na</w:t>
      </w:r>
      <w:r>
        <w:rPr>
          <w:rStyle w:val="NormalTok"/>
        </w:rPr>
        <w:t xml:space="preserve">(row_matches)]]</w:t>
      </w:r>
      <w:r>
        <w:br/>
      </w:r>
      <w:r>
        <w:rPr>
          <w:rStyle w:val="NormalTok"/>
        </w:rPr>
        <w:t xml:space="preserve">    </w:t>
      </w:r>
      <w:r>
        <w:rPr>
          <w:rStyle w:val="FunctionTok"/>
        </w:rPr>
        <w:t xml:space="preserve">rownames</w:t>
      </w:r>
      <w:r>
        <w:rPr>
          <w:rStyle w:val="NormalTok"/>
        </w:rPr>
        <w:t xml:space="preserve">(results_matrix) </w:t>
      </w:r>
      <w:r>
        <w:rPr>
          <w:rStyle w:val="OtherTok"/>
        </w:rPr>
        <w:t xml:space="preserve">&lt;-</w:t>
      </w:r>
      <w:r>
        <w:rPr>
          <w:rStyle w:val="NormalTok"/>
        </w:rPr>
        <w:t xml:space="preserve"> new_rownames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Ersetze die Spaltennamen (Modelle), falls model_labels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(model_labels)) {</w:t>
      </w:r>
      <w:r>
        <w:br/>
      </w:r>
      <w:r>
        <w:rPr>
          <w:rStyle w:val="NormalTok"/>
        </w:rPr>
        <w:t xml:space="preserve">    col_matches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colnames</w:t>
      </w:r>
      <w:r>
        <w:rPr>
          <w:rStyle w:val="NormalTok"/>
        </w:rPr>
        <w:t xml:space="preserve">(results_matrix), </w:t>
      </w:r>
      <w:r>
        <w:rPr>
          <w:rStyle w:val="FunctionTok"/>
        </w:rPr>
        <w:t xml:space="preserve">names</w:t>
      </w:r>
      <w:r>
        <w:rPr>
          <w:rStyle w:val="NormalTok"/>
        </w:rPr>
        <w:t xml:space="preserve">(model_labels))</w:t>
      </w:r>
      <w:r>
        <w:br/>
      </w:r>
      <w:r>
        <w:rPr>
          <w:rStyle w:val="NormalTok"/>
        </w:rPr>
        <w:t xml:space="preserve">    new_colnames </w:t>
      </w:r>
      <w:r>
        <w:rPr>
          <w:rStyle w:val="OtherTok"/>
        </w:rPr>
        <w:t xml:space="preserve">&lt;-</w:t>
      </w:r>
      <w:r>
        <w:rPr>
          <w:rStyle w:val="NormalTok"/>
        </w:rPr>
        <w:t xml:space="preserve"> </w:t>
      </w:r>
      <w:r>
        <w:rPr>
          <w:rStyle w:val="FunctionTok"/>
        </w:rPr>
        <w:t xml:space="preserve">colnames</w:t>
      </w:r>
      <w:r>
        <w:rPr>
          <w:rStyle w:val="NormalTok"/>
        </w:rPr>
        <w:t xml:space="preserve">(results_matrix)</w:t>
      </w:r>
      <w:r>
        <w:br/>
      </w:r>
      <w:r>
        <w:rPr>
          <w:rStyle w:val="NormalTok"/>
        </w:rPr>
        <w:t xml:space="preserve">    new_colnames[</w:t>
      </w:r>
      <w:r>
        <w:rPr>
          <w:rStyle w:val="SpecialCharTok"/>
        </w:rPr>
        <w:t xml:space="preserve">!</w:t>
      </w:r>
      <w:r>
        <w:rPr>
          <w:rStyle w:val="FunctionTok"/>
        </w:rPr>
        <w:t xml:space="preserve">is.na</w:t>
      </w:r>
      <w:r>
        <w:rPr>
          <w:rStyle w:val="NormalTok"/>
        </w:rPr>
        <w:t xml:space="preserve">(col_matches)] </w:t>
      </w:r>
      <w:r>
        <w:rPr>
          <w:rStyle w:val="OtherTok"/>
        </w:rPr>
        <w:t xml:space="preserve">&lt;-</w:t>
      </w:r>
      <w:r>
        <w:rPr>
          <w:rStyle w:val="NormalTok"/>
        </w:rPr>
        <w:t xml:space="preserve"> model_labels[col_matches[</w:t>
      </w:r>
      <w:r>
        <w:rPr>
          <w:rStyle w:val="SpecialCharTok"/>
        </w:rPr>
        <w:t xml:space="preserve">!</w:t>
      </w:r>
      <w:r>
        <w:rPr>
          <w:rStyle w:val="FunctionTok"/>
        </w:rPr>
        <w:t xml:space="preserve">is.na</w:t>
      </w:r>
      <w:r>
        <w:rPr>
          <w:rStyle w:val="NormalTok"/>
        </w:rPr>
        <w:t xml:space="preserve">(col_matches)]]</w:t>
      </w:r>
      <w:r>
        <w:br/>
      </w:r>
      <w:r>
        <w:rPr>
          <w:rStyle w:val="NormalTok"/>
        </w:rPr>
        <w:t xml:space="preserve">    </w:t>
      </w:r>
      <w:r>
        <w:rPr>
          <w:rStyle w:val="FunctionTok"/>
        </w:rPr>
        <w:t xml:space="preserve">colnames</w:t>
      </w:r>
      <w:r>
        <w:rPr>
          <w:rStyle w:val="NormalTok"/>
        </w:rPr>
        <w:t xml:space="preserve">(results_matrix) </w:t>
      </w:r>
      <w:r>
        <w:rPr>
          <w:rStyle w:val="OtherTok"/>
        </w:rPr>
        <w:t xml:space="preserve">&lt;-</w:t>
      </w:r>
      <w:r>
        <w:rPr>
          <w:rStyle w:val="NormalTok"/>
        </w:rPr>
        <w:t xml:space="preserve"> new_colnames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 Ende der neuen Sektion ---</w:t>
      </w:r>
      <w:r>
        <w:br/>
      </w:r>
      <w:r>
        <w:br/>
      </w:r>
      <w:r>
        <w:rPr>
          <w:rStyle w:val="NormalTok"/>
        </w:rPr>
        <w:t xml:space="preserve">  </w:t>
      </w:r>
      <w:r>
        <w:rPr>
          <w:rStyle w:val="CommentTok"/>
        </w:rPr>
        <w:t xml:space="preserve"># Convert to data frame for kable</w:t>
      </w:r>
      <w:r>
        <w:br/>
      </w:r>
      <w:r>
        <w:rPr>
          <w:rStyle w:val="NormalTok"/>
        </w:rPr>
        <w:t xml:space="preserve">  results_df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"Predictor"</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(results_matrix),</w:t>
      </w:r>
      <w:r>
        <w:br/>
      </w:r>
      <w:r>
        <w:rPr>
          <w:rStyle w:val="NormalTok"/>
        </w:rPr>
        <w:t xml:space="preserve">                           results_matrix,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CommentTok"/>
        </w:rPr>
        <w:t xml:space="preserve"># Verhindert, dass R Spaltennamen ändert</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results_df</w:t>
      </w:r>
      <w:r>
        <w:br/>
      </w:r>
      <w:r>
        <w:rPr>
          <w:rStyle w:val="NormalTok"/>
        </w:rPr>
        <w:t xml:space="preserve">}</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40" w:name="X623e521be83114432db2f1c7d18ba665d67bdd5"/>
    <w:p>
      <w:pPr>
        <w:pStyle w:val="Heading2"/>
      </w:pPr>
      <w:r>
        <w:t xml:space="preserve">3.1 Establishment of the P-Desorption Kinetic Model</w:t>
      </w:r>
    </w:p>
    <w:p>
      <w:pPr>
        <w:pStyle w:val="FirstParagraph"/>
      </w:pPr>
      <w:r>
        <w:t xml:space="preserve">The primary goal was to derive two key parameters for each soil sample: the desorbable P pool (</w:t>
      </w:r>
      <m:oMath>
        <m:sSub>
          <m:e>
            <m:r>
              <m:t>P</m:t>
            </m:r>
          </m:e>
          <m:sub>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34" w:name="Xc5152bc0d8277c92f5b5561836317bc1f747dd2"/>
    <w:p>
      <w:pPr>
        <w:pStyle w:val="Heading3"/>
      </w:pPr>
      <w:r>
        <w:t xml:space="preserve">3.1.1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33" w:name="fig-linearized-model"/>
          <w:p>
            <w:pPr>
              <w:pStyle w:val="Compact"/>
              <w:jc w:val="center"/>
            </w:pPr>
            <w:r>
              <w:drawing>
                <wp:inline>
                  <wp:extent cx="4620126" cy="4620126"/>
                  <wp:effectExtent b="0" l="0" r="0" t="0"/>
                  <wp:docPr descr="" title="" id="31" name="Picture"/>
                  <a:graphic>
                    <a:graphicData uri="http://schemas.openxmlformats.org/drawingml/2006/picture">
                      <pic:pic>
                        <pic:nvPicPr>
                          <pic:cNvPr descr="index_files/figure-docx/fig-linearized-model-1.png" id="32" name="Picture"/>
                          <pic:cNvPicPr>
                            <a:picLocks noChangeArrowheads="1" noChangeAspect="1"/>
                          </pic:cNvPicPr>
                        </pic:nvPicPr>
                        <pic:blipFill>
                          <a:blip r:embed="rId3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33"/>
        </w:tc>
      </w:tr>
    </w:tbl>
    <w:bookmarkEnd w:id="34"/>
    <w:bookmarkStart w:id="39" w:name="Xa1f48741cc3a88a20671852547ba1fa19b477bc"/>
    <w:p>
      <w:pPr>
        <w:pStyle w:val="Heading3"/>
      </w:pPr>
      <w:r>
        <w:t xml:space="preserve">3.1.2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38" w:name="fig-nonlinear-model"/>
          <w:p>
            <w:pPr>
              <w:pStyle w:val="Compact"/>
              <w:jc w:val="center"/>
            </w:pPr>
            <w:r>
              <w:drawing>
                <wp:inline>
                  <wp:extent cx="4620126" cy="5544151"/>
                  <wp:effectExtent b="0" l="0" r="0" t="0"/>
                  <wp:docPr descr="" title="" id="36" name="Picture"/>
                  <a:graphic>
                    <a:graphicData uri="http://schemas.openxmlformats.org/drawingml/2006/picture">
                      <pic:pic>
                        <pic:nvPicPr>
                          <pic:cNvPr descr="index_files/figure-docx/fig-nonlinear-model-1.png" id="37" name="Picture"/>
                          <pic:cNvPicPr>
                            <a:picLocks noChangeArrowheads="1" noChangeAspect="1"/>
                          </pic:cNvPicPr>
                        </pic:nvPicPr>
                        <pic:blipFill>
                          <a:blip r:embed="rId35"/>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38"/>
        </w:tc>
      </w:tr>
    </w:tbl>
    <w:bookmarkEnd w:id="39"/>
    <w:bookmarkEnd w:id="40"/>
    <w:bookmarkStart w:id="50" w:name="X57c0e16474e0112c1b66bc31d7fcfca02c450f3"/>
    <w:p>
      <w:pPr>
        <w:pStyle w:val="Heading2"/>
      </w:pPr>
      <w:r>
        <w:t xml:space="preserve">3.2 Comparison with Isotopic Exchange Kinetics (IEK)</w:t>
      </w:r>
    </w:p>
    <w:p>
      <w:pPr>
        <w:pStyle w:val="FirstParagraph"/>
      </w:pPr>
      <w:r>
        <w:t xml:space="preserve">To validate the newly derived kinetic parameters against an established benchmark, the capacity (</w:t>
      </w:r>
      <m:oMath>
        <m:sSub>
          <m:e>
            <m:r>
              <m:t>P</m:t>
            </m:r>
          </m:e>
          <m:sub>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49"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4" w:name="fig-iek-comparison-1"/>
                <w:p>
                  <w:pPr>
                    <w:pStyle w:val="Compact"/>
                    <w:jc w:val="center"/>
                    <w:jc w:val="left"/>
                  </w:pPr>
                  <w:r>
                    <w:drawing>
                      <wp:inline>
                        <wp:extent cx="2971800" cy="2377440"/>
                        <wp:effectExtent b="0" l="0" r="0" t="0"/>
                        <wp:docPr descr="" title="" id="42" name="Picture"/>
                        <a:graphic>
                          <a:graphicData uri="http://schemas.openxmlformats.org/drawingml/2006/picture">
                            <pic:pic>
                              <pic:nvPicPr>
                                <pic:cNvPr descr="index_files/figure-docx/fig-iek-comparison-1.png" id="43" name="Picture"/>
                                <pic:cNvPicPr>
                                  <a:picLocks noChangeArrowheads="1" noChangeAspect="1"/>
                                </pic:cNvPicPr>
                              </pic:nvPicPr>
                              <pic:blipFill>
                                <a:blip r:embed="rId41"/>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44"/>
              </w:tc>
            </w:tr>
          </w:tbl>
          <w:p/>
        </w:tc>
        <w:tc>
          <w:tcPr/>
          <w:tbl>
            <w:tblPr>
              <w:tblStyle w:val="Table"/>
              <w:tblW w:type="pct" w:w="4900"/>
              <w:tblLayout w:type="fixed"/>
              <w:tblLook w:firstRow="0" w:lastRow="0" w:firstColumn="0" w:lastColumn="0" w:noHBand="0" w:noVBand="0" w:val="0000"/>
            </w:tblPr>
            <w:tblGrid>
              <w:gridCol w:w="7761"/>
            </w:tblGrid>
            <w:tr>
              <w:tc>
                <w:tcPr/>
                <w:bookmarkStart w:id="48" w:name="fig-iek-comparison-2"/>
                <w:p>
                  <w:pPr>
                    <w:pStyle w:val="Compact"/>
                    <w:jc w:val="center"/>
                    <w:jc w:val="left"/>
                  </w:pPr>
                  <w:r>
                    <w:drawing>
                      <wp:inline>
                        <wp:extent cx="2971800" cy="2377440"/>
                        <wp:effectExtent b="0" l="0" r="0" t="0"/>
                        <wp:docPr descr="" title="" id="46" name="Picture"/>
                        <a:graphic>
                          <a:graphicData uri="http://schemas.openxmlformats.org/drawingml/2006/picture">
                            <pic:pic>
                              <pic:nvPicPr>
                                <pic:cNvPr descr="index_files/figure-docx/fig-iek-comparison-2.png" id="47" name="Picture"/>
                                <pic:cNvPicPr>
                                  <a:picLocks noChangeArrowheads="1" noChangeAspect="1"/>
                                </pic:cNvPicPr>
                              </pic:nvPicPr>
                              <pic:blipFill>
                                <a:blip r:embed="rId45"/>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48"/>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49"/>
    <w:p>
      <w:pPr>
        <w:pStyle w:val="BodyText"/>
      </w:pPr>
      <w:r>
        <w:t xml:space="preserve">The analysis revealed a statistically significant, moderate positive correlation between the capacity parameters,</w:t>
      </w:r>
      <w:r>
        <w:t xml:space="preserve"> </w:t>
      </w:r>
      <m:oMath>
        <m:sSub>
          <m:e>
            <m:r>
              <m:t>P</m:t>
            </m:r>
          </m:e>
          <m:sub>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50"/>
    <w:bookmarkStart w:id="61" w:name="Xecaf9e4ead9471844934973fdc01e77ea889a2e"/>
    <w:p>
      <w:pPr>
        <w:pStyle w:val="Heading2"/>
      </w:pPr>
      <w:r>
        <w:t xml:space="preserve">3.3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55" w:name="X7766650a521c07025d9048e5b46ef5cbb460559"/>
    <w:p>
      <w:pPr>
        <w:pStyle w:val="Heading3"/>
      </w:pPr>
      <w:r>
        <w:t xml:space="preserve">3.3.1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u</m:t>
            </m:r>
            <m:r>
              <m:t>p</m:t>
            </m:r>
          </m:sub>
        </m:sSub>
      </m:oMath>
      <w:r>
        <w:t xml:space="preserve">), and P Balance (</w:t>
      </w:r>
      <m:oMath>
        <m:sSub>
          <m:e>
            <m:r>
              <m:t>P</m:t>
            </m:r>
          </m:e>
          <m:sub>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agronomic-responses"/>
          <w:p>
            <w:pPr>
              <w:pStyle w:val="Compact"/>
              <w:jc w:val="center"/>
            </w:pPr>
            <w:r>
              <w:drawing>
                <wp:inline>
                  <wp:extent cx="4620126" cy="6468176"/>
                  <wp:effectExtent b="0" l="0" r="0" t="0"/>
                  <wp:docPr descr="" title="" id="52" name="Picture"/>
                  <a:graphic>
                    <a:graphicData uri="http://schemas.openxmlformats.org/drawingml/2006/picture">
                      <pic:pic>
                        <pic:nvPicPr>
                          <pic:cNvPr descr="index_files/figure-docx/fig-agronomic-responses-1.png" id="53" name="Picture"/>
                          <pic:cNvPicPr>
                            <a:picLocks noChangeArrowheads="1" noChangeAspect="1"/>
                          </pic:cNvPicPr>
                        </pic:nvPicPr>
                        <pic:blipFill>
                          <a:blip r:embed="rId5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54"/>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t>r</m:t>
            </m:r>
            <m:r>
              <m:t>e</m:t>
            </m:r>
            <m:r>
              <m:t>l</m:t>
            </m:r>
          </m:sub>
        </m:sSub>
      </m:oMath>
      <w:r>
        <w:t xml:space="preserve">) provides a broader context, showing how yields at each site compare to the national average.</w:t>
      </w:r>
    </w:p>
    <w:p>
      <w:pPr>
        <w:pStyle w:val="BodyText"/>
      </w:pPr>
      <w:r>
        <w:rPr>
          <w:b/>
          <w:bCs/>
        </w:rPr>
        <w:t xml:space="preserve">P Uptake (</w:t>
      </w:r>
      <m:oMath>
        <m:sSub>
          <m:e>
            <m:r>
              <m:t>P</m:t>
            </m:r>
          </m:e>
          <m:sub>
            <m:r>
              <m:t>u</m:t>
            </m:r>
            <m:r>
              <m:t>p</m:t>
            </m:r>
          </m:sub>
        </m:sSub>
      </m:oMath>
      <w:r>
        <w:t xml:space="preserve">): P uptake by crops followed a similar trend to yield, increasing with fertilization, often continuing to increase at the highest fertilization levels, suggesting luxury consumption.</w:t>
      </w:r>
    </w:p>
    <w:p>
      <w:pPr>
        <w:pStyle w:val="BodyText"/>
      </w:pPr>
      <w:r>
        <w:rPr>
          <w:b/>
          <w:bCs/>
        </w:rPr>
        <w:t xml:space="preserve">P Balance (</w:t>
      </w:r>
      <m:oMath>
        <m:sSub>
          <m:e>
            <m:r>
              <m:t>P</m:t>
            </m:r>
          </m:e>
          <m:sub>
            <m:r>
              <m:t>b</m:t>
            </m:r>
            <m:r>
              <m:t>a</m:t>
            </m:r>
            <m:r>
              <m:t>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55"/>
    <w:bookmarkStart w:id="60" w:name="Xf1b1c7e5b0bdd9bd952a6bec2c8d4ca508e5273"/>
    <w:p>
      <w:pPr>
        <w:pStyle w:val="Heading3"/>
      </w:pPr>
      <w:r>
        <w:t xml:space="preserve">3.3.2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soil-parameters"/>
          <w:p>
            <w:pPr>
              <w:pStyle w:val="Compact"/>
              <w:jc w:val="center"/>
            </w:pPr>
            <w:r>
              <w:drawing>
                <wp:inline>
                  <wp:extent cx="4620126" cy="6468176"/>
                  <wp:effectExtent b="0" l="0" r="0" t="0"/>
                  <wp:docPr descr="" title="" id="57" name="Picture"/>
                  <a:graphic>
                    <a:graphicData uri="http://schemas.openxmlformats.org/drawingml/2006/picture">
                      <pic:pic>
                        <pic:nvPicPr>
                          <pic:cNvPr descr="index_files/figure-docx/fig-soil-parameters-1.png" id="58" name="Picture"/>
                          <pic:cNvPicPr>
                            <a:picLocks noChangeArrowheads="1" noChangeAspect="1"/>
                          </pic:cNvPicPr>
                        </pic:nvPicPr>
                        <pic:blipFill>
                          <a:blip r:embed="rId5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59"/>
        </w:tc>
      </w:tr>
    </w:tbl>
    <w:p>
      <w:pPr>
        <w:pStyle w:val="BodyText"/>
      </w:pPr>
      <w:r>
        <w:rPr>
          <w:b/>
          <w:bCs/>
        </w:rPr>
        <w:t xml:space="preserve">Standard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t>d</m:t>
            </m:r>
            <m:r>
              <m:t>e</m:t>
            </m:r>
            <m:r>
              <m:t>s</m:t>
            </m:r>
            <m:r>
              <m:t>o</m:t>
            </m:r>
            <m:r>
              <m:t>r</m:t>
            </m:r>
            <m:r>
              <m:t>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t>d</m:t>
            </m:r>
            <m:r>
              <m:t>e</m:t>
            </m:r>
            <m:r>
              <m:t>s</m:t>
            </m:r>
            <m:r>
              <m:t>o</m:t>
            </m:r>
            <m:r>
              <m:t>r</m:t>
            </m:r>
            <m:r>
              <m:t>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t>d</m:t>
            </m:r>
            <m:r>
              <m:t>e</m:t>
            </m:r>
            <m:r>
              <m:t>s</m:t>
            </m:r>
            <m:r>
              <m:t>o</m:t>
            </m:r>
            <m:r>
              <m:t>r</m:t>
            </m:r>
            <m:r>
              <m:t>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60"/>
    <w:bookmarkEnd w:id="61"/>
    <w:bookmarkStart w:id="63" w:name="sec-p-params-soil-props"/>
    <w:p>
      <w:pPr>
        <w:pStyle w:val="Heading2"/>
      </w:pPr>
      <w:r>
        <w:t xml:space="preserve">3.4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soil-prop-models"/>
          <w:p>
            <w:pPr>
              <w:jc w:val="center"/>
            </w:pPr>
            <w:pPr>
              <w:jc w:val="left"/>
              <w:spacing w:before="200"/>
              <w:pStyle w:val="ImageCaption"/>
            </w:pPr>
            <w:r>
              <w:t xml:space="preserve">Table 3: Results of linear mixed-effects models predicting P parameters from intrinsic soil properties</w:t>
            </w:r>
            <w:r>
              <w:t xml:space="preserve"> </w:t>
            </w:r>
            <w:hyperlink w:anchor="tbl-variables">
              <w:r>
                <w:rPr>
                  <w:rStyle w:val="Hyperlink"/>
                </w:rPr>
                <w:t xml:space="preserve">Table 2</w:t>
              </w:r>
            </w:hyperlink>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200"/>
              <w:gridCol w:w="1560"/>
              <w:gridCol w:w="1200"/>
              <w:gridCol w:w="1200"/>
              <w:gridCol w:w="1320"/>
              <w:gridCol w:w="1440"/>
            </w:tblGrid>
            <w:tr>
              <w:trPr>
                <w:tblHeader w:val="on"/>
              </w:trPr>
              <w:tc>
                <w:tcPr/>
                <w:p>
                  <w:pPr>
                    <w:pStyle w:val="Compact"/>
                    <w:jc w:val="left"/>
                    <w:jc w:val="center"/>
                  </w:pPr>
                  <w:r>
                    <w:t xml:space="preserve">Predictor</w:t>
                  </w:r>
                </w:p>
              </w:tc>
              <w:tc>
                <w:tcPr/>
                <w:p>
                  <w:pPr>
                    <w:pStyle w:val="Compact"/>
                    <w:jc w:val="left"/>
                    <w:jc w:val="center"/>
                  </w:pPr>
                  <m:oMath>
                    <m:sSub>
                      <m:e>
                        <m:r>
                          <m:t>P</m:t>
                        </m:r>
                      </m:e>
                      <m:sub>
                        <m:r>
                          <m:t>d</m:t>
                        </m:r>
                        <m:r>
                          <m:t>e</m:t>
                        </m:r>
                        <m:r>
                          <m:t>s</m:t>
                        </m:r>
                        <m:r>
                          <m:t>o</m:t>
                        </m:r>
                        <m:r>
                          <m:t>r</m:t>
                        </m:r>
                        <m:r>
                          <m:t>b</m:t>
                        </m:r>
                      </m:sub>
                    </m:sSub>
                  </m:oMath>
                </w:p>
              </w:tc>
              <w:tc>
                <w:tcPr/>
                <w:p>
                  <w:pPr>
                    <w:pStyle w:val="Compact"/>
                    <w:jc w:val="left"/>
                    <w:jc w:val="center"/>
                  </w:pPr>
                  <m:oMath>
                    <m:r>
                      <m:t>k</m:t>
                    </m:r>
                  </m:oMath>
                </w:p>
              </w:tc>
              <w:tc>
                <w:tcPr/>
                <w:p>
                  <w:pPr>
                    <w:pStyle w:val="Compact"/>
                    <w:jc w:val="left"/>
                    <w:jc w:val="center"/>
                  </w:pPr>
                  <m:oMath>
                    <m:sSub>
                      <m:e>
                        <m:r>
                          <m:t>J</m:t>
                        </m:r>
                      </m:e>
                      <m:sub>
                        <m:r>
                          <m:t>0</m:t>
                        </m:r>
                      </m:sub>
                    </m:sSub>
                  </m:oMath>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0.393</w:t>
                  </w:r>
                </w:p>
              </w:tc>
              <w:tc>
                <w:tcPr/>
                <w:p>
                  <w:pPr>
                    <w:pStyle w:val="Compact"/>
                    <w:jc w:val="left"/>
                    <w:jc w:val="center"/>
                  </w:pPr>
                  <w:r>
                    <w:t xml:space="preserve">0.212</w:t>
                  </w:r>
                </w:p>
              </w:tc>
              <w:tc>
                <w:tcPr/>
                <w:p>
                  <w:pPr>
                    <w:pStyle w:val="Compact"/>
                    <w:jc w:val="left"/>
                    <w:jc w:val="center"/>
                  </w:pPr>
                  <w:r>
                    <w:t xml:space="preserve">0.368</w:t>
                  </w:r>
                </w:p>
              </w:tc>
              <w:tc>
                <w:tcPr/>
                <w:p>
                  <w:pPr>
                    <w:pStyle w:val="Compact"/>
                    <w:jc w:val="left"/>
                    <w:jc w:val="center"/>
                  </w:pPr>
                  <w:r>
                    <w:t xml:space="preserve">0.362</w:t>
                  </w:r>
                </w:p>
              </w:tc>
              <w:tc>
                <w:tcPr/>
                <w:p>
                  <w:pPr>
                    <w:pStyle w:val="Compact"/>
                    <w:jc w:val="left"/>
                    <w:jc w:val="center"/>
                  </w:pPr>
                  <w:r>
                    <w:t xml:space="preserve">0.494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0.996</w:t>
                  </w:r>
                </w:p>
              </w:tc>
              <w:tc>
                <w:tcPr/>
                <w:p>
                  <w:pPr>
                    <w:pStyle w:val="Compact"/>
                    <w:jc w:val="left"/>
                    <w:jc w:val="center"/>
                  </w:pPr>
                  <w:r>
                    <w:t xml:space="preserve">0.915</w:t>
                  </w:r>
                </w:p>
              </w:tc>
              <w:tc>
                <w:tcPr/>
                <w:p>
                  <w:pPr>
                    <w:pStyle w:val="Compact"/>
                    <w:jc w:val="left"/>
                    <w:jc w:val="center"/>
                  </w:pPr>
                  <w:r>
                    <w:t xml:space="preserve">0.993</w:t>
                  </w:r>
                </w:p>
              </w:tc>
              <w:tc>
                <w:tcPr/>
                <w:p>
                  <w:pPr>
                    <w:pStyle w:val="Compact"/>
                    <w:jc w:val="left"/>
                    <w:jc w:val="center"/>
                  </w:pPr>
                  <w:r>
                    <w:t xml:space="preserve">0.995</w:t>
                  </w:r>
                </w:p>
              </w:tc>
              <w:tc>
                <w:tcPr/>
                <w:p>
                  <w:pPr>
                    <w:pStyle w:val="Compact"/>
                    <w:jc w:val="left"/>
                    <w:jc w:val="center"/>
                  </w:pPr>
                  <w:r>
                    <w:t xml:space="preserve">0.997</w:t>
                  </w:r>
                </w:p>
              </w:tc>
            </w:tr>
          </w:tbl>
          <w:bookmarkEnd w:id="62"/>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t>d</m:t>
            </m:r>
            <m:r>
              <m:t>e</m:t>
            </m:r>
            <m:r>
              <m:t>s</m:t>
            </m:r>
            <m:r>
              <m:t>o</m:t>
            </m:r>
            <m:r>
              <m:t>r</m:t>
            </m:r>
            <m:r>
              <m:t>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t>d</m:t>
            </m:r>
            <m:r>
              <m:t>e</m:t>
            </m:r>
            <m:r>
              <m:t>s</m:t>
            </m:r>
            <m:r>
              <m:t>o</m:t>
            </m:r>
            <m:r>
              <m:t>r</m:t>
            </m:r>
            <m:r>
              <m:t>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63"/>
    <w:bookmarkStart w:id="82" w:name="sec-agronomic-modeling"/>
    <w:p>
      <w:pPr>
        <w:pStyle w:val="Heading2"/>
      </w:pPr>
      <w:r>
        <w:t xml:space="preserve">3.5 Predictive Modeling of Agronomic Outcomes</w:t>
      </w:r>
    </w:p>
    <w:p>
      <w:pPr>
        <w:pStyle w:val="FirstParagraph"/>
      </w:pPr>
      <w:r>
        <w:t xml:space="preserve">To formally evaluate the predictive power of the standard STP methods against the kinetic parameters, a series of linear mixed-effects models were fitted for each of the primary agronomic response variables. To test the central hypotheses of this thesis, the predictive power of the kinetic parameters was directly compared against that of the standard STP methods for several key agronomic outcomes. For each response variable—Normalized Yield (</w:t>
      </w:r>
      <m:oMath>
        <m:sSub>
          <m:e>
            <m:r>
              <m:t>Y</m:t>
            </m:r>
          </m:e>
          <m:sub>
            <m:r>
              <m:t>r</m:t>
            </m:r>
            <m:r>
              <m:t>e</m:t>
            </m:r>
            <m:r>
              <m:t>l</m:t>
            </m:r>
          </m:sub>
        </m:sSub>
      </m:oMath>
      <w:r>
        <w:t xml:space="preserve">), P Uptake (</w:t>
      </w:r>
      <m:oMath>
        <m:sSub>
          <m:e>
            <m:r>
              <m:t>P</m:t>
            </m:r>
          </m:e>
          <m:sub>
            <m:r>
              <m:t>u</m:t>
            </m:r>
            <m:r>
              <m:t>p</m:t>
            </m:r>
          </m:sub>
        </m:sSub>
      </m:oMath>
      <w:r>
        <w:t xml:space="preserve">), and P Balance (</w:t>
      </w:r>
      <m:oMath>
        <m:sSub>
          <m:e>
            <m:r>
              <m:t>P</m:t>
            </m:r>
          </m:e>
          <m:sub>
            <m:r>
              <m:t>b</m:t>
            </m:r>
            <m:r>
              <m:t>a</m:t>
            </m:r>
            <m:r>
              <m:t>l</m:t>
            </m:r>
          </m:sub>
        </m:sSub>
      </m:oMath>
      <w:r>
        <w:t xml:space="preserve">)—a set of competing linear mixed-effects models was constructed.</w:t>
      </w:r>
    </w:p>
    <w:p>
      <w:pPr>
        <w:pStyle w:val="BodyText"/>
      </w:pPr>
      <w:r>
        <w:t xml:space="preserve">To ensure a fair comparison, all models shared an identical random effects structure (</w:t>
      </w:r>
      <w:r>
        <w:rPr>
          <w:rStyle w:val="VerbatimChar"/>
        </w:rPr>
        <w:t xml:space="preserve">(1|year) + (1|Site) + (1|Site:block)</w:t>
      </w:r>
      <w:r>
        <w:t xml:space="preserve">), differing only in their fixed effects. Four distinct models were evaluated:</w:t>
      </w:r>
      <w:r>
        <w:t xml:space="preserve"> </w:t>
      </w:r>
      <m:oMath>
        <m:sSub>
          <m:e>
            <m:r>
              <m:t>P</m:t>
            </m:r>
          </m:e>
          <m:sub>
            <m:r>
              <m:t>C</m:t>
            </m:r>
            <m:sSub>
              <m:e>
                <m:r>
                  <m:t>O</m:t>
                </m:r>
              </m:e>
              <m:sub>
                <m:r>
                  <m:t>2</m:t>
                </m:r>
              </m:sub>
            </m:sSub>
          </m:sub>
        </m:sSub>
      </m:oMath>
      <w:r>
        <w:t xml:space="preserve"> </w:t>
      </w:r>
      <w:r>
        <w:t xml:space="preserve">Model: Used the standard water-soluble P test as the sole predictor.</w:t>
      </w:r>
      <w:r>
        <w:t xml:space="preserve"> </w:t>
      </w:r>
      <m:oMath>
        <m:sSub>
          <m:e>
            <m:r>
              <m:t>P</m:t>
            </m:r>
          </m:e>
          <m:sub>
            <m:r>
              <m:t>A</m:t>
            </m:r>
            <m:r>
              <m:t>A</m:t>
            </m:r>
            <m:r>
              <m:t>E</m:t>
            </m:r>
            <m:r>
              <m:t>10</m:t>
            </m:r>
          </m:sub>
        </m:sSub>
      </m:oMath>
      <w:r>
        <w:t xml:space="preserve"> </w:t>
      </w:r>
      <w:r>
        <w:t xml:space="preserve">Model: Used the standard chelate-extractable P test as the sole predictor.</w:t>
      </w:r>
      <w:r>
        <w:t xml:space="preserve"> </w:t>
      </w:r>
      <w:r>
        <w:rPr>
          <w:b/>
          <w:bCs/>
        </w:rPr>
        <w:t xml:space="preserve">STP Interaction Model:</w:t>
      </w:r>
      <w:r>
        <w:t xml:space="preserve"> </w:t>
      </w:r>
      <w:r>
        <w:t xml:space="preserve">Included both standard tests and their interaction term (</w:t>
      </w:r>
      <m:oMath>
        <m:sSub>
          <m:e>
            <m:r>
              <m:t>P</m:t>
            </m:r>
          </m:e>
          <m:sub>
            <m:r>
              <m:t>C</m:t>
            </m:r>
            <m:sSub>
              <m:e>
                <m:r>
                  <m:t>O</m:t>
                </m:r>
              </m:e>
              <m:sub>
                <m:r>
                  <m:t>2</m:t>
                </m:r>
              </m:sub>
            </m:sSub>
          </m:sub>
        </m:sSub>
        <m:r>
          <m:rPr>
            <m:sty m:val="p"/>
          </m:rPr>
          <m:t>*</m:t>
        </m:r>
        <m:sSub>
          <m:e>
            <m:r>
              <m:t>P</m:t>
            </m:r>
          </m:e>
          <m:sub>
            <m:r>
              <m:t>A</m:t>
            </m:r>
            <m:r>
              <m:t>A</m:t>
            </m:r>
            <m:r>
              <m:t>E</m:t>
            </m:r>
            <m:r>
              <m:t>10</m:t>
            </m:r>
          </m:sub>
        </m:sSub>
      </m:oMath>
      <w:r>
        <w:t xml:space="preserve">) to capture their combined effect.</w:t>
      </w:r>
      <w:r>
        <w:t xml:space="preserve"> </w:t>
      </w:r>
      <w:r>
        <w:rPr>
          <w:b/>
          <w:bCs/>
        </w:rPr>
        <w:t xml:space="preserve">Kinetic Model:</w:t>
      </w:r>
      <w:r>
        <w:t xml:space="preserve"> </w:t>
      </w:r>
      <w:r>
        <w:t xml:space="preserve">Used the log-transformed desorbable P pool (</w:t>
      </w:r>
      <m:oMath>
        <m:r>
          <m:t>l</m:t>
        </m:r>
        <m:r>
          <m:t>o</m:t>
        </m:r>
        <m:r>
          <m:t>g</m:t>
        </m:r>
        <m:r>
          <m:rPr>
            <m:sty m:val="p"/>
          </m:rPr>
          <m:t>(</m:t>
        </m:r>
        <m:sSub>
          <m:e>
            <m:r>
              <m:t>P</m:t>
            </m:r>
          </m:e>
          <m:sub>
            <m:r>
              <m:t>d</m:t>
            </m:r>
            <m:r>
              <m:t>e</m:t>
            </m:r>
            <m:r>
              <m:t>s</m:t>
            </m:r>
            <m:r>
              <m:t>o</m:t>
            </m:r>
            <m:r>
              <m:t>r</m:t>
            </m:r>
            <m:r>
              <m:t>b</m:t>
            </m:r>
          </m:sub>
        </m:sSub>
        <m:r>
          <m:rPr>
            <m:sty m:val="p"/>
          </m:rPr>
          <m:t>)</m:t>
        </m:r>
      </m:oMath>
      <w:r>
        <w:t xml:space="preserve">), the rate constant (</w:t>
      </w:r>
      <w:r>
        <w:rPr>
          <w:i/>
          <w:iCs/>
        </w:rPr>
        <w:t xml:space="preserve">k</w:t>
      </w:r>
      <w:r>
        <w:t xml:space="preserve">), and their interaction (</w:t>
      </w:r>
      <m:oMath>
        <m:sSub>
          <m:e>
            <m:r>
              <m:t>J</m:t>
            </m:r>
          </m:e>
          <m:sub>
            <m:r>
              <m:t>0</m:t>
            </m:r>
          </m:sub>
        </m:sSub>
      </m:oMath>
      <w:r>
        <w:t xml:space="preserve">) as predictors.</w:t>
      </w:r>
    </w:p>
    <w:p>
      <w:pPr>
        <w:pStyle w:val="BodyText"/>
      </w:pPr>
      <w:r>
        <w:t xml:space="preserve">The performance of these models for each agronomic outcome is presented in the following sections.</w:t>
      </w:r>
    </w:p>
    <w:bookmarkStart w:id="72" w:name="anomaly-in-the-cadenazzo-yield-data"/>
    <w:p>
      <w:pPr>
        <w:pStyle w:val="Heading3"/>
      </w:pPr>
      <w:r>
        <w:t xml:space="preserve">3.5.1 Anomaly in the Cadenazzo Yield Data</w:t>
      </w:r>
    </w:p>
    <w:p>
      <w:pPr>
        <w:pStyle w:val="FirstParagraph"/>
      </w:pPr>
      <w:r>
        <w:t xml:space="preserve">A preliminary visual analysis of the agronomic data revealed a significant anomaly at the Cadenazzo (CAD) site. As shown in</w:t>
      </w:r>
      <w:r>
        <w:t xml:space="preserve"> </w:t>
      </w:r>
      <w:hyperlink w:anchor="fig-yield-comparison">
        <w:r>
          <w:rPr>
            <w:rStyle w:val="Hyperlink"/>
          </w:rPr>
          <w:t xml:space="preserve">Figure 6</w:t>
        </w:r>
      </w:hyperlink>
      <w:r>
        <w:t xml:space="preserve">, the Cadenazzo site exhibited substantially higher overall yields than all other locations. More critically, the yield response to P fertilization did not follow the expected agronomic trend. The zero-fertilizer treatment (</w:t>
      </w:r>
      <w:r>
        <w:rPr>
          <w:rStyle w:val="VerbatimChar"/>
        </w:rPr>
        <w:t xml:space="preserve">P0</w:t>
      </w:r>
      <w:r>
        <w:t xml:space="preserve">) showed the highest median yield, while the surplus treatment (</w:t>
      </w:r>
      <w:r>
        <w:rPr>
          <w:rStyle w:val="VerbatimChar"/>
        </w:rPr>
        <w:t xml:space="preserve">P166</w:t>
      </w:r>
      <w:r>
        <w:t xml:space="preserve">) was among the lowest.</w:t>
      </w:r>
    </w:p>
    <w:p>
      <w:pPr>
        <w:pStyle w:val="BodyText"/>
      </w:pPr>
      <w:r>
        <w:t xml:space="preserve">A simple label swap between</w:t>
      </w:r>
      <w:r>
        <w:t xml:space="preserve"> </w:t>
      </w:r>
      <w:r>
        <w:rPr>
          <w:rStyle w:val="VerbatimChar"/>
        </w:rPr>
        <w:t xml:space="preserve">P0</w:t>
      </w:r>
      <w:r>
        <w:t xml:space="preserve"> </w:t>
      </w:r>
      <w:r>
        <w:t xml:space="preserve">and</w:t>
      </w:r>
      <w:r>
        <w:t xml:space="preserve"> </w:t>
      </w:r>
      <w:r>
        <w:rPr>
          <w:rStyle w:val="VerbatimChar"/>
        </w:rPr>
        <w:t xml:space="preserve">P166</w:t>
      </w:r>
      <w:r>
        <w:t xml:space="preserve"> </w:t>
      </w:r>
      <w:r>
        <w:t xml:space="preserve">was hypothesized and tested (</w:t>
      </w:r>
      <w:hyperlink w:anchor="fig-yield-cadenazzo-fix">
        <w:r>
          <w:rPr>
            <w:rStyle w:val="Hyperlink"/>
          </w:rPr>
          <w:t xml:space="preserve">Figure 7</w:t>
        </w:r>
      </w:hyperlink>
      <w:r>
        <w:t xml:space="preserve">). While this correction established a more monotonic trend, the resulting pattern remained questionable, with the corrected</w:t>
      </w:r>
      <w:r>
        <w:t xml:space="preserve"> </w:t>
      </w:r>
      <w:r>
        <w:rPr>
          <w:rStyle w:val="VerbatimChar"/>
        </w:rPr>
        <w:t xml:space="preserve">P166</w:t>
      </w:r>
      <w:r>
        <w:t xml:space="preserve"> </w:t>
      </w:r>
      <w:r>
        <w:t xml:space="preserve">yield being inexplicably higher than the</w:t>
      </w:r>
      <w:r>
        <w:t xml:space="preserve"> </w:t>
      </w:r>
      <w:r>
        <w:rPr>
          <w:rStyle w:val="VerbatimChar"/>
        </w:rPr>
        <w:t xml:space="preserve">P100</w:t>
      </w:r>
      <w:r>
        <w:t xml:space="preserve"> </w:t>
      </w:r>
      <w:r>
        <w:t xml:space="preserve">and</w:t>
      </w:r>
      <w:r>
        <w:t xml:space="preserve"> </w:t>
      </w:r>
      <w:r>
        <w:rPr>
          <w:rStyle w:val="VerbatimChar"/>
        </w:rPr>
        <w:t xml:space="preserve">P133</w:t>
      </w:r>
      <w:r>
        <w:t xml:space="preserve"> </w:t>
      </w:r>
      <w:r>
        <w:t xml:space="preserve">treatments, which is not a typical biological response.</w:t>
      </w:r>
    </w:p>
    <w:p>
      <w:pPr>
        <w:pStyle w:val="BodyText"/>
      </w:pPr>
      <w:r>
        <w:t xml:space="preserve">Unfortunately, a deeper investigation into the cause of this anomaly was impossible, as the corresponding soil analysis data (STPs, organic carbon, etc.) for the Cadenazzo site were unavailable due to sample loss. Without this data, it cannot be determined whether the issue stems from a persistent micro-site anomaly, a more complex data recording error, or other unknown factors. Given these unresolved inconsistencies and the site’s unusually high productivity, the Cadenazzo data was retained in the models but is recognized as a significant source of unexplained variance that likely contributed to the poor predictive performance of all models for yield-related metrics like</w:t>
      </w:r>
      <w:r>
        <w:t xml:space="preserve">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67" w:name="fig-yield-comparison"/>
          <w:p>
            <w:pPr>
              <w:pStyle w:val="Compact"/>
              <w:jc w:val="center"/>
            </w:pPr>
            <w:r>
              <w:drawing>
                <wp:inline>
                  <wp:extent cx="4620126" cy="3696101"/>
                  <wp:effectExtent b="0" l="0" r="0" t="0"/>
                  <wp:docPr descr="" title="" id="65" name="Picture"/>
                  <a:graphic>
                    <a:graphicData uri="http://schemas.openxmlformats.org/drawingml/2006/picture">
                      <pic:pic>
                        <pic:nvPicPr>
                          <pic:cNvPr descr="index_files/figure-docx/fig-yield-comparison-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dry matter yield across P fertilization treatments, faceted by experimental site, highlighting the anomalous pattern at Cadenazzo (CAD).</w:t>
            </w:r>
          </w:p>
          <w:bookmarkEnd w:id="67"/>
        </w:tc>
      </w:tr>
    </w:tbl>
    <w:tbl>
      <w:tblPr>
        <w:tblStyle w:val="Table"/>
        <w:tblW w:type="pct" w:w="5000"/>
        <w:tblLayout w:type="fixed"/>
        <w:tblLook w:firstRow="0" w:lastRow="0" w:firstColumn="0" w:lastColumn="0" w:noHBand="0" w:noVBand="0" w:val="0000"/>
      </w:tblPr>
      <w:tblGrid>
        <w:gridCol w:w="7920"/>
      </w:tblGrid>
      <w:tr>
        <w:tc>
          <w:tcPr/>
          <w:bookmarkStart w:id="71" w:name="fig-yield-cadenazzo-fix"/>
          <w:p>
            <w:pPr>
              <w:pStyle w:val="Compact"/>
              <w:jc w:val="center"/>
            </w:pPr>
            <w:r>
              <w:drawing>
                <wp:inline>
                  <wp:extent cx="4620126" cy="3696101"/>
                  <wp:effectExtent b="0" l="0" r="0" t="0"/>
                  <wp:docPr descr="" title="" id="69" name="Picture"/>
                  <a:graphic>
                    <a:graphicData uri="http://schemas.openxmlformats.org/drawingml/2006/picture">
                      <pic:pic>
                        <pic:nvPicPr>
                          <pic:cNvPr descr="index_files/figure-docx/fig-yield-cadenazzo-fix-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Cadenazzo yields with original and swapped (P0 &lt;&gt; P166) treatment labels.</w:t>
            </w:r>
          </w:p>
          <w:bookmarkEnd w:id="71"/>
        </w:tc>
      </w:tr>
    </w:tbl>
    <w:bookmarkEnd w:id="72"/>
    <w:bookmarkStart w:id="74" w:name="predicting-site-normalized-yield-y_norm"/>
    <w:p>
      <w:pPr>
        <w:pStyle w:val="Heading3"/>
      </w:pPr>
      <w:r>
        <w:t xml:space="preserve">3.5.2 Predicting Site-Normalized Yield (</w:t>
      </w:r>
      <m:oMath>
        <m:sSub>
          <m:e>
            <m:r>
              <m:t>Y</m:t>
            </m:r>
          </m:e>
          <m:sub>
            <m:r>
              <m:t>n</m:t>
            </m:r>
            <m:r>
              <m:t>o</m:t>
            </m:r>
            <m:r>
              <m:t>r</m:t>
            </m:r>
            <m:r>
              <m:t>m</m:t>
            </m:r>
          </m:sub>
        </m:sSub>
      </m:oMath>
      <w:r>
        <w:t xml:space="preserve">)</w:t>
      </w:r>
    </w:p>
    <w:p>
      <w:pPr>
        <w:pStyle w:val="FirstParagraph"/>
      </w:pPr>
      <w:r>
        <w:t xml:space="preserve">The analysis reveals a clear and striking difference between the predictive power of the standard STP methods and the kinetic parameters for site-normalized yield, as seen in</w:t>
      </w:r>
      <w:r>
        <w:t xml:space="preserve"> </w:t>
      </w:r>
      <w:hyperlink w:anchor="tbl-ynorm-model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3" w:name="tbl-ynorm-models"/>
          <w:p>
            <w:pPr>
              <w:jc w:val="center"/>
            </w:pPr>
            <w:pPr>
              <w:jc w:val="left"/>
              <w:spacing w:before="200"/>
              <w:pStyle w:val="ImageCaption"/>
            </w:pPr>
            <w:r>
              <w:t xml:space="preserve">Table 4: Results of linear mixed-effects models predicting Site-Normalized Yield (</w:t>
            </w:r>
            <m:oMath>
              <m:sSub>
                <m:e>
                  <m:r>
                    <m:t>Y</m:t>
                  </m:r>
                </m:e>
                <m:sub>
                  <m:r>
                    <m:t>n</m:t>
                  </m:r>
                  <m:r>
                    <m:t>o</m:t>
                  </m:r>
                  <m:r>
                    <m:t>r</m:t>
                  </m:r>
                  <m:r>
                    <m:t>m</m:t>
                  </m:r>
                </m:sub>
              </m:sSub>
            </m:oMath>
            <w:r>
              <w:t xml:space="preserve">).</w:t>
            </w:r>
          </w:p>
          <w:tbl>
            <w:tblPr>
              <w:tblStyle w:val="Table"/>
              <w:tblW w:type="pct" w:w="5000"/>
              <w:tblLayout w:type="fixed"/>
              <w:tblLook w:firstRow="1" w:lastRow="0" w:firstColumn="0" w:lastColumn="0" w:noHBand="0" w:noVBand="0" w:val="0020"/>
            </w:tblPr>
            <w:tblGrid>
              <w:gridCol w:w="2956"/>
              <w:gridCol w:w="1161"/>
              <w:gridCol w:w="1267"/>
              <w:gridCol w:w="1689"/>
              <w:gridCol w:w="844"/>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1.059***</w:t>
                  </w:r>
                </w:p>
              </w:tc>
              <w:tc>
                <w:tcPr/>
                <w:p>
                  <w:pPr>
                    <w:pStyle w:val="Compact"/>
                    <w:jc w:val="left"/>
                    <w:jc w:val="center"/>
                  </w:pPr>
                  <w:r>
                    <w:t xml:space="preserve">0.532***</w:t>
                  </w:r>
                </w:p>
              </w:tc>
              <w:tc>
                <w:tcPr/>
                <w:p>
                  <w:pPr>
                    <w:pStyle w:val="Compact"/>
                    <w:jc w:val="left"/>
                    <w:jc w:val="center"/>
                  </w:pPr>
                  <w:r>
                    <w:t xml:space="preserve">1.096***</w:t>
                  </w:r>
                </w:p>
              </w:tc>
              <w:tc>
                <w:tcPr/>
                <w:p>
                  <w:pPr>
                    <w:pStyle w:val="Compact"/>
                    <w:jc w:val="left"/>
                    <w:jc w:val="center"/>
                  </w:pPr>
                  <w:r>
                    <w:t xml:space="preserve">0.980</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0.931</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-0.063</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0.120***</w:t>
                  </w:r>
                </w:p>
              </w:tc>
              <w:tc>
                <w:tcPr/>
                <w:p>
                  <w:pPr>
                    <w:pStyle w:val="Compact"/>
                    <w:jc w:val="left"/>
                    <w:jc w:val="center"/>
                  </w:pPr>
                  <w:r>
                    <w:t xml:space="preserve">-0.006</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0.162***</w:t>
                  </w:r>
                </w:p>
              </w:tc>
              <w:tc>
                <w:tcPr/>
                <w:p>
                  <w:pPr>
                    <w:pStyle w:val="Compact"/>
                  </w:pPr>
                </w:p>
              </w:tc>
              <w:tc>
                <w:tcPr/>
                <w:p>
                  <w:pPr>
                    <w:pStyle w:val="Compact"/>
                    <w:jc w:val="left"/>
                    <w:jc w:val="center"/>
                  </w:pPr>
                  <w:r>
                    <w:t xml:space="preserve">0.137</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0.016</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0.218</w:t>
                  </w:r>
                </w:p>
              </w:tc>
              <w:tc>
                <w:tcPr/>
                <w:p>
                  <w:pPr>
                    <w:pStyle w:val="Compact"/>
                    <w:jc w:val="left"/>
                    <w:jc w:val="center"/>
                  </w:pPr>
                  <w:r>
                    <w:t xml:space="preserve">0.198</w:t>
                  </w:r>
                </w:p>
              </w:tc>
              <w:tc>
                <w:tcPr/>
                <w:p>
                  <w:pPr>
                    <w:pStyle w:val="Compact"/>
                    <w:jc w:val="left"/>
                    <w:jc w:val="center"/>
                  </w:pPr>
                  <w:r>
                    <w:t xml:space="preserve">0.220</w:t>
                  </w:r>
                </w:p>
              </w:tc>
              <w:tc>
                <w:tcPr/>
                <w:p>
                  <w:pPr>
                    <w:pStyle w:val="Compact"/>
                    <w:jc w:val="left"/>
                    <w:jc w:val="center"/>
                  </w:pPr>
                  <w:r>
                    <w:t xml:space="preserve">0.014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0.358</w:t>
                  </w:r>
                </w:p>
              </w:tc>
              <w:tc>
                <w:tcPr/>
                <w:p>
                  <w:pPr>
                    <w:pStyle w:val="Compact"/>
                    <w:jc w:val="left"/>
                    <w:jc w:val="center"/>
                  </w:pPr>
                  <w:r>
                    <w:t xml:space="preserve">0.474</w:t>
                  </w:r>
                </w:p>
              </w:tc>
              <w:tc>
                <w:tcPr/>
                <w:p>
                  <w:pPr>
                    <w:pStyle w:val="Compact"/>
                    <w:jc w:val="left"/>
                    <w:jc w:val="center"/>
                  </w:pPr>
                  <w:r>
                    <w:t xml:space="preserve">0.365</w:t>
                  </w:r>
                </w:p>
              </w:tc>
              <w:tc>
                <w:tcPr/>
                <w:p>
                  <w:pPr>
                    <w:pStyle w:val="Compact"/>
                    <w:jc w:val="left"/>
                    <w:jc w:val="center"/>
                  </w:pPr>
                  <w:r>
                    <w:t xml:space="preserve">0.360</w:t>
                  </w:r>
                </w:p>
              </w:tc>
            </w:tr>
          </w:tbl>
          <w:bookmarkEnd w:id="73"/>
          <w:p/>
        </w:tc>
      </w:tr>
    </w:tbl>
    <w:p>
      <w:pPr>
        <w:pStyle w:val="BodyText"/>
      </w:pPr>
      <w:r>
        <w:t xml:space="preserve">The analysis for site-normalized yield showed that both the</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t>
      </w:r>
      <w:r>
        <w:t xml:space="preserve">models had highly significant coefficients and explained 21.8% and 19.8% of the variance, respectively. The combined STP-interaction model performed best, explaining 22% of the variance. In contrast, the kinetic model had a marginal R² of only 1.4%, and none of its parameters were statistically significant.</w:t>
      </w:r>
    </w:p>
    <w:bookmarkEnd w:id="74"/>
    <w:bookmarkStart w:id="77" w:name="Xe0b402b7183f6a3d6df8442ac2834a5544132c5"/>
    <w:p>
      <w:pPr>
        <w:pStyle w:val="Heading3"/>
      </w:pPr>
      <w:r>
        <w:t xml:space="preserve">3.5.3 Predicting National-Normalized Yield (</w:t>
      </w:r>
      <m:oMath>
        <m:sSub>
          <m:e>
            <m:r>
              <m:t>Y</m:t>
            </m:r>
          </m:e>
          <m:sub>
            <m:r>
              <m:t>r</m:t>
            </m:r>
            <m:r>
              <m:t>e</m:t>
            </m:r>
            <m:r>
              <m:t>l</m:t>
            </m:r>
          </m:sub>
        </m:sSub>
      </m:oMath>
      <w:r>
        <w:t xml:space="preserve">)</w:t>
      </w:r>
    </w:p>
    <w:p>
      <w:pPr>
        <w:pStyle w:val="FirstParagraph"/>
      </w:pPr>
      <w:r>
        <w:t xml:space="preserve">The models predicting national-normalized yield (</w:t>
      </w:r>
      <m:oMath>
        <m:sSub>
          <m:e>
            <m:r>
              <m:t>Y</m:t>
            </m:r>
          </m:e>
          <m:sub>
            <m:r>
              <m:t>r</m:t>
            </m:r>
            <m:r>
              <m:t>e</m:t>
            </m:r>
            <m:r>
              <m:t>l</m:t>
            </m:r>
          </m:sub>
        </m:sSub>
      </m:oMath>
      <w:r>
        <w:t xml:space="preserve">) reveal that both standard and kinetic soil phosphorus tests struggle to explain the variance in crop yields on their own, though standard tests show slightly better performance in this context.</w:t>
      </w:r>
    </w:p>
    <w:tbl>
      <w:tblPr>
        <w:tblStyle w:val="Table"/>
        <w:tblW w:type="pct" w:w="5000"/>
        <w:tblLayout w:type="fixed"/>
        <w:tblLook w:firstRow="0" w:lastRow="0" w:firstColumn="0" w:lastColumn="0" w:noHBand="0" w:noVBand="0" w:val="0000"/>
      </w:tblPr>
      <w:tblGrid>
        <w:gridCol w:w="7920"/>
      </w:tblGrid>
      <w:tr>
        <w:tc>
          <w:tcPr/>
          <w:bookmarkStart w:id="75" w:name="tbl-yrel-models"/>
          <w:p>
            <w:pPr>
              <w:jc w:val="center"/>
            </w:pPr>
            <w:pPr>
              <w:jc w:val="left"/>
              <w:spacing w:before="200"/>
              <w:pStyle w:val="ImageCaption"/>
            </w:pPr>
            <w:r>
              <w:t xml:space="preserve">Table 5: Results of linear mixed-effects models predicting National-Normalized Yield (</w:t>
            </w:r>
            <m:oMath>
              <m:sSub>
                <m:e>
                  <m:r>
                    <m:t>Y</m:t>
                  </m:r>
                </m:e>
                <m:sub>
                  <m:r>
                    <m:t>r</m:t>
                  </m:r>
                  <m:r>
                    <m:t>e</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104.862***</w:t>
                  </w:r>
                </w:p>
              </w:tc>
              <w:tc>
                <w:tcPr/>
                <w:p>
                  <w:pPr>
                    <w:pStyle w:val="Compact"/>
                    <w:jc w:val="left"/>
                    <w:jc w:val="center"/>
                  </w:pPr>
                  <w:r>
                    <w:t xml:space="preserve">75.343***</w:t>
                  </w:r>
                </w:p>
              </w:tc>
              <w:tc>
                <w:tcPr/>
                <w:p>
                  <w:pPr>
                    <w:pStyle w:val="Compact"/>
                    <w:jc w:val="left"/>
                    <w:jc w:val="center"/>
                  </w:pPr>
                  <w:r>
                    <w:t xml:space="preserve">130.274***</w:t>
                  </w:r>
                </w:p>
              </w:tc>
              <w:tc>
                <w:tcPr/>
                <w:p>
                  <w:pPr>
                    <w:pStyle w:val="Compact"/>
                    <w:jc w:val="left"/>
                    <w:jc w:val="center"/>
                  </w:pPr>
                  <w:r>
                    <w:t xml:space="preserve">56.375</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377.498**</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171.507**</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-27.486*</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7.111**</w:t>
                  </w:r>
                </w:p>
              </w:tc>
              <w:tc>
                <w:tcPr/>
                <w:p>
                  <w:pPr>
                    <w:pStyle w:val="Compact"/>
                    <w:jc w:val="left"/>
                    <w:jc w:val="center"/>
                  </w:pPr>
                  <w:r>
                    <w:t xml:space="preserve">-6.537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8.853**</w:t>
                  </w:r>
                </w:p>
              </w:tc>
              <w:tc>
                <w:tcPr/>
                <w:p>
                  <w:pPr>
                    <w:pStyle w:val="Compact"/>
                  </w:pPr>
                </w:p>
              </w:tc>
              <w:tc>
                <w:tcPr/>
                <w:p>
                  <w:pPr>
                    <w:pStyle w:val="Compact"/>
                    <w:jc w:val="left"/>
                    <w:jc w:val="center"/>
                  </w:pPr>
                  <w:r>
                    <w:t xml:space="preserve">23.091</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-3.110</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0.074</w:t>
                  </w:r>
                </w:p>
              </w:tc>
              <w:tc>
                <w:tcPr/>
                <w:p>
                  <w:pPr>
                    <w:pStyle w:val="Compact"/>
                    <w:jc w:val="left"/>
                    <w:jc w:val="center"/>
                  </w:pPr>
                  <w:r>
                    <w:t xml:space="preserve">0.063</w:t>
                  </w:r>
                </w:p>
              </w:tc>
              <w:tc>
                <w:tcPr/>
                <w:p>
                  <w:pPr>
                    <w:pStyle w:val="Compact"/>
                    <w:jc w:val="left"/>
                    <w:jc w:val="center"/>
                  </w:pPr>
                  <w:r>
                    <w:t xml:space="preserve">0.078</w:t>
                  </w:r>
                </w:p>
              </w:tc>
              <w:tc>
                <w:tcPr/>
                <w:p>
                  <w:pPr>
                    <w:pStyle w:val="Compact"/>
                    <w:jc w:val="left"/>
                    <w:jc w:val="center"/>
                  </w:pPr>
                  <w:r>
                    <w:t xml:space="preserve">0.022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0.569</w:t>
                  </w:r>
                </w:p>
              </w:tc>
              <w:tc>
                <w:tcPr/>
                <w:p>
                  <w:pPr>
                    <w:pStyle w:val="Compact"/>
                    <w:jc w:val="left"/>
                    <w:jc w:val="center"/>
                  </w:pPr>
                  <w:r>
                    <w:t xml:space="preserve">0.537</w:t>
                  </w:r>
                </w:p>
              </w:tc>
              <w:tc>
                <w:tcPr/>
                <w:p>
                  <w:pPr>
                    <w:pStyle w:val="Compact"/>
                    <w:jc w:val="left"/>
                    <w:jc w:val="center"/>
                  </w:pPr>
                  <w:r>
                    <w:t xml:space="preserve">0.596</w:t>
                  </w:r>
                </w:p>
              </w:tc>
              <w:tc>
                <w:tcPr/>
                <w:p>
                  <w:pPr>
                    <w:pStyle w:val="Compact"/>
                    <w:jc w:val="left"/>
                    <w:jc w:val="center"/>
                  </w:pPr>
                  <w:r>
                    <w:t xml:space="preserve">0.439</w:t>
                  </w:r>
                </w:p>
              </w:tc>
            </w:tr>
          </w:tbl>
          <w:bookmarkEnd w:id="75"/>
          <w:p/>
        </w:tc>
      </w:tr>
    </w:tbl>
    <w:bookmarkStart w:id="76" w:name="performance-of-standard-stp-methods"/>
    <w:p>
      <w:pPr>
        <w:pStyle w:val="Heading4"/>
      </w:pPr>
      <w:r>
        <w:t xml:space="preserve">3.5.3.1 Performance of Standard STP Methods</w:t>
      </w:r>
    </w:p>
    <w:p>
      <w:pPr>
        <w:pStyle w:val="FirstParagraph"/>
      </w:pPr>
      <w:r>
        <w:t xml:space="preserve">The models based on standard soil tests,</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were significant predictors, explaining 7.4% and 6.3% of the variance in yield, respectively. The model including their interaction term performed slightly better, explaining 7.8% of the variance. The model based on kinetic parameters demonstrated lower predictive power, with a marginal R² of 2.2%. A critical observation across all models is the large discrepancy between the marginal R² (</w:t>
      </w:r>
      <m:oMath>
        <m:sSubSup>
          <m:e>
            <m:r>
              <m:t>R</m:t>
            </m:r>
          </m:e>
          <m:sub>
            <m:r>
              <m:t>m</m:t>
            </m:r>
          </m:sub>
          <m:sup>
            <m:r>
              <m:t>2</m:t>
            </m:r>
          </m:sup>
        </m:sSubSup>
      </m:oMath>
      <w:r>
        <w:t xml:space="preserve">) and the conditional R² (</w:t>
      </w:r>
      <m:oMath>
        <m:sSubSup>
          <m:e>
            <m:r>
              <m:t>R</m:t>
            </m:r>
          </m:e>
          <m:sub>
            <m:r>
              <m:t>c</m:t>
            </m:r>
          </m:sub>
          <m:sup>
            <m:r>
              <m:t>2</m:t>
            </m:r>
          </m:sup>
        </m:sSubSup>
      </m:oMath>
      <w:r>
        <w:t xml:space="preserve">). For instance, in the best-performing STP model, the marginal R² is only 0.078, but the conditional R² is 0.596.</w:t>
      </w:r>
    </w:p>
    <w:bookmarkEnd w:id="76"/>
    <w:bookmarkEnd w:id="77"/>
    <w:bookmarkStart w:id="79" w:name="predicting-p-uptake-p_up"/>
    <w:p>
      <w:pPr>
        <w:pStyle w:val="Heading3"/>
      </w:pPr>
      <w:r>
        <w:t xml:space="preserve">3.5.4 Predicting P-Uptake (</w:t>
      </w:r>
      <m:oMath>
        <m:sSub>
          <m:e>
            <m:r>
              <m:t>P</m:t>
            </m:r>
          </m:e>
          <m:sub>
            <m:r>
              <m:t>u</m:t>
            </m:r>
            <m:r>
              <m:t>p</m:t>
            </m:r>
          </m:sub>
        </m:sSub>
      </m:oMath>
      <w:r>
        <w:t xml:space="preserve">)</w:t>
      </w:r>
    </w:p>
    <w:p>
      <w:pPr>
        <w:pStyle w:val="FirstParagraph"/>
      </w:pPr>
      <w:r>
        <w:t xml:space="preserve">When predicting P-uptake, both the standard and kinetic models demonstrate similarly weak predictive power, with none of the approaches standing out as superior.</w:t>
      </w:r>
    </w:p>
    <w:tbl>
      <w:tblPr>
        <w:tblStyle w:val="Table"/>
        <w:tblW w:type="pct" w:w="5000"/>
        <w:tblLayout w:type="fixed"/>
        <w:tblLook w:firstRow="0" w:lastRow="0" w:firstColumn="0" w:lastColumn="0" w:noHBand="0" w:noVBand="0" w:val="0000"/>
      </w:tblPr>
      <w:tblGrid>
        <w:gridCol w:w="7920"/>
      </w:tblGrid>
      <w:tr>
        <w:tc>
          <w:tcPr/>
          <w:bookmarkStart w:id="78" w:name="tbl-pexport-models"/>
          <w:p>
            <w:pPr>
              <w:jc w:val="center"/>
            </w:pPr>
            <w:pPr>
              <w:jc w:val="left"/>
              <w:spacing w:before="200"/>
              <w:pStyle w:val="ImageCaption"/>
            </w:pPr>
            <w:r>
              <w:t xml:space="preserve">Table 6: Results of linear mixed-effects models predicting P-Export (</w:t>
            </w:r>
            <m:oMath>
              <m:sSub>
                <m:e>
                  <m:r>
                    <m:t>P</m:t>
                  </m:r>
                </m:e>
                <m:sub>
                  <m:r>
                    <m:t>u</m:t>
                  </m:r>
                  <m:r>
                    <m:t>p</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27.522***</w:t>
                  </w:r>
                </w:p>
              </w:tc>
              <w:tc>
                <w:tcPr/>
                <w:p>
                  <w:pPr>
                    <w:pStyle w:val="Compact"/>
                    <w:jc w:val="left"/>
                    <w:jc w:val="center"/>
                  </w:pPr>
                  <w:r>
                    <w:t xml:space="preserve">8.090</w:t>
                  </w:r>
                </w:p>
              </w:tc>
              <w:tc>
                <w:tcPr/>
                <w:p>
                  <w:pPr>
                    <w:pStyle w:val="Compact"/>
                    <w:jc w:val="left"/>
                    <w:jc w:val="center"/>
                  </w:pPr>
                  <w:r>
                    <w:t xml:space="preserve">30.632*</w:t>
                  </w:r>
                </w:p>
              </w:tc>
              <w:tc>
                <w:tcPr/>
                <w:p>
                  <w:pPr>
                    <w:pStyle w:val="Compact"/>
                    <w:jc w:val="left"/>
                    <w:jc w:val="center"/>
                  </w:pPr>
                  <w:r>
                    <w:t xml:space="preserve">29.599***</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11.928</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1.954</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4.824***</w:t>
                  </w:r>
                </w:p>
              </w:tc>
              <w:tc>
                <w:tcPr/>
                <w:p>
                  <w:pPr>
                    <w:pStyle w:val="Compact"/>
                    <w:jc w:val="left"/>
                    <w:jc w:val="center"/>
                  </w:pPr>
                  <w:r>
                    <w:t xml:space="preserve">-0.805</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5.177***</w:t>
                  </w:r>
                </w:p>
              </w:tc>
              <w:tc>
                <w:tcPr/>
                <w:p>
                  <w:pPr>
                    <w:pStyle w:val="Compact"/>
                  </w:pPr>
                </w:p>
              </w:tc>
              <w:tc>
                <w:tcPr/>
                <w:p>
                  <w:pPr>
                    <w:pStyle w:val="Compact"/>
                    <w:jc w:val="left"/>
                    <w:jc w:val="center"/>
                  </w:pPr>
                  <w:r>
                    <w:t xml:space="preserve">8.069</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-0.814</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0.064</w:t>
                  </w:r>
                </w:p>
              </w:tc>
              <w:tc>
                <w:tcPr/>
                <w:p>
                  <w:pPr>
                    <w:pStyle w:val="Compact"/>
                    <w:jc w:val="left"/>
                    <w:jc w:val="center"/>
                  </w:pPr>
                  <w:r>
                    <w:t xml:space="preserve">0.073</w:t>
                  </w:r>
                </w:p>
              </w:tc>
              <w:tc>
                <w:tcPr/>
                <w:p>
                  <w:pPr>
                    <w:pStyle w:val="Compact"/>
                    <w:jc w:val="left"/>
                    <w:jc w:val="center"/>
                  </w:pPr>
                  <w:r>
                    <w:t xml:space="preserve">0.065</w:t>
                  </w:r>
                </w:p>
              </w:tc>
              <w:tc>
                <w:tcPr/>
                <w:p>
                  <w:pPr>
                    <w:pStyle w:val="Compact"/>
                    <w:jc w:val="left"/>
                    <w:jc w:val="center"/>
                  </w:pPr>
                  <w:r>
                    <w:t xml:space="preserve">0.064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0.625</w:t>
                  </w:r>
                </w:p>
              </w:tc>
              <w:tc>
                <w:tcPr/>
                <w:p>
                  <w:pPr>
                    <w:pStyle w:val="Compact"/>
                    <w:jc w:val="left"/>
                    <w:jc w:val="center"/>
                  </w:pPr>
                  <w:r>
                    <w:t xml:space="preserve">0.603</w:t>
                  </w:r>
                </w:p>
              </w:tc>
              <w:tc>
                <w:tcPr/>
                <w:p>
                  <w:pPr>
                    <w:pStyle w:val="Compact"/>
                    <w:jc w:val="left"/>
                    <w:jc w:val="center"/>
                  </w:pPr>
                  <w:r>
                    <w:t xml:space="preserve">0.623</w:t>
                  </w:r>
                </w:p>
              </w:tc>
              <w:tc>
                <w:tcPr/>
                <w:p>
                  <w:pPr>
                    <w:pStyle w:val="Compact"/>
                    <w:jc w:val="left"/>
                    <w:jc w:val="center"/>
                  </w:pPr>
                  <w:r>
                    <w:t xml:space="preserve">0.648</w:t>
                  </w:r>
                </w:p>
              </w:tc>
            </w:tr>
          </w:tbl>
          <w:bookmarkEnd w:id="78"/>
          <w:p/>
        </w:tc>
      </w:tr>
    </w:tbl>
    <w:p>
      <w:pPr>
        <w:pStyle w:val="BodyText"/>
      </w:pPr>
      <w:r>
        <w:t xml:space="preserve">When predicting P-uptake, the individual standard soil tests,</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were significant positive predictors, explaining 6.4% and 7.3% of the variance, respectively. The interaction model did not improve the explained variance. The kinetic model performed on par with the standard individual tests, explaining 6.4% of the variance, though none of its parameters were individually significant. As with yield, a large difference between the marginal and conditional R² values was observed across all models.</w:t>
      </w:r>
    </w:p>
    <w:bookmarkEnd w:id="79"/>
    <w:bookmarkStart w:id="81" w:name="predicting-p-balance-p_bal"/>
    <w:p>
      <w:pPr>
        <w:pStyle w:val="Heading3"/>
      </w:pPr>
      <w:r>
        <w:t xml:space="preserve">3.5.5 Predicting P-Balance (</w:t>
      </w:r>
      <m:oMath>
        <m:sSub>
          <m:e>
            <m:r>
              <m:t>P</m:t>
            </m:r>
          </m:e>
          <m:sub>
            <m:r>
              <m:t>b</m:t>
            </m:r>
            <m:r>
              <m:t>a</m:t>
            </m:r>
            <m:r>
              <m:t>l</m:t>
            </m:r>
          </m:sub>
        </m:sSub>
      </m:oMath>
      <w:r>
        <w:t xml:space="preserve">)</w:t>
      </w:r>
    </w:p>
    <w:p>
      <w:pPr>
        <w:pStyle w:val="FirstParagraph"/>
      </w:pPr>
      <w:r>
        <w:t xml:space="preserve">The prediction of the P-Balance (</w:t>
      </w:r>
      <m:oMath>
        <m:sSub>
          <m:e>
            <m:r>
              <m:t>P</m:t>
            </m:r>
          </m:e>
          <m:sub>
            <m:r>
              <m:t>b</m:t>
            </m:r>
            <m:r>
              <m:t>a</m:t>
            </m:r>
            <m:r>
              <m:t>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80" w:name="tbl-pbalance-models"/>
          <w:p>
            <w:pPr>
              <w:jc w:val="center"/>
            </w:pPr>
            <w:pPr>
              <w:jc w:val="left"/>
              <w:spacing w:before="200"/>
              <w:pStyle w:val="ImageCaption"/>
            </w:pPr>
            <w:r>
              <w:t xml:space="preserve">Table 7: Results of linear mixed-effects models predicting P-Balance (</w:t>
            </w:r>
            <m:oMath>
              <m:sSub>
                <m:e>
                  <m:r>
                    <m:t>P</m:t>
                  </m:r>
                </m:e>
                <m:sub>
                  <m:r>
                    <m:t>b</m:t>
                  </m:r>
                  <m:r>
                    <m:t>a</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0.462</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0.572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0.810</w:t>
                  </w:r>
                </w:p>
              </w:tc>
              <w:tc>
                <w:tcPr/>
                <w:p>
                  <w:pPr>
                    <w:pStyle w:val="Compact"/>
                    <w:jc w:val="left"/>
                    <w:jc w:val="center"/>
                  </w:pPr>
                  <w:r>
                    <w:t xml:space="preserve">0.807</w:t>
                  </w:r>
                </w:p>
              </w:tc>
              <w:tc>
                <w:tcPr/>
                <w:p>
                  <w:pPr>
                    <w:pStyle w:val="Compact"/>
                    <w:jc w:val="left"/>
                    <w:jc w:val="center"/>
                  </w:pPr>
                  <w:r>
                    <w:t xml:space="preserve">0.811</w:t>
                  </w:r>
                </w:p>
              </w:tc>
              <w:tc>
                <w:tcPr/>
                <w:p>
                  <w:pPr>
                    <w:pStyle w:val="Compact"/>
                    <w:jc w:val="left"/>
                    <w:jc w:val="center"/>
                  </w:pPr>
                  <w:r>
                    <w:t xml:space="preserve">0.744</w:t>
                  </w:r>
                </w:p>
              </w:tc>
            </w:tr>
          </w:tbl>
          <w:bookmarkEnd w:id="80"/>
          <w:p/>
        </w:tc>
      </w:tr>
    </w:tbl>
    <w:p>
      <w:pPr>
        <w:pStyle w:val="BodyText"/>
      </w:pPr>
      <w:r>
        <w:t xml:space="preserve">The kinetic model emerged as a strong predictor of the P-Balance, explaining 57.2% of the variance, with the desorbable P pool (</w:t>
      </w:r>
      <m:oMath>
        <m:sSub>
          <m:e>
            <m:r>
              <m:t>P</m:t>
            </m:r>
          </m:e>
          <m:sub>
            <m:r>
              <m:t>d</m:t>
            </m:r>
            <m:r>
              <m:t>e</m:t>
            </m:r>
            <m:r>
              <m:t>s</m:t>
            </m:r>
            <m:r>
              <m:t>o</m:t>
            </m:r>
            <m:r>
              <m:t>r</m:t>
            </m:r>
            <m:r>
              <m:t>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p>
      <w:r>
        <w:br w:type="page"/>
      </w:r>
    </w:p>
    <w:bookmarkEnd w:id="81"/>
    <w:bookmarkEnd w:id="82"/>
    <w:bookmarkEnd w:id="83"/>
    <w:bookmarkStart w:id="92" w:name="discussion"/>
    <w:p>
      <w:pPr>
        <w:pStyle w:val="Heading1"/>
      </w:pPr>
      <w:r>
        <w:t xml:space="preserve">4.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(Hirte et al., 2018)</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84" w:name="X2be6dfad3d423d878672cb793cc807af4a34ac3"/>
    <w:p>
      <w:pPr>
        <w:pStyle w:val="Heading2"/>
      </w:pPr>
      <w:r>
        <w:t xml:space="preserve">4.1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r</m:t>
            </m:r>
            <m:r>
              <m:t>e</m:t>
            </m:r>
            <m:r>
              <m:t>l</m:t>
            </m:r>
          </m:sub>
        </m:sSub>
      </m:oMath>
      <w:r>
        <w:t xml:space="preserve">) and</w:t>
      </w:r>
      <w:r>
        <w:t xml:space="preserve"> </w:t>
      </w:r>
      <w:r>
        <w:rPr>
          <w:b/>
          <w:bCs/>
        </w:rPr>
        <w:t xml:space="preserve">P-uptake (</w:t>
      </w:r>
      <m:oMath>
        <m:sSub>
          <m:e>
            <m:r>
              <m:t>P</m:t>
            </m:r>
          </m:e>
          <m:sub>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 Sinclair, 1998)</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u</m:t>
            </m:r>
            <m:r>
              <m:t>p</m:t>
            </m:r>
          </m:sub>
        </m:sSub>
      </m:oMath>
      <w:r>
        <w:t xml:space="preserve"> </w:t>
      </w:r>
      <w:r>
        <w:t xml:space="preserve">and</w:t>
      </w:r>
      <w:r>
        <w:t xml:space="preserve"> </w:t>
      </w:r>
      <m:oMath>
        <m:sSub>
          <m:e>
            <m:r>
              <m:t>P</m:t>
            </m:r>
          </m:e>
          <m:sub>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(Rowe et al., 2016)</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(Schlesinger, 2009)</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(Hirte, Stüssel, et al., 2021)</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compromised in soils with high pH and an abundance of free calcium (</w:t>
      </w:r>
      <m:oMath>
        <m:r>
          <m:t>C</m:t>
        </m:r>
        <m:sSup>
          <m:e>
            <m:r>
              <m:t>a</m:t>
            </m:r>
          </m:e>
          <m:sup>
            <m:r>
              <m:t>2</m:t>
            </m:r>
            <m:r>
              <m:rPr>
                <m:sty m:val="p"/>
              </m:rPr>
              <m:t>+</m:t>
            </m:r>
          </m:sup>
        </m:sSup>
      </m:oMath>
      <w:r>
        <w:t xml:space="preserve">) and magnesium (</w:t>
      </w:r>
      <m:oMath>
        <m:r>
          <m:t>M</m:t>
        </m:r>
        <m:sSup>
          <m:e>
            <m:r>
              <m:t>g</m:t>
            </m:r>
          </m:e>
          <m:sup>
            <m:r>
              <m:t>2</m:t>
            </m:r>
            <m:r>
              <m:rPr>
                <m:sty m:val="p"/>
              </m:rPr>
              <m:t>+</m:t>
            </m:r>
          </m:sup>
        </m:sSup>
      </m:oMath>
      <w:r>
        <w:t xml:space="preserve">) cations, often from calcium carbonates (</w:t>
      </w:r>
      <m:oMath>
        <m:r>
          <m:t>C</m:t>
        </m:r>
        <m:r>
          <m:t>a</m:t>
        </m:r>
        <m:r>
          <m:t>C</m:t>
        </m:r>
        <m:sSub>
          <m:e>
            <m:r>
              <m:t>O</m:t>
            </m:r>
          </m:e>
          <m:sub>
            <m:r>
              <m:t>3</m:t>
            </m:r>
          </m:sub>
        </m:sSub>
      </m:oMath>
      <w:r>
        <w:t xml:space="preserve">). There are two primary reasons for this:</w:t>
      </w:r>
    </w:p>
    <w:p>
      <w:pPr>
        <w:pStyle w:val="Compact"/>
        <w:numPr>
          <w:ilvl w:val="0"/>
          <w:numId w:val="1009"/>
        </w:numPr>
      </w:pPr>
      <w:r>
        <w:rPr>
          <w:b/>
          <w:bCs/>
        </w:rPr>
        <w:t xml:space="preserve">Consumption of EDTA:</w:t>
      </w:r>
      <w:r>
        <w:t xml:space="preserve"> </w:t>
      </w:r>
      <w:r>
        <w:t xml:space="preserve">The primary role of EDTA is to bind to cations like iron and aluminum that precipitate phosphate, thereby releasing P into the solution. However, EDTA has a high affinity for divalent cations, so in calcareous soils, a significant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making it less available to extract the target phosphate compounds</w:t>
      </w:r>
      <w:r>
        <w:t xml:space="preserve"> </w:t>
      </w:r>
      <w:r>
        <w:t xml:space="preserve">(Fixen &amp; Grove, 1993)</w:t>
      </w:r>
      <w:r>
        <w:t xml:space="preserve">.</w:t>
      </w:r>
    </w:p>
    <w:p>
      <w:pPr>
        <w:pStyle w:val="Compact"/>
        <w:numPr>
          <w:ilvl w:val="0"/>
          <w:numId w:val="1009"/>
        </w:numPr>
      </w:pPr>
      <w:r>
        <w:rPr>
          <w:b/>
          <w:bCs/>
        </w:rPr>
        <w:t xml:space="preserve">Buffering Capacity:</w:t>
      </w:r>
      <w:r>
        <w:t xml:space="preserve"> </w:t>
      </w:r>
      <w:r>
        <w:t xml:space="preserve">The acetate buffer in the AAE10 solution is designed to maintain a consistent pH. However, soils with high carbonate content have a strong natural buffering capacity that can resist the pH change intended by the extractant, further reducing its efficiency in dissolving pH-sensitive P minerals.</w:t>
      </w:r>
    </w:p>
    <w:p>
      <w:pPr>
        <w:pStyle w:val="FirstParagraph"/>
      </w:pPr>
      <w:r>
        <w:t xml:space="preserve">This known limitation explains why</w:t>
      </w:r>
      <w:r>
        <w:t xml:space="preserve"> </w:t>
      </w:r>
      <m:oMath>
        <m:sSub>
          <m:e>
            <m:r>
              <m:t>P</m:t>
            </m:r>
          </m:e>
          <m:sub>
            <m:r>
              <m:t>A</m:t>
            </m:r>
            <m:r>
              <m:t>A</m:t>
            </m:r>
            <m:r>
              <m:t>E</m:t>
            </m:r>
            <m:r>
              <m:t>10</m:t>
            </m:r>
          </m:sub>
        </m:sSub>
      </m:oMath>
      <w:r>
        <w:t xml:space="preserve"> </w:t>
      </w:r>
      <w:r>
        <w:t xml:space="preserve">can underestimate plant-available P in calcareous soils and supports our finding of a significant pH-dependence. It underscores that the choice of an appropriate soil test must take into account the fundamental chemistry of the soil matrix itself.</w:t>
      </w:r>
    </w:p>
    <w:bookmarkEnd w:id="84"/>
    <w:bookmarkStart w:id="89" w:name="X1b4f439ca95cf2ff1d299d4f1dc1937990b01b8"/>
    <w:p>
      <w:pPr>
        <w:pStyle w:val="Heading2"/>
      </w:pPr>
      <w:r>
        <w:t xml:space="preserve">4.2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(Kuang et al., 2012)</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true field variability, the standard soil test results for all replicates at this site were examined (</w:t>
      </w:r>
      <w:hyperlink w:anchor="fig-ell-outlier-check-dual-axis">
        <w:r>
          <w:rPr>
            <w:rStyle w:val="Hyperlink"/>
          </w:rPr>
          <w:t xml:space="preserve">Figure 8</w:t>
        </w:r>
      </w:hyperlink>
      <w:r>
        <w:t xml:space="preserve">). The diagnostic plot clearly shows that these same two replicates also registered as significant outliers for both</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(Fisher, 1925)</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Fisher (1925)</w:t>
      </w:r>
      <w:r>
        <w:t xml:space="preserve">; Fisher1935; Yates1964;</w:t>
      </w:r>
      <w:r>
        <w:t xml:space="preserve"> </w:t>
      </w:r>
      <w:r>
        <w:t xml:space="preserve">Van Es et al. (2002)</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88" w:name="fig-ell-outlier-check-dual-axis"/>
          <w:p>
            <w:pPr>
              <w:pStyle w:val="Compact"/>
              <w:jc w:val="center"/>
            </w:pPr>
            <w:r>
              <w:drawing>
                <wp:inline>
                  <wp:extent cx="4620126" cy="3696101"/>
                  <wp:effectExtent b="0" l="0" r="0" t="0"/>
                  <wp:docPr descr="" title="" id="86" name="Picture"/>
                  <a:graphic>
                    <a:graphicData uri="http://schemas.openxmlformats.org/drawingml/2006/picture">
                      <pic:pic>
                        <pic:nvPicPr>
                          <pic:cNvPr descr="index_files/figure-docx/fig-ell-outlier-check-dual-axis-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88"/>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(Sparks, 2003)</w:t>
      </w:r>
      <w:r>
        <w:t xml:space="preserve">. These distinct relationships confirm that</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89"/>
    <w:bookmarkStart w:id="91" w:name="X2bcc4bfc211ba9abec9a74e664b2fca0cf81079"/>
    <w:p>
      <w:pPr>
        <w:pStyle w:val="Heading2"/>
      </w:pPr>
      <w:r>
        <w:t xml:space="preserve">4.3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b</m:t>
            </m:r>
            <m:r>
              <m:t>a</m:t>
            </m:r>
            <m:r>
              <m:t>l</m:t>
            </m:r>
          </m:sub>
        </m:sSub>
      </m:oMath>
      <w:r>
        <w:t xml:space="preserve">). In this analysis, the kinetic model, driven by the desorbable P pool (</w:t>
      </w:r>
      <m:oMath>
        <m:sSub>
          <m:e>
            <m:r>
              <m:t>P</m:t>
            </m:r>
          </m:e>
          <m:sub>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(Hirte et al., 2018)</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p>
      <w:r>
        <w:br w:type="page"/>
      </w:r>
    </w:p>
    <w:bookmarkStart w:id="90" w:name="conclusion-and-outlook"/>
    <w:p>
      <w:pPr>
        <w:pStyle w:val="Heading3"/>
      </w:pPr>
      <w:r>
        <w:t xml:space="preserve">4.3.1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r</m:t>
            </m:r>
            <m:r>
              <m:t>e</m:t>
            </m:r>
            <m:r>
              <m:t>l</m:t>
            </m:r>
          </m:sub>
        </m:sSub>
      </m:oMath>
      <w:r>
        <w:t xml:space="preserve">) and P-uptake (</w:t>
      </w:r>
      <m:oMath>
        <m:sSub>
          <m:e>
            <m:r>
              <m:t>P</m:t>
            </m:r>
          </m:e>
          <m:sub>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b</m:t>
            </m:r>
            <m:r>
              <m:t>a</m:t>
            </m:r>
            <m:r>
              <m:t>l</m:t>
            </m:r>
          </m:sub>
        </m:sSub>
      </m:oMath>
      <w:r>
        <w:rPr>
          <w:b/>
          <w:bCs/>
        </w:rPr>
        <w:t xml:space="preserve">)</w:t>
      </w:r>
      <w:r>
        <w:t xml:space="preserve">. While STP methods completely failed, the desorbable P pool (</w:t>
      </w:r>
      <m:oMath>
        <m:sSub>
          <m:e>
            <m:r>
              <m:t>P</m:t>
            </m:r>
          </m:e>
          <m:sub>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true understanding of a soil’s capacity to supply phosphorus over time.</w:t>
      </w:r>
    </w:p>
    <w:p>
      <w:r>
        <w:br w:type="page"/>
      </w:r>
    </w:p>
    <w:bookmarkEnd w:id="90"/>
    <w:bookmarkEnd w:id="91"/>
    <w:bookmarkEnd w:id="92"/>
    <w:bookmarkStart w:id="93" w:name="acknowledgments"/>
    <w:p>
      <w:pPr>
        <w:pStyle w:val="Heading1"/>
      </w:pPr>
      <w:r>
        <w:t xml:space="preserve">5.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p>
      <w:r>
        <w:br w:type="page"/>
      </w:r>
    </w:p>
    <w:bookmarkEnd w:id="93"/>
    <w:bookmarkStart w:id="138" w:name="references"/>
    <w:p>
      <w:pPr>
        <w:pStyle w:val="Heading1"/>
      </w:pPr>
      <w:r>
        <w:t xml:space="preserve">6. References</w:t>
      </w:r>
    </w:p>
    <w:bookmarkStart w:id="137" w:name="refs"/>
    <w:bookmarkStart w:id="95"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94">
        <w:r>
          <w:rPr>
            <w:rStyle w:val="Hyperlink"/>
          </w:rPr>
          <w:t xml:space="preserve">https://doi.org/10.18637/jss.v067.i01</w:t>
        </w:r>
      </w:hyperlink>
    </w:p>
    <w:bookmarkEnd w:id="95"/>
    <w:bookmarkStart w:id="96"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96"/>
    <w:bookmarkStart w:id="98"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97">
        <w:r>
          <w:rPr>
            <w:rStyle w:val="Hyperlink"/>
          </w:rPr>
          <w:t xml:space="preserve">https://doi.org/10.1080/00103624.2013.741896</w:t>
        </w:r>
      </w:hyperlink>
    </w:p>
    <w:bookmarkEnd w:id="98"/>
    <w:bookmarkStart w:id="99" w:name="ref-Fisher1925"/>
    <w:p>
      <w:pPr>
        <w:pStyle w:val="Bibliography"/>
      </w:pPr>
      <w:r>
        <w:t xml:space="preserve">Fisher, R. A. (1925).</w:t>
      </w:r>
      <w:r>
        <w:t xml:space="preserve"> </w:t>
      </w:r>
      <w:r>
        <w:rPr>
          <w:i/>
          <w:iCs/>
        </w:rPr>
        <w:t xml:space="preserve">Statistical methods for research workers</w:t>
      </w:r>
      <w:r>
        <w:t xml:space="preserve">. Oliver; Boyd.</w:t>
      </w:r>
    </w:p>
    <w:bookmarkEnd w:id="99"/>
    <w:bookmarkStart w:id="101" w:name="ref-Fixen1993"/>
    <w:p>
      <w:pPr>
        <w:pStyle w:val="Bibliography"/>
      </w:pPr>
      <w:r>
        <w:t xml:space="preserve">Fixen, P. E., &amp; Grove, J. H. (1993). Testing soils for phosphorus.</w:t>
      </w:r>
      <w:r>
        <w:t xml:space="preserve"> </w:t>
      </w:r>
      <w:r>
        <w:rPr>
          <w:i/>
          <w:iCs/>
        </w:rPr>
        <w:t xml:space="preserve">Soil Science Society of America Book Series</w:t>
      </w:r>
      <w:r>
        <w:t xml:space="preserve">,</w:t>
      </w:r>
      <w:r>
        <w:t xml:space="preserve"> </w:t>
      </w:r>
      <w:r>
        <w:rPr>
          <w:i/>
          <w:iCs/>
        </w:rPr>
        <w:t xml:space="preserve">3</w:t>
      </w:r>
      <w:r>
        <w:t xml:space="preserve">, 141–180.</w:t>
      </w:r>
      <w:r>
        <w:t xml:space="preserve"> </w:t>
      </w:r>
      <w:hyperlink r:id="rId100">
        <w:r>
          <w:rPr>
            <w:rStyle w:val="Hyperlink"/>
          </w:rPr>
          <w:t xml:space="preserve">https://doi.org/10.2136/sssabookser3.2ed.c11</w:t>
        </w:r>
      </w:hyperlink>
    </w:p>
    <w:bookmarkEnd w:id="101"/>
    <w:bookmarkStart w:id="102"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102"/>
    <w:bookmarkStart w:id="103"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103"/>
    <w:bookmarkStart w:id="105"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104">
        <w:r>
          <w:rPr>
            <w:rStyle w:val="Hyperlink"/>
          </w:rPr>
          <w:t xml:space="preserve">https://doi.org/10.2134/jeq2000.00472425002900010003x</w:t>
        </w:r>
      </w:hyperlink>
    </w:p>
    <w:bookmarkEnd w:id="105"/>
    <w:bookmarkStart w:id="107"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106">
        <w:r>
          <w:rPr>
            <w:rStyle w:val="Hyperlink"/>
          </w:rPr>
          <w:t xml:space="preserve">https://doi.org/10.1007/s13280-017-0987-9</w:t>
        </w:r>
      </w:hyperlink>
    </w:p>
    <w:bookmarkEnd w:id="107"/>
    <w:bookmarkStart w:id="109"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108">
        <w:r>
          <w:rPr>
            <w:rStyle w:val="Hyperlink"/>
          </w:rPr>
          <w:t xml:space="preserve">https://doi.org/10.1016/j.scitotenv.2020.143453</w:t>
        </w:r>
      </w:hyperlink>
    </w:p>
    <w:bookmarkEnd w:id="109"/>
    <w:bookmarkStart w:id="111"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110">
        <w:r>
          <w:rPr>
            <w:rStyle w:val="Hyperlink"/>
          </w:rPr>
          <w:t xml:space="preserve">https://doi.org/10.1016/j.agee.2020.107270</w:t>
        </w:r>
      </w:hyperlink>
    </w:p>
    <w:bookmarkEnd w:id="111"/>
    <w:bookmarkStart w:id="113"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112">
        <w:r>
          <w:rPr>
            <w:rStyle w:val="Hyperlink"/>
          </w:rPr>
          <w:t xml:space="preserve">https://doi.org/10.1007/s11368-012-0498-8</w:t>
        </w:r>
      </w:hyperlink>
    </w:p>
    <w:bookmarkEnd w:id="113"/>
    <w:bookmarkStart w:id="115" w:name="ref-R-lmerTest"/>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114">
        <w:r>
          <w:rPr>
            <w:rStyle w:val="Hyperlink"/>
          </w:rPr>
          <w:t xml:space="preserve">https://doi.org/10.18637/jss.v082.i13</w:t>
        </w:r>
      </w:hyperlink>
    </w:p>
    <w:bookmarkEnd w:id="115"/>
    <w:bookmarkStart w:id="117" w:name="ref-R-mlr3"/>
    <w:p>
      <w:pPr>
        <w:pStyle w:val="Bibliography"/>
      </w:pPr>
      <w:r>
        <w:t xml:space="preserve">Lang, M., Binder, M., Richter, J., Schratz, P., Casalicchio, G., Coors, S., Pfisterer, F., Fischer, S., Au, Q., &amp; Bischl, B. (2019).</w:t>
      </w:r>
      <w:r>
        <w:t xml:space="preserve"> </w:t>
      </w:r>
      <w:r>
        <w:t xml:space="preserve">mlr3</w:t>
      </w:r>
      <w:r>
        <w:t xml:space="preserve">: A modern object-oriented machine learning framework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(44), 1903.</w:t>
      </w:r>
      <w:r>
        <w:t xml:space="preserve"> </w:t>
      </w:r>
      <w:hyperlink r:id="rId116">
        <w:r>
          <w:rPr>
            <w:rStyle w:val="Hyperlink"/>
          </w:rPr>
          <w:t xml:space="preserve">https://doi.org/10.21105/joss.01903</w:t>
        </w:r>
      </w:hyperlink>
    </w:p>
    <w:bookmarkEnd w:id="117"/>
    <w:bookmarkStart w:id="118" w:name="ref-Mehra1960Iron"/>
    <w:p>
      <w:pPr>
        <w:pStyle w:val="Bibliography"/>
      </w:pPr>
      <w:r>
        <w:t xml:space="preserve">Mehra, O. P., &amp; Jackson, M. L. (1960). Iron oxide removal from soils and clays by a dithionite-citrate system buffered with sodium bicarbonate.</w:t>
      </w:r>
      <w:r>
        <w:t xml:space="preserve"> </w:t>
      </w:r>
      <w:r>
        <w:rPr>
          <w:i/>
          <w:iCs/>
        </w:rPr>
        <w:t xml:space="preserve">Clays and Clay Minerals</w:t>
      </w:r>
      <w:r>
        <w:t xml:space="preserve">,</w:t>
      </w:r>
      <w:r>
        <w:t xml:space="preserve"> </w:t>
      </w:r>
      <w:r>
        <w:rPr>
          <w:i/>
          <w:iCs/>
        </w:rPr>
        <w:t xml:space="preserve">7</w:t>
      </w:r>
      <w:r>
        <w:t xml:space="preserve">, 317–327.</w:t>
      </w:r>
    </w:p>
    <w:bookmarkEnd w:id="118"/>
    <w:bookmarkStart w:id="119"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19"/>
    <w:bookmarkStart w:id="121"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120">
        <w:r>
          <w:rPr>
            <w:rStyle w:val="Hyperlink"/>
          </w:rPr>
          <w:t xml:space="preserve">https://CRAN.R-project.org/package=nlme</w:t>
        </w:r>
      </w:hyperlink>
    </w:p>
    <w:bookmarkEnd w:id="121"/>
    <w:bookmarkStart w:id="123"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122">
        <w:r>
          <w:rPr>
            <w:rStyle w:val="Hyperlink"/>
          </w:rPr>
          <w:t xml:space="preserve">https://www.R-project.org/</w:t>
        </w:r>
      </w:hyperlink>
    </w:p>
    <w:bookmarkEnd w:id="123"/>
    <w:bookmarkStart w:id="125"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124">
        <w:r>
          <w:rPr>
            <w:rStyle w:val="Hyperlink"/>
          </w:rPr>
          <w:t xml:space="preserve">https://doi.org/10.1007/s10705-015-9726-1</w:t>
        </w:r>
      </w:hyperlink>
    </w:p>
    <w:bookmarkEnd w:id="125"/>
    <w:bookmarkStart w:id="127"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126">
        <w:r>
          <w:rPr>
            <w:rStyle w:val="Hyperlink"/>
          </w:rPr>
          <w:t xml:space="preserve">https://doi.org/10.1051/agro:2002018</w:t>
        </w:r>
      </w:hyperlink>
    </w:p>
    <w:bookmarkEnd w:id="127"/>
    <w:bookmarkStart w:id="128" w:name="ref-Schlesinger2009"/>
    <w:p>
      <w:pPr>
        <w:pStyle w:val="Bibliography"/>
      </w:pPr>
      <w:r>
        <w:t xml:space="preserve">Schlesinger, W. H. (2009).</w:t>
      </w:r>
      <w:r>
        <w:t xml:space="preserve"> </w:t>
      </w:r>
      <w:r>
        <w:rPr>
          <w:i/>
          <w:iCs/>
        </w:rPr>
        <w:t xml:space="preserve">Biogeochemistry: An analysis of global change</w:t>
      </w:r>
      <w:r>
        <w:t xml:space="preserve"> </w:t>
      </w:r>
      <w:r>
        <w:t xml:space="preserve">(2nd ed.). Academic Press.</w:t>
      </w:r>
    </w:p>
    <w:bookmarkEnd w:id="128"/>
    <w:bookmarkStart w:id="130" w:name="ref-Sinclair1998"/>
    <w:p>
      <w:pPr>
        <w:pStyle w:val="Bibliography"/>
      </w:pPr>
      <w:r>
        <w:t xml:space="preserve">Sinclair, T. R. (1998). Historical changes in harvest index and crop nitrogen accumulation.</w:t>
      </w:r>
      <w:r>
        <w:t xml:space="preserve"> </w:t>
      </w:r>
      <w:r>
        <w:rPr>
          <w:i/>
          <w:iCs/>
        </w:rPr>
        <w:t xml:space="preserve">Crop Science</w:t>
      </w:r>
      <w:r>
        <w:t xml:space="preserve">,</w:t>
      </w:r>
      <w:r>
        <w:t xml:space="preserve"> </w:t>
      </w:r>
      <w:r>
        <w:rPr>
          <w:i/>
          <w:iCs/>
        </w:rPr>
        <w:t xml:space="preserve">38</w:t>
      </w:r>
      <w:r>
        <w:t xml:space="preserve">(3), 638–643.</w:t>
      </w:r>
      <w:r>
        <w:t xml:space="preserve"> </w:t>
      </w:r>
      <w:hyperlink r:id="rId129">
        <w:r>
          <w:rPr>
            <w:rStyle w:val="Hyperlink"/>
          </w:rPr>
          <w:t xml:space="preserve">https://doi.org/10.2135/cropsci1998.0011183X003800030002x</w:t>
        </w:r>
      </w:hyperlink>
    </w:p>
    <w:bookmarkEnd w:id="130"/>
    <w:bookmarkStart w:id="132"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131">
        <w:r>
          <w:rPr>
            <w:rStyle w:val="Hyperlink"/>
          </w:rPr>
          <w:t xml:space="preserve">https://doi.org/10.1016/B978-0-12-656446-4.50001-X</w:t>
        </w:r>
      </w:hyperlink>
    </w:p>
    <w:bookmarkEnd w:id="132"/>
    <w:bookmarkStart w:id="133"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133"/>
    <w:bookmarkStart w:id="135" w:name="ref-VanEs2002"/>
    <w:p>
      <w:pPr>
        <w:pStyle w:val="Bibliography"/>
      </w:pPr>
      <w:r>
        <w:t xml:space="preserve">Van Es, H. M., Van Kessel, C., &amp; Richter, D. D. (2002). Spatial analysis of agricultural field trials.</w:t>
      </w:r>
      <w:r>
        <w:t xml:space="preserve"> </w:t>
      </w:r>
      <w:r>
        <w:rPr>
          <w:i/>
          <w:iCs/>
        </w:rPr>
        <w:t xml:space="preserve">Agronomy Journal</w:t>
      </w:r>
      <w:r>
        <w:t xml:space="preserve">,</w:t>
      </w:r>
      <w:r>
        <w:t xml:space="preserve"> </w:t>
      </w:r>
      <w:r>
        <w:rPr>
          <w:i/>
          <w:iCs/>
        </w:rPr>
        <w:t xml:space="preserve">94</w:t>
      </w:r>
      <w:r>
        <w:t xml:space="preserve">(1), 283–296.</w:t>
      </w:r>
      <w:r>
        <w:t xml:space="preserve"> </w:t>
      </w:r>
      <w:hyperlink r:id="rId134">
        <w:r>
          <w:rPr>
            <w:rStyle w:val="Hyperlink"/>
          </w:rPr>
          <w:t xml:space="preserve">https://doi.org/10.2134/agronj2002.2830</w:t>
        </w:r>
      </w:hyperlink>
    </w:p>
    <w:bookmarkEnd w:id="135"/>
    <w:bookmarkStart w:id="136"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136"/>
    <w:bookmarkEnd w:id="137"/>
    <w:p>
      <w:r>
        <w:br w:type="page"/>
      </w:r>
    </w:p>
    <w:p>
      <w:r>
        <w:br w:type="page"/>
      </w:r>
    </w:p>
    <w:bookmarkEnd w:id="138"/>
    <w:bookmarkStart w:id="142" w:name="appendix"/>
    <w:p>
      <w:pPr>
        <w:pStyle w:val="Heading1"/>
      </w:pPr>
      <w:r>
        <w:t xml:space="preserve">7. Appendix</w:t>
      </w:r>
    </w:p>
    <w:bookmarkStart w:id="141" w:name="X5a320362c19fbb9a0d497031784de26d114bb0f"/>
    <w:p>
      <w:pPr>
        <w:pStyle w:val="Heading2"/>
      </w:pPr>
      <w:r>
        <w:t xml:space="preserve">7.1 Supplementary Materials and Reproducibility</w:t>
      </w:r>
    </w:p>
    <w:p>
      <w:pPr>
        <w:pStyle w:val="FirstParagraph"/>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139">
        <w:r>
          <w:rPr>
            <w:rStyle w:val="Hyperlink"/>
            <w:b/>
            <w:bCs/>
          </w:rPr>
          <w:t xml:space="preserve">[https://github.com/Andrapodon/Master-Thesis-P-kinetics]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140">
        <w:r>
          <w:rPr>
            <w:rStyle w:val="Hyperlink"/>
            <w:b/>
            <w:bCs/>
          </w:rPr>
          <w:t xml:space="preserve">[https://andrapodon.github.io/Master-Thesis-P-kinetics/]</w:t>
        </w:r>
      </w:hyperlink>
    </w:p>
    <w:p>
      <w:pPr>
        <w:pStyle w:val="BodyText"/>
      </w:pPr>
      <w:r>
        <w:t xml:space="preserve">This approach ensures full transparency and allows for the complete replication of the findings presented in this thesis.</w:t>
      </w:r>
    </w:p>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85" Target="media/rId8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hyperlink" Id="rId120" Target="https://CRAN.R-project.org/package=nlme" TargetMode="External" /><Relationship Type="http://schemas.openxmlformats.org/officeDocument/2006/relationships/hyperlink" Id="rId140" Target="https://andrapodon.github.io/Master-Thesis-P-kinetics/" TargetMode="External" /><Relationship Type="http://schemas.openxmlformats.org/officeDocument/2006/relationships/hyperlink" Id="rId124" Target="https://doi.org/10.1007/s10705-015-9726-1" TargetMode="External" /><Relationship Type="http://schemas.openxmlformats.org/officeDocument/2006/relationships/hyperlink" Id="rId112" Target="https://doi.org/10.1007/s11368-012-0498-8" TargetMode="External" /><Relationship Type="http://schemas.openxmlformats.org/officeDocument/2006/relationships/hyperlink" Id="rId106" Target="https://doi.org/10.1007/s13280-017-0987-9" TargetMode="External" /><Relationship Type="http://schemas.openxmlformats.org/officeDocument/2006/relationships/hyperlink" Id="rId131" Target="https://doi.org/10.1016/B978-0-12-656446-4.50001-X" TargetMode="External" /><Relationship Type="http://schemas.openxmlformats.org/officeDocument/2006/relationships/hyperlink" Id="rId110" Target="https://doi.org/10.1016/j.agee.2020.107270" TargetMode="External" /><Relationship Type="http://schemas.openxmlformats.org/officeDocument/2006/relationships/hyperlink" Id="rId108" Target="https://doi.org/10.1016/j.scitotenv.2020.143453" TargetMode="External" /><Relationship Type="http://schemas.openxmlformats.org/officeDocument/2006/relationships/hyperlink" Id="rId126" Target="https://doi.org/10.1051/agro:2002018" TargetMode="External" /><Relationship Type="http://schemas.openxmlformats.org/officeDocument/2006/relationships/hyperlink" Id="rId97" Target="https://doi.org/10.1080/00103624.2013.741896" TargetMode="External" /><Relationship Type="http://schemas.openxmlformats.org/officeDocument/2006/relationships/hyperlink" Id="rId94" Target="https://doi.org/10.18637/jss.v067.i01" TargetMode="External" /><Relationship Type="http://schemas.openxmlformats.org/officeDocument/2006/relationships/hyperlink" Id="rId114" Target="https://doi.org/10.18637/jss.v082.i13" TargetMode="External" /><Relationship Type="http://schemas.openxmlformats.org/officeDocument/2006/relationships/hyperlink" Id="rId116" Target="https://doi.org/10.21105/joss.01903" TargetMode="External" /><Relationship Type="http://schemas.openxmlformats.org/officeDocument/2006/relationships/hyperlink" Id="rId134" Target="https://doi.org/10.2134/agronj2002.2830" TargetMode="External" /><Relationship Type="http://schemas.openxmlformats.org/officeDocument/2006/relationships/hyperlink" Id="rId104" Target="https://doi.org/10.2134/jeq2000.00472425002900010003x" TargetMode="External" /><Relationship Type="http://schemas.openxmlformats.org/officeDocument/2006/relationships/hyperlink" Id="rId129" Target="https://doi.org/10.2135/cropsci1998.0011183X003800030002x" TargetMode="External" /><Relationship Type="http://schemas.openxmlformats.org/officeDocument/2006/relationships/hyperlink" Id="rId100" Target="https://doi.org/10.2136/sssabookser3.2ed.c11" TargetMode="External" /><Relationship Type="http://schemas.openxmlformats.org/officeDocument/2006/relationships/hyperlink" Id="rId139" Target="https://github.com/Andrapodon/Master-Thesis-P-kinetics" TargetMode="External" /><Relationship Type="http://schemas.openxmlformats.org/officeDocument/2006/relationships/hyperlink" Id="rId12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0" Target="https://CRAN.R-project.org/package=nlme" TargetMode="External" /><Relationship Type="http://schemas.openxmlformats.org/officeDocument/2006/relationships/hyperlink" Id="rId140" Target="https://andrapodon.github.io/Master-Thesis-P-kinetics/" TargetMode="External" /><Relationship Type="http://schemas.openxmlformats.org/officeDocument/2006/relationships/hyperlink" Id="rId124" Target="https://doi.org/10.1007/s10705-015-9726-1" TargetMode="External" /><Relationship Type="http://schemas.openxmlformats.org/officeDocument/2006/relationships/hyperlink" Id="rId112" Target="https://doi.org/10.1007/s11368-012-0498-8" TargetMode="External" /><Relationship Type="http://schemas.openxmlformats.org/officeDocument/2006/relationships/hyperlink" Id="rId106" Target="https://doi.org/10.1007/s13280-017-0987-9" TargetMode="External" /><Relationship Type="http://schemas.openxmlformats.org/officeDocument/2006/relationships/hyperlink" Id="rId131" Target="https://doi.org/10.1016/B978-0-12-656446-4.50001-X" TargetMode="External" /><Relationship Type="http://schemas.openxmlformats.org/officeDocument/2006/relationships/hyperlink" Id="rId110" Target="https://doi.org/10.1016/j.agee.2020.107270" TargetMode="External" /><Relationship Type="http://schemas.openxmlformats.org/officeDocument/2006/relationships/hyperlink" Id="rId108" Target="https://doi.org/10.1016/j.scitotenv.2020.143453" TargetMode="External" /><Relationship Type="http://schemas.openxmlformats.org/officeDocument/2006/relationships/hyperlink" Id="rId126" Target="https://doi.org/10.1051/agro:2002018" TargetMode="External" /><Relationship Type="http://schemas.openxmlformats.org/officeDocument/2006/relationships/hyperlink" Id="rId97" Target="https://doi.org/10.1080/00103624.2013.741896" TargetMode="External" /><Relationship Type="http://schemas.openxmlformats.org/officeDocument/2006/relationships/hyperlink" Id="rId94" Target="https://doi.org/10.18637/jss.v067.i01" TargetMode="External" /><Relationship Type="http://schemas.openxmlformats.org/officeDocument/2006/relationships/hyperlink" Id="rId114" Target="https://doi.org/10.18637/jss.v082.i13" TargetMode="External" /><Relationship Type="http://schemas.openxmlformats.org/officeDocument/2006/relationships/hyperlink" Id="rId116" Target="https://doi.org/10.21105/joss.01903" TargetMode="External" /><Relationship Type="http://schemas.openxmlformats.org/officeDocument/2006/relationships/hyperlink" Id="rId134" Target="https://doi.org/10.2134/agronj2002.2830" TargetMode="External" /><Relationship Type="http://schemas.openxmlformats.org/officeDocument/2006/relationships/hyperlink" Id="rId104" Target="https://doi.org/10.2134/jeq2000.00472425002900010003x" TargetMode="External" /><Relationship Type="http://schemas.openxmlformats.org/officeDocument/2006/relationships/hyperlink" Id="rId129" Target="https://doi.org/10.2135/cropsci1998.0011183X003800030002x" TargetMode="External" /><Relationship Type="http://schemas.openxmlformats.org/officeDocument/2006/relationships/hyperlink" Id="rId100" Target="https://doi.org/10.2136/sssabookser3.2ed.c11" TargetMode="External" /><Relationship Type="http://schemas.openxmlformats.org/officeDocument/2006/relationships/hyperlink" Id="rId139" Target="https://github.com/Andrapodon/Master-Thesis-P-kinetics" TargetMode="External" /><Relationship Type="http://schemas.openxmlformats.org/officeDocument/2006/relationships/hyperlink" Id="rId12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2026-03-27T13:28:01Z</dcterms:created>
  <dcterms:modified xsi:type="dcterms:W3CDTF">2026-03-27T13:28:01Z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 P_{desorb} 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2026-03-27</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