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4.png" ContentType="image/png"/>
  <Override PartName="/word/media/rId9.png" ContentType="image/png"/>
  <Override PartName="/word/media/rId14.png" ContentType="image/png"/>
  <Override PartName="/word/media/rId35.png" ContentType="image/png"/>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results"/>
    <w:p>
      <w:pPr>
        <w:pStyle w:val="Heading1"/>
      </w:pPr>
      <w:r>
        <w:t xml:space="preserve">1.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19" w:name="X623e521be83114432db2f1c7d18ba665d67bdd5"/>
    <w:p>
      <w:pPr>
        <w:pStyle w:val="Heading2"/>
      </w:pPr>
      <w:r>
        <w:t xml:space="preserve">1.1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13" w:name="Xc5152bc0d8277c92f5b5561836317bc1f747dd2"/>
    <w:p>
      <w:pPr>
        <w:pStyle w:val="Heading3"/>
      </w:pPr>
      <w:r>
        <w:t xml:space="preserve">1.1.1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12" w:name="fig-linearized-model"/>
          <w:p>
            <w:pPr>
              <w:pStyle w:val="Compact"/>
              <w:jc w:val="center"/>
            </w:pPr>
            <w:r>
              <w:drawing>
                <wp:inline>
                  <wp:extent cx="4620126" cy="4620126"/>
                  <wp:effectExtent b="0" l="0" r="0" t="0"/>
                  <wp:docPr descr="" title="" id="10" name="Picture"/>
                  <a:graphic>
                    <a:graphicData uri="http://schemas.openxmlformats.org/drawingml/2006/picture">
                      <pic:pic>
                        <pic:nvPicPr>
                          <pic:cNvPr descr="25-results_files/figure-docx/fig-linearized-model-1.png" id="11" name="Picture"/>
                          <pic:cNvPicPr>
                            <a:picLocks noChangeArrowheads="1" noChangeAspect="1"/>
                          </pic:cNvPicPr>
                        </pic:nvPicPr>
                        <pic:blipFill>
                          <a:blip r:embed="rId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12"/>
        </w:tc>
      </w:tr>
    </w:tbl>
    <w:bookmarkEnd w:id="13"/>
    <w:bookmarkStart w:id="18" w:name="Xa1f48741cc3a88a20671852547ba1fa19b477bc"/>
    <w:p>
      <w:pPr>
        <w:pStyle w:val="Heading3"/>
      </w:pPr>
      <w:r>
        <w:t xml:space="preserve">1.1.2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17" w:name="fig-nonlinear-model"/>
          <w:p>
            <w:pPr>
              <w:pStyle w:val="Compact"/>
              <w:jc w:val="center"/>
            </w:pPr>
            <w:r>
              <w:drawing>
                <wp:inline>
                  <wp:extent cx="4620126" cy="5544151"/>
                  <wp:effectExtent b="0" l="0" r="0" t="0"/>
                  <wp:docPr descr="" title="" id="15" name="Picture"/>
                  <a:graphic>
                    <a:graphicData uri="http://schemas.openxmlformats.org/drawingml/2006/picture">
                      <pic:pic>
                        <pic:nvPicPr>
                          <pic:cNvPr descr="25-results_files/figure-docx/fig-nonlinear-model-1.png" id="16" name="Picture"/>
                          <pic:cNvPicPr>
                            <a:picLocks noChangeArrowheads="1" noChangeAspect="1"/>
                          </pic:cNvPicPr>
                        </pic:nvPicPr>
                        <pic:blipFill>
                          <a:blip r:embed="rId1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17"/>
        </w:tc>
      </w:tr>
    </w:tbl>
    <w:bookmarkEnd w:id="18"/>
    <w:bookmarkEnd w:id="19"/>
    <w:bookmarkStart w:id="29" w:name="X57c0e16474e0112c1b66bc31d7fcfca02c450f3"/>
    <w:p>
      <w:pPr>
        <w:pStyle w:val="Heading2"/>
      </w:pPr>
      <w:r>
        <w:t xml:space="preserve">1.2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28"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3" w:name="fig-iek-comparison-1"/>
                <w:p>
                  <w:pPr>
                    <w:pStyle w:val="Compact"/>
                    <w:jc w:val="center"/>
                    <w:jc w:val="left"/>
                  </w:pPr>
                  <w:r>
                    <w:drawing>
                      <wp:inline>
                        <wp:extent cx="2971800" cy="2377440"/>
                        <wp:effectExtent b="0" l="0" r="0" t="0"/>
                        <wp:docPr descr="" title="" id="21" name="Picture"/>
                        <a:graphic>
                          <a:graphicData uri="http://schemas.openxmlformats.org/drawingml/2006/picture">
                            <pic:pic>
                              <pic:nvPicPr>
                                <pic:cNvPr descr="25-results_files/figure-docx/fig-iek-comparison-1.png" id="22" name="Picture"/>
                                <pic:cNvPicPr>
                                  <a:picLocks noChangeArrowheads="1" noChangeAspect="1"/>
                                </pic:cNvPicPr>
                              </pic:nvPicPr>
                              <pic:blipFill>
                                <a:blip r:embed="rId2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23"/>
              </w:tc>
            </w:tr>
          </w:tbl>
          <w:p/>
        </w:tc>
        <w:tc>
          <w:tcPr/>
          <w:tbl>
            <w:tblPr>
              <w:tblStyle w:val="Table"/>
              <w:tblW w:type="pct" w:w="4900"/>
              <w:tblLayout w:type="fixed"/>
              <w:tblLook w:firstRow="0" w:lastRow="0" w:firstColumn="0" w:lastColumn="0" w:noHBand="0" w:noVBand="0" w:val="0000"/>
            </w:tblPr>
            <w:tblGrid>
              <w:gridCol w:w="7761"/>
            </w:tblGrid>
            <w:tr>
              <w:tc>
                <w:tcPr/>
                <w:bookmarkStart w:id="27" w:name="fig-iek-comparison-2"/>
                <w:p>
                  <w:pPr>
                    <w:pStyle w:val="Compact"/>
                    <w:jc w:val="center"/>
                    <w:jc w:val="left"/>
                  </w:pPr>
                  <w:r>
                    <w:drawing>
                      <wp:inline>
                        <wp:extent cx="2971800" cy="2377440"/>
                        <wp:effectExtent b="0" l="0" r="0" t="0"/>
                        <wp:docPr descr="" title="" id="25" name="Picture"/>
                        <a:graphic>
                          <a:graphicData uri="http://schemas.openxmlformats.org/drawingml/2006/picture">
                            <pic:pic>
                              <pic:nvPicPr>
                                <pic:cNvPr descr="25-results_files/figure-docx/fig-iek-comparison-2.png" id="26" name="Picture"/>
                                <pic:cNvPicPr>
                                  <a:picLocks noChangeArrowheads="1" noChangeAspect="1"/>
                                </pic:cNvPicPr>
                              </pic:nvPicPr>
                              <pic:blipFill>
                                <a:blip r:embed="rId2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27"/>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28"/>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29"/>
    <w:bookmarkStart w:id="40" w:name="Xecaf9e4ead9471844934973fdc01e77ea889a2e"/>
    <w:p>
      <w:pPr>
        <w:pStyle w:val="Heading2"/>
      </w:pPr>
      <w:r>
        <w:t xml:space="preserve">1.3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34" w:name="X7766650a521c07025d9048e5b46ef5cbb460559"/>
    <w:p>
      <w:pPr>
        <w:pStyle w:val="Heading3"/>
      </w:pPr>
      <w:r>
        <w:t xml:space="preserve">1.3.1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gronomic-responses"/>
          <w:p>
            <w:pPr>
              <w:pStyle w:val="Compact"/>
              <w:jc w:val="center"/>
            </w:pPr>
            <w:r>
              <w:drawing>
                <wp:inline>
                  <wp:extent cx="4620126" cy="6468176"/>
                  <wp:effectExtent b="0" l="0" r="0" t="0"/>
                  <wp:docPr descr="" title="" id="31" name="Picture"/>
                  <a:graphic>
                    <a:graphicData uri="http://schemas.openxmlformats.org/drawingml/2006/picture">
                      <pic:pic>
                        <pic:nvPicPr>
                          <pic:cNvPr descr="25-results_files/figure-docx/fig-agronomic-responses-1.png" id="32" name="Picture"/>
                          <pic:cNvPicPr>
                            <a:picLocks noChangeArrowheads="1" noChangeAspect="1"/>
                          </pic:cNvPicPr>
                        </pic:nvPicPr>
                        <pic:blipFill>
                          <a:blip r:embed="rId3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33"/>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34"/>
    <w:bookmarkStart w:id="39" w:name="Xf1b1c7e5b0bdd9bd952a6bec2c8d4ca508e5273"/>
    <w:p>
      <w:pPr>
        <w:pStyle w:val="Heading3"/>
      </w:pPr>
      <w:r>
        <w:t xml:space="preserve">1.3.2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soil-parameters"/>
          <w:p>
            <w:pPr>
              <w:pStyle w:val="Compact"/>
              <w:jc w:val="center"/>
            </w:pPr>
            <w:r>
              <w:drawing>
                <wp:inline>
                  <wp:extent cx="4620126" cy="6468176"/>
                  <wp:effectExtent b="0" l="0" r="0" t="0"/>
                  <wp:docPr descr="" title="" id="36" name="Picture"/>
                  <a:graphic>
                    <a:graphicData uri="http://schemas.openxmlformats.org/drawingml/2006/picture">
                      <pic:pic>
                        <pic:nvPicPr>
                          <pic:cNvPr descr="25-results_files/figure-docx/fig-soil-parameters-1.png" id="37" name="Picture"/>
                          <pic:cNvPicPr>
                            <a:picLocks noChangeArrowheads="1" noChangeAspect="1"/>
                          </pic:cNvPicPr>
                        </pic:nvPicPr>
                        <pic:blipFill>
                          <a:blip r:embed="rId3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38"/>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39"/>
    <w:bookmarkEnd w:id="40"/>
    <w:bookmarkStart w:id="42" w:name="sec-p-params-soil-props"/>
    <w:p>
      <w:pPr>
        <w:pStyle w:val="Heading2"/>
      </w:pPr>
      <w:r>
        <w:t xml:space="preserve">1.4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soil-prop-models"/>
          <w:p>
            <w:pPr>
              <w:jc w:val="center"/>
            </w:pPr>
            <w:pPr>
              <w:jc w:val="left"/>
              <w:spacing w:before="200"/>
              <w:pStyle w:val="ImageCaption"/>
            </w:pPr>
            <w:r>
              <w:t xml:space="preserve">Table 1: Results of linear mixed-effects models predicting P parameters from intrinsic soil properties</w:t>
            </w:r>
            <w:r>
              <w:t xml:space="preserve"> </w:t>
            </w:r>
            <w:r>
              <w:rPr>
                <w:b/>
                <w:bCs/>
              </w:rPr>
              <w:t xml:space="preserve">?@tbl-variables</w:t>
            </w:r>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41"/>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42"/>
    <w:bookmarkStart w:id="64" w:name="sec-agronomic-modeling"/>
    <w:p>
      <w:pPr>
        <w:pStyle w:val="Heading2"/>
      </w:pPr>
      <w:r>
        <w:t xml:space="preserve">1.5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51" w:name="anomaly-in-the-cadenazzo-yield-data"/>
    <w:p>
      <w:pPr>
        <w:pStyle w:val="Heading3"/>
      </w:pPr>
      <w:r>
        <w:t xml:space="preserve">1.5.1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6" w:name="fig-yield-comparison"/>
          <w:p>
            <w:pPr>
              <w:pStyle w:val="Compact"/>
              <w:jc w:val="center"/>
            </w:pPr>
            <w:r>
              <w:drawing>
                <wp:inline>
                  <wp:extent cx="4620126" cy="3696101"/>
                  <wp:effectExtent b="0" l="0" r="0" t="0"/>
                  <wp:docPr descr="" title="" id="44" name="Picture"/>
                  <a:graphic>
                    <a:graphicData uri="http://schemas.openxmlformats.org/drawingml/2006/picture">
                      <pic:pic>
                        <pic:nvPicPr>
                          <pic:cNvPr descr="25-results_files/figure-docx/fig-yield-comparison-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yield-cadenazzo-fix"/>
          <w:p>
            <w:pPr>
              <w:pStyle w:val="Compact"/>
              <w:jc w:val="center"/>
            </w:pPr>
            <w:r>
              <w:drawing>
                <wp:inline>
                  <wp:extent cx="4620126" cy="3696101"/>
                  <wp:effectExtent b="0" l="0" r="0" t="0"/>
                  <wp:docPr descr="" title="" id="48" name="Picture"/>
                  <a:graphic>
                    <a:graphicData uri="http://schemas.openxmlformats.org/drawingml/2006/picture">
                      <pic:pic>
                        <pic:nvPicPr>
                          <pic:cNvPr descr="25-results_files/figure-docx/fig-yield-cadenazzo-fix-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50"/>
        </w:tc>
      </w:tr>
    </w:tbl>
    <w:bookmarkEnd w:id="51"/>
    <w:bookmarkStart w:id="53" w:name="predicting-site-normalized-yield-y_norm"/>
    <w:p>
      <w:pPr>
        <w:pStyle w:val="Heading3"/>
      </w:pPr>
      <w:r>
        <w:t xml:space="preserve">1.5.2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ynorm-models"/>
          <w:p>
            <w:pPr>
              <w:jc w:val="center"/>
            </w:pPr>
            <w:pPr>
              <w:jc w:val="left"/>
              <w:spacing w:before="200"/>
              <w:pStyle w:val="ImageCaption"/>
            </w:pPr>
            <w:r>
              <w:t xml:space="preserve">Table 2: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52"/>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53"/>
    <w:bookmarkStart w:id="56" w:name="Xe0b402b7183f6a3d6df8442ac2834a5544132c5"/>
    <w:p>
      <w:pPr>
        <w:pStyle w:val="Heading3"/>
      </w:pPr>
      <w:r>
        <w:t xml:space="preserve">1.5.3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54" w:name="tbl-yrel-models"/>
          <w:p>
            <w:pPr>
              <w:jc w:val="center"/>
            </w:pPr>
            <w:pPr>
              <w:jc w:val="left"/>
              <w:spacing w:before="200"/>
              <w:pStyle w:val="ImageCaption"/>
            </w:pPr>
            <w:r>
              <w:t xml:space="preserve">Table 3: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54"/>
          <w:p/>
        </w:tc>
      </w:tr>
    </w:tbl>
    <w:bookmarkStart w:id="55" w:name="performance-of-standard-stp-methods"/>
    <w:p>
      <w:pPr>
        <w:pStyle w:val="Heading4"/>
      </w:pPr>
      <w:r>
        <w:t xml:space="preserve">1.5.3.1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55"/>
    <w:bookmarkEnd w:id="56"/>
    <w:bookmarkStart w:id="58" w:name="predicting-p-uptake-p_up"/>
    <w:p>
      <w:pPr>
        <w:pStyle w:val="Heading3"/>
      </w:pPr>
      <w:r>
        <w:t xml:space="preserve">1.5.4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57" w:name="tbl-pexport-models"/>
          <w:p>
            <w:pPr>
              <w:jc w:val="center"/>
            </w:pPr>
            <w:pPr>
              <w:jc w:val="left"/>
              <w:spacing w:before="200"/>
              <w:pStyle w:val="ImageCaption"/>
            </w:pPr>
            <w:r>
              <w:t xml:space="preserve">Table 4: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57"/>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58"/>
    <w:bookmarkStart w:id="63" w:name="predicting-p-balance-p_bal"/>
    <w:p>
      <w:pPr>
        <w:pStyle w:val="Heading3"/>
      </w:pPr>
      <w:r>
        <w:t xml:space="preserve">1.5.5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59" w:name="tbl-pbalance-models"/>
          <w:p>
            <w:pPr>
              <w:jc w:val="center"/>
            </w:pPr>
            <w:pPr>
              <w:jc w:val="left"/>
              <w:spacing w:before="200"/>
              <w:pStyle w:val="ImageCaption"/>
            </w:pPr>
            <w:r>
              <w:t xml:space="preserve">Table 5: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59"/>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bookmarkStart w:id="62" w:name="refs"/>
    <w:bookmarkStart w:id="61"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60">
        <w:r>
          <w:rPr>
            <w:rStyle w:val="Hyperlink"/>
          </w:rPr>
          <w:t xml:space="preserve">https://doi.org/10.1080/00103624.2013.741896</w:t>
        </w:r>
      </w:hyperlink>
    </w:p>
    <w:bookmarkEnd w:id="61"/>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hyperlink" Id="rId60" Target="https://doi.org/10.1080/00103624.2013.741896"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80/00103624.2013.7418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2026-03-27T13:28:54Z</dcterms:created>
  <dcterms:modified xsi:type="dcterms:W3CDTF">2026-03-27T13:28:54Z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