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discussion"/>
    <w:p>
      <w:pPr>
        <w:pStyle w:val="Heading1"/>
      </w:pPr>
      <w:r>
        <w:t xml:space="preserve">1.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(Hirte et al., 2018)</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9" w:name="X2be6dfad3d423d878672cb793cc807af4a34ac3"/>
    <w:p>
      <w:pPr>
        <w:pStyle w:val="Heading2"/>
      </w:pPr>
      <w:r>
        <w:t xml:space="preserve">1.1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r</m:t>
            </m:r>
            <m:r>
              <m:t>e</m:t>
            </m:r>
            <m:r>
              <m:t>l</m:t>
            </m:r>
          </m:sub>
        </m:sSub>
      </m:oMath>
      <w:r>
        <w:t xml:space="preserve">) and</w:t>
      </w:r>
      <w:r>
        <w:t xml:space="preserve"> </w:t>
      </w:r>
      <w:r>
        <w:rPr>
          <w:b/>
          <w:bCs/>
        </w:rPr>
        <w:t xml:space="preserve">P-uptake (</w:t>
      </w:r>
      <m:oMath>
        <m:sSub>
          <m:e>
            <m:r>
              <m:t>P</m:t>
            </m:r>
          </m:e>
          <m:sub>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 Sinclair, 1998)</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u</m:t>
            </m:r>
            <m:r>
              <m:t>p</m:t>
            </m:r>
          </m:sub>
        </m:sSub>
      </m:oMath>
      <w:r>
        <w:t xml:space="preserve"> </w:t>
      </w:r>
      <w:r>
        <w:t xml:space="preserve">and</w:t>
      </w:r>
      <w:r>
        <w:t xml:space="preserve"> </w:t>
      </w:r>
      <m:oMath>
        <m:sSub>
          <m:e>
            <m:r>
              <m:t>P</m:t>
            </m:r>
          </m:e>
          <m:sub>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(Rowe et al., 2016)</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(Schlesinger, 2009)</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(Hirte et al., 2021)</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compromised in soils with high pH and an abundance of free calcium (</w:t>
      </w:r>
      <m:oMath>
        <m:r>
          <m:t>C</m:t>
        </m:r>
        <m:sSup>
          <m:e>
            <m:r>
              <m:t>a</m:t>
            </m:r>
          </m:e>
          <m:sup>
            <m:r>
              <m:t>2</m:t>
            </m:r>
            <m:r>
              <m:rPr>
                <m:sty m:val="p"/>
              </m:rPr>
              <m:t>+</m:t>
            </m:r>
          </m:sup>
        </m:sSup>
      </m:oMath>
      <w:r>
        <w:t xml:space="preserve">) and magnesium (</w:t>
      </w:r>
      <m:oMath>
        <m:r>
          <m:t>M</m:t>
        </m:r>
        <m:sSup>
          <m:e>
            <m:r>
              <m:t>g</m:t>
            </m:r>
          </m:e>
          <m:sup>
            <m:r>
              <m:t>2</m:t>
            </m:r>
            <m:r>
              <m:rPr>
                <m:sty m:val="p"/>
              </m:rPr>
              <m:t>+</m:t>
            </m:r>
          </m:sup>
        </m:sSup>
      </m:oMath>
      <w:r>
        <w:t xml:space="preserve">) cations, often from calcium carbonates (</w:t>
      </w:r>
      <m:oMath>
        <m:r>
          <m:t>C</m:t>
        </m:r>
        <m:r>
          <m:t>a</m:t>
        </m:r>
        <m:r>
          <m:t>C</m:t>
        </m:r>
        <m:sSub>
          <m:e>
            <m:r>
              <m:t>O</m:t>
            </m:r>
          </m:e>
          <m:sub>
            <m:r>
              <m:t>3</m:t>
            </m:r>
          </m:sub>
        </m:sSub>
      </m:oMath>
      <w:r>
        <w:t xml:space="preserve">). There are two primary reasons for this:</w:t>
      </w:r>
    </w:p>
    <w:p>
      <w:pPr>
        <w:pStyle w:val="Compact"/>
        <w:numPr>
          <w:ilvl w:val="0"/>
          <w:numId w:val="1001"/>
        </w:numPr>
      </w:pPr>
      <w:r>
        <w:rPr>
          <w:b/>
          <w:bCs/>
        </w:rPr>
        <w:t xml:space="preserve">Consumption of EDTA:</w:t>
      </w:r>
      <w:r>
        <w:t xml:space="preserve"> </w:t>
      </w:r>
      <w:r>
        <w:t xml:space="preserve">The primary role of EDTA is to bind to cations like iron and aluminum that precipitate phosphate, thereby releasing P into the solution. However, EDTA has a high affinity for divalent cations, so in calcareous soils, a significant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making it less available to extract the target phosphate compounds</w:t>
      </w:r>
      <w:r>
        <w:t xml:space="preserve"> </w:t>
      </w:r>
      <w:r>
        <w:t xml:space="preserve">(Fixen &amp; Grove, 1993)</w:t>
      </w:r>
      <w:r>
        <w:t xml:space="preserve">.</w:t>
      </w:r>
    </w:p>
    <w:p>
      <w:pPr>
        <w:pStyle w:val="Compact"/>
        <w:numPr>
          <w:ilvl w:val="0"/>
          <w:numId w:val="1001"/>
        </w:numPr>
      </w:pPr>
      <w:r>
        <w:rPr>
          <w:b/>
          <w:bCs/>
        </w:rPr>
        <w:t xml:space="preserve">Buffering Capacity:</w:t>
      </w:r>
      <w:r>
        <w:t xml:space="preserve"> </w:t>
      </w:r>
      <w:r>
        <w:t xml:space="preserve">The acetate buffer in the AAE10 solution is designed to maintain a consistent pH. However, soils with high carbonate content have a strong natural buffering capacity that can resist the pH change intended by the extractant, further reducing its efficiency in dissolving pH-sensitive P minerals.</w:t>
      </w:r>
    </w:p>
    <w:p>
      <w:pPr>
        <w:pStyle w:val="FirstParagraph"/>
      </w:pPr>
      <w:r>
        <w:t xml:space="preserve">This known limitation explains why</w:t>
      </w:r>
      <w:r>
        <w:t xml:space="preserve"> </w:t>
      </w:r>
      <m:oMath>
        <m:sSub>
          <m:e>
            <m:r>
              <m:t>P</m:t>
            </m:r>
          </m:e>
          <m:sub>
            <m:r>
              <m:t>A</m:t>
            </m:r>
            <m:r>
              <m:t>A</m:t>
            </m:r>
            <m:r>
              <m:t>E</m:t>
            </m:r>
            <m:r>
              <m:t>10</m:t>
            </m:r>
          </m:sub>
        </m:sSub>
      </m:oMath>
      <w:r>
        <w:t xml:space="preserve"> </w:t>
      </w:r>
      <w:r>
        <w:t xml:space="preserve">can underestimate plant-available P in calcareous soils and supports our finding of a significant pH-dependence. It underscores that the choice of an appropriate soil test must take into account the fundamental chemistry of the soil matrix itself.</w:t>
      </w:r>
    </w:p>
    <w:bookmarkEnd w:id="9"/>
    <w:bookmarkStart w:id="14" w:name="X1b4f439ca95cf2ff1d299d4f1dc1937990b01b8"/>
    <w:p>
      <w:pPr>
        <w:pStyle w:val="Heading2"/>
      </w:pPr>
      <w:r>
        <w:t xml:space="preserve">1.2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(Kuang et al., 2012)</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true field variability, the standard soil test results for all replicates at this site were examined (</w:t>
      </w:r>
      <w:hyperlink w:anchor="fig-ell-outlier-check-dual-axis">
        <w:r>
          <w:rPr>
            <w:rStyle w:val="Hyperlink"/>
          </w:rPr>
          <w:t xml:space="preserve">Figure 1</w:t>
        </w:r>
      </w:hyperlink>
      <w:r>
        <w:t xml:space="preserve">). The diagnostic plot clearly shows that these same two replicates also registered as significant outliers for both</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(Fisher, 1925)</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Fisher (1925)</w:t>
      </w:r>
      <w:r>
        <w:t xml:space="preserve">; Fisher1935; Yates1964;</w:t>
      </w:r>
      <w:r>
        <w:t xml:space="preserve"> </w:t>
      </w:r>
      <w:r>
        <w:t xml:space="preserve">Van Es et al. (2002)</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13" w:name="fig-ell-outlier-check-dual-axis"/>
          <w:p>
            <w:pPr>
              <w:pStyle w:val="Compact"/>
              <w:jc w:val="center"/>
            </w:pPr>
            <w:r>
              <w:drawing>
                <wp:inline>
                  <wp:extent cx="4620126" cy="3696101"/>
                  <wp:effectExtent b="0" l="0" r="0" t="0"/>
                  <wp:docPr descr="" title="" id="11" name="Picture"/>
                  <a:graphic>
                    <a:graphicData uri="http://schemas.openxmlformats.org/drawingml/2006/picture">
                      <pic:pic>
                        <pic:nvPicPr>
                          <pic:cNvPr descr="30-discussion_files/figure-docx/fig-ell-outlier-check-dual-axis-1.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13"/>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(Sparks, 2003)</w:t>
      </w:r>
      <w:r>
        <w:t xml:space="preserve">. These distinct relationships confirm that</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14"/>
    <w:bookmarkStart w:id="39" w:name="X2bcc4bfc211ba9abec9a74e664b2fca0cf81079"/>
    <w:p>
      <w:pPr>
        <w:pStyle w:val="Heading2"/>
      </w:pPr>
      <w:r>
        <w:t xml:space="preserve">1.3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b</m:t>
            </m:r>
            <m:r>
              <m:t>a</m:t>
            </m:r>
            <m:r>
              <m:t>l</m:t>
            </m:r>
          </m:sub>
        </m:sSub>
      </m:oMath>
      <w:r>
        <w:t xml:space="preserve">). In this analysis, the kinetic model, driven by the desorbable P pool (</w:t>
      </w:r>
      <m:oMath>
        <m:sSub>
          <m:e>
            <m:r>
              <m:t>P</m:t>
            </m:r>
          </m:e>
          <m:sub>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(Hirte et al., 2018)</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bookmarkStart w:id="38" w:name="refs"/>
    <w:bookmarkStart w:id="15"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15"/>
    <w:bookmarkStart w:id="16" w:name="ref-Fisher1925"/>
    <w:p>
      <w:pPr>
        <w:pStyle w:val="Bibliography"/>
      </w:pPr>
      <w:r>
        <w:t xml:space="preserve">Fisher, R. A. (1925).</w:t>
      </w:r>
      <w:r>
        <w:t xml:space="preserve"> </w:t>
      </w:r>
      <w:r>
        <w:rPr>
          <w:i/>
          <w:iCs/>
        </w:rPr>
        <w:t xml:space="preserve">Statistical methods for research workers</w:t>
      </w:r>
      <w:r>
        <w:t xml:space="preserve">. Oliver; Boyd.</w:t>
      </w:r>
    </w:p>
    <w:bookmarkEnd w:id="16"/>
    <w:bookmarkStart w:id="18" w:name="ref-Fixen1993"/>
    <w:p>
      <w:pPr>
        <w:pStyle w:val="Bibliography"/>
      </w:pPr>
      <w:r>
        <w:t xml:space="preserve">Fixen, P. E., &amp; Grove, J. H. (1993). Testing soils for phosphorus.</w:t>
      </w:r>
      <w:r>
        <w:t xml:space="preserve"> </w:t>
      </w:r>
      <w:r>
        <w:rPr>
          <w:i/>
          <w:iCs/>
        </w:rPr>
        <w:t xml:space="preserve">Soil Science Society of America Book Series</w:t>
      </w:r>
      <w:r>
        <w:t xml:space="preserve">,</w:t>
      </w:r>
      <w:r>
        <w:t xml:space="preserve"> </w:t>
      </w:r>
      <w:r>
        <w:rPr>
          <w:i/>
          <w:iCs/>
        </w:rPr>
        <w:t xml:space="preserve">3</w:t>
      </w:r>
      <w:r>
        <w:t xml:space="preserve">, 141–180.</w:t>
      </w:r>
      <w:r>
        <w:t xml:space="preserve"> </w:t>
      </w:r>
      <w:hyperlink r:id="rId17">
        <w:r>
          <w:rPr>
            <w:rStyle w:val="Hyperlink"/>
          </w:rPr>
          <w:t xml:space="preserve">https://doi.org/10.2136/sssabookser3.2ed.c11</w:t>
        </w:r>
      </w:hyperlink>
    </w:p>
    <w:bookmarkEnd w:id="18"/>
    <w:bookmarkStart w:id="20"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19">
        <w:r>
          <w:rPr>
            <w:rStyle w:val="Hyperlink"/>
          </w:rPr>
          <w:t xml:space="preserve">https://doi.org/10.1007/s13280-017-0987-9</w:t>
        </w:r>
      </w:hyperlink>
    </w:p>
    <w:bookmarkEnd w:id="20"/>
    <w:bookmarkStart w:id="22"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21">
        <w:r>
          <w:rPr>
            <w:rStyle w:val="Hyperlink"/>
          </w:rPr>
          <w:t xml:space="preserve">https://doi.org/10.1016/j.agee.2020.107270</w:t>
        </w:r>
      </w:hyperlink>
    </w:p>
    <w:bookmarkEnd w:id="22"/>
    <w:bookmarkStart w:id="24"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23">
        <w:r>
          <w:rPr>
            <w:rStyle w:val="Hyperlink"/>
          </w:rPr>
          <w:t xml:space="preserve">https://doi.org/10.1007/s11368-012-0498-8</w:t>
        </w:r>
      </w:hyperlink>
    </w:p>
    <w:bookmarkEnd w:id="24"/>
    <w:bookmarkStart w:id="25"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25"/>
    <w:bookmarkStart w:id="27"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26">
        <w:r>
          <w:rPr>
            <w:rStyle w:val="Hyperlink"/>
          </w:rPr>
          <w:t xml:space="preserve">https://doi.org/10.1007/s10705-015-9726-1</w:t>
        </w:r>
      </w:hyperlink>
    </w:p>
    <w:bookmarkEnd w:id="27"/>
    <w:bookmarkStart w:id="29"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28">
        <w:r>
          <w:rPr>
            <w:rStyle w:val="Hyperlink"/>
          </w:rPr>
          <w:t xml:space="preserve">https://doi.org/10.1051/agro:2002018</w:t>
        </w:r>
      </w:hyperlink>
    </w:p>
    <w:bookmarkEnd w:id="29"/>
    <w:bookmarkStart w:id="30" w:name="ref-Schlesinger2009"/>
    <w:p>
      <w:pPr>
        <w:pStyle w:val="Bibliography"/>
      </w:pPr>
      <w:r>
        <w:t xml:space="preserve">Schlesinger, W. H. (2009).</w:t>
      </w:r>
      <w:r>
        <w:t xml:space="preserve"> </w:t>
      </w:r>
      <w:r>
        <w:rPr>
          <w:i/>
          <w:iCs/>
        </w:rPr>
        <w:t xml:space="preserve">Biogeochemistry: An analysis of global change</w:t>
      </w:r>
      <w:r>
        <w:t xml:space="preserve"> </w:t>
      </w:r>
      <w:r>
        <w:t xml:space="preserve">(2nd ed.). Academic Press.</w:t>
      </w:r>
    </w:p>
    <w:bookmarkEnd w:id="30"/>
    <w:bookmarkStart w:id="32" w:name="ref-Sinclair1998"/>
    <w:p>
      <w:pPr>
        <w:pStyle w:val="Bibliography"/>
      </w:pPr>
      <w:r>
        <w:t xml:space="preserve">Sinclair, T. R. (1998). Historical changes in harvest index and crop nitrogen accumulation.</w:t>
      </w:r>
      <w:r>
        <w:t xml:space="preserve"> </w:t>
      </w:r>
      <w:r>
        <w:rPr>
          <w:i/>
          <w:iCs/>
        </w:rPr>
        <w:t xml:space="preserve">Crop Science</w:t>
      </w:r>
      <w:r>
        <w:t xml:space="preserve">,</w:t>
      </w:r>
      <w:r>
        <w:t xml:space="preserve"> </w:t>
      </w:r>
      <w:r>
        <w:rPr>
          <w:i/>
          <w:iCs/>
        </w:rPr>
        <w:t xml:space="preserve">38</w:t>
      </w:r>
      <w:r>
        <w:t xml:space="preserve">(3), 638–643.</w:t>
      </w:r>
      <w:r>
        <w:t xml:space="preserve"> </w:t>
      </w:r>
      <w:hyperlink r:id="rId31">
        <w:r>
          <w:rPr>
            <w:rStyle w:val="Hyperlink"/>
          </w:rPr>
          <w:t xml:space="preserve">https://doi.org/10.2135/cropsci1998.0011183X003800030002x</w:t>
        </w:r>
      </w:hyperlink>
    </w:p>
    <w:bookmarkEnd w:id="32"/>
    <w:bookmarkStart w:id="34"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33">
        <w:r>
          <w:rPr>
            <w:rStyle w:val="Hyperlink"/>
          </w:rPr>
          <w:t xml:space="preserve">https://doi.org/10.1016/B978-0-12-656446-4.50001-X</w:t>
        </w:r>
      </w:hyperlink>
    </w:p>
    <w:bookmarkEnd w:id="34"/>
    <w:bookmarkStart w:id="35"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35"/>
    <w:bookmarkStart w:id="37" w:name="ref-VanEs2002"/>
    <w:p>
      <w:pPr>
        <w:pStyle w:val="Bibliography"/>
      </w:pPr>
      <w:r>
        <w:t xml:space="preserve">Van Es, H. M., Van Kessel, C., &amp; Richter, D. D. (2002). Spatial analysis of agricultural field trials.</w:t>
      </w:r>
      <w:r>
        <w:t xml:space="preserve"> </w:t>
      </w:r>
      <w:r>
        <w:rPr>
          <w:i/>
          <w:iCs/>
        </w:rPr>
        <w:t xml:space="preserve">Agronomy Journal</w:t>
      </w:r>
      <w:r>
        <w:t xml:space="preserve">,</w:t>
      </w:r>
      <w:r>
        <w:t xml:space="preserve"> </w:t>
      </w:r>
      <w:r>
        <w:rPr>
          <w:i/>
          <w:iCs/>
        </w:rPr>
        <w:t xml:space="preserve">94</w:t>
      </w:r>
      <w:r>
        <w:t xml:space="preserve">(1), 283–296.</w:t>
      </w:r>
      <w:r>
        <w:t xml:space="preserve"> </w:t>
      </w:r>
      <w:hyperlink r:id="rId36">
        <w:r>
          <w:rPr>
            <w:rStyle w:val="Hyperlink"/>
          </w:rPr>
          <w:t xml:space="preserve">https://doi.org/10.2134/agronj2002.2830</w:t>
        </w:r>
      </w:hyperlink>
    </w:p>
    <w:bookmarkEnd w:id="37"/>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6" Target="https://doi.org/10.1007/s10705-015-9726-1" TargetMode="External" /><Relationship Type="http://schemas.openxmlformats.org/officeDocument/2006/relationships/hyperlink" Id="rId23" Target="https://doi.org/10.1007/s11368-012-0498-8" TargetMode="External" /><Relationship Type="http://schemas.openxmlformats.org/officeDocument/2006/relationships/hyperlink" Id="rId19" Target="https://doi.org/10.1007/s13280-017-0987-9" TargetMode="External" /><Relationship Type="http://schemas.openxmlformats.org/officeDocument/2006/relationships/hyperlink" Id="rId33" Target="https://doi.org/10.1016/B978-0-12-656446-4.50001-X" TargetMode="External" /><Relationship Type="http://schemas.openxmlformats.org/officeDocument/2006/relationships/hyperlink" Id="rId21" Target="https://doi.org/10.1016/j.agee.2020.107270" TargetMode="External" /><Relationship Type="http://schemas.openxmlformats.org/officeDocument/2006/relationships/hyperlink" Id="rId28" Target="https://doi.org/10.1051/agro:2002018" TargetMode="External" /><Relationship Type="http://schemas.openxmlformats.org/officeDocument/2006/relationships/hyperlink" Id="rId36" Target="https://doi.org/10.2134/agronj2002.2830" TargetMode="External" /><Relationship Type="http://schemas.openxmlformats.org/officeDocument/2006/relationships/hyperlink" Id="rId31" Target="https://doi.org/10.2135/cropsci1998.0011183X003800030002x" TargetMode="External" /><Relationship Type="http://schemas.openxmlformats.org/officeDocument/2006/relationships/hyperlink" Id="rId17" Target="https://doi.org/10.2136/sssabookser3.2ed.c11"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s10705-015-9726-1" TargetMode="External" /><Relationship Type="http://schemas.openxmlformats.org/officeDocument/2006/relationships/hyperlink" Id="rId23" Target="https://doi.org/10.1007/s11368-012-0498-8" TargetMode="External" /><Relationship Type="http://schemas.openxmlformats.org/officeDocument/2006/relationships/hyperlink" Id="rId19" Target="https://doi.org/10.1007/s13280-017-0987-9" TargetMode="External" /><Relationship Type="http://schemas.openxmlformats.org/officeDocument/2006/relationships/hyperlink" Id="rId33" Target="https://doi.org/10.1016/B978-0-12-656446-4.50001-X" TargetMode="External" /><Relationship Type="http://schemas.openxmlformats.org/officeDocument/2006/relationships/hyperlink" Id="rId21" Target="https://doi.org/10.1016/j.agee.2020.107270" TargetMode="External" /><Relationship Type="http://schemas.openxmlformats.org/officeDocument/2006/relationships/hyperlink" Id="rId28" Target="https://doi.org/10.1051/agro:2002018" TargetMode="External" /><Relationship Type="http://schemas.openxmlformats.org/officeDocument/2006/relationships/hyperlink" Id="rId36" Target="https://doi.org/10.2134/agronj2002.2830" TargetMode="External" /><Relationship Type="http://schemas.openxmlformats.org/officeDocument/2006/relationships/hyperlink" Id="rId31" Target="https://doi.org/10.2135/cropsci1998.0011183X003800030002x" TargetMode="External" /><Relationship Type="http://schemas.openxmlformats.org/officeDocument/2006/relationships/hyperlink" Id="rId17" Target="https://doi.org/10.2136/sssabookser3.2ed.c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2026-03-27T13:29:18Z</dcterms:created>
  <dcterms:modified xsi:type="dcterms:W3CDTF">2026-03-27T13:29:18Z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