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sec-materials-and-methods"/>
    <w:p>
      <w:pPr>
        <w:pStyle w:val="Heading1"/>
      </w:pPr>
      <w:r>
        <w:t xml:space="preserve">1. Materials and Methods</w:t>
      </w:r>
    </w:p>
    <w:bookmarkStart w:id="9" w:name="X2a96c2427ceb6b998508f67b3ec6e8131f2af39"/>
    <w:p>
      <w:pPr>
        <w:pStyle w:val="Heading2"/>
      </w:pPr>
      <w:r>
        <w:t xml:space="preserve">1.1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9"/>
    <w:bookmarkStart w:id="11" w:name="sec-experimental-sites"/>
    <w:p>
      <w:pPr>
        <w:pStyle w:val="Heading2"/>
      </w:pPr>
      <w:r>
        <w:t xml:space="preserve">1.2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p>
      <w:pPr>
        <w:pStyle w:val="SourceCode"/>
      </w:pPr>
      <w:r>
        <w:rPr>
          <w:rStyle w:val="NormalTok"/>
        </w:rPr>
        <w:t xml:space="preserve">sites_df_corrected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rPr>
          <w:rStyle w:val="StringTok"/>
        </w:rPr>
        <w:t xml:space="preserve">"ALT"</w:t>
      </w:r>
      <w:r>
        <w:rPr>
          <w:rStyle w:val="NormalTok"/>
        </w:rPr>
        <w:t xml:space="preserve">, </w:t>
      </w:r>
      <w:r>
        <w:rPr>
          <w:rStyle w:val="StringTok"/>
        </w:rPr>
        <w:t xml:space="preserve">"CAD"</w:t>
      </w:r>
      <w:r>
        <w:rPr>
          <w:rStyle w:val="NormalTok"/>
        </w:rPr>
        <w:t xml:space="preserve">, </w:t>
      </w:r>
      <w:r>
        <w:rPr>
          <w:rStyle w:val="StringTok"/>
        </w:rPr>
        <w:t xml:space="preserve">"ELL"</w:t>
      </w:r>
      <w:r>
        <w:rPr>
          <w:rStyle w:val="NormalTok"/>
        </w:rPr>
        <w:t xml:space="preserve">, </w:t>
      </w:r>
      <w:r>
        <w:rPr>
          <w:rStyle w:val="StringTok"/>
        </w:rPr>
        <w:t xml:space="preserve">"GRA"</w:t>
      </w:r>
      <w:r>
        <w:rPr>
          <w:rStyle w:val="NormalTok"/>
        </w:rPr>
        <w:t xml:space="preserve">, </w:t>
      </w:r>
      <w:r>
        <w:rPr>
          <w:rStyle w:val="StringTok"/>
        </w:rPr>
        <w:t xml:space="preserve">"OEN"</w:t>
      </w:r>
      <w:r>
        <w:rPr>
          <w:rStyle w:val="NormalTok"/>
        </w:rPr>
        <w:t xml:space="preserve">, </w:t>
      </w:r>
      <w:r>
        <w:rPr>
          <w:rStyle w:val="StringTok"/>
        </w:rPr>
        <w:t xml:space="preserve">"REC"</w:t>
      </w:r>
      <w:r>
        <w:rPr>
          <w:rStyle w:val="NormalTok"/>
        </w:rPr>
        <w:t xml:space="preserve">),</w:t>
      </w:r>
      <w:r>
        <w:br/>
      </w:r>
      <w:r>
        <w:rPr>
          <w:rStyle w:val="NormalTok"/>
        </w:rPr>
        <w:t xml:space="preserve">  </w:t>
      </w:r>
      <w:r>
        <w:rPr>
          <w:rStyle w:val="StringTok"/>
        </w:rPr>
        <w:t xml:space="preserve">`</w:t>
      </w:r>
      <w:r>
        <w:rPr>
          <w:rStyle w:val="AttributeTok"/>
        </w:rPr>
        <w:t xml:space="preserve">Soil Type (WRB)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"Calcaric Cambisol"</w:t>
      </w:r>
      <w:r>
        <w:rPr>
          <w:rStyle w:val="NormalTok"/>
        </w:rPr>
        <w:t xml:space="preserve">, </w:t>
      </w:r>
      <w:r>
        <w:rPr>
          <w:rStyle w:val="StringTok"/>
        </w:rPr>
        <w:t xml:space="preserve">"Eutric Fluvisol"</w:t>
      </w:r>
      <w:r>
        <w:rPr>
          <w:rStyle w:val="NormalTok"/>
        </w:rPr>
        <w:t xml:space="preserve">, </w:t>
      </w:r>
      <w:r>
        <w:rPr>
          <w:rStyle w:val="StringTok"/>
        </w:rPr>
        <w:t xml:space="preserve">"Eutric Cambisol"</w:t>
      </w:r>
      <w:r>
        <w:rPr>
          <w:rStyle w:val="NormalTok"/>
        </w:rPr>
        <w:t xml:space="preserve">, </w:t>
      </w:r>
      <w:r>
        <w:rPr>
          <w:rStyle w:val="StringTok"/>
        </w:rPr>
        <w:t xml:space="preserve">"Calcaric Fluvisol"</w:t>
      </w:r>
      <w:r>
        <w:rPr>
          <w:rStyle w:val="NormalTok"/>
        </w:rPr>
        <w:t xml:space="preserve">, </w:t>
      </w:r>
      <w:r>
        <w:rPr>
          <w:rStyle w:val="StringTok"/>
        </w:rPr>
        <w:t xml:space="preserve">"Gleyic-calc. Cambisol"</w:t>
      </w:r>
      <w:r>
        <w:rPr>
          <w:rStyle w:val="NormalTok"/>
        </w:rPr>
        <w:t xml:space="preserve">, </w:t>
      </w:r>
      <w:r>
        <w:rPr>
          <w:rStyle w:val="StringTok"/>
        </w:rPr>
        <w:t xml:space="preserve">"Eutric Gleysol"</w:t>
      </w:r>
      <w:r>
        <w:rPr>
          <w:rStyle w:val="NormalTok"/>
        </w:rPr>
        <w:t xml:space="preserve">),</w:t>
      </w:r>
      <w:r>
        <w:br/>
      </w:r>
      <w:r>
        <w:rPr>
          <w:rStyle w:val="NormalTok"/>
        </w:rPr>
        <w:t xml:space="preserve">  </w:t>
      </w:r>
      <w:r>
        <w:rPr>
          <w:rStyle w:val="StringTok"/>
        </w:rPr>
        <w:t xml:space="preserve">`</w:t>
      </w:r>
      <w:r>
        <w:rPr>
          <w:rStyle w:val="AttributeTok"/>
        </w:rPr>
        <w:t xml:space="preserve">Clay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8</w:t>
      </w:r>
      <w:r>
        <w:rPr>
          <w:rStyle w:val="NormalTok"/>
        </w:rPr>
        <w:t xml:space="preserve">, </w:t>
      </w:r>
      <w:r>
        <w:rPr>
          <w:rStyle w:val="DecValTok"/>
        </w:rPr>
        <w:t xml:space="preserve">33</w:t>
      </w:r>
      <w:r>
        <w:rPr>
          <w:rStyle w:val="NormalTok"/>
        </w:rPr>
        <w:t xml:space="preserve">, </w:t>
      </w:r>
      <w:r>
        <w:rPr>
          <w:rStyle w:val="DecValTok"/>
        </w:rPr>
        <w:t xml:space="preserve">17</w:t>
      </w:r>
      <w:r>
        <w:rPr>
          <w:rStyle w:val="NormalTok"/>
        </w:rPr>
        <w:t xml:space="preserve">, </w:t>
      </w:r>
      <w:r>
        <w:rPr>
          <w:rStyle w:val="DecValTok"/>
        </w:rPr>
        <w:t xml:space="preserve">37</w:t>
      </w:r>
      <w:r>
        <w:rPr>
          <w:rStyle w:val="NormalTok"/>
        </w:rPr>
        <w:t xml:space="preserve">, </w:t>
      </w:r>
      <w:r>
        <w:rPr>
          <w:rStyle w:val="DecValTok"/>
        </w:rPr>
        <w:t xml:space="preserve">39</w:t>
      </w:r>
      <w:r>
        <w:rPr>
          <w:rStyle w:val="NormalTok"/>
        </w:rPr>
        <w:t xml:space="preserve">),</w:t>
      </w:r>
      <w:r>
        <w:br/>
      </w:r>
      <w:r>
        <w:rPr>
          <w:rStyle w:val="NormalTok"/>
        </w:rPr>
        <w:t xml:space="preserve">  </w:t>
      </w:r>
      <w:r>
        <w:rPr>
          <w:rStyle w:val="StringTok"/>
        </w:rPr>
        <w:t xml:space="preserve">`</w:t>
      </w:r>
      <w:r>
        <w:rPr>
          <w:rStyle w:val="AttributeTok"/>
        </w:rPr>
        <w:t xml:space="preserve">Sand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48</w:t>
      </w:r>
      <w:r>
        <w:rPr>
          <w:rStyle w:val="NormalTok"/>
        </w:rPr>
        <w:t xml:space="preserve">, </w:t>
      </w:r>
      <w:r>
        <w:rPr>
          <w:rStyle w:val="DecValTok"/>
        </w:rPr>
        <w:t xml:space="preserve">40</w:t>
      </w:r>
      <w:r>
        <w:rPr>
          <w:rStyle w:val="NormalTok"/>
        </w:rPr>
        <w:t xml:space="preserve">, </w:t>
      </w:r>
      <w:r>
        <w:rPr>
          <w:rStyle w:val="DecValTok"/>
        </w:rPr>
        <w:t xml:space="preserve">31</w:t>
      </w:r>
      <w:r>
        <w:rPr>
          <w:rStyle w:val="NormalTok"/>
        </w:rPr>
        <w:t xml:space="preserve">, </w:t>
      </w:r>
      <w:r>
        <w:rPr>
          <w:rStyle w:val="DecValTok"/>
        </w:rPr>
        <w:t xml:space="preserve">34</w:t>
      </w:r>
      <w:r>
        <w:rPr>
          <w:rStyle w:val="NormalTok"/>
        </w:rPr>
        <w:t xml:space="preserve">, </w:t>
      </w:r>
      <w:r>
        <w:rPr>
          <w:rStyle w:val="DecValTok"/>
        </w:rPr>
        <w:t xml:space="preserve">32</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w:t>
      </w:r>
      <w:r>
        <w:rPr>
          <w:rStyle w:val="AttributeTok"/>
        </w:rPr>
        <w:t xml:space="preserve">Organic C (g/kg)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14</w:t>
      </w:r>
      <w:r>
        <w:rPr>
          <w:rStyle w:val="NormalTok"/>
        </w:rPr>
        <w:t xml:space="preserve">, </w:t>
      </w:r>
      <w:r>
        <w:rPr>
          <w:rStyle w:val="DecValTok"/>
        </w:rPr>
        <w:t xml:space="preserve">23</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27</w:t>
      </w:r>
      <w:r>
        <w:rPr>
          <w:rStyle w:val="NormalTok"/>
        </w:rPr>
        <w:t xml:space="preserve">),</w:t>
      </w:r>
      <w:r>
        <w:br/>
      </w:r>
      <w:r>
        <w:rPr>
          <w:rStyle w:val="NormalTok"/>
        </w:rPr>
        <w:t xml:space="preserve">  </w:t>
      </w:r>
      <w:r>
        <w:rPr>
          <w:rStyle w:val="StringTok"/>
        </w:rPr>
        <w:t xml:space="preserve">`</w:t>
      </w:r>
      <w:r>
        <w:rPr>
          <w:rStyle w:val="AttributeTok"/>
        </w:rPr>
        <w:t xml:space="preserve">pH (H2O)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7.9</w:t>
      </w:r>
      <w:r>
        <w:rPr>
          <w:rStyle w:val="NormalTok"/>
        </w:rPr>
        <w:t xml:space="preserve">, </w:t>
      </w:r>
      <w:r>
        <w:rPr>
          <w:rStyle w:val="FloatTok"/>
        </w:rPr>
        <w:t xml:space="preserve">6.3</w:t>
      </w:r>
      <w:r>
        <w:rPr>
          <w:rStyle w:val="NormalTok"/>
        </w:rPr>
        <w:t xml:space="preserve">, </w:t>
      </w:r>
      <w:r>
        <w:rPr>
          <w:rStyle w:val="FloatTok"/>
        </w:rPr>
        <w:t xml:space="preserve">6.6</w:t>
      </w:r>
      <w:r>
        <w:rPr>
          <w:rStyle w:val="NormalTok"/>
        </w:rPr>
        <w:t xml:space="preserve">, </w:t>
      </w:r>
      <w:r>
        <w:rPr>
          <w:rStyle w:val="FloatTok"/>
        </w:rPr>
        <w:t xml:space="preserve">8.3</w:t>
      </w:r>
      <w:r>
        <w:rPr>
          <w:rStyle w:val="NormalTok"/>
        </w:rPr>
        <w:t xml:space="preserve">, </w:t>
      </w:r>
      <w:r>
        <w:rPr>
          <w:rStyle w:val="FloatTok"/>
        </w:rPr>
        <w:t xml:space="preserve">7.1</w:t>
      </w:r>
      <w:r>
        <w:rPr>
          <w:rStyle w:val="NormalTok"/>
        </w:rPr>
        <w:t xml:space="preserve">, </w:t>
      </w:r>
      <w:r>
        <w:rPr>
          <w:rStyle w:val="FloatTok"/>
        </w:rPr>
        <w:t xml:space="preserve">7.4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(sites_df_corrected)</w:t>
      </w:r>
    </w:p>
    <w:tbl>
      <w:tblPr>
        <w:tblStyle w:val="Table"/>
        <w:tblW w:type="pct" w:w="5000"/>
        <w:tblLayout w:type="fixed"/>
        <w:tblLook w:firstRow="0" w:lastRow="0" w:firstColumn="0" w:lastColumn="0" w:noHBand="0" w:noVBand="0" w:val="0000"/>
      </w:tblPr>
      <w:tblGrid>
        <w:gridCol w:w="7920"/>
      </w:tblGrid>
      <w:tr>
        <w:tc>
          <w:tcPr/>
          <w:bookmarkStart w:id="10" w:name="tbl-sites-corrected"/>
          <w:p>
            <w:pPr>
              <w:jc w:val="center"/>
            </w:pPr>
            <w:pPr>
              <w:jc w:val="left"/>
              <w:spacing w:before="200"/>
              <w:pStyle w:val="ImageCaption"/>
            </w:pPr>
            <w:r>
              <w:t xml:space="preserve">Table 1: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10"/>
          <w:p/>
        </w:tc>
      </w:tr>
    </w:tbl>
    <w:p>
      <w:pPr>
        <w:pStyle w:val="BodyText"/>
      </w:pPr>
      <w:r>
        <w:t xml:space="preserve">Soil samples for this thesis were collected in the year 2022 from the topsoil layer (0-20 cm).</w:t>
      </w:r>
    </w:p>
    <w:bookmarkEnd w:id="11"/>
    <w:bookmarkStart w:id="14" w:name="sec-phosphorus-desorption-kinetics"/>
    <w:p>
      <w:pPr>
        <w:pStyle w:val="Heading2"/>
      </w:pPr>
      <w:r>
        <w:t xml:space="preserve">1.3 Phosphorus Desorption Kinetics</w:t>
      </w:r>
    </w:p>
    <w:p>
      <w:pPr>
        <w:pStyle w:val="FirstParagraph"/>
      </w:pPr>
      <w:r>
        <w:t xml:space="preserve">The analysis of phosphorus (P) desorption kinetics was based on the principles of sequential extraction established by</w:t>
      </w:r>
      <w:r>
        <w:t xml:space="preserve"> </w:t>
      </w:r>
      <w:r>
        <w:t xml:space="preserve">Flossmann &amp; Richter (1982)</w:t>
      </w:r>
      <w:r>
        <w:t xml:space="preserve">. The original method is described below, followed by the specific protocol adapted for this study.</w:t>
      </w:r>
    </w:p>
    <w:bookmarkStart w:id="12" w:name="original-method-of-flossmann-and-richter"/>
    <w:p>
      <w:pPr>
        <w:pStyle w:val="Heading3"/>
      </w:pPr>
      <w:r>
        <w:t xml:space="preserve">1.3.1 Original Method of Flossmann and Richter</w:t>
      </w:r>
    </w:p>
    <w:p>
      <w:pPr>
        <w:pStyle w:val="FirstParagraph"/>
      </w:pPr>
      <w:r>
        <w:t xml:space="preserve">The foundational method aims to characterize the P replenishment capacity of the soil. The procedure is as follows:</w:t>
      </w:r>
    </w:p>
    <w:p>
      <w:pPr>
        <w:pStyle w:val="Compact"/>
        <w:numPr>
          <w:ilvl w:val="0"/>
          <w:numId w:val="1001"/>
        </w:numPr>
      </w:pPr>
      <w:r>
        <w:rPr>
          <w:b/>
          <w:bCs/>
        </w:rPr>
        <w:t xml:space="preserve">Removal of Soluble P</w:t>
      </w:r>
      <w:r>
        <w:t xml:space="preserve">: 17.5 g of air-dried soil is shaken with 350 ml of deionized water for one hour at 120 Hz in a horizontal soil-shaker. The suspension is centrifuged at 4000 rpm for 15 minutes and the supernatant is decanted to remove the readily soluble P fraction.</w:t>
      </w:r>
    </w:p>
    <w:p>
      <w:pPr>
        <w:pStyle w:val="Compact"/>
        <w:numPr>
          <w:ilvl w:val="0"/>
          <w:numId w:val="1001"/>
        </w:numPr>
      </w:pPr>
      <w:r>
        <w:rPr>
          <w:b/>
          <w:bCs/>
        </w:rPr>
        <w:t xml:space="preserve">Kinetic Extraction</w:t>
      </w:r>
      <w:r>
        <w:t xml:space="preserve">: The remaining soil pellet is resuspended with another 350 ml of deionized water. Subsamples of the suspension are taken at specific time intervals (e.g., 10, 30, and 120 minutes).</w:t>
      </w:r>
    </w:p>
    <w:p>
      <w:pPr>
        <w:pStyle w:val="Compact"/>
        <w:numPr>
          <w:ilvl w:val="0"/>
          <w:numId w:val="1001"/>
        </w:numPr>
      </w:pPr>
      <w:r>
        <w:rPr>
          <w:b/>
          <w:bCs/>
        </w:rPr>
        <w:t xml:space="preserve">Analysis</w:t>
      </w:r>
      <w:r>
        <w:t xml:space="preserve">: The P concentration in the subsamples is determined colorimetrically.</w:t>
      </w:r>
    </w:p>
    <w:bookmarkEnd w:id="12"/>
    <w:bookmarkStart w:id="13" w:name="Xbd6c1e5704c75ae9a98b5e8f17a138b0c980a04"/>
    <w:p>
      <w:pPr>
        <w:pStyle w:val="Heading3"/>
      </w:pPr>
      <w:r>
        <w:t xml:space="preserve">1.3.2 Adapted Kinetic Protocol for This Study</w:t>
      </w:r>
    </w:p>
    <w:p>
      <w:pPr>
        <w:pStyle w:val="FirstParagraph"/>
      </w:pPr>
      <w:r>
        <w:t xml:space="preserve">For this thesis, the original method was modified to capture the desorption process with a higher temporal resolution.</w:t>
      </w:r>
    </w:p>
    <w:p>
      <w:pPr>
        <w:numPr>
          <w:ilvl w:val="0"/>
          <w:numId w:val="1002"/>
        </w:numPr>
      </w:pPr>
      <w:r>
        <w:rPr>
          <w:b/>
          <w:bCs/>
        </w:rPr>
        <w:t xml:space="preserve">Pre-washing to Remove Soluble P</w:t>
      </w:r>
      <w:r>
        <w:t xml:space="preserve">: A pre-washing step was performed to remove the readily soluble P fraction. 10 g of air-dried soil was suspended in 200 ml of deionized water and shaken for 60 minutes at 120 Hz. The suspension was then centrifuged for 15 minutes at 4000 rpm, and the supernatant containing the soluble P was discarded.</w:t>
      </w:r>
    </w:p>
    <w:p>
      <w:pPr>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to generate a detailed kinetic curve:</w:t>
      </w:r>
      <w:r>
        <w:t xml:space="preserve"> </w:t>
      </w:r>
      <w:r>
        <w:rPr>
          <w:b/>
          <w:bCs/>
        </w:rPr>
        <w:t xml:space="preserve">2, 4, 10, 15, 20, 30, 45, and 60 minutes</w:t>
      </w:r>
      <w:r>
        <w:t xml:space="preserve">.</w:t>
      </w:r>
    </w:p>
    <w:p>
      <w:pPr>
        <w:numPr>
          <w:ilvl w:val="0"/>
          <w:numId w:val="1002"/>
        </w:numPr>
      </w:pPr>
      <w:r>
        <w:rPr>
          <w:b/>
          <w:bCs/>
        </w:rPr>
        <w:t xml:space="preserve">Analysis</w:t>
      </w:r>
      <w:r>
        <w:t xml:space="preserve">: Each subsample was immediately filtered. The concentration of orthophosphate in the filtered extracts was determined colorimetrically using the</w:t>
      </w:r>
      <w:r>
        <w:t xml:space="preserve"> </w:t>
      </w:r>
      <w:r>
        <w:rPr>
          <w:b/>
          <w:bCs/>
        </w:rPr>
        <w:t xml:space="preserve">malachite green method</w:t>
      </w:r>
      <w:r>
        <w:t xml:space="preserve"> </w:t>
      </w:r>
      <w:r>
        <w:t xml:space="preserve">(Van Veldhoven &amp; Mannaerts, 1987)</w:t>
      </w:r>
      <w:r>
        <w:t xml:space="preserve">.</w:t>
      </w:r>
    </w:p>
    <w:bookmarkEnd w:id="13"/>
    <w:bookmarkEnd w:id="14"/>
    <w:bookmarkStart w:id="39" w:name="sec-statistical-analysis"/>
    <w:p>
      <w:pPr>
        <w:pStyle w:val="Heading2"/>
      </w:pPr>
      <w:r>
        <w:t xml:space="preserve">1.4 Statistical Analysis</w:t>
      </w:r>
    </w:p>
    <w:bookmarkStart w:id="15" w:name="software-and-statistical-environment"/>
    <w:p>
      <w:pPr>
        <w:pStyle w:val="Heading3"/>
      </w:pPr>
      <w:r>
        <w:t xml:space="preserve">1.4.1 Software and Statistical Environment</w:t>
      </w:r>
    </w:p>
    <w:p>
      <w:pPr>
        <w:pStyle w:val="FirstParagraph"/>
      </w:pPr>
      <w:r>
        <w:t xml:space="preserve">All data processing, statistical modeling, and visualization were conducted using the R programming language (v. 4.2.2)</w:t>
      </w:r>
      <w:r>
        <w:t xml:space="preserve"> </w:t>
      </w:r>
      <w:r>
        <w:t xml:space="preserve">(R Core Team, 2022)</w:t>
      </w:r>
      <w:r>
        <w:t xml:space="preserve">. The primary packages used for the analysis were: -</w:t>
      </w:r>
      <w:r>
        <w:t xml:space="preserve"> </w:t>
      </w:r>
      <w:r>
        <w:rPr>
          <w:rStyle w:val="VerbatimChar"/>
        </w:rPr>
        <w:t xml:space="preserve">nlme</w:t>
      </w:r>
      <w:r>
        <w:t xml:space="preserve"> </w:t>
      </w:r>
      <w:r>
        <w:t xml:space="preserve">(Pinheiro et al., 2022)</w:t>
      </w:r>
      <w:r>
        <w:t xml:space="preserve"> </w:t>
      </w:r>
      <w:r>
        <w:t xml:space="preserve">for fitting the non-linear mixed-effects models to the kinetic data. -</w:t>
      </w:r>
      <w:r>
        <w:t xml:space="preserve"> </w:t>
      </w:r>
      <w:r>
        <w:rPr>
          <w:rStyle w:val="VerbatimChar"/>
        </w:rPr>
        <w:t xml:space="preserve">lme4</w:t>
      </w:r>
      <w:r>
        <w:t xml:space="preserve"> </w:t>
      </w:r>
      <w:r>
        <w:t xml:space="preserve">(Bates et al., 2015)</w:t>
      </w:r>
      <w:r>
        <w:t xml:space="preserve"> </w:t>
      </w:r>
      <w:r>
        <w:t xml:space="preserve">and</w:t>
      </w:r>
      <w:r>
        <w:t xml:space="preserve"> </w:t>
      </w:r>
      <w:r>
        <w:rPr>
          <w:rStyle w:val="VerbatimChar"/>
        </w:rPr>
        <w:t xml:space="preserve">lmerTest</w:t>
      </w:r>
      <w:r>
        <w:t xml:space="preserve"> </w:t>
      </w:r>
      <w:r>
        <w:t xml:space="preserve">(Kuznetsova et al., 2017)</w:t>
      </w:r>
      <w:r>
        <w:t xml:space="preserve"> </w:t>
      </w:r>
      <w:r>
        <w:t xml:space="preserve">for fitting and testing the linear mixed-effects models for agronomic and soil property analyses. -</w:t>
      </w:r>
      <w:r>
        <w:t xml:space="preserve"> </w:t>
      </w:r>
      <w:r>
        <w:rPr>
          <w:rStyle w:val="VerbatimChar"/>
        </w:rPr>
        <w:t xml:space="preserve">mlr3</w:t>
      </w:r>
      <w:r>
        <w:t xml:space="preserve"> </w:t>
      </w:r>
      <w:r>
        <w:t xml:space="preserve">(Lang et al., 2019)</w:t>
      </w:r>
      <w:r>
        <w:t xml:space="preserve"> </w:t>
      </w:r>
      <w:r>
        <w:t xml:space="preserve">for the systematic feature selection and model validation workflow.</w:t>
      </w:r>
    </w:p>
    <w:bookmarkEnd w:id="15"/>
    <w:bookmarkStart w:id="16" w:name="sec-modeling-of-desorption-kinetics"/>
    <w:p>
      <w:pPr>
        <w:pStyle w:val="Heading3"/>
      </w:pPr>
      <w:r>
        <w:t xml:space="preserve">1.4.2 Modeling of Desorption Kinetics</w:t>
      </w:r>
    </w:p>
    <w:p>
      <w:pPr>
        <w:pStyle w:val="FirstParagraph"/>
      </w:pPr>
      <w:r>
        <w:t xml:space="preserve">To derive the kinetic parameters, a non-linear mixed-effects model was implemented using the</w:t>
      </w:r>
      <w:r>
        <w:t xml:space="preserve"> </w:t>
      </w:r>
      <w:r>
        <w:rPr>
          <w:rStyle w:val="VerbatimChar"/>
        </w:rPr>
        <w:t xml:space="preserve">nlme</w:t>
      </w:r>
      <w:r>
        <w:t xml:space="preserve"> </w:t>
      </w:r>
      <w:r>
        <w:t xml:space="preserve">package. This approach was chosen to simultaneously estimate the rate constant (</w:t>
      </w:r>
      <w:r>
        <w:rPr>
          <w:i/>
          <w:iCs/>
        </w:rPr>
        <w:t xml:space="preserve">k</w:t>
      </w:r>
      <w:r>
        <w:t xml:space="preserve">) and the maximum desorbable P (</w:t>
      </w:r>
      <m:oMath>
        <m:sSub>
          <m:e>
            <m:r>
              <m:t>P</m:t>
            </m:r>
          </m:e>
          <m:sub>
            <m:r>
              <m:t>d</m:t>
            </m:r>
            <m:r>
              <m:t>e</m:t>
            </m:r>
            <m:r>
              <m:t>s</m:t>
            </m:r>
            <m:r>
              <m:t>o</m:t>
            </m:r>
            <m:r>
              <m:t>r</m:t>
            </m:r>
            <m:r>
              <m:t>b</m:t>
            </m:r>
          </m:sub>
        </m:sSub>
      </m:oMath>
      <w:r>
        <w:t xml:space="preserve">) for each soil sample. The model was fitted to the exact solution of the first-order rate equation:</w:t>
      </w:r>
    </w:p>
    <w:p>
      <w:pPr>
        <w:pStyle w:val="BodyText"/>
      </w:pPr>
      <m:oMathPara>
        <m:oMathParaPr>
          <m:jc m:val="center"/>
        </m:oMathParaPr>
        <m:oMath>
          <m:r>
            <m:t>P</m:t>
          </m:r>
          <m:r>
            <m:rPr>
              <m:sty m:val="p"/>
            </m:rPr>
            <m:t>(</m:t>
          </m:r>
          <m:r>
            <m:t>t</m:t>
          </m:r>
          <m:r>
            <m:rPr>
              <m:sty m:val="p"/>
            </m:rPr>
            <m:t>)</m:t>
          </m:r>
          <m:r>
            <m:rPr>
              <m:sty m:val="p"/>
            </m:rPr>
            <m:t>=</m:t>
          </m:r>
          <m:sSub>
            <m:e>
              <m:r>
                <m:t>P</m:t>
              </m:r>
            </m:e>
            <m:sub>
              <m:r>
                <m:t>d</m:t>
              </m:r>
              <m:r>
                <m:t>e</m:t>
              </m:r>
              <m:r>
                <m:t>s</m:t>
              </m:r>
              <m:r>
                <m:t>o</m:t>
              </m:r>
              <m:r>
                <m:t>r</m:t>
              </m:r>
              <m:r>
                <m:t>b</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P</m:t>
        </m:r>
        <m:r>
          <m:rPr>
            <m:sty m:val="p"/>
          </m:rPr>
          <m:t>(</m:t>
        </m:r>
        <m:r>
          <m:t>t</m:t>
        </m:r>
        <m:r>
          <m:rPr>
            <m:sty m:val="p"/>
          </m:rPr>
          <m:t>)</m:t>
        </m:r>
      </m:oMath>
      <w:r>
        <w:t xml:space="preserve"> </w:t>
      </w:r>
      <w:r>
        <w:t xml:space="preserve">is the P concentration at time</w:t>
      </w:r>
      <w:r>
        <w:t xml:space="preserve"> </w:t>
      </w:r>
      <m:oMath>
        <m:r>
          <m:t>t</m:t>
        </m:r>
      </m:oMath>
      <w:r>
        <w:t xml:space="preserve">,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oMath>
      <w:r>
        <w:t xml:space="preserve"> </w:t>
      </w:r>
      <w:r>
        <w:t xml:space="preserve">+ 3 min) to account for the rapid initial dissolution of P that occurs before the first measurement. In this mixed-effects framework, the overall mean values for</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were modeled as</w:t>
      </w:r>
      <w:r>
        <w:t xml:space="preserve"> </w:t>
      </w:r>
      <w:r>
        <w:rPr>
          <w:b/>
          <w:bCs/>
        </w:rPr>
        <w:t xml:space="preserve">fixed effects</w:t>
      </w:r>
      <w:r>
        <w:t xml:space="preserve">, while sample-specific deviations from these fixed effects were modeled as</w:t>
      </w:r>
      <w:r>
        <w:t xml:space="preserve"> </w:t>
      </w:r>
      <w:r>
        <w:rPr>
          <w:b/>
          <w:bCs/>
        </w:rPr>
        <w:t xml:space="preserve">random effects</w:t>
      </w:r>
      <w:r>
        <w:t xml:space="preserve"> </w:t>
      </w:r>
      <w:r>
        <w:t xml:space="preserve">to capture the unique desorption characteristics of each individual soil sample.</w:t>
      </w:r>
    </w:p>
    <w:bookmarkEnd w:id="16"/>
    <w:bookmarkStart w:id="18" w:name="X7948ef6b44c07ffe5eee7eadbac8c6481287b2f"/>
    <w:p>
      <w:pPr>
        <w:pStyle w:val="Heading3"/>
      </w:pPr>
      <w:r>
        <w:t xml:space="preserve">1.4.3 Comparative Modeling of Soil and Agronomic Parameters</w:t>
      </w:r>
    </w:p>
    <w:p>
      <w:pPr>
        <w:pStyle w:val="FirstParagraph"/>
      </w:pPr>
      <w:r>
        <w:t xml:space="preserve">To test the hypotheses of this thesis, two distinct sets of linear mixed-effects models were constructed.</w:t>
      </w:r>
    </w:p>
    <w:p>
      <w:pPr>
        <w:pStyle w:val="SourceCode"/>
      </w:pPr>
      <w:r>
        <w:rPr>
          <w:rStyle w:val="NormalTok"/>
        </w:rPr>
        <w:t xml:space="preserve">variables_df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Abbreviation =</w:t>
      </w:r>
      <w:r>
        <w:rPr>
          <w:rStyle w:val="NormalTok"/>
        </w:rPr>
        <w:t xml:space="preserve"> </w:t>
      </w:r>
      <w:r>
        <w:rPr>
          <w:rStyle w:val="FunctionTok"/>
        </w:rPr>
        <w:t xml:space="preserve">c</w:t>
      </w:r>
      <w:r>
        <w:rPr>
          <w:rStyle w:val="NormalTok"/>
        </w:rPr>
        <w:t xml:space="preserve">(</w:t>
      </w:r>
      <w:r>
        <w:rPr>
          <w:rStyle w:val="StringTok"/>
        </w:rPr>
        <w:t xml:space="preserve">"$Y_{rel}$"</w:t>
      </w:r>
      <w:r>
        <w:rPr>
          <w:rStyle w:val="NormalTok"/>
        </w:rPr>
        <w:t xml:space="preserve">, </w:t>
      </w:r>
      <w:r>
        <w:rPr>
          <w:rStyle w:val="StringTok"/>
        </w:rPr>
        <w:t xml:space="preserve">"$Y_{norm}$"</w:t>
      </w:r>
      <w:r>
        <w:rPr>
          <w:rStyle w:val="NormalTok"/>
        </w:rPr>
        <w:t xml:space="preserve">, </w:t>
      </w:r>
      <w:r>
        <w:rPr>
          <w:rStyle w:val="StringTok"/>
        </w:rPr>
        <w:t xml:space="preserve">"$P_{up}$"</w:t>
      </w:r>
      <w:r>
        <w:rPr>
          <w:rStyle w:val="NormalTok"/>
        </w:rPr>
        <w:t xml:space="preserve">, </w:t>
      </w:r>
      <w:r>
        <w:rPr>
          <w:rStyle w:val="StringTok"/>
        </w:rPr>
        <w:t xml:space="preserve">"$P_{bal}$"</w:t>
      </w:r>
      <w:r>
        <w:rPr>
          <w:rStyle w:val="NormalTok"/>
        </w:rPr>
        <w:t xml:space="preserve">, </w:t>
      </w:r>
      <w:r>
        <w:br/>
      </w:r>
      <w:r>
        <w:rPr>
          <w:rStyle w:val="NormalTok"/>
        </w:rPr>
        <w:t xml:space="preserve">                   </w:t>
      </w:r>
      <w:r>
        <w:rPr>
          <w:rStyle w:val="StringTok"/>
        </w:rPr>
        <w:t xml:space="preserve">"$k$"</w:t>
      </w:r>
      <w:r>
        <w:rPr>
          <w:rStyle w:val="NormalTok"/>
        </w:rPr>
        <w:t xml:space="preserve">, </w:t>
      </w:r>
      <w:r>
        <w:rPr>
          <w:rStyle w:val="StringTok"/>
        </w:rPr>
        <w:t xml:space="preserve">"$P_{desorb}$"</w:t>
      </w:r>
      <w:r>
        <w:rPr>
          <w:rStyle w:val="NormalTok"/>
        </w:rPr>
        <w:t xml:space="preserve">, </w:t>
      </w:r>
      <w:r>
        <w:rPr>
          <w:rStyle w:val="StringTok"/>
        </w:rPr>
        <w:t xml:space="preserve">"$J_0$"</w:t>
      </w:r>
      <w:r>
        <w:rPr>
          <w:rStyle w:val="NormalTok"/>
        </w:rPr>
        <w:t xml:space="preserve">, </w:t>
      </w:r>
      <w:r>
        <w:br/>
      </w:r>
      <w:r>
        <w:rPr>
          <w:rStyle w:val="NormalTok"/>
        </w:rPr>
        <w:t xml:space="preserve">                   </w:t>
      </w:r>
      <w:r>
        <w:rPr>
          <w:rStyle w:val="StringTok"/>
        </w:rPr>
        <w:t xml:space="preserve">"$P_{CO2}$"</w:t>
      </w:r>
      <w:r>
        <w:rPr>
          <w:rStyle w:val="NormalTok"/>
        </w:rPr>
        <w:t xml:space="preserve">, </w:t>
      </w:r>
      <w:r>
        <w:rPr>
          <w:rStyle w:val="StringTok"/>
        </w:rPr>
        <w:t xml:space="preserve">"$P_{AAE10}$"</w:t>
      </w:r>
      <w:r>
        <w:rPr>
          <w:rStyle w:val="NormalTok"/>
        </w:rPr>
        <w:t xml:space="preserve">,</w:t>
      </w:r>
      <w:r>
        <w:br/>
      </w:r>
      <w:r>
        <w:rPr>
          <w:rStyle w:val="NormalTok"/>
        </w:rPr>
        <w:t xml:space="preserve">                   </w:t>
      </w:r>
      <w:r>
        <w:rPr>
          <w:rStyle w:val="StringTok"/>
        </w:rPr>
        <w:t xml:space="preserve">"$Al_d$"</w:t>
      </w:r>
      <w:r>
        <w:rPr>
          <w:rStyle w:val="NormalTok"/>
        </w:rPr>
        <w:t xml:space="preserve">, </w:t>
      </w:r>
      <w:r>
        <w:rPr>
          <w:rStyle w:val="StringTok"/>
        </w:rPr>
        <w:t xml:space="preserve">"$Fe_d$"</w:t>
      </w:r>
      <w:r>
        <w:rPr>
          <w:rStyle w:val="NormalTok"/>
        </w:rPr>
        <w:t xml:space="preserve">),</w:t>
      </w:r>
      <w:r>
        <w:br/>
      </w:r>
      <w:r>
        <w:rPr>
          <w:rStyle w:val="NormalTok"/>
        </w:rPr>
        <w:t xml:space="preserve">  </w:t>
      </w:r>
      <w:r>
        <w:rPr>
          <w:rStyle w:val="StringTok"/>
        </w:rPr>
        <w:t xml:space="preserve">`</w:t>
      </w:r>
      <w:r>
        <w:rPr>
          <w:rStyle w:val="AttributeTok"/>
        </w:rPr>
        <w:t xml:space="preserve">Variable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"Relative Yield"</w:t>
      </w:r>
      <w:r>
        <w:rPr>
          <w:rStyle w:val="NormalTok"/>
        </w:rPr>
        <w:t xml:space="preserve">, </w:t>
      </w:r>
      <w:r>
        <w:rPr>
          <w:rStyle w:val="StringTok"/>
        </w:rPr>
        <w:t xml:space="preserve">"Normalized Yield"</w:t>
      </w:r>
      <w:r>
        <w:rPr>
          <w:rStyle w:val="NormalTok"/>
        </w:rPr>
        <w:t xml:space="preserve">, </w:t>
      </w:r>
      <w:r>
        <w:rPr>
          <w:rStyle w:val="StringTok"/>
        </w:rPr>
        <w:t xml:space="preserve">"P Uptake"</w:t>
      </w:r>
      <w:r>
        <w:rPr>
          <w:rStyle w:val="NormalTok"/>
        </w:rPr>
        <w:t xml:space="preserve">, </w:t>
      </w:r>
      <w:r>
        <w:rPr>
          <w:rStyle w:val="StringTok"/>
        </w:rPr>
        <w:t xml:space="preserve">"P Balance"</w:t>
      </w:r>
      <w:r>
        <w:rPr>
          <w:rStyle w:val="NormalTok"/>
        </w:rPr>
        <w:t xml:space="preserve">, </w:t>
      </w:r>
      <w:r>
        <w:br/>
      </w:r>
      <w:r>
        <w:rPr>
          <w:rStyle w:val="NormalTok"/>
        </w:rPr>
        <w:t xml:space="preserve">                  </w:t>
      </w:r>
      <w:r>
        <w:rPr>
          <w:rStyle w:val="StringTok"/>
        </w:rPr>
        <w:t xml:space="preserve">"Rate Constant"</w:t>
      </w:r>
      <w:r>
        <w:rPr>
          <w:rStyle w:val="NormalTok"/>
        </w:rPr>
        <w:t xml:space="preserve">, </w:t>
      </w:r>
      <w:r>
        <w:rPr>
          <w:rStyle w:val="StringTok"/>
        </w:rPr>
        <w:t xml:space="preserve">"Desorbable P"</w:t>
      </w:r>
      <w:r>
        <w:rPr>
          <w:rStyle w:val="NormalTok"/>
        </w:rPr>
        <w:t xml:space="preserve">, </w:t>
      </w:r>
      <w:r>
        <w:rPr>
          <w:rStyle w:val="StringTok"/>
        </w:rPr>
        <w:t xml:space="preserve">"Initial P Flux"</w:t>
      </w:r>
      <w:r>
        <w:rPr>
          <w:rStyle w:val="NormalTok"/>
        </w:rPr>
        <w:t xml:space="preserve">, </w:t>
      </w:r>
      <w:r>
        <w:br/>
      </w:r>
      <w:r>
        <w:rPr>
          <w:rStyle w:val="NormalTok"/>
        </w:rPr>
        <w:t xml:space="preserve">                  </w:t>
      </w:r>
      <w:r>
        <w:rPr>
          <w:rStyle w:val="StringTok"/>
        </w:rPr>
        <w:t xml:space="preserve">"Water-Soluble P"</w:t>
      </w:r>
      <w:r>
        <w:rPr>
          <w:rStyle w:val="NormalTok"/>
        </w:rPr>
        <w:t xml:space="preserve">, </w:t>
      </w:r>
      <w:r>
        <w:rPr>
          <w:rStyle w:val="StringTok"/>
        </w:rPr>
        <w:t xml:space="preserve">"Chelate-Extractable P"</w:t>
      </w:r>
      <w:r>
        <w:rPr>
          <w:rStyle w:val="NormalTok"/>
        </w:rPr>
        <w:t xml:space="preserve">,</w:t>
      </w:r>
      <w:r>
        <w:br/>
      </w:r>
      <w:r>
        <w:rPr>
          <w:rStyle w:val="NormalTok"/>
        </w:rPr>
        <w:t xml:space="preserve">                  </w:t>
      </w:r>
      <w:r>
        <w:rPr>
          <w:rStyle w:val="StringTok"/>
        </w:rPr>
        <w:t xml:space="preserve">"Dithionite-Extractable Al"</w:t>
      </w:r>
      <w:r>
        <w:rPr>
          <w:rStyle w:val="NormalTok"/>
        </w:rPr>
        <w:t xml:space="preserve">, </w:t>
      </w:r>
      <w:r>
        <w:rPr>
          <w:rStyle w:val="StringTok"/>
        </w:rPr>
        <w:t xml:space="preserve">"Dithionite-Extractable Fe"</w:t>
      </w:r>
      <w:r>
        <w:rPr>
          <w:rStyle w:val="NormalTok"/>
        </w:rPr>
        <w:t xml:space="preserve">),</w:t>
      </w:r>
      <w:r>
        <w:br/>
      </w:r>
      <w:r>
        <w:rPr>
          <w:rStyle w:val="NormalTok"/>
        </w:rPr>
        <w:t xml:space="preserve">  </w:t>
      </w:r>
      <w:r>
        <w:rPr>
          <w:rStyle w:val="AttributeTok"/>
        </w:rPr>
        <w:t xml:space="preserve">Unit =</w:t>
      </w:r>
      <w:r>
        <w:rPr>
          <w:rStyle w:val="NormalTok"/>
        </w:rPr>
        <w:t xml:space="preserve"> </w:t>
      </w:r>
      <w:r>
        <w:rPr>
          <w:rStyle w:val="FunctionTok"/>
        </w:rPr>
        <w:t xml:space="preserve">c</w:t>
      </w:r>
      <w:r>
        <w:rPr>
          <w:rStyle w:val="NormalTok"/>
        </w:rPr>
        <w:t xml:space="preserve">(</w:t>
      </w:r>
      <w:r>
        <w:rPr>
          <w:rStyle w:val="StringTok"/>
        </w:rPr>
        <w:t xml:space="preserve">"unitless"</w:t>
      </w:r>
      <w:r>
        <w:rPr>
          <w:rStyle w:val="NormalTok"/>
        </w:rPr>
        <w:t xml:space="preserve">, </w:t>
      </w:r>
      <w:r>
        <w:rPr>
          <w:rStyle w:val="StringTok"/>
        </w:rPr>
        <w:t xml:space="preserve">"unitless"</w:t>
      </w:r>
      <w:r>
        <w:rPr>
          <w:rStyle w:val="NormalTok"/>
        </w:rPr>
        <w:t xml:space="preserve">, </w:t>
      </w:r>
      <w:r>
        <w:rPr>
          <w:rStyle w:val="StringTok"/>
        </w:rPr>
        <w:t xml:space="preserve">"kg P ha⁻¹"</w:t>
      </w:r>
      <w:r>
        <w:rPr>
          <w:rStyle w:val="NormalTok"/>
        </w:rPr>
        <w:t xml:space="preserve">, </w:t>
      </w:r>
      <w:r>
        <w:rPr>
          <w:rStyle w:val="StringTok"/>
        </w:rPr>
        <w:t xml:space="preserve">"kg P ha⁻¹"</w:t>
      </w:r>
      <w:r>
        <w:rPr>
          <w:rStyle w:val="NormalTok"/>
        </w:rPr>
        <w:t xml:space="preserve">,</w:t>
      </w:r>
      <w:r>
        <w:br/>
      </w:r>
      <w:r>
        <w:rPr>
          <w:rStyle w:val="NormalTok"/>
        </w:rPr>
        <w:t xml:space="preserve">           </w:t>
      </w:r>
      <w:r>
        <w:rPr>
          <w:rStyle w:val="StringTok"/>
        </w:rPr>
        <w:t xml:space="preserve">"min⁻¹"</w:t>
      </w:r>
      <w:r>
        <w:rPr>
          <w:rStyle w:val="NormalTok"/>
        </w:rPr>
        <w:t xml:space="preserve">, </w:t>
      </w:r>
      <w:r>
        <w:rPr>
          <w:rStyle w:val="StringTok"/>
        </w:rPr>
        <w:t xml:space="preserve">"mg P L⁻¹"</w:t>
      </w:r>
      <w:r>
        <w:rPr>
          <w:rStyle w:val="NormalTok"/>
        </w:rPr>
        <w:t xml:space="preserve">, </w:t>
      </w:r>
      <w:r>
        <w:rPr>
          <w:rStyle w:val="StringTok"/>
        </w:rPr>
        <w:t xml:space="preserve">"mg P L⁻¹ min⁻¹"</w:t>
      </w:r>
      <w:r>
        <w:rPr>
          <w:rStyle w:val="NormalTok"/>
        </w:rPr>
        <w:t xml:space="preserve">,</w:t>
      </w:r>
      <w:r>
        <w:br/>
      </w:r>
      <w:r>
        <w:rPr>
          <w:rStyle w:val="NormalTok"/>
        </w:rPr>
        <w:t xml:space="preserve">           </w:t>
      </w:r>
      <w:r>
        <w:rPr>
          <w:rStyle w:val="StringTok"/>
        </w:rPr>
        <w:t xml:space="preserve">"mg P kg⁻¹"</w:t>
      </w:r>
      <w:r>
        <w:rPr>
          <w:rStyle w:val="NormalTok"/>
        </w:rPr>
        <w:t xml:space="preserve">, </w:t>
      </w:r>
      <w:r>
        <w:rPr>
          <w:rStyle w:val="StringTok"/>
        </w:rPr>
        <w:t xml:space="preserve">"mg P kg⁻¹"</w:t>
      </w:r>
      <w:r>
        <w:rPr>
          <w:rStyle w:val="NormalTok"/>
        </w:rPr>
        <w:t xml:space="preserve">,</w:t>
      </w:r>
      <w:r>
        <w:br/>
      </w:r>
      <w:r>
        <w:rPr>
          <w:rStyle w:val="NormalTok"/>
        </w:rPr>
        <w:t xml:space="preserve">           </w:t>
      </w:r>
      <w:r>
        <w:rPr>
          <w:rStyle w:val="StringTok"/>
        </w:rPr>
        <w:t xml:space="preserve">"mg Al kg⁻¹"</w:t>
      </w:r>
      <w:r>
        <w:rPr>
          <w:rStyle w:val="NormalTok"/>
        </w:rPr>
        <w:t xml:space="preserve">, </w:t>
      </w:r>
      <w:r>
        <w:rPr>
          <w:rStyle w:val="StringTok"/>
        </w:rPr>
        <w:t xml:space="preserve">"mg Fe kg⁻¹"</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"Plot yield normalized by the national mean yield for that year and crop."</w:t>
      </w:r>
      <w:r>
        <w:rPr>
          <w:rStyle w:val="NormalTok"/>
        </w:rPr>
        <w:t xml:space="preserve">,</w:t>
      </w:r>
      <w:r>
        <w:br/>
      </w:r>
      <w:r>
        <w:rPr>
          <w:rStyle w:val="NormalTok"/>
        </w:rPr>
        <w:t xml:space="preserve">    </w:t>
      </w:r>
      <w:r>
        <w:rPr>
          <w:rStyle w:val="StringTok"/>
        </w:rPr>
        <w:t xml:space="preserve">"Plot yield normalized by the site-specific median yield of the highest P treatment for that year and crop."</w:t>
      </w:r>
      <w:r>
        <w:rPr>
          <w:rStyle w:val="NormalTok"/>
        </w:rPr>
        <w:t xml:space="preserve">,</w:t>
      </w:r>
      <w:r>
        <w:br/>
      </w:r>
      <w:r>
        <w:rPr>
          <w:rStyle w:val="NormalTok"/>
        </w:rPr>
        <w:t xml:space="preserve">    </w:t>
      </w:r>
      <w:r>
        <w:rPr>
          <w:rStyle w:val="StringTok"/>
        </w:rPr>
        <w:t xml:space="preserve">"Total P removed by the harvested crop biomass over a growing season."</w:t>
      </w:r>
      <w:r>
        <w:rPr>
          <w:rStyle w:val="NormalTok"/>
        </w:rPr>
        <w:t xml:space="preserve">,</w:t>
      </w:r>
      <w:r>
        <w:br/>
      </w:r>
      <w:r>
        <w:rPr>
          <w:rStyle w:val="NormalTok"/>
        </w:rPr>
        <w:t xml:space="preserve">    </w:t>
      </w:r>
      <w:r>
        <w:rPr>
          <w:rStyle w:val="StringTok"/>
        </w:rPr>
        <w:t xml:space="preserve">"Net P budget, calculated as P inputs (fertilizer) minus P outputs (uptake)."</w:t>
      </w:r>
      <w:r>
        <w:rPr>
          <w:rStyle w:val="NormalTok"/>
        </w:rPr>
        <w:t xml:space="preserve">,</w:t>
      </w:r>
      <w:r>
        <w:br/>
      </w:r>
      <w:r>
        <w:rPr>
          <w:rStyle w:val="NormalTok"/>
        </w:rPr>
        <w:t xml:space="preserve">    </w:t>
      </w:r>
      <w:r>
        <w:rPr>
          <w:rStyle w:val="StringTok"/>
        </w:rPr>
        <w:t xml:space="preserve">"First-order rate constant of P desorption, representing the speed of P release."</w:t>
      </w:r>
      <w:r>
        <w:rPr>
          <w:rStyle w:val="NormalTok"/>
        </w:rPr>
        <w:t xml:space="preserve">,</w:t>
      </w:r>
      <w:r>
        <w:br/>
      </w:r>
      <w:r>
        <w:rPr>
          <w:rStyle w:val="NormalTok"/>
        </w:rPr>
        <w:t xml:space="preserve">    </w:t>
      </w:r>
      <w:r>
        <w:rPr>
          <w:rStyle w:val="StringTok"/>
        </w:rPr>
        <w:t xml:space="preserve">"Maximum desorbable P, representing the size of the readily available P pool."</w:t>
      </w:r>
      <w:r>
        <w:rPr>
          <w:rStyle w:val="NormalTok"/>
        </w:rPr>
        <w:t xml:space="preserve">,</w:t>
      </w:r>
      <w:r>
        <w:br/>
      </w:r>
      <w:r>
        <w:rPr>
          <w:rStyle w:val="NormalTok"/>
        </w:rPr>
        <w:t xml:space="preserve">    </w:t>
      </w:r>
      <w:r>
        <w:rPr>
          <w:rStyle w:val="StringTok"/>
        </w:rPr>
        <w:t xml:space="preserve">"Product of $k$ and $P_{desorb}$, representing the initial flux of P from the soil."</w:t>
      </w:r>
      <w:r>
        <w:rPr>
          <w:rStyle w:val="NormalTok"/>
        </w:rPr>
        <w:t xml:space="preserve">,</w:t>
      </w:r>
      <w:r>
        <w:br/>
      </w:r>
      <w:r>
        <w:rPr>
          <w:rStyle w:val="NormalTok"/>
        </w:rPr>
        <w:t xml:space="preserve">    </w:t>
      </w:r>
      <w:r>
        <w:rPr>
          <w:rStyle w:val="StringTok"/>
        </w:rPr>
        <w:t xml:space="preserve">"Plant-available P measured by CO₂-saturated water extraction [@FAL1996Methodenbuch]."</w:t>
      </w:r>
      <w:r>
        <w:rPr>
          <w:rStyle w:val="NormalTok"/>
        </w:rPr>
        <w:t xml:space="preserve">,</w:t>
      </w:r>
      <w:r>
        <w:br/>
      </w:r>
      <w:r>
        <w:rPr>
          <w:rStyle w:val="NormalTok"/>
        </w:rPr>
        <w:t xml:space="preserve">    </w:t>
      </w:r>
      <w:r>
        <w:rPr>
          <w:rStyle w:val="StringTok"/>
        </w:rPr>
        <w:t xml:space="preserve">"Plant-available P measured by the ammonium-acetate-EDTA extraction method [@FAL1996Methodenbuch]."</w:t>
      </w:r>
      <w:r>
        <w:rPr>
          <w:rStyle w:val="NormalTok"/>
        </w:rPr>
        <w:t xml:space="preserve">,</w:t>
      </w:r>
      <w:r>
        <w:br/>
      </w:r>
      <w:r>
        <w:rPr>
          <w:rStyle w:val="NormalTok"/>
        </w:rPr>
        <w:t xml:space="preserve">    </w:t>
      </w:r>
      <w:r>
        <w:rPr>
          <w:rStyle w:val="StringTok"/>
        </w:rPr>
        <w:t xml:space="preserve">"Free Al oxides (crystalline and amorphous) extracted with dithionite-citrate-bicarbonate [@Mehra1960Iron]."</w:t>
      </w:r>
      <w:r>
        <w:rPr>
          <w:rStyle w:val="NormalTok"/>
        </w:rPr>
        <w:t xml:space="preserve">,</w:t>
      </w:r>
      <w:r>
        <w:br/>
      </w:r>
      <w:r>
        <w:rPr>
          <w:rStyle w:val="NormalTok"/>
        </w:rPr>
        <w:t xml:space="preserve">    </w:t>
      </w:r>
      <w:r>
        <w:rPr>
          <w:rStyle w:val="StringTok"/>
        </w:rPr>
        <w:t xml:space="preserve">"Free Fe oxides (crystalline and amorphous) extracted with dithionite-citrate-bicarbonate [@Mehra1960Iron]."</w:t>
      </w:r>
      <w:r>
        <w:br/>
      </w:r>
      <w:r>
        <w:rPr>
          <w:rStyle w:val="NormalTok"/>
        </w:rPr>
        <w:t xml:space="preserve">  )</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(variables_df)</w:t>
      </w:r>
    </w:p>
    <w:tbl>
      <w:tblPr>
        <w:tblStyle w:val="Table"/>
        <w:tblW w:type="pct" w:w="5000"/>
        <w:tblLayout w:type="fixed"/>
        <w:tblLook w:firstRow="0" w:lastRow="0" w:firstColumn="0" w:lastColumn="0" w:noHBand="0" w:noVBand="0" w:val="0000"/>
      </w:tblPr>
      <w:tblGrid>
        <w:gridCol w:w="7920"/>
      </w:tblGrid>
      <w:tr>
        <w:tc>
          <w:tcPr/>
          <w:bookmarkStart w:id="17" w:name="tbl-variables"/>
          <w:p>
            <w:pPr>
              <w:jc w:val="center"/>
            </w:pPr>
            <w:pPr>
              <w:jc w:val="left"/>
              <w:spacing w:before="200"/>
              <w:pStyle w:val="ImageCaption"/>
            </w:pPr>
            <w:r>
              <w:t xml:space="preserve">Table 2: Description of variables used in the agronomic and soil models.</w:t>
            </w:r>
          </w:p>
          <w:tbl>
            <w:tblPr>
              <w:tblStyle w:val="Table"/>
              <w:tblW w:type="pct" w:w="5000"/>
              <w:tblLayout w:type="fixed"/>
              <w:tblLook w:firstRow="1" w:lastRow="0" w:firstColumn="0" w:lastColumn="0" w:noHBand="0" w:noVBand="0" w:val="0020"/>
            </w:tblPr>
            <w:tblGrid>
              <w:gridCol w:w="639"/>
              <w:gridCol w:w="1279"/>
              <w:gridCol w:w="737"/>
              <w:gridCol w:w="5263"/>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sub>
                    </m:sSub>
                  </m:oMath>
                </w:p>
              </w:tc>
              <w:tc>
                <w:tcPr/>
                <w:p>
                  <w:pPr>
                    <w:pStyle w:val="Compact"/>
                    <w:jc w:val="left"/>
                    <w:jc w:val="center"/>
                  </w:pPr>
                  <w:r>
                    <w:t xml:space="preserve">Relative Yield</w:t>
                  </w:r>
                </w:p>
              </w:tc>
              <w:tc>
                <w:tcPr/>
                <w:p>
                  <w:pPr>
                    <w:pStyle w:val="Compact"/>
                    <w:jc w:val="left"/>
                    <w:jc w:val="center"/>
                  </w:pPr>
                  <w:r>
                    <w:t xml:space="preserve">unitless</w:t>
                  </w:r>
                </w:p>
              </w:tc>
              <w:tc>
                <w:tcPr/>
                <w:p>
                  <w:pPr>
                    <w:pStyle w:val="Compact"/>
                    <w:jc w:val="left"/>
                    <w:jc w:val="center"/>
                  </w:pPr>
                  <w:r>
                    <w:t xml:space="preserve">Plot yield normalized by the national mean yield for that year and crop.</w:t>
                  </w:r>
                </w:p>
              </w:tc>
            </w:tr>
            <w:tr>
              <w:tc>
                <w:tcPr/>
                <w:p>
                  <w:pPr>
                    <w:pStyle w:val="Compact"/>
                    <w:jc w:val="left"/>
                    <w:jc w:val="center"/>
                  </w:pPr>
                  <m:oMath>
                    <m:sSub>
                      <m:e>
                        <m:r>
                          <m:t>Y</m:t>
                        </m:r>
                      </m:e>
                      <m:sub>
                        <m:r>
                          <m:t>n</m:t>
                        </m:r>
                        <m:r>
                          <m:t>o</m:t>
                        </m:r>
                        <m:r>
                          <m:t>r</m:t>
                        </m:r>
                        <m:r>
                          <m:t>m</m:t>
                        </m:r>
                      </m:sub>
                    </m:sSub>
                  </m:oMath>
                </w:p>
              </w:tc>
              <w:tc>
                <w:tcPr/>
                <w:p>
                  <w:pPr>
                    <w:pStyle w:val="Compact"/>
                    <w:jc w:val="left"/>
                    <w:jc w:val="center"/>
                  </w:pPr>
                  <w:r>
                    <w:t xml:space="preserve">Normalized Yield</w:t>
                  </w:r>
                </w:p>
              </w:tc>
              <w:tc>
                <w:tcPr/>
                <w:p>
                  <w:pPr>
                    <w:pStyle w:val="Compact"/>
                    <w:jc w:val="left"/>
                    <w:jc w:val="center"/>
                  </w:pPr>
                  <w:r>
                    <w:t xml:space="preserve">unitless</w:t>
                  </w:r>
                </w:p>
              </w:tc>
              <w:tc>
                <w:tcPr/>
                <w:p>
                  <w:pPr>
                    <w:pStyle w:val="Compact"/>
                    <w:jc w:val="left"/>
                    <w:jc w:val="center"/>
                  </w:pPr>
                  <w:r>
                    <w:t xml:space="preserve">Plot yield normalized by the site-specific median yield of the highest P treatment for that year and crop.</w:t>
                  </w:r>
                </w:p>
              </w:tc>
            </w:tr>
            <w:tr>
              <w:tc>
                <w:tcPr/>
                <w:p>
                  <w:pPr>
                    <w:pStyle w:val="Compact"/>
                    <w:jc w:val="left"/>
                    <w:jc w:val="center"/>
                  </w:pPr>
                  <m:oMath>
                    <m:sSub>
                      <m:e>
                        <m:r>
                          <m:t>P</m:t>
                        </m:r>
                      </m:e>
                      <m:sub>
                        <m:r>
                          <m:t>u</m:t>
                        </m:r>
                        <m:r>
                          <m:t>p</m:t>
                        </m:r>
                      </m:sub>
                    </m:sSub>
                  </m:oMath>
                </w:p>
              </w:tc>
              <w:tc>
                <w:tcPr/>
                <w:p>
                  <w:pPr>
                    <w:pStyle w:val="Compact"/>
                    <w:jc w:val="left"/>
                    <w:jc w:val="center"/>
                  </w:pPr>
                  <w:r>
                    <w:t xml:space="preserve">P Uptake</w:t>
                  </w:r>
                </w:p>
              </w:tc>
              <w:tc>
                <w:tcPr/>
                <w:p>
                  <w:pPr>
                    <w:pStyle w:val="Compact"/>
                    <w:jc w:val="left"/>
                    <w:jc w:val="center"/>
                  </w:pPr>
                  <w:r>
                    <w:t xml:space="preserve">kg P ha⁻¹</w:t>
                  </w:r>
                </w:p>
              </w:tc>
              <w:tc>
                <w:tcPr/>
                <w:p>
                  <w:pPr>
                    <w:pStyle w:val="Compact"/>
                    <w:jc w:val="left"/>
                    <w:jc w:val="center"/>
                  </w:pPr>
                  <w:r>
                    <w:t xml:space="preserve">Total P removed by the harvested crop biomass over a growing season.</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P Balance</w:t>
                  </w:r>
                </w:p>
              </w:tc>
              <w:tc>
                <w:tcPr/>
                <w:p>
                  <w:pPr>
                    <w:pStyle w:val="Compact"/>
                    <w:jc w:val="left"/>
                    <w:jc w:val="center"/>
                  </w:pPr>
                  <w:r>
                    <w:t xml:space="preserve">kg P ha⁻¹</w:t>
                  </w:r>
                </w:p>
              </w:tc>
              <w:tc>
                <w:tcPr/>
                <w:p>
                  <w:pPr>
                    <w:pStyle w:val="Compact"/>
                    <w:jc w:val="left"/>
                    <w:jc w:val="center"/>
                  </w:pPr>
                  <w:r>
                    <w:t xml:space="preserve">Net P budget, calculated as P inputs (fertilizer) minus P outputs (uptake).</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 representing the speed of P release.</w:t>
                  </w:r>
                </w:p>
              </w:tc>
            </w:tr>
            <w:tr>
              <w:tc>
                <w:tcPr/>
                <w:p>
                  <w:pPr>
                    <w:pStyle w:val="Compact"/>
                    <w:jc w:val="left"/>
                    <w:jc w:val="center"/>
                  </w:pPr>
                  <m:oMath>
                    <m:sSub>
                      <m:e>
                        <m:r>
                          <m:t>P</m:t>
                        </m:r>
                      </m:e>
                      <m:sub>
                        <m:r>
                          <m:t>d</m:t>
                        </m:r>
                        <m:r>
                          <m:t>e</m:t>
                        </m:r>
                        <m:r>
                          <m:t>s</m:t>
                        </m:r>
                        <m:r>
                          <m:t>o</m:t>
                        </m:r>
                        <m:r>
                          <m:t>r</m:t>
                        </m:r>
                        <m:r>
                          <m:t>b</m:t>
                        </m:r>
                      </m:sub>
                    </m:sSub>
                  </m:oMath>
                </w:p>
              </w:tc>
              <w:tc>
                <w:tcPr/>
                <w:p>
                  <w:pPr>
                    <w:pStyle w:val="Compact"/>
                    <w:jc w:val="left"/>
                    <w:jc w:val="center"/>
                  </w:pPr>
                  <w:r>
                    <w:t xml:space="preserve">Desorbable P</w:t>
                  </w:r>
                </w:p>
              </w:tc>
              <w:tc>
                <w:tcPr/>
                <w:p>
                  <w:pPr>
                    <w:pStyle w:val="Compact"/>
                    <w:jc w:val="left"/>
                    <w:jc w:val="center"/>
                  </w:pPr>
                  <w:r>
                    <w:t xml:space="preserve">mg P L⁻¹</w:t>
                  </w:r>
                </w:p>
              </w:tc>
              <w:tc>
                <w:tcPr/>
                <w:p>
                  <w:pPr>
                    <w:pStyle w:val="Compact"/>
                    <w:jc w:val="left"/>
                    <w:jc w:val="center"/>
                  </w:pPr>
                  <w:r>
                    <w:t xml:space="preserve">Maximum desorbable P, representing the size of the readily available P pool.</w:t>
                  </w:r>
                </w:p>
              </w:tc>
            </w:tr>
            <w:tr>
              <w:tc>
                <w:tcPr/>
                <w:p>
                  <w:pPr>
                    <w:pStyle w:val="Compact"/>
                    <w:jc w:val="left"/>
                    <w:jc w:val="center"/>
                  </w:pPr>
                  <m:oMath>
                    <m:sSub>
                      <m:e>
                        <m:r>
                          <m:t>J</m:t>
                        </m:r>
                      </m:e>
                      <m:sub>
                        <m:r>
                          <m:t>0</m:t>
                        </m:r>
                      </m:sub>
                    </m:sSub>
                  </m:oMath>
                </w:p>
              </w:tc>
              <w:tc>
                <w:tcPr/>
                <w:p>
                  <w:pPr>
                    <w:pStyle w:val="Compact"/>
                    <w:jc w:val="left"/>
                    <w:jc w:val="center"/>
                  </w:pPr>
                  <w:r>
                    <w:t xml:space="preserve">Initial P Flux</w:t>
                  </w:r>
                </w:p>
              </w:tc>
              <w:tc>
                <w:tcPr/>
                <w:p>
                  <w:pPr>
                    <w:pStyle w:val="Compact"/>
                    <w:jc w:val="left"/>
                    <w:jc w:val="center"/>
                  </w:pPr>
                  <w:r>
                    <w:t xml:space="preserve">mg P L⁻¹ min⁻¹</w:t>
                  </w:r>
                </w:p>
              </w:tc>
              <w:tc>
                <w:tcPr/>
                <w:p>
                  <w:pPr>
                    <w:pStyle w:val="Compact"/>
                    <w:jc w:val="left"/>
                    <w:jc w:val="center"/>
                  </w:pPr>
                  <w:r>
                    <w:t xml:space="preserve">Product of</w:t>
                  </w:r>
                  <w:r>
                    <w:t xml:space="preserve"> </w:t>
                  </w:r>
                  <m:oMath>
                    <m:r>
                      <m:t>k</m:t>
                    </m:r>
                  </m:oMath>
                  <w:r>
                    <w:t xml:space="preserve"> </w:t>
                  </w:r>
                  <w:r>
                    <w:t xml:space="preserve">and</w:t>
                  </w:r>
                  <w:r>
                    <w:t xml:space="preserve"> </w:t>
                  </w:r>
                  <m:oMath>
                    <m:sSub>
                      <m:e>
                        <m:r>
                          <m:t>P</m:t>
                        </m:r>
                      </m:e>
                      <m:sub>
                        <m:r>
                          <m:t>d</m:t>
                        </m:r>
                        <m:r>
                          <m:t>e</m:t>
                        </m:r>
                        <m:r>
                          <m:t>s</m:t>
                        </m:r>
                        <m:r>
                          <m:t>o</m:t>
                        </m:r>
                        <m:r>
                          <m:t>r</m:t>
                        </m:r>
                        <m:r>
                          <m:t>b</m:t>
                        </m:r>
                      </m:sub>
                    </m:sSub>
                  </m:oMath>
                  <w:r>
                    <w:t xml:space="preserve">, representing the initial flux of P from the soil.</w:t>
                  </w:r>
                </w:p>
              </w:tc>
            </w:tr>
            <w:tr>
              <w:tc>
                <w:tcPr/>
                <w:p>
                  <w:pPr>
                    <w:pStyle w:val="Compact"/>
                    <w:jc w:val="left"/>
                    <w:jc w:val="center"/>
                  </w:pPr>
                  <m:oMath>
                    <m:sSub>
                      <m:e>
                        <m:r>
                          <m:t>P</m:t>
                        </m:r>
                      </m:e>
                      <m:sub>
                        <m:r>
                          <m:t>C</m:t>
                        </m:r>
                        <m:r>
                          <m:t>O</m:t>
                        </m:r>
                        <m:r>
                          <m:t>2</m:t>
                        </m:r>
                      </m:sub>
                    </m:sSub>
                  </m:oMath>
                </w:p>
              </w:tc>
              <w:tc>
                <w:tcPr/>
                <w:p>
                  <w:pPr>
                    <w:pStyle w:val="Compact"/>
                    <w:jc w:val="left"/>
                    <w:jc w:val="center"/>
                  </w:pPr>
                  <w:r>
                    <w:t xml:space="preserve">Water-Soluble P</w:t>
                  </w:r>
                </w:p>
              </w:tc>
              <w:tc>
                <w:tcPr/>
                <w:p>
                  <w:pPr>
                    <w:pStyle w:val="Compact"/>
                    <w:jc w:val="left"/>
                    <w:jc w:val="center"/>
                  </w:pPr>
                  <w:r>
                    <w:t xml:space="preserve">mg P kg⁻¹</w:t>
                  </w:r>
                </w:p>
              </w:tc>
              <w:tc>
                <w:tcPr/>
                <w:p>
                  <w:pPr>
                    <w:pStyle w:val="Compact"/>
                    <w:jc w:val="left"/>
                    <w:jc w:val="center"/>
                  </w:pPr>
                  <w:r>
                    <w:t xml:space="preserve">Plant-available P measured by CO₂-saturated water extraction</w:t>
                  </w:r>
                  <w:r>
                    <w:t xml:space="preserve"> </w:t>
                  </w:r>
                  <w:r>
                    <w:t xml:space="preserve">(Forschungsanstalt für Agrarökologie und Landbau (FAL), 1996)</w:t>
                  </w:r>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Chelate-Extractable P</w:t>
                  </w:r>
                </w:p>
              </w:tc>
              <w:tc>
                <w:tcPr/>
                <w:p>
                  <w:pPr>
                    <w:pStyle w:val="Compact"/>
                    <w:jc w:val="left"/>
                    <w:jc w:val="center"/>
                  </w:pPr>
                  <w:r>
                    <w:t xml:space="preserve">mg P kg⁻¹</w:t>
                  </w:r>
                </w:p>
              </w:tc>
              <w:tc>
                <w:tcPr/>
                <w:p>
                  <w:pPr>
                    <w:pStyle w:val="Compact"/>
                    <w:jc w:val="left"/>
                    <w:jc w:val="center"/>
                  </w:pPr>
                  <w:r>
                    <w:t xml:space="preserve">Plant-available P measured by the ammonium-acetate-EDTA extraction method</w:t>
                  </w:r>
                  <w:r>
                    <w:t xml:space="preserve"> </w:t>
                  </w:r>
                  <w:r>
                    <w:t xml:space="preserve">(Forschungsanstalt für Agrarökologie und Landbau (FAL), 1996)</w:t>
                  </w:r>
                  <w:r>
                    <w:t xml:space="preserve">.</w:t>
                  </w:r>
                </w:p>
              </w:tc>
            </w:tr>
            <w:tr>
              <w:tc>
                <w:tcPr/>
                <w:p>
                  <w:pPr>
                    <w:pStyle w:val="Compact"/>
                    <w:jc w:val="left"/>
                    <w:jc w:val="center"/>
                  </w:pPr>
                  <m:oMath>
                    <m:r>
                      <m:t>A</m:t>
                    </m:r>
                    <m:sSub>
                      <m:e>
                        <m:r>
                          <m:t>l</m:t>
                        </m:r>
                      </m:e>
                      <m:sub>
                        <m:r>
                          <m:t>d</m:t>
                        </m:r>
                      </m:sub>
                    </m:sSub>
                  </m:oMath>
                </w:p>
              </w:tc>
              <w:tc>
                <w:tcPr/>
                <w:p>
                  <w:pPr>
                    <w:pStyle w:val="Compact"/>
                    <w:jc w:val="left"/>
                    <w:jc w:val="center"/>
                  </w:pPr>
                  <w:r>
                    <w:t xml:space="preserve">Dithionite-Extractable Al</w:t>
                  </w:r>
                </w:p>
              </w:tc>
              <w:tc>
                <w:tcPr/>
                <w:p>
                  <w:pPr>
                    <w:pStyle w:val="Compact"/>
                    <w:jc w:val="left"/>
                    <w:jc w:val="center"/>
                  </w:pPr>
                  <w:r>
                    <w:t xml:space="preserve">mg Al kg⁻¹</w:t>
                  </w:r>
                </w:p>
              </w:tc>
              <w:tc>
                <w:tcPr/>
                <w:p>
                  <w:pPr>
                    <w:pStyle w:val="Compact"/>
                    <w:jc w:val="left"/>
                    <w:jc w:val="center"/>
                  </w:pPr>
                  <w:r>
                    <w:t xml:space="preserve">Free Al oxides (crystalline and amorphous) extracted with dithionite-citrate-bicarbonate</w:t>
                  </w:r>
                  <w:r>
                    <w:t xml:space="preserve"> </w:t>
                  </w:r>
                  <w:r>
                    <w:t xml:space="preserve">(Mehra &amp; Jackson, 1960)</w:t>
                  </w:r>
                  <w:r>
                    <w:t xml:space="preserve">.</w:t>
                  </w:r>
                </w:p>
              </w:tc>
            </w:tr>
            <w:tr>
              <w:tc>
                <w:tcPr/>
                <w:p>
                  <w:pPr>
                    <w:pStyle w:val="Compact"/>
                    <w:jc w:val="left"/>
                    <w:jc w:val="center"/>
                  </w:pPr>
                  <m:oMath>
                    <m:r>
                      <m:t>F</m:t>
                    </m:r>
                    <m:sSub>
                      <m:e>
                        <m:r>
                          <m:t>e</m:t>
                        </m:r>
                      </m:e>
                      <m:sub>
                        <m:r>
                          <m:t>d</m:t>
                        </m:r>
                      </m:sub>
                    </m:sSub>
                  </m:oMath>
                </w:p>
              </w:tc>
              <w:tc>
                <w:tcPr/>
                <w:p>
                  <w:pPr>
                    <w:pStyle w:val="Compact"/>
                    <w:jc w:val="left"/>
                    <w:jc w:val="center"/>
                  </w:pPr>
                  <w:r>
                    <w:t xml:space="preserve">Dithionite-Extractable Fe</w:t>
                  </w:r>
                </w:p>
              </w:tc>
              <w:tc>
                <w:tcPr/>
                <w:p>
                  <w:pPr>
                    <w:pStyle w:val="Compact"/>
                    <w:jc w:val="left"/>
                    <w:jc w:val="center"/>
                  </w:pPr>
                  <w:r>
                    <w:t xml:space="preserve">mg Fe kg⁻¹</w:t>
                  </w:r>
                </w:p>
              </w:tc>
              <w:tc>
                <w:tcPr/>
                <w:p>
                  <w:pPr>
                    <w:pStyle w:val="Compact"/>
                    <w:jc w:val="left"/>
                    <w:jc w:val="center"/>
                  </w:pPr>
                  <w:r>
                    <w:t xml:space="preserve">Free Fe oxides (crystalline and amorphous) extracted with dithionite-citrate-bicarbonate</w:t>
                  </w:r>
                  <w:r>
                    <w:t xml:space="preserve"> </w:t>
                  </w:r>
                  <w:r>
                    <w:t xml:space="preserve">(Mehra &amp; Jackson, 1960)</w:t>
                  </w:r>
                  <w:r>
                    <w:t xml:space="preserve">.</w:t>
                  </w:r>
                </w:p>
              </w:tc>
            </w:tr>
          </w:tbl>
          <w:bookmarkEnd w:id="17"/>
          <w:p/>
        </w:tc>
      </w:tr>
    </w:tbl>
    <w:bookmarkEnd w:id="18"/>
    <w:bookmarkStart w:id="38" w:name="model-assumptions-and-diagnostics"/>
    <w:p>
      <w:pPr>
        <w:pStyle w:val="Heading3"/>
      </w:pPr>
      <w:r>
        <w:t xml:space="preserve">1.4.4 Model Assumptions and Diagnostics</w:t>
      </w:r>
    </w:p>
    <w:p>
      <w:pPr>
        <w:pStyle w:val="FirstParagraph"/>
      </w:pPr>
      <w:r>
        <w:t xml:space="preserve">The validity of the linear mixed-effects models (</w:t>
      </w:r>
      <w:r>
        <w:rPr>
          <w:rStyle w:val="VerbatimChar"/>
        </w:rPr>
        <w:t xml:space="preserve">lmer</w:t>
      </w:r>
      <w:r>
        <w:t xml:space="preserve">) relies on several key assumptions, primarily that the model residuals are normally distributed and homoscedastic (i.e., have constant variance across the range of predicted values). Prior to finalizing the models, these assumptions were rigorously checked through visual inspection of diagnostic plots, such as quantile-quantile (Q-Q) plots of the residuals and plots of residuals versus fitted values.</w:t>
      </w:r>
    </w:p>
    <w:p>
      <w:pPr>
        <w:pStyle w:val="BodyText"/>
      </w:pPr>
      <w:r>
        <w:t xml:space="preserve">Initial exploratory data analysis revealed that several of the predictor variables, most notably the desorbable P pool (</w:t>
      </w:r>
      <m:oMath>
        <m:sSub>
          <m:e>
            <m:r>
              <m:t>P</m:t>
            </m:r>
          </m:e>
          <m:sub>
            <m:r>
              <m:t>d</m:t>
            </m:r>
            <m:r>
              <m:t>e</m:t>
            </m:r>
            <m:r>
              <m:t>s</m:t>
            </m:r>
            <m:r>
              <m:t>o</m:t>
            </m:r>
            <m:r>
              <m:t>r</m:t>
            </m:r>
            <m:r>
              <m:t>b</m:t>
            </m:r>
          </m:sub>
        </m:sSub>
      </m:oMath>
      <w:r>
        <w:t xml:space="preserve"> </w:t>
      </w:r>
      <w:r>
        <w:t xml:space="preserve">or PS), were strongly right-skewed. Using such variables directly in the linear models would violate the assumptions of linearity and homoscedasticity, leading to potentially biased and unreliable coefficient estimates.</w:t>
      </w:r>
    </w:p>
    <w:p>
      <w:pPr>
        <w:pStyle w:val="BodyText"/>
      </w:pPr>
      <w:r>
        <w:t xml:space="preserve">To address this, various transformations (including square root and logarithmic) were tested on the skewed variables. The natural log-transformation (</w:t>
      </w:r>
      <w:r>
        <w:rPr>
          <w:rStyle w:val="VerbatimChar"/>
        </w:rPr>
        <w:t xml:space="preserve">log()</w:t>
      </w:r>
      <w:r>
        <w:t xml:space="preserve">) was found to be the most effective at normalizing the distribution of</w:t>
      </w:r>
      <w:r>
        <w:t xml:space="preserve"> </w:t>
      </w:r>
      <m:oMath>
        <m:sSub>
          <m:e>
            <m:r>
              <m:t>P</m:t>
            </m:r>
          </m:e>
          <m:sub>
            <m:r>
              <m:t>d</m:t>
            </m:r>
            <m:r>
              <m:t>e</m:t>
            </m:r>
            <m:r>
              <m:t>s</m:t>
            </m:r>
            <m:r>
              <m:t>o</m:t>
            </m:r>
            <m:r>
              <m:t>r</m:t>
            </m:r>
            <m:r>
              <m:t>b</m:t>
            </m:r>
          </m:sub>
        </m:sSub>
      </m:oMath>
      <w:r>
        <w:t xml:space="preserve"> </w:t>
      </w:r>
      <w:r>
        <w:t xml:space="preserve">and producing well-behaved model residuals that more closely met the required assumptions. Therefore,</w:t>
      </w:r>
      <w:r>
        <w:t xml:space="preserve"> </w:t>
      </w:r>
      <w:r>
        <w:rPr>
          <w:rStyle w:val="VerbatimChar"/>
        </w:rPr>
        <w:t xml:space="preserve">log(PS)</w:t>
      </w:r>
      <w:r>
        <w:t xml:space="preserve"> </w:t>
      </w:r>
      <w:r>
        <w:t xml:space="preserve">was used as a fixed effect in all subsequent agronomic models to ensure the statistical validity of the results.</w:t>
      </w:r>
    </w:p>
    <w:bookmarkStart w:id="19" w:name="Xa8a482f2a6a3ad912fccf7e6dc90aeedf0c36d0"/>
    <w:p>
      <w:pPr>
        <w:pStyle w:val="Heading4"/>
      </w:pPr>
      <w:r>
        <w:t xml:space="preserve">1.4.4.1 Models of P Availability Metrics as a Function of Soil Properties</w:t>
      </w:r>
    </w:p>
    <w:p>
      <w:pPr>
        <w:pStyle w:val="FirstParagraph"/>
      </w:pPr>
      <w:r>
        <w:t xml:space="preserve">First, to investigate the underlying soil-chemical drivers of the different P availability metrics (both kinetic and static), a series of models was built to predict each metric from key soil properties.</w:t>
      </w:r>
    </w:p>
    <w:p>
      <w:pPr>
        <w:pStyle w:val="Compact"/>
        <w:numPr>
          <w:ilvl w:val="0"/>
          <w:numId w:val="1003"/>
        </w:numPr>
      </w:pPr>
      <w:r>
        <w:rPr>
          <w:b/>
          <w:bCs/>
        </w:rPr>
        <w:t xml:space="preserve">Fixed Effects Structure:</w:t>
      </w:r>
      <w:r>
        <w:t xml:space="preserve"> </w:t>
      </w:r>
      <w:r>
        <w:t xml:space="preserve">The fixed effects were identical for all models in this category and included the primary soil physical and chemical properties: clay content, silt content, pH, organic carbon content, and dithionite-extractable iron (</w:t>
      </w:r>
      <m:oMath>
        <m:r>
          <m:t>F</m:t>
        </m:r>
        <m:sSub>
          <m:e>
            <m:r>
              <m:t>e</m:t>
            </m:r>
          </m:e>
          <m:sub>
            <m:r>
              <m:t>d</m:t>
            </m:r>
          </m:sub>
        </m:sSub>
      </m:oMath>
      <w:r>
        <w:t xml:space="preserve">) and aluminum (</w:t>
      </w:r>
      <m:oMath>
        <m:r>
          <m:t>A</m:t>
        </m:r>
        <m:sSub>
          <m:e>
            <m:r>
              <m:t>l</m:t>
            </m:r>
          </m:e>
          <m:sub>
            <m:r>
              <m:t>d</m:t>
            </m:r>
          </m:sub>
        </m:sSub>
      </m:oMath>
      <w:r>
        <w:t xml:space="preserve">).</w:t>
      </w:r>
    </w:p>
    <w:p>
      <w:pPr>
        <w:pStyle w:val="Compact"/>
        <w:numPr>
          <w:ilvl w:val="0"/>
          <w:numId w:val="1003"/>
        </w:numPr>
      </w:pPr>
      <w:r>
        <w:rPr>
          <w:b/>
          <w:bCs/>
        </w:rPr>
        <w:t xml:space="preserve">Random Effects Structure:</w:t>
      </w:r>
      <w:r>
        <w:t xml:space="preserve"> </w:t>
      </w:r>
      <w:r>
        <w:t xml:space="preserve">The random effects structure accounted for the nested design of the STYCS experiment, with random intercepts for</w:t>
      </w:r>
      <w:r>
        <w:t xml:space="preserve"> </w:t>
      </w:r>
      <w:r>
        <w:rPr>
          <w:rStyle w:val="VerbatimChar"/>
        </w:rPr>
        <w:t xml:space="preserve">year</w:t>
      </w:r>
      <w:r>
        <w:t xml:space="preserve">,</w:t>
      </w:r>
      <w:r>
        <w:t xml:space="preserve"> </w:t>
      </w:r>
      <w:r>
        <w:rPr>
          <w:rStyle w:val="VerbatimChar"/>
        </w:rPr>
        <w:t xml:space="preserve">Site</w:t>
      </w:r>
      <w:r>
        <w:t xml:space="preserve">,</w:t>
      </w:r>
      <w:r>
        <w:t xml:space="preserve"> </w:t>
      </w:r>
      <w:r>
        <w:rPr>
          <w:rStyle w:val="VerbatimChar"/>
        </w:rPr>
        <w:t xml:space="preserve">Site:block</w:t>
      </w:r>
      <w:r>
        <w:t xml:space="preserve">, and</w:t>
      </w:r>
      <w:r>
        <w:t xml:space="preserve"> </w:t>
      </w:r>
      <w:r>
        <w:rPr>
          <w:rStyle w:val="VerbatimChar"/>
        </w:rPr>
        <w:t xml:space="preserve">Site:Treatment</w:t>
      </w:r>
      <w:r>
        <w:t xml:space="preserve">.</w:t>
      </w:r>
    </w:p>
    <w:bookmarkEnd w:id="19"/>
    <w:bookmarkStart w:id="37" w:name="comparative-models-of-agronomic-outcomes"/>
    <w:p>
      <w:pPr>
        <w:pStyle w:val="Heading4"/>
      </w:pPr>
      <w:r>
        <w:t xml:space="preserve">1.4.4.2 Comparative Models of Agronomic Outcomes</w:t>
      </w:r>
    </w:p>
    <w:p>
      <w:pPr>
        <w:pStyle w:val="FirstParagraph"/>
      </w:pPr>
      <w:r>
        <w:t xml:space="preserve">Second, the predictive power of the kinetic parameters was directly compared against that of the standard STP methods (</w:t>
      </w:r>
      <w:r>
        <w:t xml:space="preserve">“GRUD”</w:t>
      </w:r>
      <w:r>
        <w:t xml:space="preserve"> </w:t>
      </w:r>
      <w:r>
        <w:t xml:space="preserve">system). For each agronomic response variable (Normalized Yield, P Uptake, and P Balance), two competing models were built. These models shared an identical random effects structure to ensure a fair comparison, differing only in their fixed effects.</w:t>
      </w:r>
    </w:p>
    <w:p>
      <w:pPr>
        <w:numPr>
          <w:ilvl w:val="0"/>
          <w:numId w:val="1004"/>
        </w:numPr>
      </w:pPr>
      <w:r>
        <w:rPr>
          <w:b/>
          <w:bCs/>
        </w:rPr>
        <w:t xml:space="preserve">Random Effects Structure (for all agronomic models):</w:t>
      </w:r>
      <w:r>
        <w:t xml:space="preserve"> </w:t>
      </w:r>
      <w:r>
        <w:t xml:space="preserve">The structure</w:t>
      </w:r>
      <w:r>
        <w:t xml:space="preserve"> </w:t>
      </w:r>
      <w:r>
        <w:rPr>
          <w:rStyle w:val="VerbatimChar"/>
        </w:rPr>
        <w:t xml:space="preserve">(1|year) + (1|Site) + (1|Site:block)</w:t>
      </w:r>
      <w:r>
        <w:t xml:space="preserve"> </w:t>
      </w:r>
      <w:r>
        <w:t xml:space="preserve">was used to control for variations due to the growing season, location, and in-field spatial differences.</w:t>
      </w:r>
    </w:p>
    <w:p>
      <w:pPr>
        <w:numPr>
          <w:ilvl w:val="0"/>
          <w:numId w:val="1004"/>
        </w:numPr>
      </w:pPr>
      <w:r>
        <w:rPr>
          <w:b/>
          <w:bCs/>
        </w:rPr>
        <w:t xml:space="preserve">Model 1: The Kinetic Approach</w:t>
      </w:r>
    </w:p>
    <w:p>
      <w:pPr>
        <w:pStyle w:val="Compact"/>
        <w:numPr>
          <w:ilvl w:val="1"/>
          <w:numId w:val="1005"/>
        </w:numPr>
      </w:pPr>
      <w:r>
        <w:rPr>
          <w:b/>
          <w:bCs/>
        </w:rPr>
        <w:t xml:space="preserve">Fixed Effects:</w:t>
      </w:r>
      <w:r>
        <w:t xml:space="preserve"> </w:t>
      </w:r>
      <w:r>
        <w:t xml:space="preserve">This model used the kinetic parameters and their interaction:</w:t>
      </w:r>
      <w:r>
        <w:t xml:space="preserve"> </w:t>
      </w:r>
      <w:r>
        <w:rPr>
          <w:rStyle w:val="VerbatimChar"/>
        </w:rPr>
        <w:t xml:space="preserve">k * log(PS)</w:t>
      </w:r>
      <w:r>
        <w:t xml:space="preserve">. The interaction term tests the hypothesis that the benefit of a large desorbable P pool (</w:t>
      </w:r>
      <w:r>
        <w:rPr>
          <w:rStyle w:val="VerbatimChar"/>
        </w:rPr>
        <w:t xml:space="preserve">PS</w:t>
      </w:r>
      <w:r>
        <w:t xml:space="preserve">) depends on the</w:t>
      </w:r>
      <w:r>
        <w:t xml:space="preserve"> </w:t>
      </w:r>
      <w:r>
        <w:rPr>
          <w:i/>
          <w:iCs/>
        </w:rPr>
        <w:t xml:space="preserve">rate</w:t>
      </w:r>
      <w:r>
        <w:t xml:space="preserve"> </w:t>
      </w:r>
      <w:r>
        <w:t xml:space="preserve">(</w:t>
      </w:r>
      <w:r>
        <w:rPr>
          <w:rStyle w:val="VerbatimChar"/>
        </w:rPr>
        <w:t xml:space="preserve">k</w:t>
      </w:r>
      <w:r>
        <w:t xml:space="preserve">) at which it can be accessed.</w:t>
      </w:r>
    </w:p>
    <w:p>
      <w:pPr>
        <w:numPr>
          <w:ilvl w:val="0"/>
          <w:numId w:val="1004"/>
        </w:numPr>
      </w:pPr>
      <w:r>
        <w:rPr>
          <w:b/>
          <w:bCs/>
        </w:rPr>
        <w:t xml:space="preserve">Model 2: The Standard STP (GRUD) Approach</w:t>
      </w:r>
    </w:p>
    <w:p>
      <w:pPr>
        <w:pStyle w:val="Compact"/>
        <w:numPr>
          <w:ilvl w:val="1"/>
          <w:numId w:val="1006"/>
        </w:numPr>
      </w:pPr>
      <w:r>
        <w:rPr>
          <w:b/>
          <w:bCs/>
        </w:rPr>
        <w:t xml:space="preserve">Fixed Effects:</w:t>
      </w:r>
      <w:r>
        <w:t xml:space="preserve"> </w:t>
      </w:r>
      <w:r>
        <w:t xml:space="preserve">This model used the two standard Swiss soil tests and their interaction:</w:t>
      </w:r>
      <w:r>
        <w:t xml:space="preserve"> </w:t>
      </w:r>
      <w:r>
        <w:rPr>
          <w:rStyle w:val="VerbatimChar"/>
        </w:rPr>
        <w:t xml:space="preserve">P_CO2 * P_AAE10</w:t>
      </w:r>
      <w:r>
        <w:t xml:space="preserve">.</w:t>
      </w:r>
    </w:p>
    <w:p>
      <w:pPr>
        <w:pStyle w:val="FirstParagraph"/>
      </w:pPr>
      <w:r>
        <w:t xml:space="preserve">The relative performance of these two sets of models was then evaluated to determine whether the kinetic parameters provided a significant improvement in predictive power for key agronomic outcomes. Further the relative performance of these two approaches, along with other combinations of predictor sets, was rigorously evaluated using a machine learning benchmark workflow implemented in the</w:t>
      </w:r>
      <w:r>
        <w:t xml:space="preserve"> </w:t>
      </w:r>
      <w:r>
        <w:rPr>
          <w:rStyle w:val="VerbatimChar"/>
        </w:rPr>
        <w:t xml:space="preserve">mlr3</w:t>
      </w:r>
      <w:r>
        <w:t xml:space="preserve"> </w:t>
      </w:r>
      <w:r>
        <w:t xml:space="preserve">package</w:t>
      </w:r>
      <w:r>
        <w:t xml:space="preserve"> </w:t>
      </w:r>
      <w:r>
        <w:t xml:space="preserve">(Lang et al., 2019)</w:t>
      </w:r>
      <w:r>
        <w:t xml:space="preserve">. The predictive power of each predictor set was quantified using</w:t>
      </w:r>
      <w:r>
        <w:t xml:space="preserve"> </w:t>
      </w:r>
      <w:r>
        <w:rPr>
          <w:b/>
          <w:bCs/>
        </w:rPr>
        <w:t xml:space="preserve">5-fold cross-validation</w:t>
      </w:r>
      <w:r>
        <w:t xml:space="preserve">. Performance was measured as the percentage of explained variance on the hold-out data (1 - MSE / Var(y)), providing a robust and unbiased estimate of how well each model would generalize to new data. This benchmark allowed for a direct comparison of the information content provided by the kinetic parameters versus the standard soil tests for predicting key agronomic outcomes.</w:t>
      </w:r>
    </w:p>
    <w:bookmarkStart w:id="36" w:name="refs"/>
    <w:bookmarkStart w:id="21"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20">
        <w:r>
          <w:rPr>
            <w:rStyle w:val="Hyperlink"/>
          </w:rPr>
          <w:t xml:space="preserve">https://doi.org/10.18637/jss.v067.i01</w:t>
        </w:r>
      </w:hyperlink>
    </w:p>
    <w:bookmarkEnd w:id="21"/>
    <w:bookmarkStart w:id="22"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22"/>
    <w:bookmarkStart w:id="23"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23"/>
    <w:bookmarkStart w:id="25"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24">
        <w:r>
          <w:rPr>
            <w:rStyle w:val="Hyperlink"/>
          </w:rPr>
          <w:t xml:space="preserve">https://doi.org/10.1016/j.scitotenv.2020.143453</w:t>
        </w:r>
      </w:hyperlink>
    </w:p>
    <w:bookmarkEnd w:id="25"/>
    <w:bookmarkStart w:id="27" w:name="ref-R-lmerTest"/>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 1–26.</w:t>
      </w:r>
      <w:r>
        <w:t xml:space="preserve"> </w:t>
      </w:r>
      <w:hyperlink r:id="rId26">
        <w:r>
          <w:rPr>
            <w:rStyle w:val="Hyperlink"/>
          </w:rPr>
          <w:t xml:space="preserve">https://doi.org/10.18637/jss.v082.i13</w:t>
        </w:r>
      </w:hyperlink>
    </w:p>
    <w:bookmarkEnd w:id="27"/>
    <w:bookmarkStart w:id="29" w:name="ref-R-mlr3"/>
    <w:p>
      <w:pPr>
        <w:pStyle w:val="Bibliography"/>
      </w:pPr>
      <w:r>
        <w:t xml:space="preserve">Lang, M., Binder, M., Richter, J., Schratz, P., Casalicchio, G., Coors, S., Pfisterer, F., Fischer, S., Au, Q., &amp; Bischl, B. (2019).</w:t>
      </w:r>
      <w:r>
        <w:t xml:space="preserve"> </w:t>
      </w:r>
      <w:r>
        <w:t xml:space="preserve">mlr3</w:t>
      </w:r>
      <w:r>
        <w:t xml:space="preserve">: A modern object-oriented machine learning framework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(44), 1903.</w:t>
      </w:r>
      <w:r>
        <w:t xml:space="preserve"> </w:t>
      </w:r>
      <w:hyperlink r:id="rId28">
        <w:r>
          <w:rPr>
            <w:rStyle w:val="Hyperlink"/>
          </w:rPr>
          <w:t xml:space="preserve">https://doi.org/10.21105/joss.01903</w:t>
        </w:r>
      </w:hyperlink>
    </w:p>
    <w:bookmarkEnd w:id="29"/>
    <w:bookmarkStart w:id="30" w:name="ref-Mehra1960Iron"/>
    <w:p>
      <w:pPr>
        <w:pStyle w:val="Bibliography"/>
      </w:pPr>
      <w:r>
        <w:t xml:space="preserve">Mehra, O. P., &amp; Jackson, M. L. (1960). Iron oxide removal from soils and clays by a dithionite-citrate system buffered with sodium bicarbonate.</w:t>
      </w:r>
      <w:r>
        <w:t xml:space="preserve"> </w:t>
      </w:r>
      <w:r>
        <w:rPr>
          <w:i/>
          <w:iCs/>
        </w:rPr>
        <w:t xml:space="preserve">Clays and Clay Minerals</w:t>
      </w:r>
      <w:r>
        <w:t xml:space="preserve">,</w:t>
      </w:r>
      <w:r>
        <w:t xml:space="preserve"> </w:t>
      </w:r>
      <w:r>
        <w:rPr>
          <w:i/>
          <w:iCs/>
        </w:rPr>
        <w:t xml:space="preserve">7</w:t>
      </w:r>
      <w:r>
        <w:t xml:space="preserve">, 317–327.</w:t>
      </w:r>
    </w:p>
    <w:bookmarkEnd w:id="30"/>
    <w:bookmarkStart w:id="32"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31">
        <w:r>
          <w:rPr>
            <w:rStyle w:val="Hyperlink"/>
          </w:rPr>
          <w:t xml:space="preserve">https://CRAN.R-project.org/package=nlme</w:t>
        </w:r>
      </w:hyperlink>
    </w:p>
    <w:bookmarkEnd w:id="32"/>
    <w:bookmarkStart w:id="34"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33">
        <w:r>
          <w:rPr>
            <w:rStyle w:val="Hyperlink"/>
          </w:rPr>
          <w:t xml:space="preserve">https://www.R-project.org/</w:t>
        </w:r>
      </w:hyperlink>
    </w:p>
    <w:bookmarkEnd w:id="34"/>
    <w:bookmarkStart w:id="35"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35"/>
    <w:bookmarkEnd w:id="36"/>
    <w:bookmarkEnd w:id="37"/>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CRAN.R-project.org/package=nlme" TargetMode="External" /><Relationship Type="http://schemas.openxmlformats.org/officeDocument/2006/relationships/hyperlink" Id="rId24" Target="https://doi.org/10.1016/j.scitotenv.2020.143453" TargetMode="External" /><Relationship Type="http://schemas.openxmlformats.org/officeDocument/2006/relationships/hyperlink" Id="rId20" Target="https://doi.org/10.18637/jss.v067.i01" TargetMode="External" /><Relationship Type="http://schemas.openxmlformats.org/officeDocument/2006/relationships/hyperlink" Id="rId26" Target="https://doi.org/10.18637/jss.v082.i13" TargetMode="External" /><Relationship Type="http://schemas.openxmlformats.org/officeDocument/2006/relationships/hyperlink" Id="rId28" Target="https://doi.org/10.21105/joss.01903" TargetMode="External" /><Relationship Type="http://schemas.openxmlformats.org/officeDocument/2006/relationships/hyperlink" Id="rId3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1" Target="https://CRAN.R-project.org/package=nlme" TargetMode="External" /><Relationship Type="http://schemas.openxmlformats.org/officeDocument/2006/relationships/hyperlink" Id="rId24" Target="https://doi.org/10.1016/j.scitotenv.2020.143453" TargetMode="External" /><Relationship Type="http://schemas.openxmlformats.org/officeDocument/2006/relationships/hyperlink" Id="rId20" Target="https://doi.org/10.18637/jss.v067.i01" TargetMode="External" /><Relationship Type="http://schemas.openxmlformats.org/officeDocument/2006/relationships/hyperlink" Id="rId26" Target="https://doi.org/10.18637/jss.v082.i13" TargetMode="External" /><Relationship Type="http://schemas.openxmlformats.org/officeDocument/2006/relationships/hyperlink" Id="rId28" Target="https://doi.org/10.21105/joss.01903" TargetMode="External" /><Relationship Type="http://schemas.openxmlformats.org/officeDocument/2006/relationships/hyperlink" Id="rId3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2026-03-27T11:01:00Z</dcterms:created>
  <dcterms:modified xsi:type="dcterms:W3CDTF">2026-03-27T11:01:00Z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